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4"/>
          <w:szCs w:val="14"/>
          <w:color w:val="EE2724"/>
        </w:rPr>
        <w:t>PRELIMINARY PROXY STATEMENT DATED MAY 8, 2026—SUBJECT TO COMPLETION</w:t>
      </w:r>
    </w:p>
    <w:p>
      <w:pPr>
        <w:spacing w:after="0" w:line="1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UNITED STATES</w:t>
      </w:r>
    </w:p>
    <w:p>
      <w:pPr>
        <w:jc w:val="center"/>
        <w:ind w:right="-1120"/>
        <w:spacing w:after="0" w:line="214"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ind w:left="4900"/>
        <w:spacing w:after="0" w:line="212" w:lineRule="auto"/>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1120"/>
        <w:spacing w:after="0" w:line="209" w:lineRule="auto"/>
        <w:rPr>
          <w:sz w:val="20"/>
          <w:szCs w:val="20"/>
          <w:color w:val="auto"/>
        </w:rPr>
      </w:pPr>
      <w:r>
        <w:rPr>
          <w:rFonts w:ascii="Times New Roman" w:cs="Times New Roman" w:eastAsia="Times New Roman" w:hAnsi="Times New Roman"/>
          <w:sz w:val="22"/>
          <w:szCs w:val="22"/>
          <w:b w:val="1"/>
          <w:bCs w:val="1"/>
          <w:color w:val="auto"/>
        </w:rPr>
        <w:t>SCHEDULE 14A</w:t>
      </w:r>
    </w:p>
    <w:p>
      <w:pPr>
        <w:jc w:val="center"/>
        <w:ind w:right="-1120"/>
        <w:spacing w:after="0" w:line="205" w:lineRule="auto"/>
        <w:rPr>
          <w:sz w:val="20"/>
          <w:szCs w:val="20"/>
          <w:color w:val="auto"/>
        </w:rPr>
      </w:pPr>
      <w:r>
        <w:rPr>
          <w:rFonts w:ascii="Times New Roman" w:cs="Times New Roman" w:eastAsia="Times New Roman" w:hAnsi="Times New Roman"/>
          <w:sz w:val="12"/>
          <w:szCs w:val="1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01" w:lineRule="exact"/>
        <w:rPr>
          <w:sz w:val="24"/>
          <w:szCs w:val="24"/>
          <w:color w:val="auto"/>
        </w:rPr>
      </w:pPr>
    </w:p>
    <w:p>
      <w:pPr>
        <w:spacing w:after="0" w:line="138" w:lineRule="exact"/>
        <w:tabs>
          <w:tab w:leader="none" w:pos="1740" w:val="left"/>
        </w:tabs>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t>
      </w:r>
      <w:r>
        <w:rPr>
          <w:sz w:val="20"/>
          <w:szCs w:val="20"/>
          <w:color w:val="auto"/>
        </w:rPr>
        <w:tab/>
      </w:r>
      <w:r>
        <w:rPr>
          <w:rFonts w:ascii="Times New Roman" w:cs="Times New Roman" w:eastAsia="Times New Roman" w:hAnsi="Times New Roman"/>
          <w:sz w:val="11"/>
          <w:szCs w:val="11"/>
          <w:color w:val="auto"/>
        </w:rPr>
        <w:t xml:space="preserve">Filed by a Party other than the Registrant </w:t>
      </w:r>
      <w:r>
        <w:rPr>
          <w:rFonts w:ascii="MS PGothic" w:cs="MS PGothic" w:eastAsia="MS PGothic" w:hAnsi="MS PGothic"/>
          <w:sz w:val="11"/>
          <w:szCs w:val="11"/>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204"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65"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73" w:lineRule="exact"/>
        <w:rPr>
          <w:rFonts w:ascii="MS PGothic" w:cs="MS PGothic" w:eastAsia="MS PGothic" w:hAnsi="MS PGothic"/>
          <w:sz w:val="12"/>
          <w:szCs w:val="12"/>
          <w:color w:val="auto"/>
        </w:rPr>
      </w:pPr>
    </w:p>
    <w:p>
      <w:pPr>
        <w:ind w:left="520" w:hanging="514"/>
        <w:spacing w:after="0"/>
        <w:tabs>
          <w:tab w:leader="none" w:pos="5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69" w:lineRule="exact"/>
        <w:rPr>
          <w:rFonts w:ascii="MS PGothic" w:cs="MS PGothic" w:eastAsia="MS PGothic" w:hAnsi="MS PGothic"/>
          <w:sz w:val="12"/>
          <w:szCs w:val="12"/>
          <w:color w:val="auto"/>
        </w:rPr>
      </w:pPr>
    </w:p>
    <w:p>
      <w:pPr>
        <w:ind w:left="520" w:hanging="514"/>
        <w:spacing w:after="0"/>
        <w:tabs>
          <w:tab w:leader="none" w:pos="5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69" w:lineRule="exact"/>
        <w:rPr>
          <w:rFonts w:ascii="MS PGothic" w:cs="MS PGothic" w:eastAsia="MS PGothic" w:hAnsi="MS PGothic"/>
          <w:sz w:val="12"/>
          <w:szCs w:val="12"/>
          <w:color w:val="auto"/>
        </w:rPr>
      </w:pPr>
    </w:p>
    <w:p>
      <w:pPr>
        <w:ind w:left="520" w:hanging="514"/>
        <w:spacing w:after="0"/>
        <w:tabs>
          <w:tab w:leader="none" w:pos="52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w:t>
      </w:r>
    </w:p>
    <w:p>
      <w:pPr>
        <w:spacing w:after="0" w:line="21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4"/>
          <w:szCs w:val="24"/>
          <w:b w:val="1"/>
          <w:bCs w:val="1"/>
          <w:color w:val="auto"/>
        </w:rPr>
        <w:t>New Fortress Energy Inc.</w:t>
      </w:r>
    </w:p>
    <w:p>
      <w:pPr>
        <w:jc w:val="center"/>
        <w:ind w:right="-1120"/>
        <w:spacing w:after="0" w:line="219" w:lineRule="auto"/>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17" w:lineRule="exact"/>
        <w:rPr>
          <w:sz w:val="24"/>
          <w:szCs w:val="24"/>
          <w:color w:val="auto"/>
        </w:rPr>
      </w:pPr>
    </w:p>
    <w:p>
      <w:pPr>
        <w:ind w:left="520" w:hanging="456"/>
        <w:spacing w:after="0"/>
        <w:tabs>
          <w:tab w:leader="none" w:pos="520" w:val="left"/>
        </w:tabs>
        <w:numPr>
          <w:ilvl w:val="1"/>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33" w:lineRule="exact"/>
        <w:rPr>
          <w:rFonts w:ascii="MS PGothic" w:cs="MS PGothic" w:eastAsia="MS PGothic" w:hAnsi="MS PGothic"/>
          <w:sz w:val="12"/>
          <w:szCs w:val="12"/>
          <w:color w:val="auto"/>
        </w:rPr>
      </w:pPr>
    </w:p>
    <w:p>
      <w:pPr>
        <w:ind w:left="520" w:hanging="514"/>
        <w:spacing w:after="0" w:line="185" w:lineRule="auto"/>
        <w:tabs>
          <w:tab w:leader="none" w:pos="520" w:val="left"/>
        </w:tabs>
        <w:numPr>
          <w:ilvl w:val="0"/>
          <w:numId w:val="3"/>
        </w:numPr>
        <w:rPr>
          <w:rFonts w:ascii="MS PGothic" w:cs="MS PGothic" w:eastAsia="MS PGothic" w:hAnsi="MS PGothic"/>
          <w:sz w:val="21"/>
          <w:szCs w:val="21"/>
          <w:color w:val="auto"/>
          <w:vertAlign w:val="subscript"/>
        </w:rPr>
      </w:pPr>
      <w:r>
        <w:rPr>
          <w:rFonts w:ascii="Times New Roman" w:cs="Times New Roman" w:eastAsia="Times New Roman" w:hAnsi="Times New Roman"/>
          <w:sz w:val="11"/>
          <w:szCs w:val="11"/>
          <w:color w:val="auto"/>
        </w:rPr>
        <w:t>Fee paid previously with preliminary materials.</w:t>
      </w:r>
    </w:p>
    <w:p>
      <w:pPr>
        <w:spacing w:after="0" w:line="45" w:lineRule="exact"/>
        <w:rPr>
          <w:rFonts w:ascii="MS PGothic" w:cs="MS PGothic" w:eastAsia="MS PGothic" w:hAnsi="MS PGothic"/>
          <w:sz w:val="21"/>
          <w:szCs w:val="21"/>
          <w:color w:val="auto"/>
          <w:vertAlign w:val="subscript"/>
        </w:rPr>
      </w:pPr>
    </w:p>
    <w:p>
      <w:pPr>
        <w:ind w:left="520" w:hanging="514"/>
        <w:spacing w:after="0" w:line="185" w:lineRule="auto"/>
        <w:tabs>
          <w:tab w:leader="none" w:pos="520" w:val="left"/>
        </w:tabs>
        <w:numPr>
          <w:ilvl w:val="0"/>
          <w:numId w:val="3"/>
        </w:numPr>
        <w:rPr>
          <w:rFonts w:ascii="MS PGothic" w:cs="MS PGothic" w:eastAsia="MS PGothic" w:hAnsi="MS PGothic"/>
          <w:sz w:val="21"/>
          <w:szCs w:val="21"/>
          <w:color w:val="auto"/>
          <w:vertAlign w:val="subscript"/>
        </w:rPr>
      </w:pPr>
      <w:r>
        <w:rPr>
          <w:rFonts w:ascii="Times New Roman" w:cs="Times New Roman" w:eastAsia="Times New Roman" w:hAnsi="Times New Roman"/>
          <w:sz w:val="11"/>
          <w:szCs w:val="1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2593340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234315</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0159"/>
          </w:cols>
          <w:pgMar w:left="300" w:top="89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jc w:val="right"/>
        <w:spacing w:after="0"/>
        <w:rPr>
          <w:sz w:val="20"/>
          <w:szCs w:val="20"/>
          <w:color w:val="auto"/>
        </w:rPr>
      </w:pPr>
      <w:r>
        <w:rPr>
          <w:rFonts w:ascii="Times New Roman" w:cs="Times New Roman" w:eastAsia="Times New Roman" w:hAnsi="Times New Roman"/>
          <w:sz w:val="12"/>
          <w:szCs w:val="12"/>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-1905</wp:posOffset>
            </wp:positionV>
            <wp:extent cx="132588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58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Fellow Stockholders:</w:t>
      </w:r>
    </w:p>
    <w:p>
      <w:pPr>
        <w:spacing w:after="0" w:line="150" w:lineRule="exact"/>
        <w:rPr>
          <w:sz w:val="20"/>
          <w:szCs w:val="20"/>
          <w:color w:val="auto"/>
        </w:rPr>
      </w:pPr>
    </w:p>
    <w:p>
      <w:pPr>
        <w:ind w:right="20" w:firstLine="216"/>
        <w:spacing w:after="0" w:line="327" w:lineRule="auto"/>
        <w:rPr>
          <w:sz w:val="20"/>
          <w:szCs w:val="20"/>
          <w:color w:val="auto"/>
        </w:rPr>
      </w:pPr>
      <w:r>
        <w:rPr>
          <w:rFonts w:ascii="Times New Roman" w:cs="Times New Roman" w:eastAsia="Times New Roman" w:hAnsi="Times New Roman"/>
          <w:sz w:val="11"/>
          <w:szCs w:val="11"/>
          <w:color w:val="auto"/>
        </w:rPr>
        <w:t>On behalf of the Board of Directors, I cordially invite you to attend the Annual Meeting of Stockholders of New Fortress Energy Inc. (the “Annual Meeting”) to be held at Skadden, Arps, Slate, Meagher &amp; Flom LLP and Affiliates, One Manhattan West, New York, New York 10001, on June 17, 2026, at 9:00 a.m., Eastern Time. The matters to be considered by the stockholders at the Annual Meeting are described in detail in the accompanying materials.</w:t>
      </w:r>
    </w:p>
    <w:p>
      <w:pPr>
        <w:spacing w:after="0" w:line="87"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IT IS IMPORTANT THAT YOU BE REPRESENTED AT THE ANNUAL MEETING REGARDLESS OF THE NUMBER OF SHARES YOU OWN OR WHETHER YOU ARE ABLE TO ATTEND THE ANNUAL MEETING IN PERSON. Let me urge you to vote today by the Internet, by telephone or by completing, signing and returning your proxy card in the envelope provided.</w:t>
      </w:r>
    </w:p>
    <w:p>
      <w:pPr>
        <w:spacing w:after="0" w:line="111"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PLEASE NOTE THAT YOU MUST FOLLOW THESE INSTRUCTIONS IN ORDER TO ATTEND AND BE ABLE TO VOTE AT THE ANNUAL MEETING: All stockholders may vote in person at the Annual Meeting. In addition, any stockholder may also be represented by another person at the Annual Meeting by executing a proper proxy designating that person as the proxy with power to vote your shares on your behalf. If you are a beneficial owner of shares, you must take the following three steps in order to be able to attend and vote at the Annual Meeting: (1) obtain a legal proxy from your broker, bank or other holder of record and present this legal proxy to the inspector of elections along with your ballot; (2) contact our Investor Relations department to obtain an admission card and present this admission card to the inspector of elections; and (3) present an acceptable form of photo identification, such as a driver’s license or passport, to the inspector of elections.</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Sincerely,</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10795</wp:posOffset>
            </wp:positionV>
            <wp:extent cx="30289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8950" cy="5715"/>
                    </a:xfrm>
                    <a:prstGeom prst="rect">
                      <a:avLst/>
                    </a:prstGeom>
                    <a:noFill/>
                  </pic:spPr>
                </pic:pic>
              </a:graphicData>
            </a:graphic>
          </wp:anchor>
        </w:drawing>
      </w:r>
    </w:p>
    <w:p>
      <w:pPr>
        <w:spacing w:after="0" w:line="15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Wesley R. Edens</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785495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43" w:right="29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NOTICE OF THE 2026 ANNUAL MEETING OF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the Stockholders of New Fortress Energy Inc.:</w:t>
      </w:r>
    </w:p>
    <w:p>
      <w:pPr>
        <w:spacing w:after="0" w:line="13" w:lineRule="exact"/>
        <w:rPr>
          <w:sz w:val="20"/>
          <w:szCs w:val="20"/>
          <w:color w:val="auto"/>
        </w:rPr>
      </w:pPr>
    </w:p>
    <w:p>
      <w:pPr>
        <w:ind w:firstLine="216"/>
        <w:spacing w:after="0" w:line="243" w:lineRule="auto"/>
        <w:rPr>
          <w:sz w:val="20"/>
          <w:szCs w:val="20"/>
          <w:color w:val="auto"/>
        </w:rPr>
      </w:pPr>
      <w:r>
        <w:rPr>
          <w:rFonts w:ascii="Times New Roman" w:cs="Times New Roman" w:eastAsia="Times New Roman" w:hAnsi="Times New Roman"/>
          <w:sz w:val="12"/>
          <w:szCs w:val="12"/>
          <w:color w:val="auto"/>
        </w:rPr>
        <w:t>The annual meeting of stockholders (the “Annual Meeting”) of New Fortress Energy Inc., a Delaware corporation, will be held at Skadden, Arps, Slate, Meagher &amp; Flom LLP and Affiliates, One Manhattan West, New York, New York 10001, on June 17, 2026, at 9:00 a.m., Eastern Time. The matters to be considered and acted upon by stockholders at the Annual Meeting, which are described in detail in the accompanying materials, are:</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elect two Class I directors to serve until the 2029 annual meeting of stockholders and until their successors are duly elected or appointed and qualified (the "Directors Proposal");</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approve the appointment of Ernst &amp; Young LLP as independent registered public accounting firm for the Company for fiscal year 2026 (the "Auditor Approval Proposal");</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(iii)</w:t>
      </w:r>
    </w:p>
    <w:p>
      <w:pPr>
        <w:spacing w:after="0" w:line="17" w:lineRule="exact"/>
        <w:rPr>
          <w:sz w:val="20"/>
          <w:szCs w:val="20"/>
          <w:color w:val="auto"/>
        </w:rPr>
      </w:pPr>
    </w:p>
    <w:p>
      <w:pPr>
        <w:ind w:left="860" w:right="400"/>
        <w:spacing w:after="0" w:line="276" w:lineRule="auto"/>
        <w:rPr>
          <w:sz w:val="20"/>
          <w:szCs w:val="20"/>
          <w:color w:val="auto"/>
        </w:rPr>
      </w:pPr>
      <w:r>
        <w:rPr>
          <w:rFonts w:ascii="Times New Roman" w:cs="Times New Roman" w:eastAsia="Times New Roman" w:hAnsi="Times New Roman"/>
          <w:sz w:val="12"/>
          <w:szCs w:val="12"/>
          <w:color w:val="auto"/>
        </w:rPr>
        <w:t>a proposal to approve and adopt, effective as of the closing of the Restructuring Transaction, an amendment and restatement to the Company’s Certificate of Incorporation (the “Certificate of Incorporation”), in the form attached to this Proxy Statement as Annex A (the “Amended Certificate of Incorporation”), for the following amendments (collectively, the “Charter Amendment Proposal”):</w:t>
      </w:r>
    </w:p>
    <w:p>
      <w:pPr>
        <w:spacing w:after="0" w:line="111" w:lineRule="exact"/>
        <w:rPr>
          <w:sz w:val="20"/>
          <w:szCs w:val="20"/>
          <w:color w:val="auto"/>
        </w:rPr>
      </w:pPr>
    </w:p>
    <w:p>
      <w:pPr>
        <w:ind w:left="1080" w:hanging="215"/>
        <w:spacing w:after="0"/>
        <w:tabs>
          <w:tab w:leader="none" w:pos="1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Board Declassification </w:t>
      </w:r>
      <w:r>
        <w:rPr>
          <w:rFonts w:ascii="Times New Roman" w:cs="Times New Roman" w:eastAsia="Times New Roman" w:hAnsi="Times New Roman"/>
          <w:sz w:val="12"/>
          <w:szCs w:val="12"/>
          <w:color w:val="auto"/>
        </w:rPr>
        <w:t>– to amend certain provisions of the Certificate of Incorporation to remove the existing staggered board (Proposal 3A);</w:t>
      </w:r>
    </w:p>
    <w:p>
      <w:pPr>
        <w:spacing w:after="0" w:line="168" w:lineRule="exact"/>
        <w:rPr>
          <w:rFonts w:ascii="Times New Roman" w:cs="Times New Roman" w:eastAsia="Times New Roman" w:hAnsi="Times New Roman"/>
          <w:sz w:val="12"/>
          <w:szCs w:val="12"/>
          <w:color w:val="auto"/>
        </w:rPr>
      </w:pPr>
    </w:p>
    <w:p>
      <w:pPr>
        <w:ind w:left="860" w:right="320" w:firstLine="5"/>
        <w:spacing w:after="0" w:line="283" w:lineRule="auto"/>
        <w:tabs>
          <w:tab w:leader="none" w:pos="1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Majority Voting for Directors </w:t>
      </w:r>
      <w:r>
        <w:rPr>
          <w:rFonts w:ascii="Times New Roman" w:cs="Times New Roman" w:eastAsia="Times New Roman" w:hAnsi="Times New Roman"/>
          <w:sz w:val="12"/>
          <w:szCs w:val="12"/>
          <w:color w:val="auto"/>
        </w:rPr>
        <w:t>– to amend the Certificate of Incorporation to provide for the election of directors by a majority of the total votes that may be cast in the election of directors by holders of all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issued and outstanding shares of the Company entitled to vote (Proposal 3B);</w:t>
      </w:r>
    </w:p>
    <w:p>
      <w:pPr>
        <w:spacing w:after="0" w:line="124" w:lineRule="exact"/>
        <w:rPr>
          <w:rFonts w:ascii="Times New Roman" w:cs="Times New Roman" w:eastAsia="Times New Roman" w:hAnsi="Times New Roman"/>
          <w:sz w:val="12"/>
          <w:szCs w:val="12"/>
          <w:color w:val="auto"/>
        </w:rPr>
      </w:pPr>
    </w:p>
    <w:p>
      <w:pPr>
        <w:ind w:left="1080" w:hanging="215"/>
        <w:spacing w:after="0"/>
        <w:tabs>
          <w:tab w:leader="none" w:pos="1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Minimum Board Size </w:t>
      </w:r>
      <w:r>
        <w:rPr>
          <w:rFonts w:ascii="Times New Roman" w:cs="Times New Roman" w:eastAsia="Times New Roman" w:hAnsi="Times New Roman"/>
          <w:sz w:val="12"/>
          <w:szCs w:val="12"/>
          <w:color w:val="auto"/>
        </w:rPr>
        <w:t>– to amend the Certificate of Incorporation to increase the minimum size of the Board from one director to three directors (Proposal 3C);</w:t>
      </w:r>
    </w:p>
    <w:p>
      <w:pPr>
        <w:spacing w:after="0" w:line="168" w:lineRule="exact"/>
        <w:rPr>
          <w:rFonts w:ascii="Times New Roman" w:cs="Times New Roman" w:eastAsia="Times New Roman" w:hAnsi="Times New Roman"/>
          <w:sz w:val="12"/>
          <w:szCs w:val="12"/>
          <w:color w:val="auto"/>
        </w:rPr>
      </w:pPr>
    </w:p>
    <w:p>
      <w:pPr>
        <w:ind w:left="860" w:right="380" w:firstLine="5"/>
        <w:spacing w:after="0" w:line="258" w:lineRule="auto"/>
        <w:tabs>
          <w:tab w:leader="none" w:pos="1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Entitlement to Vote on Certain Matters – </w:t>
      </w:r>
      <w:r>
        <w:rPr>
          <w:rFonts w:ascii="Times New Roman" w:cs="Times New Roman" w:eastAsia="Times New Roman" w:hAnsi="Times New Roman"/>
          <w:sz w:val="12"/>
          <w:szCs w:val="12"/>
          <w:color w:val="auto"/>
        </w:rPr>
        <w:t>to amend the Certificate of Incorporation to provide that holders of shares of Class A common stock will not be entitled to vote on any amendment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of Incorporation (including the Certificate of Designations and any other applicable designation of capital stock)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Certificate of Incorporation (including the Certificate of Designations and any other applicable designation of capital stock) or pursuant to the General Corporation Law of the State of Delaware (the "DGCL") (Proposal 3D);</w:t>
      </w:r>
    </w:p>
    <w:p>
      <w:pPr>
        <w:spacing w:after="0" w:line="140" w:lineRule="exact"/>
        <w:rPr>
          <w:rFonts w:ascii="Times New Roman" w:cs="Times New Roman" w:eastAsia="Times New Roman" w:hAnsi="Times New Roman"/>
          <w:sz w:val="12"/>
          <w:szCs w:val="12"/>
          <w:color w:val="auto"/>
        </w:rPr>
      </w:pPr>
    </w:p>
    <w:p>
      <w:pPr>
        <w:ind w:left="860" w:right="320" w:firstLine="5"/>
        <w:spacing w:after="0" w:line="283" w:lineRule="auto"/>
        <w:tabs>
          <w:tab w:leader="none" w:pos="1073"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Officer Exculpation – </w:t>
      </w:r>
      <w:r>
        <w:rPr>
          <w:rFonts w:ascii="Times New Roman" w:cs="Times New Roman" w:eastAsia="Times New Roman" w:hAnsi="Times New Roman"/>
          <w:sz w:val="12"/>
          <w:szCs w:val="12"/>
          <w:color w:val="auto"/>
        </w:rPr>
        <w:t>to amend the Certificate of Incorporation to provide for exculpation of certain of the Company’s officers from liability to the extent permitted by Delaware law, substantially aligning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protections for the Company’s officers with those currently afforded to the Company’s directors (Proposal 3E);</w:t>
      </w:r>
    </w:p>
    <w:p>
      <w:pPr>
        <w:spacing w:after="0" w:line="124" w:lineRule="exact"/>
        <w:rPr>
          <w:rFonts w:ascii="Times New Roman" w:cs="Times New Roman" w:eastAsia="Times New Roman" w:hAnsi="Times New Roman"/>
          <w:sz w:val="12"/>
          <w:szCs w:val="12"/>
          <w:color w:val="auto"/>
        </w:rPr>
      </w:pPr>
    </w:p>
    <w:p>
      <w:pPr>
        <w:ind w:left="860" w:right="560" w:firstLine="5"/>
        <w:spacing w:after="0" w:line="283" w:lineRule="auto"/>
        <w:tabs>
          <w:tab w:leader="none" w:pos="10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Removal of References to the Company’s Class B Shares </w:t>
      </w:r>
      <w:r>
        <w:rPr>
          <w:rFonts w:ascii="Times New Roman" w:cs="Times New Roman" w:eastAsia="Times New Roman" w:hAnsi="Times New Roman"/>
          <w:sz w:val="12"/>
          <w:szCs w:val="12"/>
          <w:color w:val="auto"/>
        </w:rPr>
        <w:t>– to amend the Certificate of Incorporation to remove any and all references to shares of the Company’s Class B common stock, including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associated with such stock (Proposal 3F);</w:t>
      </w:r>
    </w:p>
    <w:p>
      <w:pPr>
        <w:spacing w:after="0" w:line="124" w:lineRule="exact"/>
        <w:rPr>
          <w:rFonts w:ascii="Times New Roman" w:cs="Times New Roman" w:eastAsia="Times New Roman" w:hAnsi="Times New Roman"/>
          <w:sz w:val="12"/>
          <w:szCs w:val="12"/>
          <w:color w:val="auto"/>
        </w:rPr>
      </w:pPr>
    </w:p>
    <w:p>
      <w:pPr>
        <w:ind w:left="860" w:right="360" w:firstLine="5"/>
        <w:spacing w:after="0" w:line="283" w:lineRule="auto"/>
        <w:tabs>
          <w:tab w:leader="none" w:pos="1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Reverse Stock Split </w:t>
      </w:r>
      <w:r>
        <w:rPr>
          <w:rFonts w:ascii="Times New Roman" w:cs="Times New Roman" w:eastAsia="Times New Roman" w:hAnsi="Times New Roman"/>
          <w:sz w:val="12"/>
          <w:szCs w:val="12"/>
          <w:color w:val="auto"/>
        </w:rPr>
        <w:t>– to amend the Certificate of Incorporation to effect a reverse split of the Company’s issued and outstanding shares of Common Stock (the “Reverse Split”) at a reverse split ratio of 1-for-50 (Proposal 3G); and</w:t>
      </w:r>
    </w:p>
    <w:p>
      <w:pPr>
        <w:spacing w:after="0" w:line="124" w:lineRule="exact"/>
        <w:rPr>
          <w:rFonts w:ascii="Times New Roman" w:cs="Times New Roman" w:eastAsia="Times New Roman" w:hAnsi="Times New Roman"/>
          <w:sz w:val="12"/>
          <w:szCs w:val="12"/>
          <w:color w:val="auto"/>
        </w:rPr>
      </w:pPr>
    </w:p>
    <w:p>
      <w:pPr>
        <w:ind w:left="860" w:right="780" w:firstLine="5"/>
        <w:spacing w:after="0" w:line="266" w:lineRule="auto"/>
        <w:tabs>
          <w:tab w:leader="none" w:pos="10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Amendment and Restatement of the Certificate of Incorporation </w:t>
      </w:r>
      <w:r>
        <w:rPr>
          <w:rFonts w:ascii="Times New Roman" w:cs="Times New Roman" w:eastAsia="Times New Roman" w:hAnsi="Times New Roman"/>
          <w:sz w:val="12"/>
          <w:szCs w:val="12"/>
          <w:color w:val="auto"/>
        </w:rPr>
        <w:t>– conditioned upon the receipt of the requisite vote on Proposals 3A through 3G, to approve the proposed Amended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Incorporation, which includes the approval of all other changes in the Amended Certificate of Incorporation in connection with replacing the Certificate of Incorporation with the proposed Amended Certificate of Incorporation (Proposal 3H);</w:t>
      </w: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(iv)</w:t>
      </w:r>
    </w:p>
    <w:p>
      <w:pPr>
        <w:spacing w:after="0" w:line="17" w:lineRule="exact"/>
        <w:rPr>
          <w:sz w:val="20"/>
          <w:szCs w:val="20"/>
          <w:color w:val="auto"/>
        </w:rPr>
      </w:pPr>
    </w:p>
    <w:p>
      <w:pPr>
        <w:ind w:left="860" w:right="360"/>
        <w:spacing w:after="0" w:line="276" w:lineRule="auto"/>
        <w:rPr>
          <w:sz w:val="20"/>
          <w:szCs w:val="20"/>
          <w:color w:val="auto"/>
        </w:rPr>
      </w:pPr>
      <w:r>
        <w:rPr>
          <w:rFonts w:ascii="Times New Roman" w:cs="Times New Roman" w:eastAsia="Times New Roman" w:hAnsi="Times New Roman"/>
          <w:sz w:val="12"/>
          <w:szCs w:val="12"/>
          <w:color w:val="auto"/>
        </w:rPr>
        <w:t>a proposal to approve, for purposes of complying with Nasdaq Listing Rule 5635(d), and for all other relevant purposes, the potential issuance of shares of Common Stock in excess of 20% of our outstanding Common Stock (the “Stock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466090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557" w:right="419" w:bottom="1440" w:gutter="0" w:footer="0" w:header="0"/>
        </w:sectPr>
      </w:pPr>
    </w:p>
    <w:bookmarkStart w:id="3" w:name="page4"/>
    <w:bookmarkEnd w:id="3"/>
    <w:p>
      <w:pPr>
        <w:ind w:left="240"/>
        <w:spacing w:after="0"/>
        <w:rPr>
          <w:sz w:val="20"/>
          <w:szCs w:val="20"/>
          <w:color w:val="auto"/>
        </w:rPr>
      </w:pPr>
      <w:r>
        <w:rPr>
          <w:rFonts w:ascii="Times New Roman" w:cs="Times New Roman" w:eastAsia="Times New Roman" w:hAnsi="Times New Roman"/>
          <w:sz w:val="12"/>
          <w:szCs w:val="12"/>
          <w:color w:val="auto"/>
        </w:rPr>
        <w:t>(v)</w:t>
      </w:r>
    </w:p>
    <w:p>
      <w:pPr>
        <w:spacing w:after="0" w:line="17" w:lineRule="exact"/>
        <w:rPr>
          <w:sz w:val="20"/>
          <w:szCs w:val="20"/>
          <w:color w:val="auto"/>
        </w:rPr>
      </w:pPr>
    </w:p>
    <w:p>
      <w:pPr>
        <w:ind w:left="860" w:right="460"/>
        <w:spacing w:after="0" w:line="263" w:lineRule="auto"/>
        <w:rPr>
          <w:sz w:val="20"/>
          <w:szCs w:val="20"/>
          <w:color w:val="auto"/>
        </w:rPr>
      </w:pPr>
      <w:r>
        <w:rPr>
          <w:rFonts w:ascii="Times New Roman" w:cs="Times New Roman" w:eastAsia="Times New Roman" w:hAnsi="Times New Roman"/>
          <w:sz w:val="12"/>
          <w:szCs w:val="12"/>
          <w:color w:val="auto"/>
        </w:rPr>
        <w:t>a proposal to approve an amendment and restatement of the Company’s 2019 Omnibus Incentive Plan (as amended and restated as of August 7, 2020, the “Incentive Plan”), in the form attached to this Proxy Statement as Annex C (the “Amended and Restated Incentive Plan”) (the “Incentive Plan Proposal” and, collectively with the Charter Amendment Proposal and the Stock Issuance Proposal, the “Restructuring Transaction Proposals”);</w:t>
      </w:r>
    </w:p>
    <w:p>
      <w:pPr>
        <w:spacing w:after="0" w:line="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(vi)</w:t>
      </w:r>
    </w:p>
    <w:p>
      <w:pPr>
        <w:spacing w:after="0" w:line="17" w:lineRule="exact"/>
        <w:rPr>
          <w:sz w:val="20"/>
          <w:szCs w:val="20"/>
          <w:color w:val="auto"/>
        </w:rPr>
      </w:pPr>
    </w:p>
    <w:p>
      <w:pPr>
        <w:jc w:val="both"/>
        <w:ind w:left="860" w:right="440"/>
        <w:spacing w:after="0" w:line="263" w:lineRule="auto"/>
        <w:rPr>
          <w:sz w:val="20"/>
          <w:szCs w:val="20"/>
          <w:color w:val="auto"/>
        </w:rPr>
      </w:pPr>
      <w:r>
        <w:rPr>
          <w:rFonts w:ascii="Times New Roman" w:cs="Times New Roman" w:eastAsia="Times New Roman" w:hAnsi="Times New Roman"/>
          <w:sz w:val="12"/>
          <w:szCs w:val="12"/>
          <w:color w:val="auto"/>
        </w:rPr>
        <w:t>a proposal to adjourn the Annual Meeting to a later date or dates, if necessary or appropriate, to permit further solicitation and vote of proxies if there are insufficient votes to approve any of the Proposals (as defined below) at the time of the Annual Meeting (the “Adjournment Proposal” and, collectively with the Directors Proposal, the Auditor Approval Proposal and the Restructuring Transaction Proposals, the “Proposals”); and</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any other business properly presented at the Annual Meeting.</w:t>
      </w:r>
    </w:p>
    <w:p>
      <w:pPr>
        <w:spacing w:after="0" w:line="225" w:lineRule="exact"/>
        <w:rPr>
          <w:sz w:val="20"/>
          <w:szCs w:val="20"/>
          <w:color w:val="auto"/>
        </w:rPr>
      </w:pPr>
    </w:p>
    <w:p>
      <w:pPr>
        <w:ind w:firstLine="216"/>
        <w:spacing w:after="0" w:line="262" w:lineRule="auto"/>
        <w:rPr>
          <w:sz w:val="20"/>
          <w:szCs w:val="20"/>
          <w:color w:val="auto"/>
        </w:rPr>
      </w:pPr>
      <w:r>
        <w:rPr>
          <w:rFonts w:ascii="Times New Roman" w:cs="Times New Roman" w:eastAsia="Times New Roman" w:hAnsi="Times New Roman"/>
          <w:sz w:val="12"/>
          <w:szCs w:val="12"/>
          <w:color w:val="auto"/>
        </w:rPr>
        <w:t xml:space="preserve">Stockholders of record at the close of business on , 2026 will be entitled to notice of and to vote at the Annual Meeting. </w:t>
      </w:r>
      <w:r>
        <w:rPr>
          <w:rFonts w:ascii="Times New Roman" w:cs="Times New Roman" w:eastAsia="Times New Roman" w:hAnsi="Times New Roman"/>
          <w:sz w:val="12"/>
          <w:szCs w:val="12"/>
          <w:b w:val="1"/>
          <w:bCs w:val="1"/>
          <w:color w:val="auto"/>
        </w:rPr>
        <w:t>It is important that your shares be represented at the Annual Meeting regardless of the size of your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holdings. </w:t>
      </w:r>
      <w:r>
        <w:rPr>
          <w:rFonts w:ascii="Times New Roman" w:cs="Times New Roman" w:eastAsia="Times New Roman" w:hAnsi="Times New Roman"/>
          <w:sz w:val="12"/>
          <w:szCs w:val="12"/>
          <w:color w:val="auto"/>
        </w:rPr>
        <w:t>A Proxy Statement, proxy card and self-addressed envelope are enclosed. Return the proxy card promptly in the envelope provided, which requires no postage if mailed in the United States. You can also vote by telephone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by the Internet by following the instructions provided on the proxy card. Whether or not you plan to attend the Annual Meeting in person, please vote by one of these three methods. If you are the record holder of your shares and you attend the meeting, you may revoke your proxy and vote in person, if you so choose.</w:t>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 Kevin 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10795</wp:posOffset>
            </wp:positionV>
            <wp:extent cx="30289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8950" cy="5715"/>
                    </a:xfrm>
                    <a:prstGeom prst="rect">
                      <a:avLst/>
                    </a:prstGeom>
                    <a:noFill/>
                  </pic:spPr>
                </pic:pic>
              </a:graphicData>
            </a:graphic>
          </wp:anchor>
        </w:drawing>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Kevin F. Sullivan</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i w:val="1"/>
          <w:iCs w:val="1"/>
          <w:color w:val="auto"/>
        </w:rPr>
        <w:t>Secretary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w:t>
      </w:r>
    </w:p>
    <w:p>
      <w:pPr>
        <w:spacing w:after="0" w:line="234" w:lineRule="auto"/>
        <w:rPr>
          <w:sz w:val="20"/>
          <w:szCs w:val="20"/>
          <w:color w:val="auto"/>
        </w:rPr>
      </w:pPr>
      <w:r>
        <w:rPr>
          <w:rFonts w:ascii="Times New Roman" w:cs="Times New Roman" w:eastAsia="Times New Roman" w:hAnsi="Times New Roman"/>
          <w:sz w:val="12"/>
          <w:szCs w:val="12"/>
          <w:color w:val="auto"/>
        </w:rPr>
        <w:t>New York, New York 10011</w:t>
      </w:r>
    </w:p>
    <w:p>
      <w:pPr>
        <w:ind w:left="120"/>
        <w:spacing w:after="0"/>
        <w:rPr>
          <w:sz w:val="20"/>
          <w:szCs w:val="20"/>
          <w:color w:val="auto"/>
        </w:rPr>
      </w:pPr>
      <w:r>
        <w:rPr>
          <w:rFonts w:ascii="Times New Roman" w:cs="Times New Roman" w:eastAsia="Times New Roman" w:hAnsi="Times New Roman"/>
          <w:sz w:val="12"/>
          <w:szCs w:val="12"/>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311785</wp:posOffset>
            </wp:positionV>
            <wp:extent cx="607504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5045" cy="58293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IMPORTANT NOTICE REGARDING THE AVAILABILITY OF PROXY MATERIALS</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FOR THE STOCKHOLDER MEETING TO BE HELD ON June 17, 2026:</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The Notice of Annual Meeting, Proxy Statement and the Annual Report on Form 10-K</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are available on the Investor Relations section of our website at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u w:val="single" w:color="auto"/>
          <w:color w:val="auto"/>
        </w:rPr>
        <w:t>www.newfortressenergy.com.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1699895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32"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9"/>
        </w:trPr>
        <w:tc>
          <w:tcPr>
            <w:tcW w:w="4260" w:type="dxa"/>
            <w:vAlign w:val="bottom"/>
          </w:tcPr>
          <w:p>
            <w:pPr>
              <w:spacing w:after="0"/>
              <w:rPr>
                <w:sz w:val="13"/>
                <w:szCs w:val="13"/>
                <w:color w:val="auto"/>
              </w:rPr>
            </w:pPr>
          </w:p>
        </w:tc>
        <w:tc>
          <w:tcPr>
            <w:tcW w:w="7040" w:type="dxa"/>
            <w:vAlign w:val="bottom"/>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288"/>
        </w:trPr>
        <w:tc>
          <w:tcPr>
            <w:tcW w:w="4260" w:type="dxa"/>
            <w:vAlign w:val="bottom"/>
            <w:tcBorders>
              <w:bottom w:val="single" w:sz="8" w:color="CCEEFF"/>
            </w:tcBorders>
          </w:tcPr>
          <w:p>
            <w:pPr>
              <w:spacing w:after="0"/>
              <w:rPr>
                <w:sz w:val="24"/>
                <w:szCs w:val="24"/>
                <w:color w:val="auto"/>
              </w:rPr>
            </w:pPr>
          </w:p>
        </w:tc>
        <w:tc>
          <w:tcPr>
            <w:tcW w:w="636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5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INFORMATION ABOUT VOTING</w:t>
            </w:r>
          </w:p>
        </w:tc>
        <w:tc>
          <w:tcPr>
            <w:tcW w:w="63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center"/>
              <w:ind w:left="206"/>
              <w:spacing w:after="0"/>
              <w:rPr>
                <w:sz w:val="20"/>
                <w:szCs w:val="20"/>
                <w:color w:val="auto"/>
              </w:rPr>
            </w:pPr>
            <w:r>
              <w:rPr>
                <w:rFonts w:ascii="Times New Roman" w:cs="Times New Roman" w:eastAsia="Times New Roman" w:hAnsi="Times New Roman"/>
                <w:sz w:val="12"/>
                <w:szCs w:val="12"/>
                <w:color w:val="auto"/>
                <w:w w:val="99"/>
              </w:rPr>
              <w:t>1</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Solicitation of Proxies</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3</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Entitled to Vote</w:t>
            </w:r>
          </w:p>
        </w:tc>
        <w:tc>
          <w:tcPr>
            <w:tcW w:w="6760" w:type="dxa"/>
            <w:vAlign w:val="bottom"/>
            <w:gridSpan w:val="3"/>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3</w:t>
            </w: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Required Vote</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3</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Voting</w:t>
            </w:r>
          </w:p>
        </w:tc>
        <w:tc>
          <w:tcPr>
            <w:tcW w:w="6760" w:type="dxa"/>
            <w:vAlign w:val="bottom"/>
            <w:gridSpan w:val="3"/>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4</w:t>
            </w: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 to Revoke Proxy</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4</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Copies of Annual Report to Stockholders</w:t>
            </w:r>
          </w:p>
        </w:tc>
        <w:tc>
          <w:tcPr>
            <w:tcW w:w="6760" w:type="dxa"/>
            <w:vAlign w:val="bottom"/>
            <w:gridSpan w:val="3"/>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5</w:t>
            </w: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Voting Results</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5</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Confidentiality of Voting</w:t>
            </w:r>
          </w:p>
        </w:tc>
        <w:tc>
          <w:tcPr>
            <w:tcW w:w="6760" w:type="dxa"/>
            <w:vAlign w:val="bottom"/>
            <w:gridSpan w:val="3"/>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5</w:t>
            </w: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PROPOSAL NO. 1 ELECTION OF DIRECTORS</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38</w:t>
            </w:r>
          </w:p>
        </w:tc>
        <w:tc>
          <w:tcPr>
            <w:tcW w:w="280" w:type="dxa"/>
            <w:vAlign w:val="bottom"/>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Information Concerning Our Directors, Including the Director Nominees</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39</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Determination of Director Independence</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42</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Statement on Corporate Governance</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42</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Sustainability</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43</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Code of Conduct</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43</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Insider Trading Policies and Procedures</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43</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Board Leadership Structure</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43</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33"/>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The Board and Its Committees</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43</w:t>
            </w:r>
          </w:p>
        </w:tc>
        <w:tc>
          <w:tcPr>
            <w:tcW w:w="280" w:type="dxa"/>
            <w:vAlign w:val="bottom"/>
            <w:shd w:val="clear" w:color="auto" w:fill="CCEEFF"/>
          </w:tcPr>
          <w:p>
            <w:pPr>
              <w:spacing w:after="0"/>
              <w:rPr>
                <w:sz w:val="11"/>
                <w:szCs w:val="11"/>
                <w:color w:val="auto"/>
              </w:rPr>
            </w:pPr>
          </w:p>
        </w:tc>
      </w:tr>
      <w:tr>
        <w:trPr>
          <w:trHeight w:val="153"/>
        </w:trPr>
        <w:tc>
          <w:tcPr>
            <w:tcW w:w="4260" w:type="dxa"/>
            <w:vAlign w:val="bottom"/>
            <w:tcBorders>
              <w:top w:val="single" w:sz="8" w:color="CCEEFF"/>
            </w:tcBorders>
          </w:tcPr>
          <w:p>
            <w:pPr>
              <w:spacing w:after="0"/>
              <w:rPr>
                <w:sz w:val="13"/>
                <w:szCs w:val="13"/>
                <w:color w:val="auto"/>
              </w:rPr>
            </w:pPr>
          </w:p>
        </w:tc>
        <w:tc>
          <w:tcPr>
            <w:tcW w:w="63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r>
      <w:tr>
        <w:trPr>
          <w:trHeight w:val="133"/>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REPORT OF THE AUDIT COMMITTEE</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47</w:t>
            </w:r>
          </w:p>
        </w:tc>
        <w:tc>
          <w:tcPr>
            <w:tcW w:w="280" w:type="dxa"/>
            <w:vAlign w:val="bottom"/>
            <w:shd w:val="clear" w:color="auto" w:fill="CCEEFF"/>
          </w:tcPr>
          <w:p>
            <w:pPr>
              <w:spacing w:after="0"/>
              <w:rPr>
                <w:sz w:val="11"/>
                <w:szCs w:val="11"/>
                <w:color w:val="auto"/>
              </w:rPr>
            </w:pPr>
          </w:p>
        </w:tc>
      </w:tr>
      <w:tr>
        <w:trPr>
          <w:trHeight w:val="153"/>
        </w:trPr>
        <w:tc>
          <w:tcPr>
            <w:tcW w:w="4260" w:type="dxa"/>
            <w:vAlign w:val="bottom"/>
            <w:tcBorders>
              <w:top w:val="single" w:sz="8" w:color="CCEEFF"/>
            </w:tcBorders>
          </w:tcPr>
          <w:p>
            <w:pPr>
              <w:spacing w:after="0"/>
              <w:rPr>
                <w:sz w:val="13"/>
                <w:szCs w:val="13"/>
                <w:color w:val="auto"/>
              </w:rPr>
            </w:pPr>
          </w:p>
        </w:tc>
        <w:tc>
          <w:tcPr>
            <w:tcW w:w="63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r>
      <w:tr>
        <w:trPr>
          <w:trHeight w:val="133"/>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MANAGEMENT</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48</w:t>
            </w:r>
          </w:p>
        </w:tc>
        <w:tc>
          <w:tcPr>
            <w:tcW w:w="280" w:type="dxa"/>
            <w:vAlign w:val="bottom"/>
            <w:shd w:val="clear" w:color="auto" w:fill="CCEEFF"/>
          </w:tcPr>
          <w:p>
            <w:pPr>
              <w:spacing w:after="0"/>
              <w:rPr>
                <w:sz w:val="11"/>
                <w:szCs w:val="11"/>
                <w:color w:val="auto"/>
              </w:rPr>
            </w:pPr>
          </w:p>
        </w:tc>
      </w:tr>
      <w:tr>
        <w:trPr>
          <w:trHeight w:val="153"/>
        </w:trPr>
        <w:tc>
          <w:tcPr>
            <w:tcW w:w="4260" w:type="dxa"/>
            <w:vAlign w:val="bottom"/>
            <w:tcBorders>
              <w:top w:val="single" w:sz="8" w:color="CCEEFF"/>
            </w:tcBorders>
          </w:tcPr>
          <w:p>
            <w:pPr>
              <w:spacing w:after="0"/>
              <w:rPr>
                <w:sz w:val="13"/>
                <w:szCs w:val="13"/>
                <w:color w:val="auto"/>
              </w:rPr>
            </w:pPr>
          </w:p>
        </w:tc>
        <w:tc>
          <w:tcPr>
            <w:tcW w:w="63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r>
      <w:tr>
        <w:trPr>
          <w:trHeight w:val="133"/>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EXECUTIVE COMPENSATION</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49</w:t>
            </w:r>
          </w:p>
        </w:tc>
        <w:tc>
          <w:tcPr>
            <w:tcW w:w="280" w:type="dxa"/>
            <w:vAlign w:val="bottom"/>
            <w:shd w:val="clear" w:color="auto" w:fill="CCEEFF"/>
          </w:tcPr>
          <w:p>
            <w:pPr>
              <w:spacing w:after="0"/>
              <w:rPr>
                <w:sz w:val="11"/>
                <w:szCs w:val="11"/>
                <w:color w:val="auto"/>
              </w:rPr>
            </w:pPr>
          </w:p>
        </w:tc>
      </w:tr>
      <w:tr>
        <w:trPr>
          <w:trHeight w:val="153"/>
        </w:trPr>
        <w:tc>
          <w:tcPr>
            <w:tcW w:w="4260" w:type="dxa"/>
            <w:vAlign w:val="bottom"/>
            <w:tcBorders>
              <w:top w:val="single" w:sz="8" w:color="CCEEFF"/>
            </w:tcBorders>
          </w:tcPr>
          <w:p>
            <w:pPr>
              <w:spacing w:after="0"/>
              <w:rPr>
                <w:sz w:val="13"/>
                <w:szCs w:val="13"/>
                <w:color w:val="auto"/>
              </w:rPr>
            </w:pPr>
          </w:p>
        </w:tc>
        <w:tc>
          <w:tcPr>
            <w:tcW w:w="63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r>
      <w:tr>
        <w:trPr>
          <w:trHeight w:val="133"/>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Compensation Discussion and Analysis</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49</w:t>
            </w:r>
          </w:p>
        </w:tc>
        <w:tc>
          <w:tcPr>
            <w:tcW w:w="280" w:type="dxa"/>
            <w:vAlign w:val="bottom"/>
            <w:shd w:val="clear" w:color="auto" w:fill="CCEEFF"/>
          </w:tcPr>
          <w:p>
            <w:pPr>
              <w:spacing w:after="0"/>
              <w:rPr>
                <w:sz w:val="11"/>
                <w:szCs w:val="11"/>
                <w:color w:val="auto"/>
              </w:rPr>
            </w:pPr>
          </w:p>
        </w:tc>
      </w:tr>
      <w:tr>
        <w:trPr>
          <w:trHeight w:val="153"/>
        </w:trPr>
        <w:tc>
          <w:tcPr>
            <w:tcW w:w="4260" w:type="dxa"/>
            <w:vAlign w:val="bottom"/>
            <w:tcBorders>
              <w:top w:val="single" w:sz="8" w:color="CCEEFF"/>
            </w:tcBorders>
          </w:tcPr>
          <w:p>
            <w:pPr>
              <w:spacing w:after="0"/>
              <w:rPr>
                <w:sz w:val="13"/>
                <w:szCs w:val="13"/>
                <w:color w:val="auto"/>
              </w:rPr>
            </w:pPr>
          </w:p>
        </w:tc>
        <w:tc>
          <w:tcPr>
            <w:tcW w:w="63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r>
      <w:tr>
        <w:trPr>
          <w:trHeight w:val="133"/>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COMPENSATION COMMITTEE REPORT</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53</w:t>
            </w:r>
          </w:p>
        </w:tc>
        <w:tc>
          <w:tcPr>
            <w:tcW w:w="280" w:type="dxa"/>
            <w:vAlign w:val="bottom"/>
            <w:shd w:val="clear" w:color="auto" w:fill="CCEEFF"/>
          </w:tcPr>
          <w:p>
            <w:pPr>
              <w:spacing w:after="0"/>
              <w:rPr>
                <w:sz w:val="11"/>
                <w:szCs w:val="11"/>
                <w:color w:val="auto"/>
              </w:rPr>
            </w:pPr>
          </w:p>
        </w:tc>
      </w:tr>
      <w:tr>
        <w:trPr>
          <w:trHeight w:val="153"/>
        </w:trPr>
        <w:tc>
          <w:tcPr>
            <w:tcW w:w="4260" w:type="dxa"/>
            <w:vAlign w:val="bottom"/>
            <w:tcBorders>
              <w:top w:val="single" w:sz="8" w:color="CCEEFF"/>
            </w:tcBorders>
          </w:tcPr>
          <w:p>
            <w:pPr>
              <w:spacing w:after="0"/>
              <w:rPr>
                <w:sz w:val="13"/>
                <w:szCs w:val="13"/>
                <w:color w:val="auto"/>
              </w:rPr>
            </w:pPr>
          </w:p>
        </w:tc>
        <w:tc>
          <w:tcPr>
            <w:tcW w:w="63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Compensation Committee Interlocks and Insider Participation</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54</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Summary Compensation Table for 2025</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55</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Grants of Plan-Based Awards for 2025</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55</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Outstanding Equity Awards at Fiscal Year-End for 2025</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55</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Option Exercises and Stock Vested for 2025</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56</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Pension Benefits for 2025</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56</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Nonqualified Deferred Compensation for 2025</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56</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Potential Payments Upon Change-in-Control or Termination</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56</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Pay Ratio Disclosure</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57</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Pay Versus Performance</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58</w:t>
            </w:r>
          </w:p>
        </w:tc>
        <w:tc>
          <w:tcPr>
            <w:tcW w:w="280" w:type="dxa"/>
            <w:vAlign w:val="bottom"/>
          </w:tcPr>
          <w:p>
            <w:pPr>
              <w:spacing w:after="0"/>
              <w:rPr>
                <w:sz w:val="11"/>
                <w:szCs w:val="11"/>
                <w:color w:val="auto"/>
              </w:rPr>
            </w:pPr>
          </w:p>
        </w:tc>
      </w:tr>
      <w:tr>
        <w:trPr>
          <w:trHeight w:val="171"/>
        </w:trPr>
        <w:tc>
          <w:tcPr>
            <w:tcW w:w="4260" w:type="dxa"/>
            <w:vAlign w:val="bottom"/>
            <w:shd w:val="clear" w:color="auto" w:fill="CCEEFF"/>
          </w:tcPr>
          <w:p>
            <w:pPr>
              <w:spacing w:after="0"/>
              <w:rPr>
                <w:sz w:val="14"/>
                <w:szCs w:val="14"/>
                <w:color w:val="auto"/>
              </w:rPr>
            </w:pPr>
          </w:p>
        </w:tc>
        <w:tc>
          <w:tcPr>
            <w:tcW w:w="6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DIRECTOR COMPENSATION</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63</w:t>
            </w:r>
          </w:p>
        </w:tc>
        <w:tc>
          <w:tcPr>
            <w:tcW w:w="280" w:type="dxa"/>
            <w:vAlign w:val="bottom"/>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Director Compensation Table for 2025</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63</w:t>
            </w:r>
          </w:p>
        </w:tc>
        <w:tc>
          <w:tcPr>
            <w:tcW w:w="280" w:type="dxa"/>
            <w:vAlign w:val="bottom"/>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765"/>
        </w:trPr>
        <w:tc>
          <w:tcPr>
            <w:tcW w:w="426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-5080000</wp:posOffset>
            </wp:positionV>
            <wp:extent cx="4572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5"/>
        </w:trPr>
        <w:tc>
          <w:tcPr>
            <w:tcW w:w="9180" w:type="dxa"/>
            <w:vAlign w:val="bottom"/>
          </w:tcPr>
          <w:p>
            <w:pPr>
              <w:spacing w:after="0"/>
              <w:rPr>
                <w:sz w:val="20"/>
                <w:szCs w:val="20"/>
                <w:color w:val="auto"/>
              </w:rPr>
            </w:pPr>
            <w:r>
              <w:rPr>
                <w:rFonts w:ascii="Times New Roman" w:cs="Times New Roman" w:eastAsia="Times New Roman" w:hAnsi="Times New Roman"/>
                <w:sz w:val="12"/>
                <w:szCs w:val="12"/>
                <w:color w:val="auto"/>
              </w:rPr>
              <w:t>SECURITY OWNERSHIP OF MANAGEMENT AND CERTAIN BENEFICIAL OWNERS</w:t>
            </w:r>
          </w:p>
        </w:tc>
        <w:tc>
          <w:tcPr>
            <w:tcW w:w="1840" w:type="dxa"/>
            <w:vAlign w:val="bottom"/>
            <w:gridSpan w:val="2"/>
          </w:tcPr>
          <w:p>
            <w:pPr>
              <w:jc w:val="center"/>
              <w:ind w:left="1660"/>
              <w:spacing w:after="0"/>
              <w:rPr>
                <w:sz w:val="20"/>
                <w:szCs w:val="20"/>
                <w:color w:val="auto"/>
              </w:rPr>
            </w:pPr>
            <w:r>
              <w:rPr>
                <w:rFonts w:ascii="Times New Roman" w:cs="Times New Roman" w:eastAsia="Times New Roman" w:hAnsi="Times New Roman"/>
                <w:sz w:val="12"/>
                <w:szCs w:val="12"/>
                <w:color w:val="auto"/>
                <w:w w:val="99"/>
              </w:rPr>
              <w:t>64</w:t>
            </w:r>
          </w:p>
        </w:tc>
        <w:tc>
          <w:tcPr>
            <w:tcW w:w="280" w:type="dxa"/>
            <w:vAlign w:val="bottom"/>
          </w:tcPr>
          <w:p>
            <w:pPr>
              <w:spacing w:after="0"/>
              <w:rPr>
                <w:sz w:val="12"/>
                <w:szCs w:val="12"/>
                <w:color w:val="auto"/>
              </w:rPr>
            </w:pPr>
          </w:p>
        </w:tc>
      </w:tr>
      <w:tr>
        <w:trPr>
          <w:trHeight w:val="153"/>
        </w:trPr>
        <w:tc>
          <w:tcPr>
            <w:tcW w:w="9180" w:type="dxa"/>
            <w:vAlign w:val="bottom"/>
            <w:shd w:val="clear" w:color="auto" w:fill="CCEEFF"/>
          </w:tcPr>
          <w:p>
            <w:pPr>
              <w:spacing w:after="0"/>
              <w:rPr>
                <w:sz w:val="13"/>
                <w:szCs w:val="13"/>
                <w:color w:val="auto"/>
              </w:rPr>
            </w:pPr>
          </w:p>
        </w:tc>
        <w:tc>
          <w:tcPr>
            <w:tcW w:w="172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r>
      <w:tr>
        <w:trPr>
          <w:trHeight w:val="133"/>
        </w:trPr>
        <w:tc>
          <w:tcPr>
            <w:tcW w:w="91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Security Ownership of Certain Beneficial Owners and Management and Related Stockholder Matters</w:t>
            </w:r>
          </w:p>
        </w:tc>
        <w:tc>
          <w:tcPr>
            <w:tcW w:w="1840" w:type="dxa"/>
            <w:vAlign w:val="bottom"/>
            <w:gridSpan w:val="2"/>
          </w:tcPr>
          <w:p>
            <w:pPr>
              <w:jc w:val="center"/>
              <w:ind w:left="1660"/>
              <w:spacing w:after="0" w:line="126" w:lineRule="exact"/>
              <w:rPr>
                <w:sz w:val="20"/>
                <w:szCs w:val="20"/>
                <w:color w:val="auto"/>
              </w:rPr>
            </w:pPr>
            <w:r>
              <w:rPr>
                <w:rFonts w:ascii="Times New Roman" w:cs="Times New Roman" w:eastAsia="Times New Roman" w:hAnsi="Times New Roman"/>
                <w:sz w:val="12"/>
                <w:szCs w:val="12"/>
                <w:color w:val="auto"/>
                <w:w w:val="99"/>
              </w:rPr>
              <w:t>64</w:t>
            </w:r>
          </w:p>
        </w:tc>
        <w:tc>
          <w:tcPr>
            <w:tcW w:w="280" w:type="dxa"/>
            <w:vAlign w:val="bottom"/>
          </w:tcPr>
          <w:p>
            <w:pPr>
              <w:spacing w:after="0"/>
              <w:rPr>
                <w:sz w:val="11"/>
                <w:szCs w:val="11"/>
                <w:color w:val="auto"/>
              </w:rPr>
            </w:pPr>
          </w:p>
        </w:tc>
      </w:tr>
      <w:tr>
        <w:trPr>
          <w:trHeight w:val="180"/>
        </w:trPr>
        <w:tc>
          <w:tcPr>
            <w:tcW w:w="9180" w:type="dxa"/>
            <w:vAlign w:val="bottom"/>
            <w:shd w:val="clear" w:color="auto" w:fill="CCEEFF"/>
          </w:tcPr>
          <w:p>
            <w:pPr>
              <w:spacing w:after="0"/>
              <w:rPr>
                <w:sz w:val="15"/>
                <w:szCs w:val="15"/>
                <w:color w:val="auto"/>
              </w:rPr>
            </w:pPr>
          </w:p>
        </w:tc>
        <w:tc>
          <w:tcPr>
            <w:tcW w:w="17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left w:val="single" w:sz="8" w:color="CCEEFF"/>
            </w:tcBorders>
            <w:shd w:val="clear" w:color="auto" w:fill="CCEEFF"/>
          </w:tcPr>
          <w:p>
            <w:pPr>
              <w:spacing w:after="0"/>
              <w:rPr>
                <w:sz w:val="15"/>
                <w:szCs w:val="15"/>
                <w:color w:val="auto"/>
              </w:rPr>
            </w:pPr>
          </w:p>
        </w:tc>
      </w:tr>
      <w:tr>
        <w:trPr>
          <w:trHeight w:val="153"/>
        </w:trPr>
        <w:tc>
          <w:tcPr>
            <w:tcW w:w="9180" w:type="dxa"/>
            <w:vAlign w:val="bottom"/>
          </w:tcPr>
          <w:p>
            <w:pPr>
              <w:spacing w:after="0"/>
              <w:rPr>
                <w:sz w:val="20"/>
                <w:szCs w:val="20"/>
                <w:color w:val="auto"/>
              </w:rPr>
            </w:pPr>
            <w:r>
              <w:rPr>
                <w:rFonts w:ascii="Times New Roman" w:cs="Times New Roman" w:eastAsia="Times New Roman" w:hAnsi="Times New Roman"/>
                <w:sz w:val="12"/>
                <w:szCs w:val="12"/>
                <w:color w:val="auto"/>
              </w:rPr>
              <w:t>Delinquent Section 16(a) Reports</w:t>
            </w:r>
          </w:p>
        </w:tc>
        <w:tc>
          <w:tcPr>
            <w:tcW w:w="1840" w:type="dxa"/>
            <w:vAlign w:val="bottom"/>
            <w:gridSpan w:val="2"/>
          </w:tcPr>
          <w:p>
            <w:pPr>
              <w:jc w:val="center"/>
              <w:ind w:left="1660"/>
              <w:spacing w:after="0"/>
              <w:rPr>
                <w:sz w:val="20"/>
                <w:szCs w:val="20"/>
                <w:color w:val="auto"/>
              </w:rPr>
            </w:pPr>
            <w:r>
              <w:rPr>
                <w:rFonts w:ascii="Times New Roman" w:cs="Times New Roman" w:eastAsia="Times New Roman" w:hAnsi="Times New Roman"/>
                <w:sz w:val="12"/>
                <w:szCs w:val="12"/>
                <w:color w:val="auto"/>
                <w:w w:val="99"/>
              </w:rPr>
              <w:t>30</w:t>
            </w:r>
          </w:p>
        </w:tc>
        <w:tc>
          <w:tcPr>
            <w:tcW w:w="280" w:type="dxa"/>
            <w:vAlign w:val="bottom"/>
          </w:tcPr>
          <w:p>
            <w:pPr>
              <w:spacing w:after="0"/>
              <w:rPr>
                <w:sz w:val="13"/>
                <w:szCs w:val="13"/>
                <w:color w:val="auto"/>
              </w:rPr>
            </w:pPr>
          </w:p>
        </w:tc>
      </w:tr>
      <w:tr>
        <w:trPr>
          <w:trHeight w:val="180"/>
        </w:trPr>
        <w:tc>
          <w:tcPr>
            <w:tcW w:w="9180" w:type="dxa"/>
            <w:vAlign w:val="bottom"/>
            <w:shd w:val="clear" w:color="auto" w:fill="CCEEFF"/>
          </w:tcPr>
          <w:p>
            <w:pPr>
              <w:spacing w:after="0"/>
              <w:rPr>
                <w:sz w:val="15"/>
                <w:szCs w:val="15"/>
                <w:color w:val="auto"/>
              </w:rPr>
            </w:pPr>
          </w:p>
        </w:tc>
        <w:tc>
          <w:tcPr>
            <w:tcW w:w="17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left w:val="single" w:sz="8" w:color="CCEEFF"/>
            </w:tcBorders>
            <w:shd w:val="clear" w:color="auto" w:fill="CCEEFF"/>
          </w:tcPr>
          <w:p>
            <w:pPr>
              <w:spacing w:after="0"/>
              <w:rPr>
                <w:sz w:val="15"/>
                <w:szCs w:val="15"/>
                <w:color w:val="auto"/>
              </w:rPr>
            </w:pPr>
          </w:p>
        </w:tc>
      </w:tr>
      <w:tr>
        <w:trPr>
          <w:trHeight w:val="133"/>
        </w:trPr>
        <w:tc>
          <w:tcPr>
            <w:tcW w:w="91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CERTAIN RELATIONSHIPS AND RELATED TRANSACTIONS</w:t>
            </w:r>
          </w:p>
        </w:tc>
        <w:tc>
          <w:tcPr>
            <w:tcW w:w="1840" w:type="dxa"/>
            <w:vAlign w:val="bottom"/>
            <w:gridSpan w:val="2"/>
          </w:tcPr>
          <w:p>
            <w:pPr>
              <w:jc w:val="center"/>
              <w:ind w:left="1660"/>
              <w:spacing w:after="0" w:line="126" w:lineRule="exact"/>
              <w:rPr>
                <w:sz w:val="20"/>
                <w:szCs w:val="20"/>
                <w:color w:val="auto"/>
              </w:rPr>
            </w:pPr>
            <w:r>
              <w:rPr>
                <w:rFonts w:ascii="Times New Roman" w:cs="Times New Roman" w:eastAsia="Times New Roman" w:hAnsi="Times New Roman"/>
                <w:sz w:val="12"/>
                <w:szCs w:val="12"/>
                <w:color w:val="auto"/>
                <w:w w:val="99"/>
              </w:rPr>
              <w:t>66</w:t>
            </w:r>
          </w:p>
        </w:tc>
        <w:tc>
          <w:tcPr>
            <w:tcW w:w="280" w:type="dxa"/>
            <w:vAlign w:val="bottom"/>
          </w:tcPr>
          <w:p>
            <w:pPr>
              <w:spacing w:after="0"/>
              <w:rPr>
                <w:sz w:val="11"/>
                <w:szCs w:val="11"/>
                <w:color w:val="auto"/>
              </w:rPr>
            </w:pPr>
          </w:p>
        </w:tc>
      </w:tr>
      <w:tr>
        <w:trPr>
          <w:trHeight w:val="180"/>
        </w:trPr>
        <w:tc>
          <w:tcPr>
            <w:tcW w:w="9180" w:type="dxa"/>
            <w:vAlign w:val="bottom"/>
            <w:shd w:val="clear" w:color="auto" w:fill="CCEEFF"/>
          </w:tcPr>
          <w:p>
            <w:pPr>
              <w:spacing w:after="0"/>
              <w:rPr>
                <w:sz w:val="15"/>
                <w:szCs w:val="15"/>
                <w:color w:val="auto"/>
              </w:rPr>
            </w:pPr>
          </w:p>
        </w:tc>
        <w:tc>
          <w:tcPr>
            <w:tcW w:w="17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left w:val="single" w:sz="8" w:color="CCEEFF"/>
            </w:tcBorders>
            <w:shd w:val="clear" w:color="auto" w:fill="CCEEFF"/>
          </w:tcPr>
          <w:p>
            <w:pPr>
              <w:spacing w:after="0"/>
              <w:rPr>
                <w:sz w:val="15"/>
                <w:szCs w:val="15"/>
                <w:color w:val="auto"/>
              </w:rPr>
            </w:pPr>
          </w:p>
        </w:tc>
      </w:tr>
      <w:tr>
        <w:trPr>
          <w:trHeight w:val="126"/>
        </w:trPr>
        <w:tc>
          <w:tcPr>
            <w:tcW w:w="91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Procedures for Review, Approval and Ratification of Transactions with Related Persons</w:t>
            </w:r>
          </w:p>
        </w:tc>
        <w:tc>
          <w:tcPr>
            <w:tcW w:w="1840" w:type="dxa"/>
            <w:vAlign w:val="bottom"/>
            <w:gridSpan w:val="2"/>
          </w:tcPr>
          <w:p>
            <w:pPr>
              <w:jc w:val="center"/>
              <w:ind w:left="1660"/>
              <w:spacing w:after="0" w:line="126" w:lineRule="exact"/>
              <w:rPr>
                <w:sz w:val="20"/>
                <w:szCs w:val="20"/>
                <w:color w:val="auto"/>
              </w:rPr>
            </w:pPr>
            <w:r>
              <w:rPr>
                <w:rFonts w:ascii="Times New Roman" w:cs="Times New Roman" w:eastAsia="Times New Roman" w:hAnsi="Times New Roman"/>
                <w:sz w:val="12"/>
                <w:szCs w:val="12"/>
                <w:color w:val="auto"/>
                <w:w w:val="99"/>
              </w:rPr>
              <w:t>66</w:t>
            </w:r>
          </w:p>
        </w:tc>
        <w:tc>
          <w:tcPr>
            <w:tcW w:w="280" w:type="dxa"/>
            <w:vAlign w:val="bottom"/>
          </w:tcPr>
          <w:p>
            <w:pPr>
              <w:spacing w:after="0"/>
              <w:rPr>
                <w:sz w:val="10"/>
                <w:szCs w:val="10"/>
                <w:color w:val="auto"/>
              </w:rPr>
            </w:pPr>
          </w:p>
        </w:tc>
      </w:tr>
      <w:tr>
        <w:trPr>
          <w:trHeight w:val="27"/>
        </w:trPr>
        <w:tc>
          <w:tcPr>
            <w:tcW w:w="9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9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Certain Relationships and Related Transactions</w:t>
            </w:r>
          </w:p>
        </w:tc>
        <w:tc>
          <w:tcPr>
            <w:tcW w:w="1840" w:type="dxa"/>
            <w:vAlign w:val="bottom"/>
            <w:gridSpan w:val="2"/>
            <w:shd w:val="clear" w:color="auto" w:fill="CCEEFF"/>
          </w:tcPr>
          <w:p>
            <w:pPr>
              <w:jc w:val="center"/>
              <w:ind w:left="1660"/>
              <w:spacing w:after="0" w:line="126" w:lineRule="exact"/>
              <w:rPr>
                <w:sz w:val="20"/>
                <w:szCs w:val="20"/>
                <w:color w:val="auto"/>
              </w:rPr>
            </w:pPr>
            <w:r>
              <w:rPr>
                <w:rFonts w:ascii="Times New Roman" w:cs="Times New Roman" w:eastAsia="Times New Roman" w:hAnsi="Times New Roman"/>
                <w:sz w:val="12"/>
                <w:szCs w:val="12"/>
                <w:color w:val="auto"/>
                <w:w w:val="99"/>
              </w:rPr>
              <w:t>66</w:t>
            </w:r>
          </w:p>
        </w:tc>
        <w:tc>
          <w:tcPr>
            <w:tcW w:w="280" w:type="dxa"/>
            <w:vAlign w:val="bottom"/>
            <w:tcBorders>
              <w:left w:val="single" w:sz="8" w:color="CCEEFF"/>
            </w:tcBorders>
            <w:shd w:val="clear" w:color="auto" w:fill="CCEEFF"/>
          </w:tcPr>
          <w:p>
            <w:pPr>
              <w:spacing w:after="0"/>
              <w:rPr>
                <w:sz w:val="10"/>
                <w:szCs w:val="10"/>
                <w:color w:val="auto"/>
              </w:rPr>
            </w:pPr>
          </w:p>
        </w:tc>
      </w:tr>
      <w:tr>
        <w:trPr>
          <w:trHeight w:val="27"/>
        </w:trPr>
        <w:tc>
          <w:tcPr>
            <w:tcW w:w="9180" w:type="dxa"/>
            <w:vAlign w:val="bottom"/>
            <w:shd w:val="clear" w:color="auto" w:fill="CCEEFF"/>
          </w:tcPr>
          <w:p>
            <w:pPr>
              <w:spacing w:after="0"/>
              <w:rPr>
                <w:sz w:val="2"/>
                <w:szCs w:val="2"/>
                <w:color w:val="auto"/>
              </w:rPr>
            </w:pPr>
          </w:p>
        </w:tc>
        <w:tc>
          <w:tcPr>
            <w:tcW w:w="17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126"/>
        </w:trPr>
        <w:tc>
          <w:tcPr>
            <w:tcW w:w="91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Agreements with Affiliates</w:t>
            </w:r>
          </w:p>
        </w:tc>
        <w:tc>
          <w:tcPr>
            <w:tcW w:w="1840" w:type="dxa"/>
            <w:vAlign w:val="bottom"/>
            <w:gridSpan w:val="2"/>
          </w:tcPr>
          <w:p>
            <w:pPr>
              <w:jc w:val="center"/>
              <w:ind w:left="1660"/>
              <w:spacing w:after="0" w:line="126" w:lineRule="exact"/>
              <w:rPr>
                <w:sz w:val="20"/>
                <w:szCs w:val="20"/>
                <w:color w:val="auto"/>
              </w:rPr>
            </w:pPr>
            <w:r>
              <w:rPr>
                <w:rFonts w:ascii="Times New Roman" w:cs="Times New Roman" w:eastAsia="Times New Roman" w:hAnsi="Times New Roman"/>
                <w:sz w:val="12"/>
                <w:szCs w:val="12"/>
                <w:color w:val="auto"/>
                <w:w w:val="99"/>
              </w:rPr>
              <w:t>66</w:t>
            </w:r>
          </w:p>
        </w:tc>
        <w:tc>
          <w:tcPr>
            <w:tcW w:w="280" w:type="dxa"/>
            <w:vAlign w:val="bottom"/>
          </w:tcPr>
          <w:p>
            <w:pPr>
              <w:spacing w:after="0"/>
              <w:rPr>
                <w:sz w:val="10"/>
                <w:szCs w:val="10"/>
                <w:color w:val="auto"/>
              </w:rPr>
            </w:pPr>
          </w:p>
        </w:tc>
      </w:tr>
      <w:tr>
        <w:trPr>
          <w:trHeight w:val="27"/>
        </w:trPr>
        <w:tc>
          <w:tcPr>
            <w:tcW w:w="9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33"/>
        </w:trPr>
        <w:tc>
          <w:tcPr>
            <w:tcW w:w="9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Other Transactions with Related Persons</w:t>
            </w:r>
          </w:p>
        </w:tc>
        <w:tc>
          <w:tcPr>
            <w:tcW w:w="1840" w:type="dxa"/>
            <w:vAlign w:val="bottom"/>
            <w:gridSpan w:val="2"/>
            <w:shd w:val="clear" w:color="auto" w:fill="CCEEFF"/>
          </w:tcPr>
          <w:p>
            <w:pPr>
              <w:jc w:val="center"/>
              <w:ind w:left="1660"/>
              <w:spacing w:after="0" w:line="126" w:lineRule="exact"/>
              <w:rPr>
                <w:sz w:val="20"/>
                <w:szCs w:val="20"/>
                <w:color w:val="auto"/>
              </w:rPr>
            </w:pPr>
            <w:r>
              <w:rPr>
                <w:rFonts w:ascii="Times New Roman" w:cs="Times New Roman" w:eastAsia="Times New Roman" w:hAnsi="Times New Roman"/>
                <w:sz w:val="12"/>
                <w:szCs w:val="12"/>
                <w:color w:val="auto"/>
                <w:w w:val="99"/>
              </w:rPr>
              <w:t>68</w:t>
            </w:r>
          </w:p>
        </w:tc>
        <w:tc>
          <w:tcPr>
            <w:tcW w:w="280" w:type="dxa"/>
            <w:vAlign w:val="bottom"/>
            <w:tcBorders>
              <w:left w:val="single" w:sz="8" w:color="CCEEFF"/>
            </w:tcBorders>
            <w:shd w:val="clear" w:color="auto" w:fill="CCEEFF"/>
          </w:tcPr>
          <w:p>
            <w:pPr>
              <w:spacing w:after="0"/>
              <w:rPr>
                <w:sz w:val="11"/>
                <w:szCs w:val="11"/>
                <w:color w:val="auto"/>
              </w:rPr>
            </w:pPr>
          </w:p>
        </w:tc>
      </w:tr>
      <w:tr>
        <w:trPr>
          <w:trHeight w:val="180"/>
        </w:trPr>
        <w:tc>
          <w:tcPr>
            <w:tcW w:w="918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192"/>
        </w:trPr>
        <w:tc>
          <w:tcPr>
            <w:tcW w:w="9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PROPOSAL NO. 2 APPROVAL OF APPOINTMENT OF ERNST &amp; YOUNG LLP AS INDEPENDENT REGISTERED PUBLIC ACCOUNTING FIRM</w:t>
            </w:r>
          </w:p>
        </w:tc>
        <w:tc>
          <w:tcPr>
            <w:tcW w:w="17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70</w:t>
            </w:r>
          </w:p>
        </w:tc>
        <w:tc>
          <w:tcPr>
            <w:tcW w:w="280" w:type="dxa"/>
            <w:vAlign w:val="bottom"/>
            <w:tcBorders>
              <w:left w:val="single" w:sz="8" w:color="CCEEFF"/>
              <w:bottom w:val="single" w:sz="8" w:color="CCEEFF"/>
            </w:tcBorders>
            <w:shd w:val="clear" w:color="auto" w:fill="CCEEFF"/>
          </w:tcPr>
          <w:p>
            <w:pPr>
              <w:spacing w:after="0"/>
              <w:rPr>
                <w:sz w:val="16"/>
                <w:szCs w:val="16"/>
                <w:color w:val="auto"/>
              </w:rPr>
            </w:pPr>
          </w:p>
        </w:tc>
      </w:tr>
      <w:tr>
        <w:trPr>
          <w:trHeight w:val="180"/>
        </w:trPr>
        <w:tc>
          <w:tcPr>
            <w:tcW w:w="918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126"/>
        </w:trPr>
        <w:tc>
          <w:tcPr>
            <w:tcW w:w="9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Proposed Independent Registered Public Accounting Firm</w:t>
            </w:r>
          </w:p>
        </w:tc>
        <w:tc>
          <w:tcPr>
            <w:tcW w:w="1840" w:type="dxa"/>
            <w:vAlign w:val="bottom"/>
            <w:gridSpan w:val="2"/>
            <w:shd w:val="clear" w:color="auto" w:fill="CCEEFF"/>
          </w:tcPr>
          <w:p>
            <w:pPr>
              <w:jc w:val="center"/>
              <w:ind w:left="1660"/>
              <w:spacing w:after="0" w:line="126" w:lineRule="exact"/>
              <w:rPr>
                <w:sz w:val="20"/>
                <w:szCs w:val="20"/>
                <w:color w:val="auto"/>
              </w:rPr>
            </w:pPr>
            <w:r>
              <w:rPr>
                <w:rFonts w:ascii="Times New Roman" w:cs="Times New Roman" w:eastAsia="Times New Roman" w:hAnsi="Times New Roman"/>
                <w:sz w:val="12"/>
                <w:szCs w:val="12"/>
                <w:color w:val="auto"/>
                <w:w w:val="99"/>
              </w:rPr>
              <w:t>70</w:t>
            </w:r>
          </w:p>
        </w:tc>
        <w:tc>
          <w:tcPr>
            <w:tcW w:w="280" w:type="dxa"/>
            <w:vAlign w:val="bottom"/>
            <w:tcBorders>
              <w:left w:val="single" w:sz="8" w:color="CCEEFF"/>
            </w:tcBorders>
            <w:shd w:val="clear" w:color="auto" w:fill="CCEEFF"/>
          </w:tcPr>
          <w:p>
            <w:pPr>
              <w:spacing w:after="0"/>
              <w:rPr>
                <w:sz w:val="10"/>
                <w:szCs w:val="10"/>
                <w:color w:val="auto"/>
              </w:rPr>
            </w:pPr>
          </w:p>
        </w:tc>
      </w:tr>
      <w:tr>
        <w:trPr>
          <w:trHeight w:val="27"/>
        </w:trPr>
        <w:tc>
          <w:tcPr>
            <w:tcW w:w="9180" w:type="dxa"/>
            <w:vAlign w:val="bottom"/>
            <w:shd w:val="clear" w:color="auto" w:fill="CCEEFF"/>
          </w:tcPr>
          <w:p>
            <w:pPr>
              <w:spacing w:after="0"/>
              <w:rPr>
                <w:sz w:val="2"/>
                <w:szCs w:val="2"/>
                <w:color w:val="auto"/>
              </w:rPr>
            </w:pPr>
          </w:p>
        </w:tc>
        <w:tc>
          <w:tcPr>
            <w:tcW w:w="17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133"/>
        </w:trPr>
        <w:tc>
          <w:tcPr>
            <w:tcW w:w="91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Principal Accountant Fees and Services</w:t>
            </w:r>
          </w:p>
        </w:tc>
        <w:tc>
          <w:tcPr>
            <w:tcW w:w="1840" w:type="dxa"/>
            <w:vAlign w:val="bottom"/>
            <w:gridSpan w:val="2"/>
          </w:tcPr>
          <w:p>
            <w:pPr>
              <w:jc w:val="center"/>
              <w:ind w:left="1660"/>
              <w:spacing w:after="0" w:line="126" w:lineRule="exact"/>
              <w:rPr>
                <w:sz w:val="20"/>
                <w:szCs w:val="20"/>
                <w:color w:val="auto"/>
              </w:rPr>
            </w:pPr>
            <w:r>
              <w:rPr>
                <w:rFonts w:ascii="Times New Roman" w:cs="Times New Roman" w:eastAsia="Times New Roman" w:hAnsi="Times New Roman"/>
                <w:sz w:val="12"/>
                <w:szCs w:val="12"/>
                <w:color w:val="auto"/>
                <w:w w:val="99"/>
              </w:rPr>
              <w:t>70</w:t>
            </w:r>
          </w:p>
        </w:tc>
        <w:tc>
          <w:tcPr>
            <w:tcW w:w="280" w:type="dxa"/>
            <w:vAlign w:val="bottom"/>
          </w:tcPr>
          <w:p>
            <w:pPr>
              <w:spacing w:after="0"/>
              <w:rPr>
                <w:sz w:val="11"/>
                <w:szCs w:val="11"/>
                <w:color w:val="auto"/>
              </w:rPr>
            </w:pPr>
          </w:p>
        </w:tc>
      </w:tr>
      <w:tr>
        <w:trPr>
          <w:trHeight w:val="180"/>
        </w:trPr>
        <w:tc>
          <w:tcPr>
            <w:tcW w:w="9180" w:type="dxa"/>
            <w:vAlign w:val="bottom"/>
            <w:shd w:val="clear" w:color="auto" w:fill="CCEEFF"/>
          </w:tcPr>
          <w:p>
            <w:pPr>
              <w:spacing w:after="0"/>
              <w:rPr>
                <w:sz w:val="15"/>
                <w:szCs w:val="15"/>
                <w:color w:val="auto"/>
              </w:rPr>
            </w:pPr>
          </w:p>
        </w:tc>
        <w:tc>
          <w:tcPr>
            <w:tcW w:w="17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left w:val="single" w:sz="8" w:color="CCEEFF"/>
            </w:tcBorders>
            <w:shd w:val="clear" w:color="auto" w:fill="CCEEFF"/>
          </w:tcPr>
          <w:p>
            <w:pPr>
              <w:spacing w:after="0"/>
              <w:rPr>
                <w:sz w:val="15"/>
                <w:szCs w:val="15"/>
                <w:color w:val="auto"/>
              </w:rPr>
            </w:pPr>
          </w:p>
        </w:tc>
      </w:tr>
      <w:tr>
        <w:trPr>
          <w:trHeight w:val="180"/>
        </w:trPr>
        <w:tc>
          <w:tcPr>
            <w:tcW w:w="9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2"/>
        </w:trPr>
        <w:tc>
          <w:tcPr>
            <w:tcW w:w="9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 NOTICE FOR STOCKHOLDER NOMINATIONS AND PROPOSALS FOR 2026 ANNUAL MEETING.</w:t>
            </w:r>
          </w:p>
        </w:tc>
        <w:tc>
          <w:tcPr>
            <w:tcW w:w="17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77"/>
              </w:rPr>
              <w:t>101</w:t>
            </w:r>
          </w:p>
        </w:tc>
        <w:tc>
          <w:tcPr>
            <w:tcW w:w="280" w:type="dxa"/>
            <w:vAlign w:val="bottom"/>
            <w:tcBorders>
              <w:left w:val="single" w:sz="8" w:color="CCEEFF"/>
              <w:bottom w:val="single" w:sz="8" w:color="CCEEFF"/>
            </w:tcBorders>
            <w:shd w:val="clear" w:color="auto" w:fill="CCEEFF"/>
          </w:tcPr>
          <w:p>
            <w:pPr>
              <w:spacing w:after="0"/>
              <w:rPr>
                <w:sz w:val="16"/>
                <w:szCs w:val="16"/>
                <w:color w:val="auto"/>
              </w:rPr>
            </w:pPr>
          </w:p>
        </w:tc>
      </w:tr>
      <w:tr>
        <w:trPr>
          <w:trHeight w:val="180"/>
        </w:trPr>
        <w:tc>
          <w:tcPr>
            <w:tcW w:w="918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133"/>
        </w:trPr>
        <w:tc>
          <w:tcPr>
            <w:tcW w:w="9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OTHER MATTERS</w:t>
            </w:r>
          </w:p>
        </w:tc>
        <w:tc>
          <w:tcPr>
            <w:tcW w:w="2120" w:type="dxa"/>
            <w:vAlign w:val="bottom"/>
            <w:gridSpan w:val="3"/>
            <w:shd w:val="clear" w:color="auto" w:fill="CCEEFF"/>
          </w:tcPr>
          <w:p>
            <w:pPr>
              <w:jc w:val="center"/>
              <w:ind w:left="1360"/>
              <w:spacing w:after="0" w:line="126" w:lineRule="exact"/>
              <w:rPr>
                <w:sz w:val="20"/>
                <w:szCs w:val="20"/>
                <w:color w:val="auto"/>
              </w:rPr>
            </w:pPr>
            <w:r>
              <w:rPr>
                <w:rFonts w:ascii="Times New Roman" w:cs="Times New Roman" w:eastAsia="Times New Roman" w:hAnsi="Times New Roman"/>
                <w:sz w:val="12"/>
                <w:szCs w:val="12"/>
                <w:color w:val="auto"/>
                <w:w w:val="99"/>
              </w:rPr>
              <w:t>101</w:t>
            </w:r>
          </w:p>
        </w:tc>
      </w:tr>
      <w:tr>
        <w:trPr>
          <w:trHeight w:val="180"/>
        </w:trPr>
        <w:tc>
          <w:tcPr>
            <w:tcW w:w="918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126"/>
        </w:trPr>
        <w:tc>
          <w:tcPr>
            <w:tcW w:w="91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ADDITIONAL INFORMATION</w:t>
            </w:r>
          </w:p>
        </w:tc>
        <w:tc>
          <w:tcPr>
            <w:tcW w:w="1720" w:type="dxa"/>
            <w:vAlign w:val="bottom"/>
            <w:tcBorders>
              <w:right w:val="single" w:sz="8" w:color="CCEEFF"/>
            </w:tcBorders>
            <w:shd w:val="clear" w:color="auto" w:fill="CCEEFF"/>
          </w:tcPr>
          <w:p>
            <w:pPr>
              <w:spacing w:after="0"/>
              <w:rPr>
                <w:sz w:val="10"/>
                <w:szCs w:val="10"/>
                <w:color w:val="auto"/>
              </w:rPr>
            </w:pPr>
          </w:p>
        </w:tc>
        <w:tc>
          <w:tcPr>
            <w:tcW w:w="400" w:type="dxa"/>
            <w:vAlign w:val="bottom"/>
            <w:gridSpan w:val="2"/>
            <w:shd w:val="clear" w:color="auto" w:fill="CCEEFF"/>
          </w:tcPr>
          <w:p>
            <w:pPr>
              <w:jc w:val="center"/>
              <w:ind w:right="260"/>
              <w:spacing w:after="0" w:line="126" w:lineRule="exact"/>
              <w:rPr>
                <w:sz w:val="20"/>
                <w:szCs w:val="20"/>
                <w:color w:val="auto"/>
              </w:rPr>
            </w:pPr>
            <w:r>
              <w:rPr>
                <w:rFonts w:ascii="Times New Roman" w:cs="Times New Roman" w:eastAsia="Times New Roman" w:hAnsi="Times New Roman"/>
                <w:sz w:val="12"/>
                <w:szCs w:val="12"/>
                <w:color w:val="auto"/>
                <w:w w:val="77"/>
              </w:rPr>
              <w:t>102</w:t>
            </w:r>
          </w:p>
        </w:tc>
      </w:tr>
      <w:tr>
        <w:trPr>
          <w:trHeight w:val="27"/>
        </w:trPr>
        <w:tc>
          <w:tcPr>
            <w:tcW w:w="9180" w:type="dxa"/>
            <w:vAlign w:val="bottom"/>
            <w:shd w:val="clear" w:color="auto" w:fill="CCEEFF"/>
          </w:tcPr>
          <w:p>
            <w:pPr>
              <w:spacing w:after="0"/>
              <w:rPr>
                <w:sz w:val="2"/>
                <w:szCs w:val="2"/>
                <w:color w:val="auto"/>
              </w:rPr>
            </w:pPr>
          </w:p>
        </w:tc>
        <w:tc>
          <w:tcPr>
            <w:tcW w:w="17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Borders>
              <w:left w:val="single" w:sz="8" w:color="auto"/>
            </w:tcBorders>
            <w:shd w:val="clear" w:color="auto" w:fill="CCEEFF"/>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ANNEX A AMENDED AND RESTATED CERTIFICATE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ANNEX B AMENDED AND RESTATED BYLAWS</w:t>
      </w:r>
    </w:p>
    <w:p>
      <w:pPr>
        <w:spacing w:after="0"/>
        <w:rPr>
          <w:sz w:val="20"/>
          <w:szCs w:val="20"/>
          <w:color w:val="auto"/>
        </w:rPr>
      </w:pPr>
      <w:r>
        <w:rPr>
          <w:rFonts w:ascii="Times New Roman" w:cs="Times New Roman" w:eastAsia="Times New Roman" w:hAnsi="Times New Roman"/>
          <w:sz w:val="14"/>
          <w:szCs w:val="14"/>
          <w:color w:val="auto"/>
        </w:rPr>
        <w:t>ANNEX C AMENDED AND RESTATED INCENTIVE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ANNEX D CERTIFICATE OF DESIGNATIONS OF SERIES A CONVERTIBLE PREFERRED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ANNEX E REGISTRATION RIGHTS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ANNEX F PRO FORMA FINANCIAL INFORMATION REQUIRED UNDER REGULATION S-X, ARTICLE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434975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78"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jc w:val="center"/>
        <w:spacing w:after="0" w:line="187" w:lineRule="auto"/>
        <w:rPr>
          <w:sz w:val="20"/>
          <w:szCs w:val="20"/>
          <w:color w:val="auto"/>
        </w:rPr>
      </w:pPr>
      <w:r>
        <w:rPr>
          <w:rFonts w:ascii="Times New Roman" w:cs="Times New Roman" w:eastAsia="Times New Roman" w:hAnsi="Times New Roman"/>
          <w:sz w:val="11"/>
          <w:szCs w:val="11"/>
          <w:b w:val="1"/>
          <w:bCs w:val="1"/>
          <w:color w:val="auto"/>
        </w:rPr>
        <w:t>111 W. 19</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Street, 8</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Floor</w:t>
      </w:r>
    </w:p>
    <w:p>
      <w:pPr>
        <w:jc w:val="center"/>
        <w:spacing w:after="0" w:line="204" w:lineRule="auto"/>
        <w:rPr>
          <w:sz w:val="20"/>
          <w:szCs w:val="20"/>
          <w:color w:val="auto"/>
        </w:rPr>
      </w:pPr>
      <w:r>
        <w:rPr>
          <w:rFonts w:ascii="Times New Roman" w:cs="Times New Roman" w:eastAsia="Times New Roman" w:hAnsi="Times New Roman"/>
          <w:sz w:val="12"/>
          <w:szCs w:val="12"/>
          <w:b w:val="1"/>
          <w:bCs w:val="1"/>
          <w:color w:val="auto"/>
        </w:rPr>
        <w:t>New York, New York 10011</w:t>
      </w:r>
    </w:p>
    <w:p>
      <w:pPr>
        <w:jc w:val="center"/>
        <w:spacing w:after="0" w:line="203" w:lineRule="auto"/>
        <w:rPr>
          <w:sz w:val="20"/>
          <w:szCs w:val="20"/>
          <w:color w:val="auto"/>
        </w:rPr>
      </w:pPr>
      <w:r>
        <w:rPr>
          <w:rFonts w:ascii="Times New Roman" w:cs="Times New Roman" w:eastAsia="Times New Roman" w:hAnsi="Times New Roman"/>
          <w:sz w:val="12"/>
          <w:szCs w:val="12"/>
          <w:b w:val="1"/>
          <w:bCs w:val="1"/>
          <w:color w:val="auto"/>
        </w:rPr>
        <w:t>PROXY STATEMENT</w:t>
      </w:r>
    </w:p>
    <w:p>
      <w:pPr>
        <w:jc w:val="center"/>
        <w:spacing w:after="0" w:line="220" w:lineRule="auto"/>
        <w:rPr>
          <w:sz w:val="20"/>
          <w:szCs w:val="20"/>
          <w:color w:val="auto"/>
        </w:rPr>
      </w:pPr>
      <w:r>
        <w:rPr>
          <w:rFonts w:ascii="Times New Roman" w:cs="Times New Roman" w:eastAsia="Times New Roman" w:hAnsi="Times New Roman"/>
          <w:sz w:val="12"/>
          <w:szCs w:val="12"/>
          <w:b w:val="1"/>
          <w:bCs w:val="1"/>
          <w:color w:val="auto"/>
        </w:rPr>
        <w:t>For the 2026 Annual Meeting of Stockholders to Be Held on</w:t>
      </w:r>
    </w:p>
    <w:p>
      <w:pPr>
        <w:jc w:val="center"/>
        <w:spacing w:after="0"/>
        <w:rPr>
          <w:sz w:val="20"/>
          <w:szCs w:val="20"/>
          <w:color w:val="auto"/>
        </w:rPr>
      </w:pPr>
      <w:r>
        <w:rPr>
          <w:rFonts w:ascii="Times New Roman" w:cs="Times New Roman" w:eastAsia="Times New Roman" w:hAnsi="Times New Roman"/>
          <w:sz w:val="12"/>
          <w:szCs w:val="12"/>
          <w:b w:val="1"/>
          <w:bCs w:val="1"/>
          <w:color w:val="auto"/>
        </w:rPr>
        <w:t>June 17, 2026</w:t>
      </w:r>
    </w:p>
    <w:p>
      <w:pPr>
        <w:spacing w:after="0" w:line="282" w:lineRule="exact"/>
        <w:rPr>
          <w:sz w:val="20"/>
          <w:szCs w:val="20"/>
          <w:color w:val="auto"/>
        </w:rPr>
      </w:pPr>
    </w:p>
    <w:p>
      <w:pPr>
        <w:ind w:right="20" w:firstLine="216"/>
        <w:spacing w:after="0" w:line="242" w:lineRule="auto"/>
        <w:rPr>
          <w:sz w:val="20"/>
          <w:szCs w:val="20"/>
          <w:color w:val="auto"/>
        </w:rPr>
      </w:pPr>
      <w:r>
        <w:rPr>
          <w:rFonts w:ascii="Times New Roman" w:cs="Times New Roman" w:eastAsia="Times New Roman" w:hAnsi="Times New Roman"/>
          <w:sz w:val="12"/>
          <w:szCs w:val="12"/>
          <w:color w:val="auto"/>
        </w:rPr>
        <w:t>This Proxy Statement and the accompanying proxy card and notice of annual meeting are provided in connection with the solicitation of proxies by and on behalf of the board of directors of New Fortress Energy Inc. (the “Board of Directors” or "Board"), a Delaware corporation, for use at the Annual Meeting to be held on June 17, 2026 and any adjournments or postponements thereof. “We,” “our,” “us,” “the Company” and “NFE” each refers to New Fortress Energy Inc. The mailing address of our executive office is 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New York, New York 10011. Our proxy materials, including this Proxy Statement, the accompanying proxy card and the notice of annual meeting, or the Notice of Internet Availability of Proxy Materials (the “Internet Notice”), if applicable, are first being mailed to holders of Class A common stock, $0.01 par value per share, of the Company (“Common Stock”), on or about , 2026.</w:t>
      </w:r>
    </w:p>
    <w:p>
      <w:pPr>
        <w:spacing w:after="0" w:line="13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the date hereof, management has no knowledge of any business that will be presented for consideration at the Annual Meeting and which would be required to be set forth in this Proxy Statement or the related proxy materials other than the matters set forth in the Notice of Annual Meeting of Stockholders. If any other matter is properly presented at the Annual Meeting for consideration, it is intended that the persons named in the enclosed form of proxy and acting thereunder will vote in accordance with their best judgment on such matter.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Matters to be considered at the Annual Meeting</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At the Annual Meeting, the stockholders of the Company will vote upon:</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elect two Class I directors to serve until the 2029 annual meeting of stockholders and until their successors are duly elected or appointed and qualified (the "Directors Proposal");</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approve the appointment of Ernst &amp; Young LLP as independent registered public accounting firm for the Company for fiscal year 2026 (the "Auditor Approval Proposal");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auto"/>
        </w:rPr>
        <w:t>(iii)</w:t>
      </w:r>
    </w:p>
    <w:p>
      <w:pPr>
        <w:spacing w:after="0" w:line="17" w:lineRule="exact"/>
        <w:rPr>
          <w:sz w:val="20"/>
          <w:szCs w:val="20"/>
          <w:color w:val="auto"/>
        </w:rPr>
      </w:pPr>
    </w:p>
    <w:p>
      <w:pPr>
        <w:ind w:left="620" w:right="80"/>
        <w:spacing w:after="0" w:line="276" w:lineRule="auto"/>
        <w:rPr>
          <w:sz w:val="20"/>
          <w:szCs w:val="20"/>
          <w:color w:val="auto"/>
        </w:rPr>
      </w:pPr>
      <w:r>
        <w:rPr>
          <w:rFonts w:ascii="Times New Roman" w:cs="Times New Roman" w:eastAsia="Times New Roman" w:hAnsi="Times New Roman"/>
          <w:sz w:val="12"/>
          <w:szCs w:val="12"/>
          <w:color w:val="auto"/>
        </w:rPr>
        <w:t>a proposal to approve and adopt, effective as of the closing of the Restructuring Transaction, an amendment and restatement to the Company’s Certificate of Incorporation (the “Certificate of Incorporation”), in the form attached to this Proxy Statement as Annex A (the “Amended Certificate of Incorporation”), for the following amendments (collectively, the “Charter Amendment Proposal”):</w:t>
      </w:r>
    </w:p>
    <w:p>
      <w:pPr>
        <w:spacing w:after="0" w:line="111" w:lineRule="exact"/>
        <w:rPr>
          <w:sz w:val="20"/>
          <w:szCs w:val="20"/>
          <w:color w:val="auto"/>
        </w:rPr>
      </w:pPr>
    </w:p>
    <w:p>
      <w:pPr>
        <w:ind w:left="840" w:hanging="215"/>
        <w:spacing w:after="0"/>
        <w:tabs>
          <w:tab w:leader="none" w:pos="8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Board Declassification </w:t>
      </w:r>
      <w:r>
        <w:rPr>
          <w:rFonts w:ascii="Times New Roman" w:cs="Times New Roman" w:eastAsia="Times New Roman" w:hAnsi="Times New Roman"/>
          <w:sz w:val="12"/>
          <w:szCs w:val="12"/>
          <w:color w:val="auto"/>
        </w:rPr>
        <w:t>– to amend certain provisions of the Certificate of Incorporation to remove the existing staggered board (Proposal 3A);</w:t>
      </w:r>
    </w:p>
    <w:p>
      <w:pPr>
        <w:spacing w:after="0" w:line="168" w:lineRule="exact"/>
        <w:rPr>
          <w:rFonts w:ascii="Times New Roman" w:cs="Times New Roman" w:eastAsia="Times New Roman" w:hAnsi="Times New Roman"/>
          <w:sz w:val="12"/>
          <w:szCs w:val="12"/>
          <w:color w:val="auto"/>
        </w:rPr>
      </w:pPr>
    </w:p>
    <w:p>
      <w:pPr>
        <w:ind w:left="620" w:firstLine="5"/>
        <w:spacing w:after="0" w:line="283" w:lineRule="auto"/>
        <w:tabs>
          <w:tab w:leader="none" w:pos="8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Majority Voting for Directors </w:t>
      </w:r>
      <w:r>
        <w:rPr>
          <w:rFonts w:ascii="Times New Roman" w:cs="Times New Roman" w:eastAsia="Times New Roman" w:hAnsi="Times New Roman"/>
          <w:sz w:val="12"/>
          <w:szCs w:val="12"/>
          <w:color w:val="auto"/>
        </w:rPr>
        <w:t>– to amend the Certificate of Incorporation to provide for the election of directors by a majority of the total votes that may be cast in the election of directors by holders of all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issued and outstanding shares of the Company entitled to vote (Proposal 3B);</w:t>
      </w:r>
    </w:p>
    <w:p>
      <w:pPr>
        <w:spacing w:after="0" w:line="124" w:lineRule="exact"/>
        <w:rPr>
          <w:rFonts w:ascii="Times New Roman" w:cs="Times New Roman" w:eastAsia="Times New Roman" w:hAnsi="Times New Roman"/>
          <w:sz w:val="12"/>
          <w:szCs w:val="12"/>
          <w:color w:val="auto"/>
        </w:rPr>
      </w:pPr>
    </w:p>
    <w:p>
      <w:pPr>
        <w:ind w:left="840" w:hanging="215"/>
        <w:spacing w:after="0"/>
        <w:tabs>
          <w:tab w:leader="none" w:pos="8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Minimum Board Size </w:t>
      </w:r>
      <w:r>
        <w:rPr>
          <w:rFonts w:ascii="Times New Roman" w:cs="Times New Roman" w:eastAsia="Times New Roman" w:hAnsi="Times New Roman"/>
          <w:sz w:val="12"/>
          <w:szCs w:val="12"/>
          <w:color w:val="auto"/>
        </w:rPr>
        <w:t>– to amend the Certificate of Incorporation to increase the minimum size of the Board from one director to three directors (Proposal 3C);</w:t>
      </w:r>
    </w:p>
    <w:p>
      <w:pPr>
        <w:spacing w:after="0" w:line="168" w:lineRule="exact"/>
        <w:rPr>
          <w:rFonts w:ascii="Times New Roman" w:cs="Times New Roman" w:eastAsia="Times New Roman" w:hAnsi="Times New Roman"/>
          <w:sz w:val="12"/>
          <w:szCs w:val="12"/>
          <w:color w:val="auto"/>
        </w:rPr>
      </w:pPr>
    </w:p>
    <w:p>
      <w:pPr>
        <w:ind w:left="620" w:right="60" w:firstLine="5"/>
        <w:spacing w:after="0" w:line="261" w:lineRule="auto"/>
        <w:tabs>
          <w:tab w:leader="none" w:pos="8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Entitlement to Vote on Certain Matters </w:t>
      </w:r>
      <w:r>
        <w:rPr>
          <w:rFonts w:ascii="Times New Roman" w:cs="Times New Roman" w:eastAsia="Times New Roman" w:hAnsi="Times New Roman"/>
          <w:sz w:val="12"/>
          <w:szCs w:val="12"/>
          <w:color w:val="auto"/>
        </w:rPr>
        <w:t>– to amend the Certificate of Incorporation to provide that holders of shares of Class A common stock will not be entitled to vote on any amendment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of Incorporation (including the Certificate of Designations and any other applicable designation of capital stock)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Certificate of Incorporation (including the Certificate of Designations and any other applicable designation of capital stock) or pursuant to the DGCL (Proposal 3D);</w:t>
      </w:r>
    </w:p>
    <w:p>
      <w:pPr>
        <w:spacing w:after="0" w:line="137" w:lineRule="exact"/>
        <w:rPr>
          <w:rFonts w:ascii="Times New Roman" w:cs="Times New Roman" w:eastAsia="Times New Roman" w:hAnsi="Times New Roman"/>
          <w:sz w:val="12"/>
          <w:szCs w:val="12"/>
          <w:color w:val="auto"/>
        </w:rPr>
      </w:pPr>
    </w:p>
    <w:p>
      <w:pPr>
        <w:ind w:left="620" w:firstLine="5"/>
        <w:spacing w:after="0" w:line="283" w:lineRule="auto"/>
        <w:tabs>
          <w:tab w:leader="none" w:pos="83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Officer Exculpation </w:t>
      </w:r>
      <w:r>
        <w:rPr>
          <w:rFonts w:ascii="Times New Roman" w:cs="Times New Roman" w:eastAsia="Times New Roman" w:hAnsi="Times New Roman"/>
          <w:sz w:val="12"/>
          <w:szCs w:val="12"/>
          <w:color w:val="auto"/>
        </w:rPr>
        <w:t>– to amend the Certificate of Incorporation to provide for exculpation of certain of the Company’s officers from liability to the extent permitted by Delaware law, substantially aligning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protections for the Company’s officers with those currently afforded to the Company’s directors (Proposal 3E);</w:t>
      </w:r>
    </w:p>
    <w:p>
      <w:pPr>
        <w:spacing w:after="0" w:line="124" w:lineRule="exact"/>
        <w:rPr>
          <w:rFonts w:ascii="Times New Roman" w:cs="Times New Roman" w:eastAsia="Times New Roman" w:hAnsi="Times New Roman"/>
          <w:sz w:val="12"/>
          <w:szCs w:val="12"/>
          <w:color w:val="auto"/>
        </w:rPr>
      </w:pPr>
    </w:p>
    <w:p>
      <w:pPr>
        <w:ind w:left="620" w:right="240" w:firstLine="5"/>
        <w:spacing w:after="0" w:line="283" w:lineRule="auto"/>
        <w:tabs>
          <w:tab w:leader="none" w:pos="8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Removal of References to the Company’s Class B Shares </w:t>
      </w:r>
      <w:r>
        <w:rPr>
          <w:rFonts w:ascii="Times New Roman" w:cs="Times New Roman" w:eastAsia="Times New Roman" w:hAnsi="Times New Roman"/>
          <w:sz w:val="12"/>
          <w:szCs w:val="12"/>
          <w:color w:val="auto"/>
        </w:rPr>
        <w:t>– to amend the Certificate of Incorporation to remove any and all references to shares of the Company’s Class B common stock, including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associated with such stock (Proposal 3F);</w:t>
      </w:r>
    </w:p>
    <w:p>
      <w:pPr>
        <w:spacing w:after="0" w:line="124" w:lineRule="exact"/>
        <w:rPr>
          <w:rFonts w:ascii="Times New Roman" w:cs="Times New Roman" w:eastAsia="Times New Roman" w:hAnsi="Times New Roman"/>
          <w:sz w:val="12"/>
          <w:szCs w:val="12"/>
          <w:color w:val="auto"/>
        </w:rPr>
      </w:pPr>
    </w:p>
    <w:p>
      <w:pPr>
        <w:ind w:left="620" w:right="40" w:firstLine="5"/>
        <w:spacing w:after="0" w:line="283" w:lineRule="auto"/>
        <w:tabs>
          <w:tab w:leader="none" w:pos="8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Reverse Stock Split </w:t>
      </w:r>
      <w:r>
        <w:rPr>
          <w:rFonts w:ascii="Times New Roman" w:cs="Times New Roman" w:eastAsia="Times New Roman" w:hAnsi="Times New Roman"/>
          <w:sz w:val="12"/>
          <w:szCs w:val="12"/>
          <w:color w:val="auto"/>
        </w:rPr>
        <w:t>– to amend the Certificate of Incorporation to effect a reverse split of the Company’s issued and outstanding shares of Common Stock (the “Reverse Split”) at a reverse split ratio of 1-for-50 (Proposal 3G); and</w:t>
      </w:r>
    </w:p>
    <w:p>
      <w:pPr>
        <w:spacing w:after="0" w:line="124" w:lineRule="exact"/>
        <w:rPr>
          <w:rFonts w:ascii="Times New Roman" w:cs="Times New Roman" w:eastAsia="Times New Roman" w:hAnsi="Times New Roman"/>
          <w:sz w:val="12"/>
          <w:szCs w:val="12"/>
          <w:color w:val="auto"/>
        </w:rPr>
      </w:pPr>
    </w:p>
    <w:p>
      <w:pPr>
        <w:ind w:left="620" w:right="460" w:firstLine="5"/>
        <w:spacing w:after="0" w:line="266" w:lineRule="auto"/>
        <w:tabs>
          <w:tab w:leader="none" w:pos="8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Amendment and Restatement of the Certificate of Incorporation </w:t>
      </w:r>
      <w:r>
        <w:rPr>
          <w:rFonts w:ascii="Times New Roman" w:cs="Times New Roman" w:eastAsia="Times New Roman" w:hAnsi="Times New Roman"/>
          <w:sz w:val="12"/>
          <w:szCs w:val="12"/>
          <w:color w:val="auto"/>
        </w:rPr>
        <w:t>– conditioned upon the receipt of the requisite vote on Proposals 3A through 3G, to approve the proposed Amended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Incorporation, which includes the approval of all other changes in the Amended Certificate of Incorporation in connection with replacing the Certificate of Incorporation with the proposed Amended Certificate of Incorporation (Proposal 3H);</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(iv)</w:t>
      </w:r>
    </w:p>
    <w:p>
      <w:pPr>
        <w:spacing w:after="0" w:line="17" w:lineRule="exact"/>
        <w:rPr>
          <w:sz w:val="20"/>
          <w:szCs w:val="20"/>
          <w:color w:val="auto"/>
        </w:rPr>
      </w:pPr>
    </w:p>
    <w:p>
      <w:pPr>
        <w:ind w:left="620" w:right="40"/>
        <w:spacing w:after="0" w:line="276" w:lineRule="auto"/>
        <w:rPr>
          <w:sz w:val="20"/>
          <w:szCs w:val="20"/>
          <w:color w:val="auto"/>
        </w:rPr>
      </w:pPr>
      <w:r>
        <w:rPr>
          <w:rFonts w:ascii="Times New Roman" w:cs="Times New Roman" w:eastAsia="Times New Roman" w:hAnsi="Times New Roman"/>
          <w:sz w:val="12"/>
          <w:szCs w:val="12"/>
          <w:color w:val="auto"/>
        </w:rPr>
        <w:t>a proposal to approve, for purposes of complying with Nasdaq Listing Rule 5635(d), and for all other relevant purposes, the potential issuance of shares of Common Stock in excess of 20% of our outstanding Common Stock (the “Stock Issuance Proposal”);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w:t>
      </w:r>
    </w:p>
    <w:p>
      <w:pPr>
        <w:spacing w:after="0" w:line="17" w:lineRule="exact"/>
        <w:rPr>
          <w:sz w:val="20"/>
          <w:szCs w:val="20"/>
          <w:color w:val="auto"/>
        </w:rPr>
      </w:pPr>
    </w:p>
    <w:p>
      <w:pPr>
        <w:ind w:left="620" w:right="100"/>
        <w:spacing w:after="0" w:line="263" w:lineRule="auto"/>
        <w:rPr>
          <w:sz w:val="20"/>
          <w:szCs w:val="20"/>
          <w:color w:val="auto"/>
        </w:rPr>
      </w:pPr>
      <w:r>
        <w:rPr>
          <w:rFonts w:ascii="Times New Roman" w:cs="Times New Roman" w:eastAsia="Times New Roman" w:hAnsi="Times New Roman"/>
          <w:sz w:val="12"/>
          <w:szCs w:val="12"/>
          <w:color w:val="auto"/>
        </w:rPr>
        <w:t>a proposal to approve an amendment and restatement of the Company’s 2019 Omnibus Incentive Plan (as amended and restated as of August 7, 2020, the “Incentive Plan”), in the form attached to this Proxy Statement as Annex C (the “Amended and Restated Incentive Plan”) (the “Incentive Plan Proposal” and, collectively with the Charter Amendment Proposal and the Stock Issuance Proposal, the “Restructuring Transaction Proposals”);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w:t>
      </w:r>
    </w:p>
    <w:p>
      <w:pPr>
        <w:spacing w:after="0" w:line="17" w:lineRule="exact"/>
        <w:rPr>
          <w:sz w:val="20"/>
          <w:szCs w:val="20"/>
          <w:color w:val="auto"/>
        </w:rPr>
      </w:pPr>
    </w:p>
    <w:p>
      <w:pPr>
        <w:jc w:val="both"/>
        <w:ind w:left="620" w:right="80"/>
        <w:spacing w:after="0" w:line="263" w:lineRule="auto"/>
        <w:rPr>
          <w:sz w:val="20"/>
          <w:szCs w:val="20"/>
          <w:color w:val="auto"/>
        </w:rPr>
      </w:pPr>
      <w:r>
        <w:rPr>
          <w:rFonts w:ascii="Times New Roman" w:cs="Times New Roman" w:eastAsia="Times New Roman" w:hAnsi="Times New Roman"/>
          <w:sz w:val="12"/>
          <w:szCs w:val="12"/>
          <w:color w:val="auto"/>
        </w:rPr>
        <w:t>a proposal to adjourn the Annual Meeting to a later date or dates, if necessary or appropriate, to permit further solicitation and vote of proxies if there are insufficient votes to approve any of the Proposals (as defined below) at the time of the Annual Meeting (the “Adjournment Proposal” and, collectively with the Directors Proposal, the Auditor Approval Proposal and the Restructuring Transaction Proposals, the “Proposals”); and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(vii)</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any other business properly 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39370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20"/>
          </w:cols>
          <w:pgMar w:left="540" w:top="732" w:right="7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GENERAL INFORMATION ABOUT VOTING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Solicitation of Proxies</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enclosed proxy is solicited by and on behalf of our Board of Directors. The expense of preparing, printing and mailing this Proxy Statement and the proxies solicited hereby will be borne by the Company. In addition to the use of the mail, proxies may be solicited by officers and directors, without additional remuneration, by personal interview, telephone or otherwise. The Company will also request brokerage firms, nominees, custodians and fiduciaries to forward proxy materials to the beneficial owners of Common Stock held of record as of the close of business on , 2026, and will provide reimbursement for the cost of forwarding the materials.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Stockholders Entitled to Vote</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As of April 30, 2026, there were 285,634,650 shares of Common Stock outstanding and entitled to vote. Each share of Common Stock entitles the holder to one vote. Stockholders of record at the close of business on , 2026 are entitled to vote at the Annual Meeting and any adjournment or postponement thereof.</w:t>
      </w:r>
    </w:p>
    <w:p>
      <w:pPr>
        <w:spacing w:after="0" w:line="109" w:lineRule="exact"/>
        <w:rPr>
          <w:sz w:val="20"/>
          <w:szCs w:val="20"/>
          <w:color w:val="auto"/>
        </w:rPr>
      </w:pPr>
    </w:p>
    <w:p>
      <w:pPr>
        <w:ind w:right="26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your shares are registered directly in your name with the Company’s transfer agent, Equiniti Trust Company LLC, you are considered the stockholder of record with respect to those shares, and these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proxy materials were sent directly to you by the Company.</w:t>
      </w:r>
    </w:p>
    <w:p>
      <w:pPr>
        <w:spacing w:after="0" w:line="107" w:lineRule="exact"/>
        <w:rPr>
          <w:sz w:val="20"/>
          <w:szCs w:val="20"/>
          <w:color w:val="auto"/>
        </w:rPr>
      </w:pPr>
    </w:p>
    <w:p>
      <w:pPr>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Street Name Holders. </w:t>
      </w:r>
      <w:r>
        <w:rPr>
          <w:rFonts w:ascii="Times New Roman" w:cs="Times New Roman" w:eastAsia="Times New Roman" w:hAnsi="Times New Roman"/>
          <w:sz w:val="12"/>
          <w:szCs w:val="12"/>
          <w:color w:val="auto"/>
        </w:rPr>
        <w:t>If your shares are held in an account at a brokerage firm, bank, broker-dealer or other similar organization, then you are the beneficial owner of shares held in “street name,” and these proxy materials will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have been forwarded to you by your bank or broker. The bank or broker holding your account is considered the stockholder of record for purposes of voting at the Annual Meeting. As a beneficial owner, you have the right to instruct your bank or broker on how to vote the shares held in your account. If you wish to attend the Annual Meeting, you will need to obtain a “legal proxy” from your bank or broker.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54" w:lineRule="exact"/>
        <w:rPr>
          <w:sz w:val="20"/>
          <w:szCs w:val="20"/>
          <w:color w:val="auto"/>
        </w:rPr>
      </w:pPr>
    </w:p>
    <w:p>
      <w:pPr>
        <w:ind w:right="40" w:firstLine="240"/>
        <w:spacing w:after="0" w:line="265" w:lineRule="auto"/>
        <w:rPr>
          <w:sz w:val="20"/>
          <w:szCs w:val="20"/>
          <w:color w:val="auto"/>
        </w:rPr>
      </w:pPr>
      <w:r>
        <w:rPr>
          <w:rFonts w:ascii="Times New Roman" w:cs="Times New Roman" w:eastAsia="Times New Roman" w:hAnsi="Times New Roman"/>
          <w:sz w:val="12"/>
          <w:szCs w:val="12"/>
          <w:color w:val="auto"/>
        </w:rPr>
        <w:t>A quorum will be present if the holders of a majority of the outstanding shares of Common Stock entitled to vote are present, in person or by proxy, at the Annual Meeting. If you have returned a valid proxy or if you hold your shares in your own name as holder of record and attend the Annual Meeting in person, your shares will be counted as present for the purpose of determining whether there is a quorum. Abstentions and broker “non-votes” (as described below) will be treated as shares that are present and entitled to vote for purposes of determining the presence of a quorum.</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a quorum is not present, the Annual Meeting may be adjourned by the chairman of the meeting or by the vote of a majority of the shares represented at the Annual Meeting until a quorum has been obtained.</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summarizes the board recommendation, voting standard, treatment of abstentions and expected treatment of broker non-votes relating to the Proposals.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9" w:name="page10"/>
    <w:bookmarkEnd w:id="9"/>
    <w:p>
      <w:pPr>
        <w:ind w:left="240"/>
        <w:spacing w:after="0"/>
        <w:tabs>
          <w:tab w:leader="none" w:pos="3020" w:val="left"/>
          <w:tab w:leader="none" w:pos="5440" w:val="left"/>
          <w:tab w:leader="none" w:pos="7360" w:val="left"/>
          <w:tab w:leader="none" w:pos="8940" w:val="left"/>
        </w:tabs>
        <w:rPr>
          <w:sz w:val="20"/>
          <w:szCs w:val="20"/>
          <w:color w:val="auto"/>
        </w:rPr>
      </w:pPr>
      <w:r>
        <w:rPr>
          <w:rFonts w:ascii="Times New Roman" w:cs="Times New Roman" w:eastAsia="Times New Roman" w:hAnsi="Times New Roman"/>
          <w:sz w:val="10"/>
          <w:szCs w:val="10"/>
          <w:b w:val="1"/>
          <w:bCs w:val="1"/>
          <w:color w:val="auto"/>
        </w:rPr>
        <w:t>Voting Item</w:t>
      </w:r>
      <w:r>
        <w:rPr>
          <w:sz w:val="20"/>
          <w:szCs w:val="20"/>
          <w:color w:val="auto"/>
        </w:rPr>
        <w:tab/>
      </w:r>
      <w:r>
        <w:rPr>
          <w:rFonts w:ascii="Times New Roman" w:cs="Times New Roman" w:eastAsia="Times New Roman" w:hAnsi="Times New Roman"/>
          <w:sz w:val="10"/>
          <w:szCs w:val="10"/>
          <w:b w:val="1"/>
          <w:bCs w:val="1"/>
          <w:color w:val="auto"/>
        </w:rPr>
        <w:t>Board Recommendation</w:t>
      </w:r>
      <w:r>
        <w:rPr>
          <w:sz w:val="20"/>
          <w:szCs w:val="20"/>
          <w:color w:val="auto"/>
        </w:rPr>
        <w:tab/>
      </w:r>
      <w:r>
        <w:rPr>
          <w:rFonts w:ascii="Times New Roman" w:cs="Times New Roman" w:eastAsia="Times New Roman" w:hAnsi="Times New Roman"/>
          <w:sz w:val="10"/>
          <w:szCs w:val="10"/>
          <w:b w:val="1"/>
          <w:bCs w:val="1"/>
          <w:color w:val="auto"/>
        </w:rPr>
        <w:t>Voting Standard</w:t>
      </w:r>
      <w:r>
        <w:rPr>
          <w:sz w:val="20"/>
          <w:szCs w:val="20"/>
          <w:color w:val="auto"/>
        </w:rPr>
        <w:tab/>
      </w:r>
      <w:r>
        <w:rPr>
          <w:rFonts w:ascii="Times New Roman" w:cs="Times New Roman" w:eastAsia="Times New Roman" w:hAnsi="Times New Roman"/>
          <w:sz w:val="10"/>
          <w:szCs w:val="10"/>
          <w:b w:val="1"/>
          <w:bCs w:val="1"/>
          <w:color w:val="auto"/>
        </w:rPr>
        <w:t>Treatment of Abstentions</w:t>
      </w:r>
      <w:r>
        <w:rPr>
          <w:sz w:val="20"/>
          <w:szCs w:val="20"/>
          <w:color w:val="auto"/>
        </w:rPr>
        <w:tab/>
      </w:r>
      <w:r>
        <w:rPr>
          <w:rFonts w:ascii="Times New Roman" w:cs="Times New Roman" w:eastAsia="Times New Roman" w:hAnsi="Times New Roman"/>
          <w:sz w:val="8"/>
          <w:szCs w:val="8"/>
          <w:b w:val="1"/>
          <w:bCs w:val="1"/>
          <w:color w:val="auto"/>
        </w:rPr>
        <w:t>Expected Treatment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17145</wp:posOffset>
            </wp:positionV>
            <wp:extent cx="6903720" cy="182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3720" cy="182880"/>
                    </a:xfrm>
                    <a:prstGeom prst="rect">
                      <a:avLst/>
                    </a:prstGeom>
                    <a:noFill/>
                  </pic:spPr>
                </pic:pic>
              </a:graphicData>
            </a:graphic>
          </wp:anchor>
        </w:drawing>
      </w:r>
    </w:p>
    <w:p>
      <w:pPr>
        <w:sectPr>
          <w:pgSz w:w="11900" w:h="16838" w:orient="portrait"/>
          <w:cols w:equalWidth="0" w:num="1">
            <w:col w:w="11180"/>
          </w:cols>
          <w:pgMar w:left="300" w:top="582" w:right="419" w:bottom="1440" w:gutter="0" w:footer="0" w:header="0"/>
        </w:sectPr>
      </w:pPr>
    </w:p>
    <w:p>
      <w:pPr>
        <w:spacing w:after="0" w:line="157" w:lineRule="exact"/>
        <w:rPr>
          <w:sz w:val="20"/>
          <w:szCs w:val="20"/>
          <w:color w:val="auto"/>
        </w:rPr>
      </w:pPr>
    </w:p>
    <w:p>
      <w:pPr>
        <w:ind w:left="240"/>
        <w:spacing w:after="0"/>
        <w:tabs>
          <w:tab w:leader="none" w:pos="3400" w:val="left"/>
        </w:tabs>
        <w:rPr>
          <w:sz w:val="20"/>
          <w:szCs w:val="20"/>
          <w:color w:val="auto"/>
        </w:rPr>
      </w:pPr>
      <w:r>
        <w:rPr>
          <w:rFonts w:ascii="Times New Roman" w:cs="Times New Roman" w:eastAsia="Times New Roman" w:hAnsi="Times New Roman"/>
          <w:sz w:val="12"/>
          <w:szCs w:val="12"/>
          <w:color w:val="auto"/>
        </w:rPr>
        <w:t>Proposal 1- Directors Proposal</w:t>
      </w:r>
      <w:r>
        <w:rPr>
          <w:sz w:val="20"/>
          <w:szCs w:val="20"/>
          <w:color w:val="auto"/>
        </w:rPr>
        <w:tab/>
      </w:r>
      <w:r>
        <w:rPr>
          <w:rFonts w:ascii="Times New Roman" w:cs="Times New Roman" w:eastAsia="Times New Roman" w:hAnsi="Times New Roman"/>
          <w:sz w:val="12"/>
          <w:szCs w:val="12"/>
          <w:b w:val="1"/>
          <w:bCs w:val="1"/>
          <w:color w:val="auto"/>
        </w:rPr>
        <w:t>FOR</w:t>
      </w:r>
    </w:p>
    <w:p>
      <w:pPr>
        <w:spacing w:after="0" w:line="141" w:lineRule="exact"/>
        <w:rPr>
          <w:sz w:val="20"/>
          <w:szCs w:val="20"/>
          <w:color w:val="auto"/>
        </w:rPr>
      </w:pPr>
    </w:p>
    <w:p>
      <w:pPr>
        <w:ind w:left="240"/>
        <w:spacing w:after="0"/>
        <w:tabs>
          <w:tab w:leader="none" w:pos="3400" w:val="left"/>
        </w:tabs>
        <w:rPr>
          <w:sz w:val="20"/>
          <w:szCs w:val="20"/>
          <w:color w:val="auto"/>
        </w:rPr>
      </w:pPr>
      <w:r>
        <w:rPr>
          <w:rFonts w:ascii="Times New Roman" w:cs="Times New Roman" w:eastAsia="Times New Roman" w:hAnsi="Times New Roman"/>
          <w:sz w:val="12"/>
          <w:szCs w:val="12"/>
          <w:color w:val="auto"/>
        </w:rPr>
        <w:t>Proposal 2 - Auditor Approval Proposal</w:t>
      </w:r>
      <w:r>
        <w:rPr>
          <w:sz w:val="20"/>
          <w:szCs w:val="20"/>
          <w:color w:val="auto"/>
        </w:rPr>
        <w:tab/>
      </w:r>
      <w:r>
        <w:rPr>
          <w:rFonts w:ascii="Times New Roman" w:cs="Times New Roman" w:eastAsia="Times New Roman" w:hAnsi="Times New Roman"/>
          <w:sz w:val="12"/>
          <w:szCs w:val="12"/>
          <w:b w:val="1"/>
          <w:bCs w:val="1"/>
          <w:color w:val="auto"/>
        </w:rPr>
        <w:t>FOR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Plurality of the voting power of votes cast by holders of Common Stock</w:t>
      </w:r>
    </w:p>
    <w:p>
      <w:pPr>
        <w:spacing w:after="0" w:line="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Majority of the voting power of votes cast by holders of Common Stock</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14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8" w:lineRule="exact"/>
        <w:rPr>
          <w:sz w:val="20"/>
          <w:szCs w:val="20"/>
          <w:color w:val="auto"/>
        </w:rPr>
      </w:pPr>
    </w:p>
    <w:p>
      <w:pPr>
        <w:sectPr>
          <w:pgSz w:w="11900" w:h="16838" w:orient="portrait"/>
          <w:cols w:equalWidth="0" w:num="3">
            <w:col w:w="3680" w:space="620"/>
            <w:col w:w="2680" w:space="700"/>
            <w:col w:w="3500"/>
          </w:cols>
          <w:pgMar w:left="300" w:top="582" w:right="419" w:bottom="1440" w:gutter="0" w:footer="0" w:header="0"/>
          <w:type w:val="continuous"/>
        </w:sectPr>
      </w:pPr>
    </w:p>
    <w:tbl>
      <w:tblPr>
        <w:tblLayout w:type="fixed"/>
        <w:tblInd w:w="240" w:type="dxa"/>
        <w:tblCellMar>
          <w:top w:w="0" w:type="dxa"/>
          <w:left w:w="0" w:type="dxa"/>
          <w:bottom w:w="0" w:type="dxa"/>
          <w:right w:w="0" w:type="dxa"/>
        </w:tblCellMar>
      </w:tblPr>
      <w:tr>
        <w:trPr>
          <w:trHeight w:val="127"/>
        </w:trPr>
        <w:tc>
          <w:tcPr>
            <w:tcW w:w="26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80" w:type="dxa"/>
            <w:vAlign w:val="bottom"/>
            <w:shd w:val="clear" w:color="auto" w:fill="CCEEFF"/>
          </w:tcPr>
          <w:p>
            <w:pPr>
              <w:ind w:left="320"/>
              <w:spacing w:after="0" w:line="127" w:lineRule="exact"/>
              <w:rPr>
                <w:sz w:val="20"/>
                <w:szCs w:val="20"/>
                <w:color w:val="auto"/>
              </w:rPr>
            </w:pPr>
            <w:r>
              <w:rPr>
                <w:rFonts w:ascii="Times New Roman" w:cs="Times New Roman" w:eastAsia="Times New Roman" w:hAnsi="Times New Roman"/>
                <w:sz w:val="12"/>
                <w:szCs w:val="12"/>
                <w:color w:val="auto"/>
              </w:rPr>
              <w:t>Majority of the total votes that may be cast in the election of</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Same effect as a vote</w:t>
            </w:r>
          </w:p>
        </w:tc>
        <w:tc>
          <w:tcPr>
            <w:tcW w:w="2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b w:val="1"/>
                <w:bCs w:val="1"/>
                <w:color w:val="auto"/>
              </w:rPr>
              <w:t>FOR</w:t>
            </w:r>
          </w:p>
        </w:tc>
        <w:tc>
          <w:tcPr>
            <w:tcW w:w="3280" w:type="dxa"/>
            <w:vAlign w:val="bottom"/>
            <w:shd w:val="clear" w:color="auto" w:fill="CCEEFF"/>
          </w:tcPr>
          <w:p>
            <w:pPr>
              <w:ind w:left="320"/>
              <w:spacing w:after="0" w:line="117" w:lineRule="exact"/>
              <w:rPr>
                <w:sz w:val="20"/>
                <w:szCs w:val="20"/>
                <w:color w:val="auto"/>
              </w:rPr>
            </w:pPr>
            <w:r>
              <w:rPr>
                <w:rFonts w:ascii="Times New Roman" w:cs="Times New Roman" w:eastAsia="Times New Roman" w:hAnsi="Times New Roman"/>
                <w:sz w:val="12"/>
                <w:szCs w:val="12"/>
                <w:color w:val="auto"/>
              </w:rPr>
              <w:t>directors by holders of all issued and outstanding shares of</w:t>
            </w:r>
          </w:p>
        </w:tc>
        <w:tc>
          <w:tcPr>
            <w:tcW w:w="1340" w:type="dxa"/>
            <w:vAlign w:val="bottom"/>
            <w:vMerge w:val="continue"/>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Proposal 3 - Charter Amendment Proposal</w:t>
            </w:r>
          </w:p>
        </w:tc>
        <w:tc>
          <w:tcPr>
            <w:tcW w:w="1120" w:type="dxa"/>
            <w:vAlign w:val="bottom"/>
            <w:vMerge w:val="continue"/>
            <w:shd w:val="clear" w:color="auto" w:fill="CCEEFF"/>
          </w:tcPr>
          <w:p>
            <w:pPr>
              <w:spacing w:after="0"/>
              <w:rPr>
                <w:sz w:val="14"/>
                <w:szCs w:val="14"/>
                <w:color w:val="auto"/>
              </w:rPr>
            </w:pPr>
          </w:p>
        </w:tc>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Common Stock</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AGAINST the Proposal</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Same effect as a vote AGAINST the Proposal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00" w:top="582" w:right="419" w:bottom="1440" w:gutter="0" w:footer="0" w:header="0"/>
          <w:type w:val="continuous"/>
        </w:sectPr>
      </w:pPr>
    </w:p>
    <w:p>
      <w:pPr>
        <w:spacing w:after="0" w:line="119" w:lineRule="exact"/>
        <w:rPr>
          <w:sz w:val="20"/>
          <w:szCs w:val="20"/>
          <w:color w:val="auto"/>
        </w:rPr>
      </w:pPr>
    </w:p>
    <w:tbl>
      <w:tblPr>
        <w:tblLayout w:type="fixed"/>
        <w:tblInd w:w="240" w:type="dxa"/>
        <w:tblCellMar>
          <w:top w:w="0" w:type="dxa"/>
          <w:left w:w="0" w:type="dxa"/>
          <w:bottom w:w="0" w:type="dxa"/>
          <w:right w:w="0" w:type="dxa"/>
        </w:tblCellMar>
      </w:tblPr>
      <w:tr>
        <w:trPr>
          <w:trHeight w:val="159"/>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97"/>
              </w:rPr>
              <w:t>Proposal 4</w:t>
            </w:r>
          </w:p>
        </w:tc>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Stock Issuance Proposal</w:t>
            </w: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w w:val="94"/>
              </w:rPr>
              <w:t>FOR</w:t>
            </w:r>
          </w:p>
        </w:tc>
      </w:tr>
      <w:tr>
        <w:trPr>
          <w:trHeight w:val="279"/>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97"/>
              </w:rPr>
              <w:t>Proposal 5</w:t>
            </w:r>
          </w:p>
        </w:tc>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Incentive Plan Proposal</w:t>
            </w: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w w:val="94"/>
              </w:rPr>
              <w:t>FOR</w:t>
            </w:r>
          </w:p>
        </w:tc>
      </w:tr>
      <w:tr>
        <w:trPr>
          <w:trHeight w:val="279"/>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97"/>
              </w:rPr>
              <w:t>Proposal 6</w:t>
            </w:r>
          </w:p>
        </w:tc>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Adjournment Proposal</w:t>
            </w:r>
          </w:p>
        </w:tc>
        <w:tc>
          <w:tcPr>
            <w:tcW w:w="96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w w:val="94"/>
              </w:rPr>
              <w:t>FOR</w:t>
            </w:r>
          </w:p>
        </w:tc>
      </w:tr>
    </w:tbl>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Times New Roman" w:cs="Times New Roman" w:eastAsia="Times New Roman" w:hAnsi="Times New Roman"/>
          <w:sz w:val="12"/>
          <w:szCs w:val="12"/>
          <w:color w:val="auto"/>
        </w:rPr>
        <w:t>Majority of the voting power of votes cast by holders of Common Stock</w:t>
      </w:r>
    </w:p>
    <w:p>
      <w:pPr>
        <w:spacing w:after="0" w:line="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Majority of the voting power of votes cast by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-170180</wp:posOffset>
            </wp:positionV>
            <wp:extent cx="6903720" cy="177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3720" cy="177165"/>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12"/>
          <w:szCs w:val="12"/>
          <w:color w:val="auto"/>
        </w:rPr>
        <w:t>Majority of the voting power of votes cast by holders of Common Stock</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14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14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2"/>
          <w:szCs w:val="12"/>
          <w:color w:val="auto"/>
        </w:rPr>
        <w:t>No effect</w:t>
      </w:r>
      <w:r>
        <w:rPr>
          <w:sz w:val="20"/>
          <w:szCs w:val="20"/>
          <w:color w:val="auto"/>
        </w:rPr>
        <w:tab/>
      </w:r>
      <w:r>
        <w:rPr>
          <w:rFonts w:ascii="Times New Roman" w:cs="Times New Roman" w:eastAsia="Times New Roman" w:hAnsi="Times New Roman"/>
          <w:sz w:val="11"/>
          <w:szCs w:val="11"/>
          <w:color w:val="auto"/>
        </w:rPr>
        <w:t>No effect</w:t>
      </w:r>
    </w:p>
    <w:p>
      <w:pPr>
        <w:spacing w:after="0" w:line="212" w:lineRule="exact"/>
        <w:rPr>
          <w:sz w:val="20"/>
          <w:szCs w:val="20"/>
          <w:color w:val="auto"/>
        </w:rPr>
      </w:pPr>
    </w:p>
    <w:p>
      <w:pPr>
        <w:sectPr>
          <w:pgSz w:w="11900" w:h="16838" w:orient="portrait"/>
          <w:cols w:equalWidth="0" w:num="3">
            <w:col w:w="3680" w:space="620"/>
            <w:col w:w="2680" w:space="700"/>
            <w:col w:w="3500"/>
          </w:cols>
          <w:pgMar w:left="300" w:top="582" w:right="419" w:bottom="1440" w:gutter="0" w:footer="0" w:header="0"/>
          <w:type w:val="continuous"/>
        </w:sect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w:t>
      </w:r>
    </w:p>
    <w:p>
      <w:pPr>
        <w:spacing w:after="0" w:line="128"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 xml:space="preserve">If the enclosed proxy card is properly executed and returned to us in time to be voted at the Annual Meeting, it will be voted as specified on the proxy card unless it is properly revoked prior thereto. If no specification is made on the proxy card as to any one or more of the Proposals, the shares of Common Stock represented by the proxy will be voted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the Directors Proposal, the Auditor Approval Proposal and the Restructuring Transaction Proposals, and in the discretion of the proxy holder on the Adjournment Proposal.</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the date of this Proxy Statement, we are not aware of any other matters to be raised at the Annual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w:t>
      </w:r>
    </w:p>
    <w:p>
      <w:pPr>
        <w:spacing w:after="0" w:line="152" w:lineRule="exact"/>
        <w:rPr>
          <w:sz w:val="20"/>
          <w:szCs w:val="20"/>
          <w:color w:val="auto"/>
        </w:rPr>
      </w:pPr>
    </w:p>
    <w:p>
      <w:pPr>
        <w:ind w:right="6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 are a stockholder of record, you may instruct the proxies to vote your shares by telephone, by the Internet or by signing, dating and mailing the proxy card in the postage-paid envelope provided.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 you may vote your shares of Common Stock in person at the Annual Meeting.</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Street Name Holders</w:t>
      </w:r>
      <w:r>
        <w:rPr>
          <w:rFonts w:ascii="Times New Roman" w:cs="Times New Roman" w:eastAsia="Times New Roman" w:hAnsi="Times New Roman"/>
          <w:sz w:val="12"/>
          <w:szCs w:val="12"/>
          <w:color w:val="auto"/>
        </w:rPr>
        <w:t>. If you are a street name holder, you will receive instructions from your bank or broker that you must follow to be able to attend the Annual Meeting or to have your shares voted at the Annual Meeting.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Right to Revoke Proxy</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 are a stockholder of record, you may revoke your proxy instructions through any of the following methods:</w:t>
      </w:r>
    </w:p>
    <w:p>
      <w:pPr>
        <w:spacing w:after="0" w:line="184" w:lineRule="exact"/>
        <w:rPr>
          <w:sz w:val="20"/>
          <w:szCs w:val="20"/>
          <w:color w:val="auto"/>
        </w:rPr>
      </w:pPr>
    </w:p>
    <w:p>
      <w:pPr>
        <w:ind w:left="660" w:hanging="416"/>
        <w:spacing w:after="0"/>
        <w:tabs>
          <w:tab w:leader="none" w:pos="6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send written notice of revocation, prior to the Annual Meeting, to our Secretary, Mr. Kevin F. Sullivan, at New Fortress Energy Inc., 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New York, New York 10011;</w:t>
      </w:r>
    </w:p>
    <w:p>
      <w:pPr>
        <w:spacing w:after="0" w:line="34" w:lineRule="exact"/>
        <w:rPr>
          <w:rFonts w:ascii="Times New Roman" w:cs="Times New Roman" w:eastAsia="Times New Roman" w:hAnsi="Times New Roman"/>
          <w:sz w:val="24"/>
          <w:szCs w:val="24"/>
          <w:color w:val="auto"/>
          <w:vertAlign w:val="superscript"/>
        </w:rPr>
      </w:pPr>
    </w:p>
    <w:p>
      <w:pPr>
        <w:ind w:left="660" w:hanging="416"/>
        <w:spacing w:after="0"/>
        <w:tabs>
          <w:tab w:leader="none" w:pos="6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 date and mail a new proxy card to our Secretary;</w:t>
      </w:r>
    </w:p>
    <w:p>
      <w:pPr>
        <w:spacing w:after="0" w:line="86"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dial the number provided on the proxy card and vote again;</w:t>
      </w:r>
    </w:p>
    <w:p>
      <w:pPr>
        <w:spacing w:after="0" w:line="87"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 onto the website provided on the proxy card and vote again; or</w:t>
      </w:r>
    </w:p>
    <w:p>
      <w:pPr>
        <w:spacing w:after="0" w:line="96"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 the Annual Meeting and vote your shares in person.</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582" w:right="419" w:bottom="1440" w:gutter="0" w:footer="0" w:header="0"/>
          <w:type w:val="continuous"/>
        </w:sectPr>
      </w:pPr>
    </w:p>
    <w:bookmarkStart w:id="10" w:name="page11"/>
    <w:bookmarkEnd w:id="10"/>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Street Name Holders. </w:t>
      </w:r>
      <w:r>
        <w:rPr>
          <w:rFonts w:ascii="Times New Roman" w:cs="Times New Roman" w:eastAsia="Times New Roman" w:hAnsi="Times New Roman"/>
          <w:sz w:val="12"/>
          <w:szCs w:val="12"/>
          <w:color w:val="auto"/>
        </w:rPr>
        <w:t>If you are a street name holder, you must contact your bank or broker to receive instructions as to how you may revoke your proxy instructions.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Copies of Annual Report to Stockholders</w:t>
      </w:r>
    </w:p>
    <w:p>
      <w:pPr>
        <w:spacing w:after="0" w:line="154" w:lineRule="exact"/>
        <w:rPr>
          <w:sz w:val="20"/>
          <w:szCs w:val="20"/>
          <w:color w:val="auto"/>
        </w:rPr>
      </w:pPr>
    </w:p>
    <w:p>
      <w:pPr>
        <w:jc w:val="both"/>
        <w:ind w:firstLine="216"/>
        <w:spacing w:after="0" w:line="237" w:lineRule="auto"/>
        <w:rPr>
          <w:sz w:val="20"/>
          <w:szCs w:val="20"/>
          <w:color w:val="auto"/>
        </w:rPr>
      </w:pPr>
      <w:r>
        <w:rPr>
          <w:rFonts w:ascii="Times New Roman" w:cs="Times New Roman" w:eastAsia="Times New Roman" w:hAnsi="Times New Roman"/>
          <w:sz w:val="12"/>
          <w:szCs w:val="12"/>
          <w:color w:val="auto"/>
        </w:rPr>
        <w:t>A copy of our Annual Report on Form 10-K for our most recently completed fiscal year, which was filed with the Securities and Exchange Commission (the “SEC”) on April 13, 2026, will be mailed to stockholders entitled to vote at the Annual Meeting who have elected to receive a hard copy of the proxy materials and is also available without charge to stockholders upon written request to: New Fortress Energy Inc., 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New York, New York 10011, Attention: Investor Relations. You can also find a copy of our Annual Report on the Investor Relations section of the NFE website (www.newfortressenergy.com).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Results</w:t>
      </w:r>
    </w:p>
    <w:p>
      <w:pPr>
        <w:spacing w:after="0" w:line="154"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Broadridge Financial Solutions, Inc., our independent tabulating agent, will count the votes and act as the Inspector of Election (the “Inspector of Election”). We will publish the voting results in a Current Report on Form 8-K, which will be filed with the SEC within four business days of the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Confidentiality of Voting</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keep all proxies, ballots and voting tabulations confidential as a matter of practice. We permit only the Inspector of Election to examine these documents.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This Proxy Statement contains forward-looking statements regarding, among other things, our plans, strategies, prospects and projections, both business and financial. All statements contained in this Proxy Statement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“could,” “should,” “expects,” “intends,”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43" w:lineRule="exact"/>
        <w:rPr>
          <w:sz w:val="20"/>
          <w:szCs w:val="20"/>
          <w:color w:val="auto"/>
        </w:rPr>
      </w:pPr>
    </w:p>
    <w:p>
      <w:pPr>
        <w:ind w:left="420" w:right="100" w:hanging="212"/>
        <w:spacing w:after="0" w:line="259"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adequately addressing the substantial doubt as to our ability to continue as a going concern and satisfy our liquidity needs, including the consummation of certain items that management expects to occur and other transactions intended to enhance our liquidity;</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successfully consummate the Restructuring Transaction, on the timeline contemplated or at all, and our ability to realize the intended benefits of the Restructuring Transaction;</w:t>
      </w:r>
    </w:p>
    <w:p>
      <w:pPr>
        <w:spacing w:after="0" w:line="6" w:lineRule="exact"/>
        <w:rPr>
          <w:rFonts w:ascii="Times New Roman" w:cs="Times New Roman" w:eastAsia="Times New Roman" w:hAnsi="Times New Roman"/>
          <w:sz w:val="12"/>
          <w:szCs w:val="12"/>
          <w:color w:val="auto"/>
        </w:rPr>
      </w:pPr>
    </w:p>
    <w:p>
      <w:pPr>
        <w:ind w:left="420" w:right="200" w:hanging="212"/>
        <w:spacing w:after="0" w:line="25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implementation of the Restructuring Transaction, including diverting management’s attention and resources, increased costs, and adverse effects on our relationships with customers, suppliers, employees, and other stakeholders;</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operational, financial, tax and other risks related to the separation of the Company into two independent entities as part of the Restructuring Transaction;</w:t>
      </w:r>
    </w:p>
    <w:p>
      <w:pPr>
        <w:spacing w:after="0" w:line="6" w:lineRule="exact"/>
        <w:rPr>
          <w:rFonts w:ascii="Times New Roman" w:cs="Times New Roman" w:eastAsia="Times New Roman" w:hAnsi="Times New Roman"/>
          <w:sz w:val="12"/>
          <w:szCs w:val="12"/>
          <w:color w:val="auto"/>
        </w:rPr>
      </w:pPr>
    </w:p>
    <w:p>
      <w:pPr>
        <w:ind w:left="420" w:right="40" w:hanging="212"/>
        <w:spacing w:after="0" w:line="25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effective internal control over financial reporting and disclosure controls and procedures, including our ability to remediate our material weaknesses in our internal control over financial reporting and the timing of any such remediation;</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our subsidiaries, affiliates, joint ventures and special purpose entities in which we invest and their ability to make dividends or distributions to us;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construction and operational risks related to our facilities and assets, including cost overruns and delays;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of LNG or natural gas to be a competitive source of energy in the markets in which we operate, and seek to operate;</w:t>
      </w:r>
    </w:p>
    <w:p>
      <w:pPr>
        <w:spacing w:after="0" w:line="6" w:lineRule="exact"/>
        <w:rPr>
          <w:rFonts w:ascii="Times New Roman" w:cs="Times New Roman" w:eastAsia="Times New Roman" w:hAnsi="Times New Roman"/>
          <w:sz w:val="12"/>
          <w:szCs w:val="12"/>
          <w:color w:val="auto"/>
        </w:rPr>
      </w:pPr>
    </w:p>
    <w:p>
      <w:pPr>
        <w:ind w:left="420" w:right="240" w:hanging="212"/>
        <w:spacing w:after="0" w:line="25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or failure to obtain and maintain approvals and permits from governmental and regulatory agencies;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obtain a return on our investments for the development of our projects and assets and the implementation of our business strategy;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maintain sufficient working capital for the development and operation of our business and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convert our customer pipeline into actual sales;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asset, geographic or customer diversification, including loss of one or more of our customers;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from third parties in our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cyclical or other changes in the demand for and price of liquefied natural gas (“LNG”) and natural gas;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procure LNG at necessary quantities or at favorable prices to meet customer demand, or otherwise to manage LNG supply and price risks, including hedging arrangements;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successfully develop and implement our technological solutions;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service our debt, preferred equity and comply with our covenant restrictions;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additional financing to effect our strategy;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maintain the listing of our Common Stock on the Nasdaq stock market or another national securities exchange;</w:t>
      </w:r>
    </w:p>
    <w:p>
      <w:pPr>
        <w:spacing w:after="0" w:line="6" w:lineRule="exact"/>
        <w:rPr>
          <w:rFonts w:ascii="Times New Roman" w:cs="Times New Roman" w:eastAsia="Times New Roman" w:hAnsi="Times New Roman"/>
          <w:sz w:val="12"/>
          <w:szCs w:val="12"/>
          <w:color w:val="auto"/>
        </w:rPr>
      </w:pPr>
    </w:p>
    <w:p>
      <w:pPr>
        <w:ind w:left="420" w:right="100" w:hanging="212"/>
        <w:spacing w:after="0" w:line="25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successfully complete mergers, sales, divestments or similar transactions related to our businesses or assets or to integrate such businesses or assets and realize the anticipated benefits, including the anticipated benefits from the sale of our Jamaica business, and our strategy and plans for the remaining portion of the Company, including the structure, form, timing and nature of potential actions with respect to the Company’s business in the future and characteristics of the business going forward;</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political, social and other risks related to the jurisdictions in which we do, or seek to do,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events or other natural or manmade disasters or phenomena;</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future pandemic or any other major health and safety incident;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labor costs, disputes or strikes, and the unavailability of skilled workers or our failure to attract and retain qualified personnel;</w:t>
      </w:r>
    </w:p>
    <w:p>
      <w:pPr>
        <w:spacing w:after="0" w:line="6" w:lineRule="exact"/>
        <w:rPr>
          <w:rFonts w:ascii="Times New Roman" w:cs="Times New Roman" w:eastAsia="Times New Roman" w:hAnsi="Times New Roman"/>
          <w:sz w:val="12"/>
          <w:szCs w:val="12"/>
          <w:color w:val="auto"/>
        </w:rPr>
      </w:pPr>
    </w:p>
    <w:p>
      <w:pPr>
        <w:ind w:left="420" w:right="60" w:hanging="212"/>
        <w:spacing w:after="0" w:line="260" w:lineRule="auto"/>
        <w:tabs>
          <w:tab w:leader="none" w:pos="41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 economic and financial conditions, including the effect of the tax treatment of, or changes in tax laws applicable to, us or our business or of an investment in the Common Stock, and changing trade policies and tariffs and the related uncertainty thereof;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12" w:name="page13"/>
    <w:bookmarkEnd w:id="12"/>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described in the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section of this Proxy Statement and identified in the documents filed by us with the SEC.</w:t>
      </w:r>
    </w:p>
    <w:p>
      <w:pPr>
        <w:spacing w:after="0" w:line="16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2"/>
          <w:szCs w:val="12"/>
          <w:color w:val="auto"/>
        </w:rPr>
        <w:t>All forward-looking statements speak only as of the date of this Proxy Statement. When considering forward-looking statements, you should keep in mind the risks set forth under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and other cautionary statements included in this Proxy Statement and in Part 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 our Form 10-K.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40"/>
          </w:cols>
          <w:pgMar w:left="300" w:top="559" w:right="5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t>QUESTIONS AND ANSWERS ABOUT THE ANNUAL MEETING</w:t>
      </w:r>
    </w:p>
    <w:p>
      <w:pPr>
        <w:spacing w:after="0" w:line="154"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The following are answers to some questions that you, as a stockholder, may have regarding the Annual Meeting and the Proposals. The Company urges you to carefully read the remainder of this Proxy Statement because the information in this section does not provide all the information that might be important to you with respect to the Annual Meeting and the Proposals.</w:t>
      </w:r>
    </w:p>
    <w:p>
      <w:pPr>
        <w:spacing w:after="0" w:line="125"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Why am I receiving these proxy materials?</w:t>
      </w:r>
    </w:p>
    <w:p>
      <w:pPr>
        <w:spacing w:after="0" w:line="17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You are receiving this Proxy Statement and proxy card from the Company because, at the close of business on the Record Date, you were a holder of record of shares of Common Stock. This Proxy Statement describes the matters that will be presented for your consideration at the Annual Meeting. It also gives you information concerning the matters to assist you in making an informed decision. In addition to the Directors Proposal and the Auditor Approval Proposal typically voted on at the Annual Meeting, this Proxy Statement is also being used to approve other Proposals, including the Restructuring Transaction Proposals. As discussed in greater detail below, the Restructuring Transaction cannot be completed unless and until the Restructuring Transaction Proposals are all approved. The approval of the Adjournment Proposal would permit the Board to adjourn the Annual Meeting to a later date or dates, if necessary or appropriate, to permit further solicitation and vote of proxies if there are insufficient votes to approve any of the Proposals at the time of the Annual Meeting. The Restructuring Transaction is not conditioned on the approval of the Adjournment Proposal.</w:t>
      </w:r>
    </w:p>
    <w:p>
      <w:pPr>
        <w:spacing w:after="0" w:line="139"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What am I voting on?</w:t>
      </w:r>
    </w:p>
    <w:p>
      <w:pPr>
        <w:spacing w:after="0" w:line="172"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stockholders are being asked to approve:</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elect two Class I directors to serve until the 2029 annual meeting of stockholders and until their successors are duly elected or appointed and qualified;</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approve the appointment of Ernst &amp; Young LLP as independent registered public accounting firm for the Company for fiscal year 2026;</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14" w:name="page15"/>
    <w:bookmarkEnd w:id="14"/>
    <w:p>
      <w:pPr>
        <w:ind w:left="240"/>
        <w:spacing w:after="0"/>
        <w:rPr>
          <w:sz w:val="20"/>
          <w:szCs w:val="20"/>
          <w:color w:val="auto"/>
        </w:rPr>
      </w:pPr>
      <w:r>
        <w:rPr>
          <w:rFonts w:ascii="Times New Roman" w:cs="Times New Roman" w:eastAsia="Times New Roman" w:hAnsi="Times New Roman"/>
          <w:sz w:val="12"/>
          <w:szCs w:val="12"/>
          <w:color w:val="auto"/>
        </w:rPr>
        <w:t>(iii)</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approve and adopt, effective as of the closing of the Restructuring Transaction, an amendment and restatement to the Certificate of Incorporation, in the form attached to this Proxy Statement as</w:t>
      </w:r>
    </w:p>
    <w:p>
      <w:pPr>
        <w:spacing w:after="0" w:line="1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Annex A, for the following amendments:</w:t>
      </w:r>
    </w:p>
    <w:p>
      <w:pPr>
        <w:spacing w:after="0" w:line="137" w:lineRule="exact"/>
        <w:rPr>
          <w:sz w:val="20"/>
          <w:szCs w:val="20"/>
          <w:color w:val="auto"/>
        </w:rPr>
      </w:pPr>
    </w:p>
    <w:p>
      <w:pPr>
        <w:ind w:left="1080" w:hanging="215"/>
        <w:spacing w:after="0"/>
        <w:tabs>
          <w:tab w:leader="none" w:pos="10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Board Declassification </w:t>
      </w:r>
      <w:r>
        <w:rPr>
          <w:rFonts w:ascii="Times New Roman" w:cs="Times New Roman" w:eastAsia="Times New Roman" w:hAnsi="Times New Roman"/>
          <w:sz w:val="12"/>
          <w:szCs w:val="12"/>
          <w:color w:val="auto"/>
        </w:rPr>
        <w:t>– to amend certain provisions of the Certificate of Incorporation to remove the existing staggered board (Proposal 3A);</w:t>
      </w:r>
    </w:p>
    <w:p>
      <w:pPr>
        <w:spacing w:after="0" w:line="168" w:lineRule="exact"/>
        <w:rPr>
          <w:rFonts w:ascii="Times New Roman" w:cs="Times New Roman" w:eastAsia="Times New Roman" w:hAnsi="Times New Roman"/>
          <w:sz w:val="12"/>
          <w:szCs w:val="12"/>
          <w:color w:val="auto"/>
        </w:rPr>
      </w:pPr>
    </w:p>
    <w:p>
      <w:pPr>
        <w:ind w:left="860" w:right="400" w:firstLine="5"/>
        <w:spacing w:after="0" w:line="283" w:lineRule="auto"/>
        <w:tabs>
          <w:tab w:leader="none" w:pos="10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Majority Voting for Directors </w:t>
      </w:r>
      <w:r>
        <w:rPr>
          <w:rFonts w:ascii="Times New Roman" w:cs="Times New Roman" w:eastAsia="Times New Roman" w:hAnsi="Times New Roman"/>
          <w:sz w:val="12"/>
          <w:szCs w:val="12"/>
          <w:color w:val="auto"/>
        </w:rPr>
        <w:t>– to amend the Certificate of Incorporation to provide for the election of directors by a majority of the total votes that may be cast in the election of directors by holders of all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issued and outstanding shares of the Company entitled to vote (Proposal 3B);</w:t>
      </w:r>
    </w:p>
    <w:p>
      <w:pPr>
        <w:spacing w:after="0" w:line="124" w:lineRule="exact"/>
        <w:rPr>
          <w:rFonts w:ascii="Times New Roman" w:cs="Times New Roman" w:eastAsia="Times New Roman" w:hAnsi="Times New Roman"/>
          <w:sz w:val="12"/>
          <w:szCs w:val="12"/>
          <w:color w:val="auto"/>
        </w:rPr>
      </w:pPr>
    </w:p>
    <w:p>
      <w:pPr>
        <w:ind w:left="1080" w:hanging="215"/>
        <w:spacing w:after="0"/>
        <w:tabs>
          <w:tab w:leader="none" w:pos="10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Minimum Board Size </w:t>
      </w:r>
      <w:r>
        <w:rPr>
          <w:rFonts w:ascii="Times New Roman" w:cs="Times New Roman" w:eastAsia="Times New Roman" w:hAnsi="Times New Roman"/>
          <w:sz w:val="12"/>
          <w:szCs w:val="12"/>
          <w:color w:val="auto"/>
        </w:rPr>
        <w:t>– to amend the Certificate of Incorporation to increase the minimum size of the Board from one director to three directors (Proposal 3C);</w:t>
      </w:r>
    </w:p>
    <w:p>
      <w:pPr>
        <w:spacing w:after="0" w:line="168" w:lineRule="exact"/>
        <w:rPr>
          <w:rFonts w:ascii="Times New Roman" w:cs="Times New Roman" w:eastAsia="Times New Roman" w:hAnsi="Times New Roman"/>
          <w:sz w:val="12"/>
          <w:szCs w:val="12"/>
          <w:color w:val="auto"/>
        </w:rPr>
      </w:pPr>
    </w:p>
    <w:p>
      <w:pPr>
        <w:ind w:left="860" w:right="460" w:firstLine="5"/>
        <w:spacing w:after="0" w:line="261" w:lineRule="auto"/>
        <w:tabs>
          <w:tab w:leader="none" w:pos="10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Entitlement to Vote on Certain Matters </w:t>
      </w:r>
      <w:r>
        <w:rPr>
          <w:rFonts w:ascii="Times New Roman" w:cs="Times New Roman" w:eastAsia="Times New Roman" w:hAnsi="Times New Roman"/>
          <w:sz w:val="12"/>
          <w:szCs w:val="12"/>
          <w:color w:val="auto"/>
        </w:rPr>
        <w:t>– to amend the Certificate of Incorporation to provide that holders of shares of Class A common stock will not be entitled to vote on any amendment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of Incorporation (including the Certificate of Designations and any other applicable designation of capital stock)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Certificate of Incorporation (including the Certificate of Designations and any other applicable designation of capital stock) or pursuant to the DGCL (Proposal 3D);</w:t>
      </w:r>
    </w:p>
    <w:p>
      <w:pPr>
        <w:spacing w:after="0" w:line="137" w:lineRule="exact"/>
        <w:rPr>
          <w:rFonts w:ascii="Times New Roman" w:cs="Times New Roman" w:eastAsia="Times New Roman" w:hAnsi="Times New Roman"/>
          <w:sz w:val="12"/>
          <w:szCs w:val="12"/>
          <w:color w:val="auto"/>
        </w:rPr>
      </w:pPr>
    </w:p>
    <w:p>
      <w:pPr>
        <w:ind w:left="860" w:right="400" w:firstLine="5"/>
        <w:spacing w:after="0" w:line="283" w:lineRule="auto"/>
        <w:tabs>
          <w:tab w:leader="none" w:pos="1073"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Officer Exculpation </w:t>
      </w:r>
      <w:r>
        <w:rPr>
          <w:rFonts w:ascii="Times New Roman" w:cs="Times New Roman" w:eastAsia="Times New Roman" w:hAnsi="Times New Roman"/>
          <w:sz w:val="12"/>
          <w:szCs w:val="12"/>
          <w:color w:val="auto"/>
        </w:rPr>
        <w:t>– to amend the Certificate of Incorporation to provide for exculpation of certain of the Company’s officers from liability to the extent permitted by Delaware law, substantially aligning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protections for the Company’s officers with those currently afforded to the Company’s directors (Proposal 3E);</w:t>
      </w:r>
    </w:p>
    <w:p>
      <w:pPr>
        <w:spacing w:after="0" w:line="124" w:lineRule="exact"/>
        <w:rPr>
          <w:rFonts w:ascii="Times New Roman" w:cs="Times New Roman" w:eastAsia="Times New Roman" w:hAnsi="Times New Roman"/>
          <w:sz w:val="12"/>
          <w:szCs w:val="12"/>
          <w:color w:val="auto"/>
        </w:rPr>
      </w:pPr>
    </w:p>
    <w:p>
      <w:pPr>
        <w:ind w:left="860" w:right="640" w:firstLine="5"/>
        <w:spacing w:after="0" w:line="283" w:lineRule="auto"/>
        <w:tabs>
          <w:tab w:leader="none" w:pos="10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Removal of References to the Company’s Class B Shares </w:t>
      </w:r>
      <w:r>
        <w:rPr>
          <w:rFonts w:ascii="Times New Roman" w:cs="Times New Roman" w:eastAsia="Times New Roman" w:hAnsi="Times New Roman"/>
          <w:sz w:val="12"/>
          <w:szCs w:val="12"/>
          <w:color w:val="auto"/>
        </w:rPr>
        <w:t>– to amend the Certificate of Incorporation to remove any and all references to shares of the Company’s Class B common stock, including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associated with such stock (Proposal 3F);</w:t>
      </w:r>
    </w:p>
    <w:p>
      <w:pPr>
        <w:spacing w:after="0" w:line="124" w:lineRule="exact"/>
        <w:rPr>
          <w:rFonts w:ascii="Times New Roman" w:cs="Times New Roman" w:eastAsia="Times New Roman" w:hAnsi="Times New Roman"/>
          <w:sz w:val="12"/>
          <w:szCs w:val="12"/>
          <w:color w:val="auto"/>
        </w:rPr>
      </w:pPr>
    </w:p>
    <w:p>
      <w:pPr>
        <w:ind w:left="860" w:right="460" w:firstLine="5"/>
        <w:spacing w:after="0" w:line="283" w:lineRule="auto"/>
        <w:tabs>
          <w:tab w:leader="none" w:pos="10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Reverse Stock Split </w:t>
      </w:r>
      <w:r>
        <w:rPr>
          <w:rFonts w:ascii="Times New Roman" w:cs="Times New Roman" w:eastAsia="Times New Roman" w:hAnsi="Times New Roman"/>
          <w:sz w:val="12"/>
          <w:szCs w:val="12"/>
          <w:color w:val="auto"/>
        </w:rPr>
        <w:t>– to amend the Certificate of Incorporation to effect a reverse split of the Company’s issued and outstanding shares of Common Stock (the "Reverse Split") at a reverse split ratio of 1-for-50 (Proposal 3G); and</w:t>
      </w:r>
    </w:p>
    <w:p>
      <w:pPr>
        <w:spacing w:after="0" w:line="124" w:lineRule="exact"/>
        <w:rPr>
          <w:rFonts w:ascii="Times New Roman" w:cs="Times New Roman" w:eastAsia="Times New Roman" w:hAnsi="Times New Roman"/>
          <w:sz w:val="12"/>
          <w:szCs w:val="12"/>
          <w:color w:val="auto"/>
        </w:rPr>
      </w:pPr>
    </w:p>
    <w:p>
      <w:pPr>
        <w:ind w:left="860" w:right="860" w:firstLine="5"/>
        <w:spacing w:after="0" w:line="266" w:lineRule="auto"/>
        <w:tabs>
          <w:tab w:leader="none" w:pos="10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Amendment and Restatement of the Certificate of Incorporation </w:t>
      </w:r>
      <w:r>
        <w:rPr>
          <w:rFonts w:ascii="Times New Roman" w:cs="Times New Roman" w:eastAsia="Times New Roman" w:hAnsi="Times New Roman"/>
          <w:sz w:val="12"/>
          <w:szCs w:val="12"/>
          <w:color w:val="auto"/>
        </w:rPr>
        <w:t>– conditioned upon the receipt of the requisite vote on Proposals 3A through 3G, to approve the proposed Amended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Incorporation, which includes the approval of all other changes in the Amended Certificate of Incorporation in connection with replacing the Certificate of Incorporation with the proposed Amended Certificate of Incorporation (Proposal 3H);</w:t>
      </w: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(iv)</w:t>
      </w:r>
    </w:p>
    <w:p>
      <w:pPr>
        <w:spacing w:after="0" w:line="17" w:lineRule="exact"/>
        <w:rPr>
          <w:sz w:val="20"/>
          <w:szCs w:val="20"/>
          <w:color w:val="auto"/>
        </w:rPr>
      </w:pPr>
    </w:p>
    <w:p>
      <w:pPr>
        <w:ind w:left="860" w:right="440"/>
        <w:spacing w:after="0" w:line="276" w:lineRule="auto"/>
        <w:rPr>
          <w:sz w:val="20"/>
          <w:szCs w:val="20"/>
          <w:color w:val="auto"/>
        </w:rPr>
      </w:pPr>
      <w:r>
        <w:rPr>
          <w:rFonts w:ascii="Times New Roman" w:cs="Times New Roman" w:eastAsia="Times New Roman" w:hAnsi="Times New Roman"/>
          <w:sz w:val="12"/>
          <w:szCs w:val="12"/>
          <w:color w:val="auto"/>
        </w:rPr>
        <w:t>a proposal to approve, for purposes of complying with Nasdaq Listing Rule 5635(d), and for all other relevant purposes, the potential issuance of shares of Common Stock in excess of 20% of our outstanding Common Stock;</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proposal to approve an amendment and restatement of the Incentive Plan, in the form attached to this Proxy Statement as Annex C; and</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(vi)</w:t>
      </w:r>
    </w:p>
    <w:p>
      <w:pPr>
        <w:spacing w:after="0" w:line="17" w:lineRule="exact"/>
        <w:rPr>
          <w:sz w:val="20"/>
          <w:szCs w:val="20"/>
          <w:color w:val="auto"/>
        </w:rPr>
      </w:pPr>
    </w:p>
    <w:p>
      <w:pPr>
        <w:ind w:left="860" w:right="480"/>
        <w:spacing w:after="0" w:line="276" w:lineRule="auto"/>
        <w:rPr>
          <w:sz w:val="20"/>
          <w:szCs w:val="20"/>
          <w:color w:val="auto"/>
        </w:rPr>
      </w:pPr>
      <w:r>
        <w:rPr>
          <w:rFonts w:ascii="Times New Roman" w:cs="Times New Roman" w:eastAsia="Times New Roman" w:hAnsi="Times New Roman"/>
          <w:sz w:val="12"/>
          <w:szCs w:val="12"/>
          <w:color w:val="auto"/>
        </w:rPr>
        <w:t>a proposal to adjourn the Annual Meeting to a later date or dates, if necessary or appropriate, to permit further solicitation and vote of proxies if there are insufficient votes to approve any of the Proposals (as defined below) at the time of the Annual Meeting.</w:t>
      </w:r>
    </w:p>
    <w:p>
      <w:pPr>
        <w:spacing w:after="0" w:line="208"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What will happen if the Restructuring Transaction Proposals are not approved?</w:t>
      </w:r>
    </w:p>
    <w:p>
      <w:pPr>
        <w:spacing w:after="0" w:line="172"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The Restructuring Transaction is conditioned upon the approval of the Restructuring Transaction Proposals. Accordingly, if the Restructuring Transaction Proposals are not all approved, we will be unable to complete the Restructuring Transaction. For a detailed discussion on the consequences of our failure to consummate the Restructuring Transaction, see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Our ability to continue as a going concern is dependent upon our ability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complete the Restructuring Transaction and delay capital expenditures</w:t>
      </w:r>
      <w:r>
        <w:rPr>
          <w:rFonts w:ascii="Times New Roman" w:cs="Times New Roman" w:eastAsia="Times New Roman" w:hAnsi="Times New Roman"/>
          <w:sz w:val="12"/>
          <w:szCs w:val="12"/>
          <w:color w:val="auto"/>
        </w:rPr>
        <w:t>.” If we are unable to successfully consummate the Restructuring Transaction and address our near-term liquidity needs, we may be unable to satisfy our future debt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 obligations, meet other financial obligations or comply with the debt covenants governing our indebtedness. If we cannot make scheduled payments on our debt, we will be in default and, as a result, lenders under and holders of any of our existing and future indebtedness could declare all outstanding principal and interest to be due and payable, the lenders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15" w:name="page16"/>
    <w:bookmarkEnd w:id="15"/>
    <w:p>
      <w:pPr>
        <w:ind w:right="60"/>
        <w:spacing w:after="0" w:line="257" w:lineRule="auto"/>
        <w:rPr>
          <w:sz w:val="20"/>
          <w:szCs w:val="20"/>
          <w:color w:val="auto"/>
        </w:rPr>
      </w:pPr>
      <w:r>
        <w:rPr>
          <w:rFonts w:ascii="Times New Roman" w:cs="Times New Roman" w:eastAsia="Times New Roman" w:hAnsi="Times New Roman"/>
          <w:sz w:val="12"/>
          <w:szCs w:val="12"/>
          <w:color w:val="auto"/>
        </w:rPr>
        <w:t>under our debt instruments could terminate their commitments to loan money, our secured lenders could foreclose against the assets securing such borrowings and the Company is likely to be required or compelled to pursue alternative in-court restructuring initiatives to preserve value, which would have a material and adverse impact on stockholders and likely result in no recovery to stockholders. Any such defaults could also have adverse consequences to our status and reporting requirements, reducing our ability to quickly access the capital markets. If the Adjournment Proposal is not approved, the Board of Directors may not be able to adjourn the Annual Meeting to a later date or dates, if necessary or appropriate, to permit further solicitation and vote of proxies if there are insufficient votes to approve any of the Restructuring Transaction Proposals at the time of the Annual Meeting. However, the Restructuring Transaction is not conditioned upon approval of the Adjournment Proposal.</w:t>
      </w:r>
    </w:p>
    <w:p>
      <w:pPr>
        <w:spacing w:after="0" w:line="139"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Does the Board of Directors and the Company’s management support the Restructuring Transaction?</w:t>
      </w:r>
    </w:p>
    <w:p>
      <w:pPr>
        <w:spacing w:after="0" w:line="172"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The Board of Directors and the Company’s management support the Restructuring Transaction and believe it to be in the best interests of the Company and our stockholders. The Board of Directors recommends that you vote </w:t>
      </w:r>
      <w:r>
        <w:rPr>
          <w:rFonts w:ascii="Times New Roman" w:cs="Times New Roman" w:eastAsia="Times New Roman" w:hAnsi="Times New Roman"/>
          <w:sz w:val="12"/>
          <w:szCs w:val="12"/>
          <w:b w:val="1"/>
          <w:bCs w:val="1"/>
          <w:color w:val="auto"/>
        </w:rPr>
        <w:t xml:space="preserve">FOR </w:t>
      </w:r>
      <w:r>
        <w:rPr>
          <w:rFonts w:ascii="Times New Roman" w:cs="Times New Roman" w:eastAsia="Times New Roman" w:hAnsi="Times New Roman"/>
          <w:sz w:val="12"/>
          <w:szCs w:val="12"/>
          <w:color w:val="auto"/>
        </w:rPr>
        <w:t>the Proposals at the Annual Meeting.</w:t>
      </w:r>
    </w:p>
    <w:p>
      <w:pPr>
        <w:spacing w:after="0" w:line="125"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What interests do the Company’s officers, directors and principal stockholders have in the approval of the Proposals?</w:t>
      </w:r>
    </w:p>
    <w:p>
      <w:pPr>
        <w:spacing w:after="0" w:line="17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2"/>
          <w:szCs w:val="12"/>
          <w:color w:val="auto"/>
        </w:rPr>
        <w:t>Wesley R. Edens and Randal A. Nardone together beneficially own approximately 28% of our Common Stock. Mr. Edens and Mr. Nardone, like the rest of our stockholders, including certain of the Company's other officers and directors, will benefit from the Restructuring Transactions in that they will retain in a post-Restructuring Transaction equity interest in the Company, albeit substantially diluted by the issuance of Common Stock and CoreCo Convertible Preferred Stock (as defined herein) pursuant to the Restructuring Transaction. See “</w:t>
      </w:r>
      <w:r>
        <w:rPr>
          <w:rFonts w:ascii="Times New Roman" w:cs="Times New Roman" w:eastAsia="Times New Roman" w:hAnsi="Times New Roman"/>
          <w:sz w:val="12"/>
          <w:szCs w:val="12"/>
          <w:i w:val="1"/>
          <w:iCs w:val="1"/>
          <w:color w:val="auto"/>
        </w:rPr>
        <w:t>Security Ownership of Certain Beneficial Owners and Management</w:t>
      </w:r>
      <w:r>
        <w:rPr>
          <w:rFonts w:ascii="Times New Roman" w:cs="Times New Roman" w:eastAsia="Times New Roman" w:hAnsi="Times New Roman"/>
          <w:sz w:val="12"/>
          <w:szCs w:val="12"/>
          <w:color w:val="auto"/>
        </w:rPr>
        <w:t>.” Pursuant to the terms of the RSA (as defined herein), Mr. Edens will also purchase from certain of our existing creditors 6,672 shares of CoreCo Convertible Preferred Stock (liquidation preference of $1,000 per share) at a price of $250 per share. Additionally, subsequent to the execution of the RSA, Mr. Edens purchased approximately $110 million aggregate principal amount of the loans issued pursuant to the Term Loan A Credit Agreement (as defined herein) at a discount and is entitled by virtue of his ownership thereof to receive a pro rata portion of the consideration to be received by the lenders under the Term Loan A Credit Agreement pursuant to the Restructuring Transaction. Furthermore, Mr. Edens, Mr. Nardone and certain officers may receive future grants under the Incentive Plan and/or the FLNG 2 Incentive Program (each as described below). Mr. Edens is also expected to remain a director of the Company pursuant to the terms of the RSA.</w:t>
      </w:r>
    </w:p>
    <w:p>
      <w:pPr>
        <w:spacing w:after="0" w:line="144"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Certain holders of the Company’s outstanding indebtedness or their affiliates may also hold equity positions in the Company and may benefit in such capacity from the approval of the Restructuring Transaction Proposals and the consummation of the Restructuring Transaction.</w:t>
      </w:r>
    </w:p>
    <w:p>
      <w:pPr>
        <w:spacing w:after="0" w:line="125"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Who is soliciting my vote pursuant to this Proxy Statement and who will bear the cost of this proxy solicitation?</w:t>
      </w:r>
    </w:p>
    <w:p>
      <w:pPr>
        <w:spacing w:after="0" w:line="172"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The Board of Directors is soliciting your vote at the Annual Meeting. The Company will bear the cost of the solicitation of proxies related to the Annual Meeting. Proxies may be solicited by officers, directors and employees of the Company, none of whom will receive any additional compensation for their services. The Company will pay persons holding shares of Common Stock in their names or in the names of nominees, but not owning such shares beneficially, such as brokerage houses, banks, and other fiduciaries, for the expense of forwarding solicitation materials to their principals.</w:t>
      </w:r>
    </w:p>
    <w:p>
      <w:pPr>
        <w:spacing w:after="0" w:line="133"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Am I entitled to dissenters’ rights or appraisal rights?</w:t>
      </w:r>
    </w:p>
    <w:p>
      <w:pPr>
        <w:spacing w:after="0" w:line="172"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None of the Company’s stockholders are entitled to dissenters’ or appraisal rights with respect to any of the Proposals being submitted to the stockholders at the Annual Meeting, or with respect to the Restructuring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6" w:name="page17"/>
    <w:bookmarkEnd w:id="1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BACKGROUND OF THE RESTRUCTURING TRANSACTION PROPOSALS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Background to the Company’s Financial Difficulties</w:t>
      </w:r>
    </w:p>
    <w:p>
      <w:pPr>
        <w:spacing w:after="0" w:line="154" w:lineRule="exact"/>
        <w:rPr>
          <w:sz w:val="20"/>
          <w:szCs w:val="20"/>
          <w:color w:val="auto"/>
        </w:rPr>
      </w:pPr>
    </w:p>
    <w:p>
      <w:pPr>
        <w:ind w:left="8" w:right="100" w:firstLine="432"/>
        <w:spacing w:after="0" w:line="265" w:lineRule="auto"/>
        <w:rPr>
          <w:sz w:val="20"/>
          <w:szCs w:val="20"/>
          <w:color w:val="auto"/>
        </w:rPr>
      </w:pPr>
      <w:r>
        <w:rPr>
          <w:rFonts w:ascii="Times New Roman" w:cs="Times New Roman" w:eastAsia="Times New Roman" w:hAnsi="Times New Roman"/>
          <w:sz w:val="12"/>
          <w:szCs w:val="12"/>
          <w:color w:val="auto"/>
        </w:rPr>
        <w:t>New Fortress Energy Inc. (the "Company") is a global energy infrastructure business whose integrated platform spans the full LNG value chain — from supply and liquefaction through its first-in-kind modular “Fast LNG” or “FLNG” units, to shipping via a fleet of floating storage and regasification units and LNG carriers, to downstream delivery through a network of terminals and power assets across the Americas, including facilities in Puerto Rico, Mexico, Brazil and Nicaragua supported by long-term customer arrangements and power purchase agreements.</w:t>
      </w:r>
    </w:p>
    <w:p>
      <w:pPr>
        <w:spacing w:after="0" w:line="119" w:lineRule="exact"/>
        <w:rPr>
          <w:sz w:val="20"/>
          <w:szCs w:val="20"/>
          <w:color w:val="auto"/>
        </w:rPr>
      </w:pPr>
    </w:p>
    <w:p>
      <w:pPr>
        <w:ind w:left="8" w:right="100" w:firstLine="432"/>
        <w:spacing w:after="0" w:line="278" w:lineRule="auto"/>
        <w:rPr>
          <w:sz w:val="20"/>
          <w:szCs w:val="20"/>
          <w:color w:val="auto"/>
        </w:rPr>
      </w:pPr>
      <w:r>
        <w:rPr>
          <w:rFonts w:ascii="Times New Roman" w:cs="Times New Roman" w:eastAsia="Times New Roman" w:hAnsi="Times New Roman"/>
          <w:sz w:val="11"/>
          <w:szCs w:val="11"/>
          <w:color w:val="auto"/>
        </w:rPr>
        <w:t>The Company’s business model historically required significant capital and operating expenditures to timeously design, construct, procure and develop supply chain infrastructure and service its customer base. In some instances, the Company could not recoup capital outlay and generate income from customers until after the completion of construction of LNG terminal infrastructure, storage facilities and power plants. Moreover, most projects are completed in stages and are subject to risks of delay beyond the Company’s control, including: (i) the need for specialized oil and gas regulatory permits and governmental authorizations, bespoke design and engineering solutions, environmental or geological problems related to location; (ii) shortages or delays in the delivery of equipment and supplies; (iii) failure to meet technical specifications or adjustments being required based on testing or commissioning;</w:t>
      </w:r>
    </w:p>
    <w:p>
      <w:pPr>
        <w:spacing w:after="0" w:line="1" w:lineRule="exact"/>
        <w:rPr>
          <w:sz w:val="20"/>
          <w:szCs w:val="20"/>
          <w:color w:val="auto"/>
        </w:rPr>
      </w:pPr>
    </w:p>
    <w:p>
      <w:pPr>
        <w:jc w:val="both"/>
        <w:ind w:left="8" w:right="120" w:hanging="8"/>
        <w:spacing w:after="0" w:line="255" w:lineRule="auto"/>
        <w:tabs>
          <w:tab w:leader="none" w:pos="21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interference; (v) potential labor shortages, work stoppages or labor union disputes; and (vi) where the Company successfully develops a project and/or executes on a customer contract, it faces the risk that customers may not fulfill their payment obligations. These risks are particularly pronounced in many of the non-U.S. jurisdictions in which the Company operates. Due to these factors the Company has experienced time delays and cost overruns in a number of its development and construction projects.</w:t>
      </w:r>
    </w:p>
    <w:p>
      <w:pPr>
        <w:spacing w:after="0" w:line="14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Company’s liquidity position and ability to generate revenue from projects and customer contracts have been adversely impacted or delayed by the following:</w:t>
      </w:r>
    </w:p>
    <w:p>
      <w:pPr>
        <w:spacing w:after="0" w:line="168" w:lineRule="exact"/>
        <w:rPr>
          <w:sz w:val="20"/>
          <w:szCs w:val="20"/>
          <w:color w:val="auto"/>
        </w:rPr>
      </w:pPr>
    </w:p>
    <w:p>
      <w:pPr>
        <w:ind w:left="428" w:hanging="212"/>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unanticipated delays in the permitting, construction or commencement of operations of its San Juan Terminal, La Paz Facility, Santa Catarina Terminal and Puerto Sandino Facility;</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of a first-in-kind, offshore modular FLNG 1, which experienced permitting and construction delays, and equipment failures that ultimately delayed the commencement of commercial operations;</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experienced a number of challenges in relation to its Puerto Rico business:</w:t>
      </w:r>
    </w:p>
    <w:p>
      <w:pPr>
        <w:spacing w:after="0" w:line="168" w:lineRule="exact"/>
        <w:rPr>
          <w:rFonts w:ascii="Times New Roman" w:cs="Times New Roman" w:eastAsia="Times New Roman" w:hAnsi="Times New Roman"/>
          <w:sz w:val="12"/>
          <w:szCs w:val="12"/>
          <w:color w:val="auto"/>
        </w:rPr>
      </w:pPr>
    </w:p>
    <w:p>
      <w:pPr>
        <w:ind w:left="868" w:right="100" w:hanging="220"/>
        <w:spacing w:after="0" w:line="259" w:lineRule="auto"/>
        <w:tabs>
          <w:tab w:leader="none" w:pos="865"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local authorities’ decision to discontinue the allowance of ship-to-ship transfers of LNG within San Juan port necessitated the Company switching operational plans to less efficient and more costly means of delivery; and</w:t>
      </w:r>
    </w:p>
    <w:p>
      <w:pPr>
        <w:spacing w:after="0" w:line="1" w:lineRule="exact"/>
        <w:rPr>
          <w:rFonts w:ascii="Times New Roman" w:cs="Times New Roman" w:eastAsia="Times New Roman" w:hAnsi="Times New Roman"/>
          <w:sz w:val="12"/>
          <w:szCs w:val="12"/>
          <w:color w:val="auto"/>
        </w:rPr>
      </w:pPr>
    </w:p>
    <w:p>
      <w:pPr>
        <w:ind w:left="868" w:hanging="220"/>
        <w:spacing w:after="0" w:line="253" w:lineRule="auto"/>
        <w:tabs>
          <w:tab w:leader="none" w:pos="865"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2023, the Company entered into a customer contract with the U.S. Army Corps of Engineers to provide services in Puerto Rico in connection with the territory’s grid stabilization project. This contract was terminated by the counterparty in March 2024, following which the Company has been pursuing a request to the Federal Emergency Management Agency (“FEMA”) for equitable adjustment to recover its unreimbursed costs and liabilities related to the early termination of this contract. The Company has received a settlement amount in connection with work undertaken for FEMA of $142 million, with the final amounts received in April 2026. This process has taken considerable time and not all costs could be recouped, which has impacted liquidity significantly;</w:t>
      </w:r>
    </w:p>
    <w:p>
      <w:pPr>
        <w:spacing w:after="0" w:line="14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to certain scheduled power auctions in Brazil;</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margins have been adversely impacted by fluctuations in natural gas feedstock, increases in the costs of construction materials, and swings in the shipping and freight markets; and</w:t>
      </w:r>
    </w:p>
    <w:p>
      <w:pPr>
        <w:spacing w:after="0" w:line="16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proposed LNG terminal in Shannon, Ireland has faced delays due to significant environmental activist opposition and governmental permitting denials.</w:t>
      </w:r>
    </w:p>
    <w:p>
      <w:pPr>
        <w:spacing w:after="0" w:line="150" w:lineRule="exact"/>
        <w:rPr>
          <w:sz w:val="20"/>
          <w:szCs w:val="20"/>
          <w:color w:val="auto"/>
        </w:rPr>
      </w:pPr>
    </w:p>
    <w:p>
      <w:pPr>
        <w:ind w:left="8" w:right="80" w:firstLine="432"/>
        <w:spacing w:after="0" w:line="260" w:lineRule="auto"/>
        <w:rPr>
          <w:sz w:val="20"/>
          <w:szCs w:val="20"/>
          <w:color w:val="auto"/>
        </w:rPr>
      </w:pPr>
      <w:r>
        <w:rPr>
          <w:rFonts w:ascii="Times New Roman" w:cs="Times New Roman" w:eastAsia="Times New Roman" w:hAnsi="Times New Roman"/>
          <w:sz w:val="12"/>
          <w:szCs w:val="12"/>
          <w:color w:val="auto"/>
        </w:rPr>
        <w:t>The challenges above delayed the commencement of revenue-generating operations for the affected projects and, collectively, had a material impact on the Company’s liquidity. In November 2024, NFE Financing LLC (“NFE Financing”), an indirect subsidiary of the Company, issued approximately $2.73 billion in 12.000% senior secured notes due 2029 (the “New 2029 Notes”) pursuant to that certain Indenture, dated as of November 22, 2024, by and among NFE Financing, the guarantors from time to time party thereto and Wilmington Savings Fund Society, FSB, as trustee and collateral agent (as amended, restated, amended and restated, supplemented or otherwise modified from time to time, the “New 2029 Notes Indenture”). The proceeds of the New 2029 Notes were</w:t>
      </w: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557" w:right="299" w:bottom="1440" w:gutter="0" w:footer="0" w:header="0"/>
        </w:sectPr>
      </w:pPr>
    </w:p>
    <w:bookmarkStart w:id="17" w:name="page18"/>
    <w:bookmarkEnd w:id="17"/>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used to repay in full the Company’s then-outstanding 6.750% Senior Secured Notes due 2025 (the “2025 Notes”) and for general corporate purposes (together, the “2024 Refinancing Transactions”). The 2024 Refinancing Transactions improved near-term liquidity and addressed the maturities of the 2025 Notes. However, many of the operational challenges described above have persisted since the 2024 Refinancing Transactions and continue to impact the Company’s revenue-generation and its ability to service its indebtedness.</w:t>
      </w:r>
    </w:p>
    <w:p>
      <w:pPr>
        <w:spacing w:after="0" w:line="119"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In light of these liquidity challenges, in 2025, the Company initiated a process to evaluate its strategic alternatives to improve its capital structure. It retained Houlihan Lokey Capital, Inc. and Alvarez &amp; Marsal, as financial advisors, and Skadden, Arps, Slate, Meagher &amp; Flom LLP, as legal advisor, to assist in this evaluation. The Company, along with its advisors, considered all options available, including asset sales, capital raising, debt amendments and refinancing transactions, and other strategic transactions to provide additional liquidity and relief from acceleration under its debt agreements.</w:t>
      </w:r>
    </w:p>
    <w:p>
      <w:pPr>
        <w:spacing w:after="0" w:line="119" w:lineRule="exact"/>
        <w:rPr>
          <w:sz w:val="20"/>
          <w:szCs w:val="20"/>
          <w:color w:val="auto"/>
        </w:rPr>
      </w:pPr>
    </w:p>
    <w:p>
      <w:pPr>
        <w:ind w:right="340" w:firstLine="432"/>
        <w:spacing w:after="0" w:line="260" w:lineRule="auto"/>
        <w:rPr>
          <w:sz w:val="20"/>
          <w:szCs w:val="20"/>
          <w:color w:val="auto"/>
        </w:rPr>
      </w:pPr>
      <w:r>
        <w:rPr>
          <w:rFonts w:ascii="Times New Roman" w:cs="Times New Roman" w:eastAsia="Times New Roman" w:hAnsi="Times New Roman"/>
          <w:sz w:val="12"/>
          <w:szCs w:val="12"/>
          <w:color w:val="auto"/>
        </w:rPr>
        <w:t>During this process, the Company engaged in significant ongoing negotiations with its creditors related to amendments to institute covenant holidays with respect to financial covenants in certain debt agreements and forbearances with respect to, among other things, missed interest payments that, if not granted, would have required the Company to consider the material and adverse impact of events of defaults in such debt agreements on the Company’s liquidity. The Company’s liquidity challenges became critical in November 2025, by which point the Company had insufficient liquidity to make interest payments due on certain of its debt instruments. The Company entered into short-term, rolling waivers and forbearances with certain of its lenders and noteholders to allow it to pursue restructuring discussions.</w:t>
      </w:r>
    </w:p>
    <w:p>
      <w:pPr>
        <w:spacing w:after="0" w:line="122"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The Company’s strategic review process resulted in its entry into the RSA on March 17, 2026. In addition to the Restructuring Transaction described below and the separation of the Company into BrazilCo and CoreCo (each, as defined below), the Company continues to actively consider and evaluate further opportunistic strategies that seek to optimize the value of CoreCo’s portfolio, while providing additional liquidity and cash flow to the remaining CoreCo business. These strategies may include the sale of certain CoreCo assets, capital raising transactions or other strategic transactions. However, there are inherent uncertainties regarding the ability of CoreCo to effect any such transactions, and substantial risks relating to the ability of CoreCo to realize the anticipated benefits of pursuing one or more of these strategies.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Restructuring Support Agreement</w:t>
      </w:r>
    </w:p>
    <w:p>
      <w:pPr>
        <w:spacing w:after="0" w:line="154"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On March 17, 2026, the Company and certain of its subsidiaries (together, the "Company Parties" and each, a "Company Party") entered into a restructuring support agreement (together with all exhibits, annexes, schedules, and appendices thereto, the “RSA”) with certain of its lenders and noteholders, including:</w:t>
      </w:r>
    </w:p>
    <w:p>
      <w:pPr>
        <w:spacing w:after="0" w:line="129"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members of an ad hoc group of holders of the New 2029 Notes;</w:t>
      </w:r>
    </w:p>
    <w:p>
      <w:pPr>
        <w:spacing w:after="0" w:line="168" w:lineRule="exact"/>
        <w:rPr>
          <w:rFonts w:ascii="Times New Roman" w:cs="Times New Roman" w:eastAsia="Times New Roman" w:hAnsi="Times New Roman"/>
          <w:sz w:val="12"/>
          <w:szCs w:val="12"/>
          <w:color w:val="auto"/>
        </w:rPr>
      </w:pPr>
    </w:p>
    <w:p>
      <w:pPr>
        <w:jc w:val="both"/>
        <w:ind w:left="420" w:right="140" w:hanging="212"/>
        <w:spacing w:after="0" w:line="265" w:lineRule="auto"/>
        <w:tabs>
          <w:tab w:leader="none" w:pos="41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members of an ad hoc group of term lenders under that certain Credit Agreement, dated as of October 30, 2023, by and among the Company, as the borrower, the guarantors from time to time party thereto, the lenders from time to time party thereto, and Morgan Stanley Senior Funding, Inc., as administrative agent and collateral agent (as amended, restated, amended and restated, supplemented or otherwise modified from time to time, the “Term Loan B Credit Agreement”);</w:t>
      </w:r>
    </w:p>
    <w:p>
      <w:pPr>
        <w:spacing w:after="0" w:line="136" w:lineRule="exact"/>
        <w:rPr>
          <w:rFonts w:ascii="Times New Roman" w:cs="Times New Roman" w:eastAsia="Times New Roman" w:hAnsi="Times New Roman"/>
          <w:sz w:val="12"/>
          <w:szCs w:val="12"/>
          <w:color w:val="auto"/>
        </w:rPr>
      </w:pPr>
    </w:p>
    <w:p>
      <w:pPr>
        <w:ind w:left="420" w:right="120" w:hanging="212"/>
        <w:spacing w:after="0" w:line="300" w:lineRule="auto"/>
        <w:tabs>
          <w:tab w:leader="none" w:pos="417"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holders of debt under that certain Credit Agreement, dated as of April 15, 2021, by and among the Company, as the borrower, the guarantors from time to time party thereto, the lenders and issuing banks from time to time party thereto, and MUFG Bank Ltd., as administrative agent and collateral agent (as amended, restated, amended and restated, supplemented or otherwise modified from time to time, the “Revolving Credit Agreement”), being lenders under a facility currently drawn at approximately $100 million (the “R-1 Revolving Credit Facility”) and under a facility currently drawn at approximately $560 million (the “R-2 Revolving Credit Facility”);</w:t>
      </w:r>
    </w:p>
    <w:p>
      <w:pPr>
        <w:spacing w:after="0" w:line="119" w:lineRule="exact"/>
        <w:rPr>
          <w:rFonts w:ascii="Times New Roman" w:cs="Times New Roman" w:eastAsia="Times New Roman" w:hAnsi="Times New Roman"/>
          <w:sz w:val="11"/>
          <w:szCs w:val="11"/>
          <w:color w:val="auto"/>
        </w:rPr>
      </w:pPr>
    </w:p>
    <w:p>
      <w:pPr>
        <w:jc w:val="both"/>
        <w:ind w:left="420" w:right="60" w:hanging="212"/>
        <w:spacing w:after="0" w:line="265" w:lineRule="auto"/>
        <w:tabs>
          <w:tab w:leader="none" w:pos="41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members of an ad hoc group of term lenders under that certain Credit Agreement, dated as of July 19, 2024, by and among the Company, as the borrower, the guarantors from time to time party thereto, the lenders from time to time party thereto, and Morgan Stanley Senior Funding, Inc., as administrative agent and collateral agent (as amended, restated, amended and restated, supplemented or otherwise modified from time to time, the “Term Loan A Credit Agreement”); and</w:t>
      </w:r>
    </w:p>
    <w:p>
      <w:pPr>
        <w:spacing w:after="0" w:line="136" w:lineRule="exact"/>
        <w:rPr>
          <w:rFonts w:ascii="Times New Roman" w:cs="Times New Roman" w:eastAsia="Times New Roman" w:hAnsi="Times New Roman"/>
          <w:sz w:val="12"/>
          <w:szCs w:val="12"/>
          <w:color w:val="auto"/>
        </w:rPr>
      </w:pPr>
    </w:p>
    <w:p>
      <w:pPr>
        <w:ind w:left="420" w:hanging="212"/>
        <w:spacing w:after="0" w:line="260" w:lineRule="auto"/>
        <w:tabs>
          <w:tab w:leader="none" w:pos="41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majority of the members of an ad hoc group of creditors with recourse to the collateral assets in the Company’s core business, but not to the Company’s FLNG assets or Brazil business, including (1) holders of the 6.500% Senior Notes due 2026 (the “2026 Legacy Notes”) issued pursuant to that certain Indenture, dated as of April 12, 2021, by and among the Company, as the issuer, the guarantors from time to time party thereto and U.S. Bank Trust Company, National Association (as successor in interest to U.S. Bank National Association), as trustee and collateral agent, (2) holders of the 8.750% Senior Secured Notes (the “2029 Legacy Notes” and together with the 2026 Legacy Notes, the “Legacy Notes”) issued pursuant to</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8" w:name="page19"/>
    <w:bookmarkEnd w:id="18"/>
    <w:p>
      <w:pPr>
        <w:ind w:left="420"/>
        <w:spacing w:after="0" w:line="257" w:lineRule="auto"/>
        <w:rPr>
          <w:sz w:val="20"/>
          <w:szCs w:val="20"/>
          <w:color w:val="auto"/>
        </w:rPr>
      </w:pPr>
      <w:r>
        <w:rPr>
          <w:rFonts w:ascii="Times New Roman" w:cs="Times New Roman" w:eastAsia="Times New Roman" w:hAnsi="Times New Roman"/>
          <w:sz w:val="12"/>
          <w:szCs w:val="12"/>
          <w:color w:val="auto"/>
        </w:rPr>
        <w:t>that certain Indenture, dated as of March 8, 2024, by and among the Company, as the issuer, the guarantors from time to time party thereto and U.S. Bank Trust Company, National Association, as trustee and collateral agent (as amended, supplemented or otherwise modified from time to time, the “2029 Legacy Notes Indenture”) and (3) creditors of the debt under that certain Credit Agreement, dated as of November 22, 2024, by and among the Company, as the borrower, the guarantors from time to time party thereto, NFE Brazil Investments LLC, as the lender, and Wilmington Savings Fund Society, FSB, as the administrative agent and as collateral agent (the “Series I Credit Agreement”), and under that certain Credit Agreement, dated as of December 6, 2024, by and among the Company, as the borrower, the guarantors from time to time party thereto, NFE Financing, as the lender, and Wilmington Savings Funds Society, FSB, as the administrative agent and as collateral agent (the “Series II Credit Agreement”) (collectively, the “Supporting Creditors”).</w:t>
      </w:r>
    </w:p>
    <w:p>
      <w:pPr>
        <w:spacing w:after="0" w:line="143"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Holders of or lenders under the debt instruments described above that are not already party to the RSA may become Additional Supporting Creditors (as defined in the RSA) by executing and delivering a joinder in accordance with the terms of the RSA.</w:t>
      </w:r>
    </w:p>
    <w:p>
      <w:pPr>
        <w:spacing w:after="0" w:line="129" w:lineRule="exact"/>
        <w:rPr>
          <w:sz w:val="20"/>
          <w:szCs w:val="20"/>
          <w:color w:val="auto"/>
        </w:rPr>
      </w:pPr>
    </w:p>
    <w:p>
      <w:pPr>
        <w:ind w:right="520" w:firstLine="432"/>
        <w:spacing w:after="0" w:line="279" w:lineRule="auto"/>
        <w:rPr>
          <w:sz w:val="20"/>
          <w:szCs w:val="20"/>
          <w:color w:val="auto"/>
        </w:rPr>
      </w:pPr>
      <w:r>
        <w:rPr>
          <w:rFonts w:ascii="Times New Roman" w:cs="Times New Roman" w:eastAsia="Times New Roman" w:hAnsi="Times New Roman"/>
          <w:sz w:val="12"/>
          <w:szCs w:val="12"/>
          <w:color w:val="auto"/>
        </w:rPr>
        <w:t>The RSA sets forth principal terms for a comprehensive corporate and organizational restructuring of the Company and a financial restructuring of the Company’s principal funded debt obligations (the “Restructuring Transaction”). Capitalized terms not defined herein will have the meanings ascribed to them in the RSA.</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RSA contemplates, among other things, the following material terms:</w:t>
      </w:r>
    </w:p>
    <w:p>
      <w:pPr>
        <w:spacing w:after="0" w:line="168" w:lineRule="exact"/>
        <w:rPr>
          <w:sz w:val="20"/>
          <w:szCs w:val="20"/>
          <w:color w:val="auto"/>
        </w:rPr>
      </w:pPr>
    </w:p>
    <w:p>
      <w:pPr>
        <w:ind w:left="420" w:right="380" w:hanging="212"/>
        <w:spacing w:after="0" w:line="279" w:lineRule="auto"/>
        <w:tabs>
          <w:tab w:leader="none" w:pos="41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will separate into two independent groups: one generally comprising the Company’s businesses, assets and subsidiaries in Brazil and land in Wyalusing, Pennsylvania (“BrazilCo”), and the other generally comprising the Company’s other businesses, assets and subsidiaries, which will be retained by the Company (“CoreCo”);</w:t>
      </w:r>
    </w:p>
    <w:p>
      <w:pPr>
        <w:spacing w:after="0" w:line="129"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under the 2026 Legacy Notes, the 2029 Legacy Notes, the Term Loan A Credit Agreement, the Term Loan B Credit Agreement, the Revolving Credit Agreement, the New 2029 Notes, debt under the Series I Credit Agreement and debt under the Series II Credit Agreement will be released in full and exchanged (in each case on a ratable basis) for one or a combination of the following debt obligations and equity securities:</w:t>
      </w:r>
    </w:p>
    <w:p>
      <w:pPr>
        <w:spacing w:after="0" w:line="129" w:lineRule="exact"/>
        <w:rPr>
          <w:rFonts w:ascii="Times New Roman" w:cs="Times New Roman" w:eastAsia="Times New Roman" w:hAnsi="Times New Roman"/>
          <w:sz w:val="12"/>
          <w:szCs w:val="12"/>
          <w:color w:val="auto"/>
        </w:rPr>
      </w:pPr>
    </w:p>
    <w:p>
      <w:pPr>
        <w:jc w:val="both"/>
        <w:ind w:left="860" w:hanging="220"/>
        <w:spacing w:after="0" w:line="260" w:lineRule="auto"/>
        <w:tabs>
          <w:tab w:leader="none" w:pos="857"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100% of the common equity interests in BrazilCo will be extinguished or distributed to the holders of the New 2029 Notes, holders of the debt under the R-2 Revolving Credit Facility, and the holders of the debt under the Term Loan A Credit Agreement, such that 100% of the common equity of BrazilCo (the “BrazilCo Common Equity”) shall be distributed to the holders of the New 2029 Notes in partial exchange for the New 2029 Notes subject to dilution by (a) the issuance of the BrazilCo Common Equity to holders of the debt under the R-2 Revolving Credit Facility and debt under the Term Loan A Credit Agreement to the extent such holders elect to receive their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share of the RCF 2/ TLA BrazilCo Equity Pool and (b) the BrazilCo MIP;</w:t>
      </w:r>
    </w:p>
    <w:p>
      <w:pPr>
        <w:spacing w:after="0" w:line="140" w:lineRule="exact"/>
        <w:rPr>
          <w:rFonts w:ascii="Times New Roman" w:cs="Times New Roman" w:eastAsia="Times New Roman" w:hAnsi="Times New Roman"/>
          <w:sz w:val="12"/>
          <w:szCs w:val="12"/>
          <w:color w:val="auto"/>
        </w:rPr>
      </w:pPr>
    </w:p>
    <w:p>
      <w:pPr>
        <w:ind w:left="860" w:right="160" w:hanging="220"/>
        <w:spacing w:after="0" w:line="279" w:lineRule="auto"/>
        <w:tabs>
          <w:tab w:leader="none" w:pos="857"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$571.3 million in senior secured term loans incurred by the Company, as the borrower, and guaranteed by each subsidiary of the Company that will be part of CoreCo (subject to customary exclusions and other exclusions to be agreed) (“New CoreCo Term Loans”);</w:t>
      </w:r>
    </w:p>
    <w:p>
      <w:pPr>
        <w:spacing w:after="0" w:line="129"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convertible preferred stock of the Company with an aggregate liquidation preference of approximately $2.46 billion (“CoreCo Convertible Preferred Stock”);</w:t>
      </w:r>
    </w:p>
    <w:p>
      <w:pPr>
        <w:spacing w:after="0" w:line="168" w:lineRule="exact"/>
        <w:rPr>
          <w:rFonts w:ascii="Times New Roman" w:cs="Times New Roman" w:eastAsia="Times New Roman" w:hAnsi="Times New Roman"/>
          <w:sz w:val="12"/>
          <w:szCs w:val="12"/>
          <w:color w:val="auto"/>
        </w:rPr>
      </w:pPr>
    </w:p>
    <w:p>
      <w:pPr>
        <w:ind w:left="860" w:right="20" w:hanging="220"/>
        <w:spacing w:after="0" w:line="279" w:lineRule="auto"/>
        <w:tabs>
          <w:tab w:leader="none" w:pos="857"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such number of shares of Common Stock as is sufficient for the Supporting Creditors to hold 65% of Common Stock as of the restructuring effective date (the “Restructuring Effective Date”), before giving effect to an incentive plan for directors, officers and other employees of the Company or any conversion of the CoreCo Convertible Preferred Stock into Common Stock;</w:t>
      </w:r>
    </w:p>
    <w:p>
      <w:pPr>
        <w:spacing w:after="0" w:line="120" w:lineRule="exact"/>
        <w:rPr>
          <w:rFonts w:ascii="Times New Roman" w:cs="Times New Roman" w:eastAsia="Times New Roman" w:hAnsi="Times New Roman"/>
          <w:sz w:val="12"/>
          <w:szCs w:val="12"/>
          <w:color w:val="auto"/>
        </w:rPr>
      </w:pPr>
    </w:p>
    <w:p>
      <w:pPr>
        <w:ind w:left="860" w:right="20" w:hanging="220"/>
        <w:spacing w:after="0" w:line="249" w:lineRule="auto"/>
        <w:tabs>
          <w:tab w:leader="none" w:pos="857"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$400 million in non-recourse term loans (the “FLNG 2 Term Loans”) incurred or issued by the subsidiary that owns the Company’s Fast LNG 2 assets, NFE FLNG 2 LLC, a Delaware limited liability company, or an immediate holding company of that company (“FLNG 2 Co”), payable in full on the third anniversary of the Restructuring Effective Date, guaranteed by certain subsidiaries of FLNG 2 Co and secured by substantially all assets of FLNG 2 Co and such subsidiaries;</w:t>
      </w:r>
    </w:p>
    <w:p>
      <w:pPr>
        <w:spacing w:after="0" w:line="146"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 million in non-convertible, preferred equity (the “FLNG 2 Preferred Equity”) issued by FLNG 2 Co; and/or</w:t>
      </w:r>
    </w:p>
    <w:p>
      <w:pPr>
        <w:spacing w:after="0" w:line="168"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eligible creditors will receive the Early Consent Fee and the Standstill Fee (as applicable).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9" w:name="page20"/>
    <w:bookmarkEnd w:id="19"/>
    <w:p>
      <w:pPr>
        <w:ind w:left="420" w:right="40" w:hanging="212"/>
        <w:spacing w:after="0" w:line="265" w:lineRule="auto"/>
        <w:tabs>
          <w:tab w:leader="none" w:pos="41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under that certain Credit Agreement, dated as of November 22, 2024 (as amended, restated, supplemented, or otherwise modified from time to time, the “Brazil Parent Intercompany Credit Agreement”), among NFE Brazil Investments LLC, a Delaware limited liability company, as borrower, NFE Financing, as lender, the guarantors from time to time party thereto, and Wilmington Savings Fund Society, FSB as administrative agent and collateral agent, shall be released in full or otherwise discharged and the Brazil Parent Intercompany Credit Agreement will be terminated;</w:t>
      </w:r>
    </w:p>
    <w:p>
      <w:pPr>
        <w:spacing w:after="0" w:line="13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governance matters regarding CoreCo ;</w:t>
      </w:r>
    </w:p>
    <w:p>
      <w:pPr>
        <w:spacing w:after="0" w:line="168" w:lineRule="exact"/>
        <w:rPr>
          <w:rFonts w:ascii="Times New Roman" w:cs="Times New Roman" w:eastAsia="Times New Roman" w:hAnsi="Times New Roman"/>
          <w:sz w:val="12"/>
          <w:szCs w:val="12"/>
          <w:color w:val="auto"/>
        </w:rPr>
      </w:pPr>
    </w:p>
    <w:p>
      <w:pPr>
        <w:ind w:left="420" w:right="200" w:hanging="212"/>
        <w:spacing w:after="0" w:line="279" w:lineRule="auto"/>
        <w:tabs>
          <w:tab w:leader="none" w:pos="41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Letters of credit issued under the Company’s existing letter of credit facility (the “Letter of Credit Facility”) or Revolving Credit Agreement will be backstopped or replaced by letters of credit issued under either Letter of Credit Facility for CoreCo or a new fully committed letter of credit facility for BrazilCo, as applicable;</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other existing debt facilities and other liabilities will be refinanced, renegotiated, or compromised, or will remain outstanding in accordance with their existing terms;</w:t>
      </w:r>
    </w:p>
    <w:p>
      <w:pPr>
        <w:spacing w:after="0" w:line="168" w:lineRule="exact"/>
        <w:rPr>
          <w:rFonts w:ascii="Times New Roman" w:cs="Times New Roman" w:eastAsia="Times New Roman" w:hAnsi="Times New Roman"/>
          <w:sz w:val="12"/>
          <w:szCs w:val="12"/>
          <w:color w:val="auto"/>
        </w:rPr>
      </w:pPr>
    </w:p>
    <w:p>
      <w:pPr>
        <w:jc w:val="both"/>
        <w:ind w:left="420" w:right="280" w:hanging="212"/>
        <w:spacing w:after="0" w:line="265" w:lineRule="auto"/>
        <w:tabs>
          <w:tab w:leader="none" w:pos="41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shares of Common Stock outstanding immediately prior to the consummation of the Restructuring Transaction will remain outstanding and will represent 35% of Common Stock issued and outstanding following the consummation of the Restructuring Transaction but before giving effect to an incentive plan for directors, officers and other employees of the Company or any conversion of the CoreCo Convertible Preferred Stock into Common Stock;</w:t>
      </w:r>
    </w:p>
    <w:p>
      <w:pPr>
        <w:spacing w:after="0" w:line="136" w:lineRule="exact"/>
        <w:rPr>
          <w:rFonts w:ascii="Times New Roman" w:cs="Times New Roman" w:eastAsia="Times New Roman" w:hAnsi="Times New Roman"/>
          <w:sz w:val="12"/>
          <w:szCs w:val="12"/>
          <w:color w:val="auto"/>
        </w:rPr>
      </w:pPr>
    </w:p>
    <w:p>
      <w:pPr>
        <w:ind w:left="420" w:hanging="212"/>
        <w:spacing w:after="0" w:line="254" w:lineRule="auto"/>
        <w:tabs>
          <w:tab w:leader="none" w:pos="41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the Restructuring Effective Date, and in any event, not later than 120 days thereafter, the Board of Directors of CoreCo (the “CoreCo Board”) will adopt an equity incentive program for directors, officers, and other employees of NFE (the “NFE MIP”) that provides for the issuance of equity and/or equity-based compensation. 10% of the shares of Common Stock on a fully diluted basis as of the Restructuring Effective Date (prior to giving effect to any conversion of the CoreCo Convertible Preferred Stock into shares of Common Stock) and 7% of the CoreCo Convertible Preferred Stock outstanding as of the Restructuring Effective Date will be reserved for issuance in connection with the NFE MIP. The participants of the NFE MIP, the allocations, the reservation for future issuances, the form of equity-based compensation to such participants (including the amount of allocations and the timing of the grant of the equity-based compensation), and the terms and conditions of such equity-based compensation (including vesting, exercise prices, base values, hurdles, forfeiture, repurchase rights and transferability) will be determined by the CoreCo Board. The anticipated CoreCo Board will, as soon as reasonably practicable following its selection, engage a compensation consultant to assist it in evaluating and determining the terms and conditions of the equity-based compensation to be awarded under the NFE MIP. Awards granted under the NFE MIP will be issued under the Amended and Restated Incentive Plan, if the Incentive Plan Proposal and the other Restructuring Transaction Proposals are approved by our stockholders. Subject to such approval, the Amended and Restated Incentive Plan will become effective as of the Restructuring Effective Date; and</w:t>
      </w:r>
    </w:p>
    <w:p>
      <w:pPr>
        <w:spacing w:after="0" w:line="143" w:lineRule="exact"/>
        <w:rPr>
          <w:rFonts w:ascii="Times New Roman" w:cs="Times New Roman" w:eastAsia="Times New Roman" w:hAnsi="Times New Roman"/>
          <w:sz w:val="12"/>
          <w:szCs w:val="12"/>
          <w:color w:val="auto"/>
        </w:rPr>
      </w:pPr>
    </w:p>
    <w:p>
      <w:pPr>
        <w:ind w:left="420" w:hanging="212"/>
        <w:spacing w:after="0" w:line="257" w:lineRule="auto"/>
        <w:tabs>
          <w:tab w:leader="none" w:pos="41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required in order to meet a consolidated minimum liquidity threshold ($100 million) on the Restructuring Effective Date, or projected consolidated liquidity of not less than $100 million at the end of each monthly period projected by CoreCo’s business plan, the Company will offer to all eligible creditors the opportunity to participate in a capital raise, pursuant to which the Company would (x) raise up to $35 million (after giving effect to any original issue discount) in aggregate principal amount of additional New CoreCo Term Loans (such New CoreCo Term Loans, the "Senior Capital Raise Term Loans") and, (y) to the extent the consolidated minimum liquidity threshold would not be met after giving effect to the additional New CoreCo Term Loans, term loans second ranking to those described in (x) above (such term loans, the “Capital Raise Junior Term Loans,” and such raise of Senior Capital Raise Term Loans and/or Capital Raise Junior Term Loans, the “Capital Raise”) in an amount such that the consolidated minimum liquidity threshold would be met.</w:t>
      </w:r>
    </w:p>
    <w:p>
      <w:pPr>
        <w:spacing w:after="0" w:line="143"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Provided certain conditions are met (as set out in the RSA), the Company will pay to holders of or lenders under the debt instruments described above that became Supporting Creditors on or before 5:00 p.m. New York City time on April 8, 2026, an early consent fee (the “Early Consent Fee”) in an amount equal to 0.75% of the principal amount of such Supporting Creditors’ pro rata claim in:</w:t>
      </w:r>
    </w:p>
    <w:p>
      <w:pPr>
        <w:spacing w:after="0" w:line="129" w:lineRule="exact"/>
        <w:rPr>
          <w:sz w:val="20"/>
          <w:szCs w:val="20"/>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outstanding under the 2026 Legacy Notes for each supporting holder of 2026 Legacy Notes;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outstanding under the 2029 Legacy Notes for each supporting holder of 2029 Legacy Notes;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outstanding under the Term Loan B Credit Agreement for each supporting lender under the Term Loan B Credit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561" w:right="399" w:bottom="1440" w:gutter="0" w:footer="0" w:header="0"/>
        </w:sectPr>
      </w:pPr>
    </w:p>
    <w:bookmarkStart w:id="20" w:name="page21"/>
    <w:bookmarkEnd w:id="20"/>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outstanding under the R-1 Revolving Credit Facility for each supporting lender under the R-1 Revolving Credit Facility;</w:t>
      </w:r>
    </w:p>
    <w:p>
      <w:pPr>
        <w:spacing w:after="0" w:line="168" w:lineRule="exact"/>
        <w:rPr>
          <w:rFonts w:ascii="Times New Roman" w:cs="Times New Roman" w:eastAsia="Times New Roman" w:hAnsi="Times New Roman"/>
          <w:sz w:val="12"/>
          <w:szCs w:val="12"/>
          <w:color w:val="auto"/>
        </w:rPr>
      </w:pPr>
    </w:p>
    <w:p>
      <w:pPr>
        <w:ind w:left="420" w:right="40" w:hanging="212"/>
        <w:spacing w:after="0" w:line="265"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supporting lender under the R-2 Revolving Credit Facility, (i) the principal outstanding under the R-2 Revolving Credit Facility, plus (ii) a share of principal outstanding under the Series I Credit Agreement and the Series II Credit Agreement in proportion to the share of recoveries for lenders under the R-2 Revolving Credit Facility in respect of certain assets of NFE Financing together with a guarantee from Bradford County Real Estate Partners LLC (the “Brazil Collateral”) governed by an intercreditor agreement dated December 6, 2024 (the “Brazil Parent ICA”);</w:t>
      </w:r>
    </w:p>
    <w:p>
      <w:pPr>
        <w:spacing w:after="0" w:line="136" w:lineRule="exact"/>
        <w:rPr>
          <w:rFonts w:ascii="Times New Roman" w:cs="Times New Roman" w:eastAsia="Times New Roman" w:hAnsi="Times New Roman"/>
          <w:sz w:val="12"/>
          <w:szCs w:val="12"/>
          <w:color w:val="auto"/>
        </w:rPr>
      </w:pPr>
    </w:p>
    <w:p>
      <w:pPr>
        <w:ind w:left="420" w:right="140" w:hanging="212"/>
        <w:spacing w:after="0" w:line="279"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supporting lender under the Term Loan A Credit Agreement, (i) the principal outstanding under the Term Loan A Credit Agreement, plus (ii) a share of principal outstanding under the Series I Credit Agreement and the Series II Credit Agreement in proportion to the share of recoveries for lenders under the Term Loan A Credit Agreement in respect of the Brazil Collateral under the Brazil Parent ICA; and</w:t>
      </w:r>
    </w:p>
    <w:p>
      <w:pPr>
        <w:spacing w:after="0" w:line="129" w:lineRule="exact"/>
        <w:rPr>
          <w:rFonts w:ascii="Times New Roman" w:cs="Times New Roman" w:eastAsia="Times New Roman" w:hAnsi="Times New Roman"/>
          <w:sz w:val="12"/>
          <w:szCs w:val="12"/>
          <w:color w:val="auto"/>
        </w:rPr>
      </w:pPr>
    </w:p>
    <w:p>
      <w:pPr>
        <w:ind w:left="420" w:right="100" w:hanging="212"/>
        <w:spacing w:after="0" w:line="279"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supporting holder of the New 2029 Notes, a share of principal outstanding under the Series I Credit Agreement and the Series II Credit Agreement in proportion to the share of recoveries for holders of the New 2029 Notes in respect of the Brazil Collateral under the Brazil Parent ICA.</w:t>
      </w:r>
    </w:p>
    <w:p>
      <w:pPr>
        <w:spacing w:after="0" w:line="111"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As of April 30, 2026, the Company has received strong indications of support for the Restructuring Transaction from holders and lenders representing over 97% of its approximately $5.8 billion principal amount of aggregate indebtedness.</w:t>
      </w:r>
    </w:p>
    <w:p>
      <w:pPr>
        <w:spacing w:after="0" w:line="11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A Supporting Creditor’s entitlement to the Early Consent Fee will be determined by reference to the aggregate principal amount of notes and loans held by that Supporting Creditor as of the record date specified to creditors for voting under the Restructuring Plans. Such early consent fee will be payable in kind in the form of the consideration to be afforded to such Supporting Creditors under the Restructuring Plans. Separately, the Company has agreed to pay each lender under the Revolving Credit Agreement that agrees to forbear from taking any enforcement action under the Revolving Credit Agreement a standstill fee in an amount equal to 2.00% of the outstanding loans made by such forbearing lender, provided that a simple majority of lenders under the Revolving Credit Agreement agree to forbear.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Holder Elections</w:t>
      </w:r>
    </w:p>
    <w:p>
      <w:pPr>
        <w:spacing w:after="0" w:line="15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Holders of debt under the R-2 Revolving Credit Facility and the Term Loan A Credit Agreement were given the opportunity to elect to receive (a) their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share of $45 million in lieu of the BrazilCo Common Equity they would receive in exchange for their debt and holders of debt under the Revolving Credit Agreement were given the opportunity to elect to receive (b) additional New CoreCo Term Loans in lieu of the CoreCo Convertible Preferred Stock they would receive in exchange for their claims, up to a cap, at a rate of 50% of the liquidation preference of the CoreCo Convertible Preferred Stock in aggregate principal amount of New CoreCo Term Loans.</w:t>
      </w:r>
    </w:p>
    <w:p>
      <w:pPr>
        <w:spacing w:after="0" w:line="119"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In addition, pursuant to the terms of the RSA, upon consummation of the Restructuring Transaction, Wesley R. Edens will purchase from certain of our existing creditors 6,672 shares of CoreCo Convertible Preferred Stock (liquidation preference of $1,000 per share) at a price of $250 per share.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summarizes the allocation of the debt obligations and equity securities to be incurred or issued pursuant to the Restructuring Plans (taking into account the foregoing elections):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61"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1991360</wp:posOffset>
            </wp:positionH>
            <wp:positionV relativeFrom="page">
              <wp:posOffset>454660</wp:posOffset>
            </wp:positionV>
            <wp:extent cx="3840480" cy="1617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3840480" cy="161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firstLine="432"/>
        <w:spacing w:after="0" w:line="291" w:lineRule="auto"/>
        <w:rPr>
          <w:sz w:val="20"/>
          <w:szCs w:val="20"/>
          <w:color w:val="auto"/>
        </w:rPr>
      </w:pPr>
      <w:r>
        <w:rPr>
          <w:rFonts w:ascii="Times New Roman" w:cs="Times New Roman" w:eastAsia="Times New Roman" w:hAnsi="Times New Roman"/>
          <w:sz w:val="11"/>
          <w:szCs w:val="11"/>
          <w:color w:val="auto"/>
        </w:rPr>
        <w:t>The RSA sets forth the commitments of the Company and the Supporting Creditors to, among other things, cooperate in good faith to negotiate the definitive documents necessary or advisable to effect the Restructuring Transaction, use their commercially reasonable efforts to consummate the Restructuring Transaction in accordance with such definitive documents, and refrain from taking any actions that would impede or would otherwise be inconsistent with the Restructuring Transaction (including by supporting or consenting to any alternative transaction, subject, in the case of the Company, to a “fiduciary out”). In addition, the Supporting Creditors have agreed to forbear from exercising remedies (or directing or consenting to any such exercise of remedies) with respect to certain specified defaults and events of default under the applicable debt instruments while the RSA is in effect.</w:t>
      </w:r>
    </w:p>
    <w:p>
      <w:pPr>
        <w:spacing w:after="0" w:line="107" w:lineRule="exact"/>
        <w:rPr>
          <w:sz w:val="20"/>
          <w:szCs w:val="20"/>
          <w:color w:val="auto"/>
        </w:rPr>
      </w:pPr>
    </w:p>
    <w:p>
      <w:pPr>
        <w:jc w:val="both"/>
        <w:ind w:right="80" w:firstLine="432"/>
        <w:spacing w:after="0" w:line="265" w:lineRule="auto"/>
        <w:rPr>
          <w:sz w:val="20"/>
          <w:szCs w:val="20"/>
          <w:color w:val="auto"/>
        </w:rPr>
      </w:pPr>
      <w:r>
        <w:rPr>
          <w:rFonts w:ascii="Times New Roman" w:cs="Times New Roman" w:eastAsia="Times New Roman" w:hAnsi="Times New Roman"/>
          <w:sz w:val="12"/>
          <w:szCs w:val="12"/>
          <w:color w:val="auto"/>
        </w:rPr>
        <w:t>The parties’ obligations to consummate the Restructuring Transaction are subject to the satisfaction of certain conditions, including the High Court’s entry of an order sanctioning the Restructuring Plans and the recognition of that order in the United States pursuant to chapter 15 of title 11 of the United States Code (the "U.S. Bankruptcy Code"), completion of definitive documents acceptable to the parties in accordance with standards set forth in the RSA, approval of matters set forth herein by the Company’s stockholders, receipt of required regulatory and third-party consents and approvals, and satisfaction of certain process “milestones.”</w:t>
      </w:r>
    </w:p>
    <w:p>
      <w:pPr>
        <w:spacing w:after="0" w:line="119"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2"/>
          <w:szCs w:val="12"/>
          <w:color w:val="auto"/>
        </w:rPr>
        <w:t>The RSA may be terminated by the Company and/or the Supporting Creditors, as applicable, upon the occurrence of specified events, including, without limitation, if (1) a material, uncured breach of certain parties’ representations, warranties, covenants, or obligations under the RSA occurs, (2) any of the conditions to the closing of the Restructuring Transaction (including the timely satisfaction of any of the process “milestones” prescribed in the RSA) is not timely satisfied or waived, (3) certain issued letters of credit are drawn or (4) the Restructuring Transaction has not closed by September 15, 2026 (which date may be automatically extended by up to 90 calendar days in certain circumstances and further extended with the consent of certain parties in accordance with the terms of the RSA through December 31, 2026). In addition, the Company may terminate the RSA if the Board of Directors determines, upon the advice of counsel, that the Company’s continued performance under the RSA would be inconsistent with the fiduciary duties of the Company’s directors.</w:t>
      </w:r>
    </w:p>
    <w:p>
      <w:pPr>
        <w:spacing w:after="0" w:line="125" w:lineRule="exact"/>
        <w:rPr>
          <w:sz w:val="20"/>
          <w:szCs w:val="20"/>
          <w:color w:val="auto"/>
        </w:rPr>
      </w:pPr>
    </w:p>
    <w:p>
      <w:pPr>
        <w:ind w:right="360" w:firstLine="432"/>
        <w:spacing w:after="0" w:line="265" w:lineRule="auto"/>
        <w:rPr>
          <w:sz w:val="20"/>
          <w:szCs w:val="20"/>
          <w:color w:val="auto"/>
        </w:rPr>
      </w:pPr>
      <w:r>
        <w:rPr>
          <w:rFonts w:ascii="Times New Roman" w:cs="Times New Roman" w:eastAsia="Times New Roman" w:hAnsi="Times New Roman"/>
          <w:sz w:val="12"/>
          <w:szCs w:val="12"/>
          <w:color w:val="auto"/>
        </w:rPr>
        <w:t>Although the Company intends to pursue the Restructuring Transaction in accordance with the terms set forth in the RSA, there can be no assurance that the Company will satisfy all of the conditions under the RSA and complete the Restructuring Transaction as contemplated or at all. If the Company is unable to complete the Restructuring Transaction or any other alternative transactions, the Company will be required or compelled to pursue alternative in-court restructuring initiatives to preserve value, which would have a material and adverse impact on stockholders and likely result in no recovery to stockholders.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UK Restructuring Plans</w:t>
      </w:r>
    </w:p>
    <w:p>
      <w:pPr>
        <w:spacing w:after="0" w:line="154"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The Company intends to implement the Restructuring Transaction through restructuring plans promoted by each of two indirect subsidiaries of the Company, (i) NFE Global Holdings Limited (“NFE Global”) and (ii) NFE Brazil Newco Limited (“NFE Brazil Newco”) (each, a “PlanCo”) under Part 26A of the UK Companies Act 2006 (for each PlanCo, the “Restructuring Plan” and together, the “Restructuring Plans”) and sanctioned by the High Court. NFE Global will propose a Restructuring Plan (the “CoreCo Plan”) that will compromise the debt under the Series I Credit Agreement, Series II Credit Agreement, 2026 Legacy Notes, 2029 Legacy Notes, Revolving Credit Agreement, Term Loan A Credit Agreement and Term Loan B Credit Agreement, and NFE Brazil Newco will propose a Restructuring Plan (the “BrazilCo Plan”) that will compromise the debt under the New 2029 Notes. The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2" w:name="page23"/>
    <w:bookmarkEnd w:id="22"/>
    <w:p>
      <w:pPr>
        <w:jc w:val="both"/>
        <w:spacing w:after="0" w:line="265" w:lineRule="auto"/>
        <w:rPr>
          <w:sz w:val="20"/>
          <w:szCs w:val="20"/>
          <w:color w:val="auto"/>
        </w:rPr>
      </w:pPr>
      <w:r>
        <w:rPr>
          <w:rFonts w:ascii="Times New Roman" w:cs="Times New Roman" w:eastAsia="Times New Roman" w:hAnsi="Times New Roman"/>
          <w:sz w:val="12"/>
          <w:szCs w:val="12"/>
          <w:color w:val="auto"/>
        </w:rPr>
        <w:t>PlanCos will seek recognition of the Restructuring Plans in the United States pursuant to chapter 15 of the U.S. Bankruptcy Code. The Restructuring Plans will bind all relevant creditors, and release the obligations of the Company and all guarantors, under the debt instruments addressed in the Restructuring Plans; however, neither the Company nor any of its subsidiaries other than the PlanCos anticipate being parties to the Restructuring Plans proceedings in the High Court, the chapter 15 recognition proceedings or any other restructuring, bankruptcy or insolvency proceeding in connection with the Restructuring Plans or the Restructuring Transaction.</w:t>
      </w:r>
    </w:p>
    <w:p>
      <w:pPr>
        <w:spacing w:after="0" w:line="119"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The Company has chosen to implement the Restructuring Transaction through the Restructuring Plans. Doing so, among other things, would avoid placing the Company or its subsidiaries into a bankruptcy procedure under chapter 11 of the U.S. Bankruptcy Code, which would be value destructive for all stakeholders.</w:t>
      </w:r>
    </w:p>
    <w:p>
      <w:pPr>
        <w:spacing w:after="0" w:line="11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In order to be implemented, the Restructuring Plans will require: (i) in respect of the CoreCo Plan either (a) approval of the CoreCo Plan by a number representing at least 75 percent in value of each of the CoreCo Plan creditor classes, or (b) approval of the CoreCo Plan by a number representing at least 75 percent in value of one or more (but not all) CoreCo Plan creditor classes with a genuine economic interest in NFE Global in the event of the relevant alternative (being a bankruptcy procedure under chapter 11 of the U.S. Bankruptcy Code or other insolvency proceedings in respect of the Group), and reliance on the cross-class cram down feature in respect of the CoreCo Plan creditor classes not approving the CoreCo Plan, (ii) in respect of the BrazilCo Plan, approval of the BrazilCo Plan by a number representing at least 75 percent in value of the BrazilCo Plan creditor class, and (iii) in respect of both Restructuring Plans (a) the approval of the High Court by the granting of a sanction order, and (b) the delivery of a copy of the sanction order to the Registrar of Companies in England and Wales for registration. The Restructuring Plans are interconditional.</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Restructuring Plans will also be conditional on the approval of the Restructuring Transaction Proposals described herein.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addition, implementation of the Restructuring Transaction is conditional upon certain regulatory and other approvals, which the Company is currently seeking, including:</w:t>
      </w:r>
    </w:p>
    <w:p>
      <w:pPr>
        <w:spacing w:after="0" w:line="9"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Antitrust approvals in respect of the CoreCo group;</w:t>
      </w:r>
    </w:p>
    <w:p>
      <w:pPr>
        <w:spacing w:after="0" w:line="13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regulatory consents and approvals required for the continued operations of the CoreCo group and the BrazilCo group; and</w:t>
      </w:r>
    </w:p>
    <w:p>
      <w:pPr>
        <w:spacing w:after="0" w:line="150" w:lineRule="exact"/>
        <w:rPr>
          <w:rFonts w:ascii="Times New Roman" w:cs="Times New Roman" w:eastAsia="Times New Roman" w:hAnsi="Times New Roman"/>
          <w:sz w:val="12"/>
          <w:szCs w:val="12"/>
          <w:color w:val="auto"/>
        </w:rPr>
      </w:pPr>
    </w:p>
    <w:p>
      <w:pPr>
        <w:ind w:left="420" w:right="6100" w:hanging="212"/>
        <w:spacing w:after="0" w:line="559" w:lineRule="auto"/>
        <w:tabs>
          <w:tab w:leader="none" w:pos="417"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consents for change of control and related amendments under certain agreements with third parties. If these approvals are not obtained, then the Restructuring Transaction may not be implemented.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Dates and Deadlines in the Chapter 15 Cases of the PlanCos</w:t>
      </w:r>
    </w:p>
    <w:p>
      <w:pPr>
        <w:spacing w:after="0" w:line="21" w:lineRule="exact"/>
        <w:rPr>
          <w:sz w:val="20"/>
          <w:szCs w:val="20"/>
          <w:color w:val="auto"/>
        </w:rPr>
      </w:pPr>
    </w:p>
    <w:p>
      <w:pPr>
        <w:jc w:val="both"/>
        <w:ind w:right="360" w:firstLine="432"/>
        <w:spacing w:after="0" w:line="255" w:lineRule="auto"/>
        <w:rPr>
          <w:sz w:val="20"/>
          <w:szCs w:val="20"/>
          <w:color w:val="auto"/>
        </w:rPr>
      </w:pPr>
      <w:r>
        <w:rPr>
          <w:rFonts w:ascii="Times New Roman" w:cs="Times New Roman" w:eastAsia="Times New Roman" w:hAnsi="Times New Roman"/>
          <w:sz w:val="12"/>
          <w:szCs w:val="12"/>
          <w:color w:val="auto"/>
        </w:rPr>
        <w:t>The PlanCos intend to commence cases under chapter 15 of the U.S. Bankruptcy Code in the U.S. Bankruptcy Court for the Southern District of New York (the "Bankruptcy Court"). The PlanCos intend to file a verified petition (the "Verified Petition") in their chapter 15 cases seeking, among other things, entry of an order recognizing the proceedings before the High Court as foreign main proceedings pursuant to Bankruptcy Code section 1517, recognizing Christopher Boas as a “foreign representative” as defined in Bankruptcy Code section 101(24), and granting related relief.</w:t>
      </w:r>
    </w:p>
    <w:p>
      <w:pPr>
        <w:spacing w:after="0" w:line="143" w:lineRule="exact"/>
        <w:rPr>
          <w:sz w:val="20"/>
          <w:szCs w:val="20"/>
          <w:color w:val="auto"/>
        </w:rPr>
      </w:pPr>
    </w:p>
    <w:p>
      <w:pPr>
        <w:jc w:val="both"/>
        <w:ind w:right="60" w:firstLine="432"/>
        <w:spacing w:after="0" w:line="265" w:lineRule="auto"/>
        <w:rPr>
          <w:sz w:val="20"/>
          <w:szCs w:val="20"/>
          <w:color w:val="auto"/>
        </w:rPr>
      </w:pPr>
      <w:r>
        <w:rPr>
          <w:rFonts w:ascii="Times New Roman" w:cs="Times New Roman" w:eastAsia="Times New Roman" w:hAnsi="Times New Roman"/>
          <w:sz w:val="12"/>
          <w:szCs w:val="12"/>
          <w:color w:val="auto"/>
        </w:rPr>
        <w:t>The PlanCos intend to seek entry of a scheduling order from the Bankruptcy Court setting the deadline to object to the relief requested in the Verified Petition (the "Objection Deadline") and the date for the evidentiary hearing to consider the relief requested in the Verified Petition (the "Recognition Hearing"). The PlanCos will seek a Recognition Hearing date of June 23, 2026, or as soon as the Bankruptcy Court may be available, and an Objection Deadline of one week before such hearing.</w:t>
      </w:r>
    </w:p>
    <w:p>
      <w:pPr>
        <w:spacing w:after="0" w:line="128" w:lineRule="exact"/>
        <w:rPr>
          <w:sz w:val="20"/>
          <w:szCs w:val="20"/>
          <w:color w:val="auto"/>
        </w:rPr>
      </w:pPr>
    </w:p>
    <w:p>
      <w:pPr>
        <w:jc w:val="both"/>
        <w:ind w:right="160" w:firstLine="432"/>
        <w:spacing w:after="0" w:line="264" w:lineRule="auto"/>
        <w:rPr>
          <w:sz w:val="20"/>
          <w:szCs w:val="20"/>
          <w:color w:val="auto"/>
        </w:rPr>
      </w:pPr>
      <w:r>
        <w:rPr>
          <w:rFonts w:ascii="Times New Roman" w:cs="Times New Roman" w:eastAsia="Times New Roman" w:hAnsi="Times New Roman"/>
          <w:sz w:val="12"/>
          <w:szCs w:val="12"/>
          <w:color w:val="auto"/>
        </w:rPr>
        <w:t>Once the chapter 15 cases are filed, the Verified Petition, along with all other documents filed in the chapter 15 cases of the PlanCos will be available at https://cases.ra.kroll.com/NFEGlobal (the "Case Website"). An update regarding the Objection Deadline and the Recognition Hearing Date will be available on the Case Website.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the CoreCo Convertible Preferred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w:t>
      </w:r>
    </w:p>
    <w:p>
      <w:pPr>
        <w:spacing w:after="0" w:line="152" w:lineRule="exact"/>
        <w:rPr>
          <w:sz w:val="20"/>
          <w:szCs w:val="20"/>
          <w:color w:val="auto"/>
        </w:rPr>
      </w:pPr>
    </w:p>
    <w:p>
      <w:pPr>
        <w:jc w:val="both"/>
        <w:ind w:right="160" w:firstLine="432"/>
        <w:spacing w:after="0" w:line="265" w:lineRule="auto"/>
        <w:rPr>
          <w:sz w:val="20"/>
          <w:szCs w:val="20"/>
          <w:color w:val="auto"/>
        </w:rPr>
      </w:pPr>
      <w:r>
        <w:rPr>
          <w:rFonts w:ascii="Times New Roman" w:cs="Times New Roman" w:eastAsia="Times New Roman" w:hAnsi="Times New Roman"/>
          <w:sz w:val="12"/>
          <w:szCs w:val="12"/>
          <w:color w:val="auto"/>
        </w:rPr>
        <w:t>Under our Certificate of Incorporation, our Board of Directors is authorized, without further stockholder action, to issue up to 200,000,000 shares of preferred stock, par value $0.01 per share, in one or more series, in one or more series by filing a certificate of designations with the Secretary of State of the State of Delaware. Such certificate of designations may set forth the designations, powers, preferences and rights of the shares of each such series of preferred stock and the qualifications, limitations and restrictions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3" w:name="page24"/>
    <w:bookmarkEnd w:id="23"/>
    <w:p>
      <w:pPr>
        <w:ind w:right="40"/>
        <w:spacing w:after="0" w:line="279" w:lineRule="auto"/>
        <w:rPr>
          <w:sz w:val="20"/>
          <w:szCs w:val="20"/>
          <w:color w:val="auto"/>
        </w:rPr>
      </w:pPr>
      <w:r>
        <w:rPr>
          <w:rFonts w:ascii="Times New Roman" w:cs="Times New Roman" w:eastAsia="Times New Roman" w:hAnsi="Times New Roman"/>
          <w:sz w:val="12"/>
          <w:szCs w:val="12"/>
          <w:color w:val="auto"/>
        </w:rPr>
        <w:t>thereof, including the dividend rate, the redemption provisions, if any, the amount payable in the event of our voluntary or involuntary liquidation, winding up or dissolution, the terms and conditions, if any, of conversion and the voting right. As of the date of this Proxy Statement, no shares of preferred stock are outstanding.</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When issued, the CoreCo Convertible Preferred Stock, and any shares of Common Stock issued upon the conversion of the CoreCo Convertible Preferred Stock, will be fully paid and nonassessable, free from preemptive rights and free of any lien or adverse claim (except to the extent of any lien or adverse claim created by the action or inaction of the applicable holder).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Equiniti Trust Company, LLC serves as the transfer agent, registrar, paying agent and conversion agent for the CoreCo Convertible Preferred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Ranking</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CoreCo Convertible Preferred Stock, with respect to dividend rights and distribution rights upon our liquidation, dissolution or winding up, will rank:</w:t>
      </w:r>
    </w:p>
    <w:p>
      <w:pPr>
        <w:spacing w:after="0" w:line="150" w:lineRule="exact"/>
        <w:rPr>
          <w:sz w:val="20"/>
          <w:szCs w:val="20"/>
          <w:color w:val="auto"/>
        </w:rPr>
      </w:pPr>
    </w:p>
    <w:p>
      <w:pPr>
        <w:ind w:left="420" w:right="60" w:hanging="212"/>
        <w:spacing w:after="0" w:line="327" w:lineRule="auto"/>
        <w:tabs>
          <w:tab w:leader="none" w:pos="417"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senior to (i) our Common Stock and (ii) each other class or series of our Capital Stock, now existing or hereafter authorized, classified or reclassified, the terms of which do not expressly provide that such class or series ranks on a parity basis with or senior to the CoreCo Convertible Preferred Stock as to dividend rights and distribution rights upon our voluntary or involuntary liquidation, dissolution or winding up (collectively, “Junior Securities”);</w:t>
      </w:r>
    </w:p>
    <w:p>
      <w:pPr>
        <w:spacing w:after="0" w:line="85" w:lineRule="exact"/>
        <w:rPr>
          <w:rFonts w:ascii="Times New Roman" w:cs="Times New Roman" w:eastAsia="Times New Roman" w:hAnsi="Times New Roman"/>
          <w:sz w:val="11"/>
          <w:szCs w:val="11"/>
          <w:color w:val="auto"/>
        </w:rPr>
      </w:pPr>
    </w:p>
    <w:p>
      <w:pPr>
        <w:ind w:left="420" w:right="200" w:hanging="212"/>
        <w:spacing w:after="0" w:line="283" w:lineRule="auto"/>
        <w:tabs>
          <w:tab w:leader="none" w:pos="41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 parity with any class or series of our Capital Stock, the terms of which expressly provide that such class or series ranks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the CoreCo Convertible Preferred Stock as to dividend rights and distribution rights upon our voluntary or involuntary bankruptcy, liquidation, dissolution or winding up (collectively, “Parity Securities”); and</w:t>
      </w:r>
    </w:p>
    <w:p>
      <w:pPr>
        <w:spacing w:after="0" w:line="108" w:lineRule="exact"/>
        <w:rPr>
          <w:rFonts w:ascii="Times New Roman" w:cs="Times New Roman" w:eastAsia="Times New Roman" w:hAnsi="Times New Roman"/>
          <w:sz w:val="12"/>
          <w:szCs w:val="12"/>
          <w:color w:val="auto"/>
        </w:rPr>
      </w:pPr>
    </w:p>
    <w:p>
      <w:pPr>
        <w:ind w:left="420" w:right="200" w:hanging="212"/>
        <w:spacing w:after="0" w:line="300" w:lineRule="auto"/>
        <w:tabs>
          <w:tab w:leader="none" w:pos="417"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junior to any class or series of our Capital Stock, the terms of which expressly provide that such class or series ranks senior to the CoreCo Convertible Preferred Stock, has preference or priority over the CoreCo Convertible Preferred Stock as to dividend rights and distribution rights upon our voluntary or involuntary liquidation, dissolution or winding up (the issuance of which shall be subject to the consent of the holders of the CoreCo Convertible Preferred Stock as described herein), and junior to our existing and future indebtedness with respect to any distribution upon our liquidation, dissolution or winding up (collectively, “Senior Obligations”).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52"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From and after the Restructuring Effective Date, cumulative dividends on each share of CoreCo Convertible Preferred Stock will accrue on a daily basis in arrears at the applicable dividend rate on the sum of (i) the liquidation preference of $1,000 per share (the “Original Liquidation Preference”) plus (ii) once compounded, any compounded dividends thereon (the “Liquidation Preference”). Dividends on the CoreCo Convertible Preferred Stock will accrue whether or not earned or declared, and whether or not there are profits, surplus or other funds of the Company legally available for the payment of dividends.</w:t>
      </w:r>
    </w:p>
    <w:p>
      <w:pPr>
        <w:spacing w:after="0" w:line="119"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The dividend rate shall be as follows: (i) three percent (3.0%) per annum from the Restructuring Effective Date to, but not including, the first anniversary of the Restructuring Effective Date; (ii) five percent (5.0%) per annum from the first anniversary of the Restructuring Effective Date to, but not including, the second anniversary of the Restructuring Effective Date; and (iii) seven percent (7.0%) per annum thereafter to, but not including, the Mandatory Conversion Date (as defined herein).</w:t>
      </w:r>
    </w:p>
    <w:p>
      <w:pPr>
        <w:spacing w:after="0" w:line="119"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Dividends on the CoreCo Convertible Preferred Stock will be computed on the basis of a 360-day year, consisting of twelve 30-day calendar day periods. All dividends will compound quarterly on the last day of March, June, September and December of each calendar year, and will be automatically added to the then-current Liquidation Preference.</w:t>
      </w:r>
    </w:p>
    <w:p>
      <w:pPr>
        <w:spacing w:after="0" w:line="111" w:lineRule="exact"/>
        <w:rPr>
          <w:sz w:val="20"/>
          <w:szCs w:val="20"/>
          <w:color w:val="auto"/>
        </w:rPr>
      </w:pPr>
    </w:p>
    <w:p>
      <w:pPr>
        <w:ind w:right="40" w:firstLine="432"/>
        <w:spacing w:after="0" w:line="286" w:lineRule="auto"/>
        <w:rPr>
          <w:sz w:val="20"/>
          <w:szCs w:val="20"/>
          <w:color w:val="auto"/>
        </w:rPr>
      </w:pPr>
      <w:r>
        <w:rPr>
          <w:rFonts w:ascii="Times New Roman" w:cs="Times New Roman" w:eastAsia="Times New Roman" w:hAnsi="Times New Roman"/>
          <w:sz w:val="11"/>
          <w:szCs w:val="11"/>
          <w:color w:val="auto"/>
        </w:rPr>
        <w:t>Without the prior written consent of the holders constituting at least two-thirds of the outstanding voting power of the CoreCo Convertible Preferred Stock (the “Requisite Holders”), for so long as the shares of CoreCo Convertible Preferred Stock remain outstanding: (i) no dividends or other distributions (other than in shares of Common Stock or in shares of any class or series of preferred stock ranking junior to the CoreCo Convertible Preferred Stock as to dividends and upon liquidation) will be declared or paid or set aside for payment upon shares of Common Stock or preferred stock ranking junior to or on parity with the CoreCo Convertible Preferred Stock as to dividends or upon liquidation; and (ii) any shares of Common Stock or preferred stock ranking junior to or on a parity with the CoreCo Convertible Preferred Stock as to dividends or upon liquidation will not be redeemed, purchased or otherwise acquired for any consideration (or any moneys be paid to or made available for a sinking fund for the redemption of any such shares) by us, except (a) by conversion into or exchange for shares of, or options, warrants or rights 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24" w:name="page25"/>
    <w:bookmarkEnd w:id="24"/>
    <w:p>
      <w:pPr>
        <w:ind w:right="160"/>
        <w:spacing w:after="0" w:line="257" w:lineRule="auto"/>
        <w:rPr>
          <w:sz w:val="20"/>
          <w:szCs w:val="20"/>
          <w:color w:val="auto"/>
        </w:rPr>
      </w:pPr>
      <w:r>
        <w:rPr>
          <w:rFonts w:ascii="Times New Roman" w:cs="Times New Roman" w:eastAsia="Times New Roman" w:hAnsi="Times New Roman"/>
          <w:sz w:val="12"/>
          <w:szCs w:val="12"/>
          <w:color w:val="auto"/>
        </w:rPr>
        <w:t>purchase or subscribe for, other capital stock of the Company ranking junior to the CoreCo Convertible Preferred Stock as to dividends and upon liquidation, (b) in the case of the distribution of assets upon liquidation, dissolution or winding up, (c) repurchases of capital stock upon the exercise of warrants, options or other securities convertible into or exchangeable for capital stock or upon the vesting of any profits interests, restricted stock units or similar incentive interests, or (d) “net” or “cashless” exercises of warrants, options or other securities convertible into or exchangeable for capital stock (for purposes of exercising such warrants, options or other securities, including any transfer for the payment of tax withholdings or remittance payments due as a result of the vesting, settlement or exercise of such warrants, options or other securities), in each case if such capital stock represents all or a portion of the exercise price of such warrants, options or other securities as part of a “cashless” exercise upon such exercise or vesting, as applicable.</w:t>
      </w:r>
    </w:p>
    <w:p>
      <w:pPr>
        <w:spacing w:after="0" w:line="125"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Holders will fully participate in any dividends declared and paid or distributions on Common Stock as if the CoreCo Convertible Preferred Stock were converted into a number of shares of Common Stock (without regard to any limitations on conversion) equal to (i) the Liquidation Preference multiplied by (ii) the Conversion Rate in effect on the applicable record date (an “as-converted basis”).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Redemption</w:t>
      </w:r>
    </w:p>
    <w:p>
      <w:pPr>
        <w:spacing w:after="0" w:line="152"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The CoreCo Convertible Preferred Stock may be redeemed by the Company at its option by irrevocable written notice out of funds legally available therefor. The Company may redeem the CoreCo Convertible Preferred Stock, in full or in part, at any time with proceeds from (A) cash flow from operations, (B) asset sales, (C) sales of Junior Securities, and (D) incurrence of indebtedness, to the extent such incurrence (after giving effect to the use of proceeds therefrom) would not result in the Company’s consolidated total debt exceeding the consolidated total debt as of the Restructuring Effective Date. In addition, the Company may redeem the CoreCo Convertible Preferred Stock in full at any time with proceeds from the incurrence of indebtedness to the extent permitted by the New CoreCo Credit Agreement.</w:t>
      </w:r>
    </w:p>
    <w:p>
      <w:pPr>
        <w:spacing w:after="0" w:line="122"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The redemption price with respect to a share of CoreCo Convertible Preferred Stock will be equal to the Liquidation Preference as of the redemption date, plus any accrued and unpaid dividends not previously added to the Liquidation Preference to, but not including, the redemption date, payable in cash.</w:t>
      </w:r>
    </w:p>
    <w:p>
      <w:pPr>
        <w:spacing w:after="0" w:line="111"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The Company must provide holders with written notice (a “Redemption Notice”) of a redemption at least 10 calendar days but no more than 60 calendar days prior to the applicable redemption date, which Redemption Notice must state: (i) that a redemption is being made and the number of shares being redeemed; (ii) the redemption price; (iii) any conditions to the consummation of the redemption; and (iv) the redemption date (or, to the extent not ascertainable at the time of such notice, a good faith estimate of the redemption date). Any Redemption Notice may, at the Company’s discretion, be subject to one or more conditions precedent.</w:t>
      </w:r>
    </w:p>
    <w:p>
      <w:pPr>
        <w:spacing w:after="0" w:line="119"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On the redemption date, the Company will pay the aggregate redemption price to holders at account(s) designated by such holders. Upon payment in full, dividends with respect to redeemed shares of CoreCo Convertible Preferred Stock will cease to accumulate and all designations, rights, preferences, powers, qualifications, restrictions and limitations of such redeemed shares will terminate. If any shares of CoreCo Convertible Preferred Stock are not redeemed on the redemption date for any reason, such unredeemed shares will remain outstanding and continue to accumulate dividends until the earlier of the date the Company redeems and pays in full the redemption price for such shares and the Mandatory Conversion Date. All redemptions will be made on a pro rata basis among all holders in proportion to the number of shares of CoreCo Convertible Preferred Stock held by such holders.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 and its subsidiaries may, from time to time, repurchase CoreCo Convertible Preferred Stock in open market purchases or in negotiated transactions without prior notice to holders.</w:t>
      </w:r>
    </w:p>
    <w:p>
      <w:pPr>
        <w:spacing w:after="0" w:line="150" w:lineRule="exact"/>
        <w:rPr>
          <w:sz w:val="20"/>
          <w:szCs w:val="20"/>
          <w:color w:val="auto"/>
        </w:rPr>
      </w:pPr>
    </w:p>
    <w:p>
      <w:pPr>
        <w:ind w:right="340" w:firstLine="432"/>
        <w:spacing w:after="0" w:line="279" w:lineRule="auto"/>
        <w:rPr>
          <w:sz w:val="20"/>
          <w:szCs w:val="20"/>
          <w:color w:val="auto"/>
        </w:rPr>
      </w:pPr>
      <w:r>
        <w:rPr>
          <w:rFonts w:ascii="Times New Roman" w:cs="Times New Roman" w:eastAsia="Times New Roman" w:hAnsi="Times New Roman"/>
          <w:sz w:val="12"/>
          <w:szCs w:val="12"/>
          <w:color w:val="auto"/>
        </w:rPr>
        <w:t>Upon any share of CoreCo Convertible Preferred Stock ceasing to be outstanding, such share will be deemed automatically retired and will resume the status of an authorized and unissued shares of preferred stock of the Company, and such share cannot thereafter be reissued as CoreCo Convertible Preferred Stock.</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In determining whether the holders of the required number of outstanding shares of CoreCo Convertible Preferred Stock have concurred in any direction, waiver or consent, shares of CoreCo Convertible Preferred Stock owned by the Company or any of its subsidiaries will be deemed not to be outstanding.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Liquidation Preference</w:t>
      </w:r>
    </w:p>
    <w:p>
      <w:pPr>
        <w:spacing w:after="0" w:line="152"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In the event of a Liquidation Event (as defined below), subject to the rights of any of our creditors or holders of any outstanding indebtedness, each share of CoreCo Convertible Preferred Stock will entitle the holder thereof to receive payment for the Liquidation Preference, plus any accrued and unpaid dividends not previously added to the Liquidation Preference, whether or not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color w:val="auto"/>
        </w:rPr>
        <w:t>declared, out of our assets or funds legally available for distribution to our stockholders, before any such assets or funds are distributed to, or set aside for the benefit of, any Junior Securities.</w:t>
      </w:r>
    </w:p>
    <w:p>
      <w:pPr>
        <w:spacing w:after="0" w:line="150"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If, upon a Liquidation Event, our assets or funds are insufficient to fully pay such amount on all outstanding shares of CoreCo Convertible Preferred Stock and the corresponding amounts payable in respect of all outstanding shares of Parity Securities, if any, then, subject to the rights of any of our creditors or holders of any outstanding Senior Obligations, such assets or funds will be distributed ratably on the outstanding shares of CoreCo Convertible Preferred Stock and any Parity Securities in proportion to the full respective distributions to which such shares would otherwise be entitled.</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Upon payment of such amount in full on the outstanding CoreCo Convertible Preferred Stock, holders of the CoreCo Convertible Preferred Stock will have no right or claim to any of our remaining assets or funds.</w:t>
      </w:r>
    </w:p>
    <w:p>
      <w:pPr>
        <w:spacing w:after="0" w:line="150"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A “Liquidation Event” is defined in the Certificate of Designations to include: (i) any voluntary or involuntary liquidation, dissolution or winding up of the Company; (ii) the commencement of involuntary proceedings or filing of an involuntary petition seeking relief under Title 11 of the United States Code, or any other federal, state or foreign bankruptcy, insolvency, receivership or similar law, or the appointment of a receiver, trustee, custodian, sequestrator, conservator or similar official for the Company or a substantial part of its property, if such proceeding or petition continues undismissed for 60 days or an approving order or decree is entered; (iii) the voluntary commencement by the Company of any such proceeding, the Company’s consent to the institution of such proceedings or to the appointment of a receiver or similar official, the filing of an answer admitting material allegations, a general assignment for the benefit of creditors, or the Company’s inability or admission of inability to pay its debts as they become due; and (iv) a Deemed Liquidation Event (as defined below).</w:t>
      </w:r>
    </w:p>
    <w:p>
      <w:pPr>
        <w:spacing w:after="0" w:line="12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A “Deemed Liquidation Event” generally includes: (A) a consolidation or merger of the Company with or into another person (or a subsidiary merger in which the Company issues capital stock), unless the Company’s shares outstanding immediately prior thereto continue to represent at least a majority of the voting stock of the surviving entity (or its parent); (B) a disposition of assets representing greater than 80% of the aggregate book value of the Company’s and its subsidiaries’ consolidated assets; (C) a purchase, tender or exchange offer accepted by holders of more than 50% of the outstanding voting stock (not including shares held by the offeror or its affiliates); and (D) a stock purchase agreement or other business combination whereby another entity acquires more than 50% of the outstanding voting stock (not including shares held by such entity or its affiliates); provided, that any repurchase, redemption, or acquisition by the Company of its own capital stock, whether by open market purchase, tender offer, or otherwise, that results in a person acquiring at least a majority of the Company’s voting power will not be deemed a Liquidation Event.</w:t>
      </w:r>
    </w:p>
    <w:p>
      <w:pPr>
        <w:spacing w:after="0" w:line="125"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Our Certificate of Incorporation, including the Certificate of Designations for the CoreCo Convertible Preferred Stock (the "Certificate of Designations"), does not contain any provision requiring funds to be set aside to protect the liquidation preference of the CoreCo Convertible Preferred Stock even though it is substantially in excess of the par value thereof.</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Voting Rights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holders of the CoreCo Convertible Preferred Stock will not have voting, consent or waiver rights except as described below and as specifically required by Delaware law from time to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Right to Vote with Holders of Common Stock on an As-Converted Basis</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Holders of the CoreCo Convertible Preferred Stock will have the right to vote together as a single class with the holders of the Common Stock on an as-converted basis on each matter submitted for a vote, consent or waiver by the holders of Common Stock. Notwithstanding the foregoing, the aggregate voting power of the CoreCo Convertible Preferred Stock when voting with the holders of the Common Stock will be limited to the extent necessary to comply with the Nasdaq Listing Standard Rules, and any resulting limitation on the voting rights of the CoreCo Convertible Preferred Stock will apply pro rata among the holders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Protective Provisions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Each of the following events will require, and cannot be effected without, the affirmative vote, consent or waiver of the Requisite Holders:</w:t>
      </w:r>
    </w:p>
    <w:p>
      <w:pPr>
        <w:spacing w:after="0" w:line="150" w:lineRule="exact"/>
        <w:rPr>
          <w:sz w:val="20"/>
          <w:szCs w:val="20"/>
          <w:color w:val="auto"/>
        </w:rPr>
      </w:pPr>
    </w:p>
    <w:p>
      <w:pPr>
        <w:ind w:left="420" w:right="220" w:hanging="212"/>
        <w:spacing w:after="0" w:line="279" w:lineRule="auto"/>
        <w:tabs>
          <w:tab w:leader="none" w:pos="41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modification or repeal of any provision of the Certificate of Incorporation (including the Certificate of Designations) or Bylaws that disproportionately and adversely affects the rights, preferences or voting powers of the CoreCo Convertible Preferred Stock (other than an amendment, modification or repeal permitted in connection with the Company’s right to cure ambiguities or correct mistakes as described below);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26" w:name="page27"/>
    <w:bookmarkEnd w:id="26"/>
    <w:p>
      <w:pPr>
        <w:jc w:val="both"/>
        <w:ind w:left="420" w:right="60" w:hanging="212"/>
        <w:spacing w:after="0" w:line="265" w:lineRule="auto"/>
        <w:tabs>
          <w:tab w:leader="none" w:pos="41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 of any new Parity Interests or Senior Interests, or reclassification, alteration or amendment of any existing Equity Interests into, or issuance of any Equity Interests or debt securities convertible into, Parity Interests or Senior Interests; (“Equity Interests” means the Capital Stock of the Company, and all warrants, options or other rights to acquire such Capital Stock, but excluding any debt security that is convertible into, or exchangeable for, such Capital Stock);</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or decreases in the number of authorized or issued shares of CoreCo Convertible Preferred Stock;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mandatory exchange, reclassification or cancellation of all or part of the CoreCo Convertible Preferred Stock.</w:t>
      </w:r>
    </w:p>
    <w:p>
      <w:pPr>
        <w:spacing w:after="0" w:line="150"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Notwithstanding the foregoing, certain actions will be deemed not to adversely affect the special rights, preferences or voting powers of the CoreCo Convertible Preferred Stock and will not require any such vote, consent or waiver, including (A) increases in authorized shares of CoreCo Convertible Preferred Stock as necessary with respect to issuances of shares of CoreCo Convertible Preferred Stock pursuant to the terms of the Company’s Amended and Restated Incentive Plan, as may be further amended or supplemented and (B) the creation and issuance, or increase in the authorized or issued number, of any shares of any class or series of stock (notwithstanding the provisions of Section 242(b)(2) of the DGCL).</w:t>
      </w:r>
    </w:p>
    <w:p>
      <w:pPr>
        <w:spacing w:after="0" w:line="122"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The Company may also amend, modify or repeal any of the terms of the CoreCo Convertible Preferred Stock that do not, directly or indirectly, disproportionately and adversely affect the rights, preferences or voting powers of the CoreCo Convertible Preferred Stock, without the vote, consent or waiver of any holder to cure any bona fide ambiguity or correct any bona fide mistake, omission, defect or inconsistency.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Procedures for Voting, Consents and Waivers</w:t>
      </w:r>
    </w:p>
    <w:p>
      <w:pPr>
        <w:spacing w:after="0" w:line="152"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The CoreCo Board will adopt customary rules and procedures to govern any vote, consent or waiver of the holders, including fixing a record date, rules governing the solicitation and use of proxies or written consents and customary procedures for the nomination and designation, by holders, of directors for election; provided that, with respect to any matters voted on together with holders of Common Stock, the same rules and procedures that apply to holders of Common Stock will apply.</w:t>
      </w:r>
    </w:p>
    <w:p>
      <w:pPr>
        <w:spacing w:after="0" w:line="119"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Each share of CoreCo Convertible Preferred Stock outstanding as of the applicable record date will be entitled to one vote on each matter on which the holders are entitled to vote separately as a class and not together with the holders of any other class or series of stock.</w:t>
      </w:r>
    </w:p>
    <w:p>
      <w:pPr>
        <w:spacing w:after="0" w:line="111" w:lineRule="exact"/>
        <w:rPr>
          <w:sz w:val="20"/>
          <w:szCs w:val="20"/>
          <w:color w:val="auto"/>
        </w:rPr>
      </w:pPr>
    </w:p>
    <w:p>
      <w:pPr>
        <w:ind w:right="520" w:firstLine="432"/>
        <w:spacing w:after="0" w:line="279" w:lineRule="auto"/>
        <w:rPr>
          <w:sz w:val="20"/>
          <w:szCs w:val="20"/>
          <w:color w:val="auto"/>
        </w:rPr>
      </w:pPr>
      <w:r>
        <w:rPr>
          <w:rFonts w:ascii="Times New Roman" w:cs="Times New Roman" w:eastAsia="Times New Roman" w:hAnsi="Times New Roman"/>
          <w:sz w:val="12"/>
          <w:szCs w:val="12"/>
          <w:color w:val="auto"/>
        </w:rPr>
        <w:t>An affirmative vote, consent or waiver of the holders on the protective provisions described above may be given or obtained in writing without a meeting, notwithstanding anything to the contrary in the Certificate of Incorporation, the Bylaws or otherwise.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Mandatory Conversion</w:t>
      </w:r>
    </w:p>
    <w:p>
      <w:pPr>
        <w:spacing w:after="0" w:line="152"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Each outstanding share of CoreCo Convertible Preferred Stock, unless previously redeemed, will automatically convert on the third anniversary of the Restructuring Effective Date (the “Mandatory Conversion Date”), into a number of shares of Common Stock equal to the Conversion Rate as of immediately before the close of business on the business day immediately prior to the Mandatory Conversion Date.</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“Conversion Rate” initially means 52.821415 shares of Common Stock per share of CoreCo Convertible Preferred Stock, subject to adjustment as described in “</w:t>
      </w:r>
      <w:r>
        <w:rPr>
          <w:rFonts w:ascii="Times New Roman" w:cs="Times New Roman" w:eastAsia="Times New Roman" w:hAnsi="Times New Roman"/>
          <w:sz w:val="12"/>
          <w:szCs w:val="12"/>
          <w:i w:val="1"/>
          <w:iCs w:val="1"/>
          <w:color w:val="auto"/>
        </w:rPr>
        <w:t>Conversion Rate Adjustments</w:t>
      </w:r>
      <w:r>
        <w:rPr>
          <w:rFonts w:ascii="Times New Roman" w:cs="Times New Roman" w:eastAsia="Times New Roman" w:hAnsi="Times New Roman"/>
          <w:sz w:val="12"/>
          <w:szCs w:val="12"/>
          <w:color w:val="auto"/>
        </w:rPr>
        <w:t>” below.</w:t>
      </w:r>
    </w:p>
    <w:p>
      <w:pPr>
        <w:spacing w:after="0" w:line="152"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In lieu of delivering any fractional share of Common Stock otherwise due upon conversion, we will, to the extent we are legally able to do so and permitted under the terms of our indebtedness for borrowed money, pay cash based on the last reported sale price per share of Common Stock on the trading day immediately preceding the Mandatory Conversion Date.</w:t>
      </w:r>
    </w:p>
    <w:p>
      <w:pPr>
        <w:spacing w:after="0" w:line="111"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We will pay and deliver the conversion consideration due upon conversion through book-entry transfer through the facilities of the depositary, together with delivery of any cash in lieu of fractional shares, on the later of (i) the Mandatory Conversion Date and (ii) the business day after the holder has paid in full all applicable taxes and duties, if any.</w:t>
      </w:r>
    </w:p>
    <w:p>
      <w:pPr>
        <w:spacing w:after="0" w:line="111"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1"/>
          <w:szCs w:val="11"/>
          <w:color w:val="auto"/>
        </w:rPr>
        <w:t>Holders will be required to pay any taxes or duties relating to the issuance or delivery of our Common Stock if you exercise your conversion rights, but you will be required to pay any tax or duty that may be payable relating to any transfer involved in the issuance or delivery of the Common Stock in a name other than your own. Common Stock will be issued and delivered only after all applicable taxes and duties, if any, payable by you have been paid in full.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7" w:name="page28"/>
    <w:bookmarkEnd w:id="27"/>
    <w:p>
      <w:pPr>
        <w:ind w:right="500" w:firstLine="432"/>
        <w:spacing w:after="0" w:line="279" w:lineRule="auto"/>
        <w:rPr>
          <w:sz w:val="20"/>
          <w:szCs w:val="20"/>
          <w:color w:val="auto"/>
        </w:rPr>
      </w:pPr>
      <w:r>
        <w:rPr>
          <w:rFonts w:ascii="Times New Roman" w:cs="Times New Roman" w:eastAsia="Times New Roman" w:hAnsi="Times New Roman"/>
          <w:sz w:val="12"/>
          <w:szCs w:val="12"/>
          <w:color w:val="auto"/>
        </w:rPr>
        <w:t>The person or persons entitled to receive the Common Stock issuable upon conversion of the CoreCo Convertible Preferred Stock will be treated as the record holder(s) of such shares as of the close of business on the Mandatory Conversion 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Conversion Rate Adjustments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Conversion Rate will be adjusted from time to time as follows:</w:t>
      </w:r>
    </w:p>
    <w:p>
      <w:pPr>
        <w:spacing w:after="0" w:line="148"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Stock Dividends, Splits and Combinations. </w:t>
      </w:r>
      <w:r>
        <w:rPr>
          <w:rFonts w:ascii="Times New Roman" w:cs="Times New Roman" w:eastAsia="Times New Roman" w:hAnsi="Times New Roman"/>
          <w:sz w:val="12"/>
          <w:szCs w:val="12"/>
          <w:color w:val="auto"/>
        </w:rPr>
        <w:t>If we issue shares of Common Stock as a dividend or distribution on all or substantially all shares of the Common Stock, or if we effect a stock split, stock combination or similar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event, then the Conversion Rate will be adjusted based on the following formula: CR1 = CR0 × OS1 ÷ OS0, where CR0 is the Conversion Rate in effect immediately before the close of business on the record date for such dividend, distribution or other similar event, or immediately before the close of business on the effective date of such stock split, stock combination or other similar event, as applicable, CR1 is the Conversion Rate in effect immediately after such record date or effective date, as applicable, OS0 is the number of shares of Common Stock outstanding immediately before such date (without giving effect to such event), and OS1 is the number of shares of Common Stock outstanding immediately after giving effect to such event. If any such dividend, distribution, stock split, stock combination or similar event is declared or announced, but not actually paid or made, then the Conversion Rate will be readjusted to the price that would then be in effect had such event not been declared or announced.</w:t>
      </w:r>
    </w:p>
    <w:p>
      <w:pPr>
        <w:spacing w:after="0" w:line="12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Certain Issuances of Equity Interests. </w:t>
      </w:r>
      <w:r>
        <w:rPr>
          <w:rFonts w:ascii="Times New Roman" w:cs="Times New Roman" w:eastAsia="Times New Roman" w:hAnsi="Times New Roman"/>
          <w:sz w:val="12"/>
          <w:szCs w:val="12"/>
          <w:color w:val="auto"/>
        </w:rPr>
        <w:t>If we issue Equity Interests at any time after the initial issue date, without consideration or for a consideration per share less than the current market price as of the date of issuance, then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Conversion Rate will be increased concurrently with such issue to a price determined in accordance with the following formula: CR1 = CR0 × (OS1 × CMP) ÷ [OS0 × CMP + AC], where CR0 is the Conversion Rate in effect immediately prior to the close of business on the trading day immediately prior to the date of announcement of such issuance, CR1 is the Conversion Rate in effect immediately after the issuance, OS0 is the number of shares of Common Stock outstanding immediately prior to the issuance (including outstanding shares of Common Stock, all shares of CoreCo Convertible Preferred Stock on an as-converted basis, and all outstanding options on an as-exercised basis), OS1 is the number of shares of Common Stock outstanding immediately after the issuance (including outstanding shares of Common Stock, all shares of CoreCo Convertible Preferred Stock on an as-converted basis, and all outstanding options on an as-exercised basis), and AC is the aggregate consideration received in respect of the issuance, equal to the sum of (x) the purchase price payable solely in cash of all such securities, plus (y) the minimum aggregate amount, if any, payable upon exercise or conversion of any such convertible securities into shares of Common Stock, plus (z) the fair market value (as determined in good faith by the CoreCo Board) of any consideration that consists all or in part of property other than cash. Such adjustment will become effective immediately after the public announcement of such issuance.</w:t>
      </w:r>
    </w:p>
    <w:p>
      <w:pPr>
        <w:spacing w:after="0" w:line="12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If any such issuance is announced but not completed, the Conversion Rate will again be adjusted to be the Conversion Rate that would then be in effect if such issuance had not been announced. This adjustment will not apply to exempt issuances, which include (a) issuances or grants of shares of Common Stock or equivalents to directors, officers, employees or consultants in connection with equity compensation plans, (b) issuances upon exercise, exchange or conversion of existing securities outstanding as of the Restructuring Effective Date, (c) issuances of CoreCo Convertible Preferred Stock and Common Stock upon conversion thereof, and (d) securities issued pursuant to acquisitions or strategic transactions, provided any such issuance shall only be to a person which is, itself or through its subsidiaries, an operating company in a business synergistic with the business of the Company and in which the Company receives benefits in addition to the investment of funds, but shall not include a transaction in which the Company is issuing securities primarily for the purpose of raising capital or to an entity whose primary business is investing in securities.</w:t>
      </w:r>
    </w:p>
    <w:p>
      <w:pPr>
        <w:spacing w:after="0" w:line="123"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Stockholder Rights Plans. </w:t>
      </w:r>
      <w:r>
        <w:rPr>
          <w:rFonts w:ascii="Times New Roman" w:cs="Times New Roman" w:eastAsia="Times New Roman" w:hAnsi="Times New Roman"/>
          <w:sz w:val="12"/>
          <w:szCs w:val="12"/>
          <w:color w:val="auto"/>
        </w:rPr>
        <w:t>If any shares of Common Stock are to be issued upon conversion and, at the time of such conversion, we have in effect any stockholder rights plan, then holders will be entitled to receive, in addition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the consideration otherwise due upon conversion, the rights set forth in such stockholder rights plan, unless such rights have separated from the Common Stock at such time, in which case, and only in such case, such separation will require, at the time of such separation, distribution of such rights to the holders of CoreCo Convertible Preferred Stock on an as-converted basis.</w:t>
      </w:r>
    </w:p>
    <w:p>
      <w:pPr>
        <w:spacing w:after="0" w:line="119"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For purposes of Conversion Rate adjustments, the number of shares of Common Stock outstanding at any time will exclude shares of Common Stock held in the Company’s treasury, unless the Company pays any dividend or makes any distribution on shares of Common Stock held in its treasury.</w:t>
      </w:r>
    </w:p>
    <w:p>
      <w:pPr>
        <w:spacing w:after="0" w:line="10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Voluntary Conversion Rate Increases. </w:t>
      </w:r>
      <w:r>
        <w:rPr>
          <w:rFonts w:ascii="Times New Roman" w:cs="Times New Roman" w:eastAsia="Times New Roman" w:hAnsi="Times New Roman"/>
          <w:sz w:val="12"/>
          <w:szCs w:val="12"/>
          <w:color w:val="auto"/>
        </w:rPr>
        <w:t>To the extent permitted by law and applicable stock exchange rules, we may from time to time (but are not required to) increase the Conversion Rate if the CoreCo Board determines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increase is in our best interest or advisable to avoid or diminish any income tax imposed on holders of Common Stock, provided that (i) such increase is in effect for a period of at least 20 business days, (ii) such increase is irrevocable during such period, and (iii) any such increase that would be reasonably expected to result in any income tax imposed on holders of CoreCo Convertible Preferred Stock requires the affirmative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28" w:name="page29"/>
    <w:bookmarkEnd w:id="28"/>
    <w:p>
      <w:pPr>
        <w:ind w:right="220"/>
        <w:spacing w:after="0" w:line="279" w:lineRule="auto"/>
        <w:rPr>
          <w:sz w:val="20"/>
          <w:szCs w:val="20"/>
          <w:color w:val="auto"/>
        </w:rPr>
      </w:pPr>
      <w:r>
        <w:rPr>
          <w:rFonts w:ascii="Times New Roman" w:cs="Times New Roman" w:eastAsia="Times New Roman" w:hAnsi="Times New Roman"/>
          <w:sz w:val="12"/>
          <w:szCs w:val="12"/>
          <w:color w:val="auto"/>
        </w:rPr>
        <w:t>vote or consent of the Requisite Holders. No later than the first business day of the related 20 business day period, we will send notice to each holder, the Transfer Agent and the Conversion Agent of such increase to the Conversion Rate, the amount thereof and the period during which such decrease will be in effect.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Restriction on Conversions; Equity Treatment Limitation.</w:t>
      </w:r>
    </w:p>
    <w:p>
      <w:pPr>
        <w:spacing w:after="0" w:line="152"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Notwithstanding anything to the contrary, we will in no event be required to deliver any shares of Common Stock in settlement of the conversion of any CoreCo Convertible Preferred Stock to the extent, but only to the extent, that we do not then have sufficient authorized and unissued shares of Common Stock that are not reserved for other purposes (the “Equity Treatment Limitation,” and any shares of Common Stock that would otherwise be deliverable in excess of such authorized and unissued shares, the “Deficit Shares”). If any Deficit Shares are withheld pursuant to the Equity Treatment Limitation and, at any time thereafter, some or all of such Deficit Shares could be delivered without violating the Equity Treatment Limitation, then we will deliver such Deficit Shares to the extent permitted by the Equity Treatment Limitation, and this obligation will continue to apply until there are no remaining Deficit Shares.</w:t>
      </w:r>
    </w:p>
    <w:p>
      <w:pPr>
        <w:spacing w:after="0" w:line="125"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On the Restructuring Effective Date, the number of reserved shares will not be less than the share reserve requirement, and we will at all times reserve and keep available a number of shares of Common Stock to be no less than the share reserve requirement at any time when any CoreCo Convertible Preferred Stock is outstanding, including, if applicable, by seeking the approval of our stockholders to amend the Certificate of Incorporation to increase the number of authorized shares of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Effect of Common Stock Change Event</w:t>
      </w:r>
    </w:p>
    <w:p>
      <w:pPr>
        <w:spacing w:after="0" w:line="152"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2"/>
          <w:szCs w:val="12"/>
          <w:color w:val="auto"/>
        </w:rPr>
        <w:t>If there occurs any (i) recapitalization, reclassification or change of the Common Stock (other than changes solely resulting from a subdivision or combination, a change only in par value, or stock splits and stock combinations that do not involve the issuance of any other series or class of securities), (ii) consolidation, merger, combination or binding or statutory share exchange involving the Company, (iii) sale, lease or other transfer of all or substantially all of our assets and our subsidiaries’ assets, taken as a whole, to any person, or (iv) other similar event that does not constitute a liquidation event and as a result of which the Common Stock is converted into, or is exchanged for, or represents solely the right to receive, other securities, cash or other property, or any combination of the foregoing (a “Common Stock Change Event”), then from and after the effective time of such Common Stock Change Event, the consideration due upon conversion of any CoreCo Convertible Preferred Stock will be determined as if each reference to any number of shares of Common Stock were instead a reference to the same number of units of reference property (the kind and amount of consideration that a holder of one share of Common Stock would be entitled to receive on account of such Common Stock Change Event). If such reference property unit consists entirely of cash, we will pay the cash due in respect of all conversions occurring on the Mandatory Conversion Date no later than the tenth business day after the Mandatory Conversion Date. 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and we will notify the holders of such weighted average as soon as practicable after such determination is made.</w:t>
      </w:r>
    </w:p>
    <w:p>
      <w:pPr>
        <w:spacing w:after="0" w:line="126" w:lineRule="exact"/>
        <w:rPr>
          <w:sz w:val="20"/>
          <w:szCs w:val="20"/>
          <w:color w:val="auto"/>
        </w:rPr>
      </w:pPr>
    </w:p>
    <w:p>
      <w:pPr>
        <w:ind w:right="120" w:firstLine="432"/>
        <w:spacing w:after="0" w:line="260" w:lineRule="auto"/>
        <w:rPr>
          <w:sz w:val="20"/>
          <w:szCs w:val="20"/>
          <w:color w:val="auto"/>
        </w:rPr>
      </w:pPr>
      <w:r>
        <w:rPr>
          <w:rFonts w:ascii="Times New Roman" w:cs="Times New Roman" w:eastAsia="Times New Roman" w:hAnsi="Times New Roman"/>
          <w:sz w:val="12"/>
          <w:szCs w:val="12"/>
          <w:color w:val="auto"/>
        </w:rPr>
        <w:t>We will not become a party to any Common Stock Change Event unless its terms are consistent with these provisions. On or before the effective date, we and, if applicable, the resulting, surviving or transferee person (the “Successor Person”) will execute and deliver such supplemental instruments, if any, as we reasonably determine are necessary or desirable to (1) provide for subsequent adjustments to the Conversion Rate in a manner consistent with the Common Stock Change Event provisions and (2) give effect to such other provisions, if any, as we reasonably determine are appropriate to preserve the economic interests of the holders and to give effect to the Common Stock Change Event provisions.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will provide notice of each Common Stock Change Event to holders as promptly as possible after the effective date of the Common Stock Change Event.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Conversion Procedures</w:t>
      </w:r>
    </w:p>
    <w:p>
      <w:pPr>
        <w:spacing w:after="0" w:line="152"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Any conversion consideration will be delivered through book-entry transfer through the facilities of the depositary. No fractional shares of Common Stock will be issued to holders of the CoreCo Convertible Preferred Stock upon conversion. We will instead pay cash in lieu of any fractional share based on the last reported sale price per share of Common Stock on the trading day immediately preceding the Mandatory Conversion 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Reservation of Shares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29" w:name="page30"/>
    <w:bookmarkEnd w:id="29"/>
    <w:p>
      <w:pPr>
        <w:ind w:firstLine="432"/>
        <w:spacing w:after="0" w:line="265" w:lineRule="auto"/>
        <w:rPr>
          <w:sz w:val="20"/>
          <w:szCs w:val="20"/>
          <w:color w:val="auto"/>
        </w:rPr>
      </w:pPr>
      <w:r>
        <w:rPr>
          <w:rFonts w:ascii="Times New Roman" w:cs="Times New Roman" w:eastAsia="Times New Roman" w:hAnsi="Times New Roman"/>
          <w:sz w:val="12"/>
          <w:szCs w:val="12"/>
          <w:color w:val="auto"/>
        </w:rPr>
        <w:t>We will at all times reserve and keep available out of our authorized and unissued Common Stock, solely for issuance upon conversion of the CoreCo Convertible Preferred Stock, a number of shares of Common Stock equal to the number of shares of Common Stock that would be deliverable (without regard to any limitations on conversion) upon conversion of all CoreCo Convertible Preferred Stock outstanding as of such time (assuming such conversion occurred as of such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Transfer Agent and Registrar</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Equiniti Trust Company, LLC is the transfer agent, registrar, paying agent and conversion agent for the CoreCo Convertible Preferred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Book-Entry, Delivery and Form</w:t>
      </w:r>
    </w:p>
    <w:p>
      <w:pPr>
        <w:spacing w:after="0" w:line="152"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The CoreCo Convertible Preferred Stock will be issued in the form of one or more permanent global shares of CoreCo Convertible Preferred Stock in definitive, fully registered form eligible for book-entry settlement. The global preferred certificates will be deposited on behalf of holders with the registrar, at its New York office as custodian for the depositary (initially the Depository Trust Company (“DTC”) or its nominee), and registered in the name of the depositary.</w:t>
      </w:r>
    </w:p>
    <w:p>
      <w:pPr>
        <w:spacing w:after="0" w:line="119"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Members of, or participants in, the depositary will have no rights under the Certificate of Designations with respect to any global preferred share held on their behalf by the depositary or by the registrar as the custodian of the depositary, and the depositary may be treated by us, the registrar and any of our agents as the absolute owner of such global preferred share for all purposes.</w:t>
      </w:r>
    </w:p>
    <w:p>
      <w:pPr>
        <w:spacing w:after="0" w:line="111"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Owners of beneficial interests in global preferred shares will not be entitled to receive physical delivery of certificated shares of CoreCo Convertible Preferred Stock unless (x) the depositary notifies us that it is unwilling or unable to continue as depositary for the global preferred shares and we do not appoint a qualified replacement within 90 days, or (y) the depositary ceases to be a “clearing agency” registered under the Securities Exchange Act of 1934 (the “Exchange Act”) and we do not appoint a qualified replacement within 90 days, in which case the global preferred certificates will be exchanged in whole for definitive stock certificates that are not issued in global form.</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Transfers between participants in DTC will be effected in the ordinary way in accordance with DTC rules and will be settled in same-day funds.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understand that DTC is:</w:t>
      </w:r>
    </w:p>
    <w:p>
      <w:pPr>
        <w:spacing w:after="0" w:line="150" w:lineRule="exact"/>
        <w:rPr>
          <w:sz w:val="20"/>
          <w:szCs w:val="20"/>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purpose trust company organized under the laws of the State of New York;</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“banking organization” within the meaning of New York Banking Law;</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member of the Federal Reserve System;</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“clearing corporation” within the meaning of the Uniform Commercial Code;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“Clearing Agency” registered pursuant to the provisions of Section 17A of the Exchange Act.</w:t>
      </w:r>
    </w:p>
    <w:p>
      <w:pPr>
        <w:spacing w:after="0" w:line="150"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color w:val="auto"/>
        </w:rPr>
        <w:t>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w:t>
      </w:r>
    </w:p>
    <w:p>
      <w:pPr>
        <w:spacing w:after="0" w:line="111" w:lineRule="exact"/>
        <w:rPr>
          <w:sz w:val="20"/>
          <w:szCs w:val="20"/>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brokers and dealers;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banks and trust companies;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clearing corporations and certain other organizations.</w:t>
      </w:r>
    </w:p>
    <w:p>
      <w:pPr>
        <w:spacing w:after="0" w:line="150" w:lineRule="exact"/>
        <w:rPr>
          <w:sz w:val="20"/>
          <w:szCs w:val="20"/>
          <w:color w:val="auto"/>
        </w:rPr>
      </w:pPr>
    </w:p>
    <w:p>
      <w:pPr>
        <w:ind w:right="440" w:firstLine="432"/>
        <w:spacing w:after="0" w:line="279" w:lineRule="auto"/>
        <w:rPr>
          <w:sz w:val="20"/>
          <w:szCs w:val="20"/>
          <w:color w:val="auto"/>
        </w:rPr>
      </w:pPr>
      <w:r>
        <w:rPr>
          <w:rFonts w:ascii="Times New Roman" w:cs="Times New Roman" w:eastAsia="Times New Roman" w:hAnsi="Times New Roman"/>
          <w:sz w:val="12"/>
          <w:szCs w:val="12"/>
          <w:color w:val="auto"/>
        </w:rPr>
        <w:t>Indirect access to the DTC system is available to others such as banks, brokers, dealers and trust companies that clear through or maintain a custodial relationship with a participant, either directly or indirectly (indirect participants).</w:t>
      </w:r>
    </w:p>
    <w:p>
      <w:pPr>
        <w:spacing w:after="0" w:line="111"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Although DTC is expected to follow the foregoing procedures in order to facilitate transfers of interests in a global security among its participants, it is under no obligation to perform or continue to perform such procedures, and such procedures may be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0" w:name="page31"/>
    <w:bookmarkEnd w:id="30"/>
    <w:p>
      <w:pPr>
        <w:ind w:right="140"/>
        <w:spacing w:after="0" w:line="279" w:lineRule="auto"/>
        <w:rPr>
          <w:sz w:val="20"/>
          <w:szCs w:val="20"/>
          <w:color w:val="auto"/>
        </w:rPr>
      </w:pPr>
      <w:r>
        <w:rPr>
          <w:rFonts w:ascii="Times New Roman" w:cs="Times New Roman" w:eastAsia="Times New Roman" w:hAnsi="Times New Roman"/>
          <w:sz w:val="12"/>
          <w:szCs w:val="12"/>
          <w:color w:val="auto"/>
        </w:rPr>
        <w:t>discontinued at any time. None of us, the transfer agent, registrar, paying or conversion agent will have any responsibility for the performance by DTC or its participants or indirect participants of their respective obligations under the rules and procedures governing their operations.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in this section concerning DTC and its book-entry system has been obtained from sources that we believe to be reliable, but we take no responsibility for the accuracy thereof.</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Termination of Existing NFE Indebtedness</w:t>
      </w:r>
    </w:p>
    <w:p>
      <w:pPr>
        <w:spacing w:after="0" w:line="154"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As described herein, the debt under the Series I Credit Agreement, Series II Credit Agreement, 2026 Legacy Notes, 2029 Legacy Notes, Revolving Credit Agreement, Term Loan A Credit Agreement, Term Loan B Credit Agreement, New 2029 Notes and Brazil Parent Intercompany Credit Agreement shall be released in full pursuant to the Restructuring Transaction and implemented by the Restructuring Plans.</w:t>
      </w:r>
    </w:p>
    <w:p>
      <w:pPr>
        <w:spacing w:after="0" w:line="11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On the Restructuring Effective Date, all valid net intercompany claims of CoreCo against BrazilCo (other than claims arising under the Series I Credit Agreement, Series II Credit Agreement and Brazil Parent Intercompany Credit Agreement) (such claims, the “Net BrazilCo–CoreCo Intercompany Claim”) will be replaced with a loan, promissory note, or other debt instrument in an aggregate principal amount equal to the Net BrazilCo–CoreCo Intercompany Claim, which will bear interest at a rate of 8.00% per annum, payable quarterly in cash, will mature on the business day immediately preceding the third anniversary of the Restructuring Effective Date, and otherwise shall be on terms and subject to conditions to be mutually agreed between the Company and the Majority Supporting Creditors (as defined in the RSA).</w:t>
      </w:r>
    </w:p>
    <w:p>
      <w:pPr>
        <w:spacing w:after="0" w:line="122"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In addition, on the Restructuring Effective Date, each of the 2026 Legacy Notes, the 2029 Legacy Notes, the Term Loan A Credit Agreement, Term Loan B Credit Agreement, Revolving Credit Agreement, the New 2029 Notes, the Series I Credit Agreement and Series II Credit Agreement, and all obligations thereunder shall be terminated, and all liens in connection therewith shall be released, and exchanged for one or a combination of the following debt obligations, (1) 100% of the common equity interests in BrazilCo, (2) the New CoreCo Term Loans, (3) shares of CoreCo Convertible Preferred Stock and Common Stock to be issued in the Proposed CoreCo Equity Issuances (as defined in Proposal 4), (4) corporate governance matters regarding CoreCo, (5) the FLNG 2 Term Loans and/or (6) the FLNG 2 Preferred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Separation of Brazil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Separation Agreement</w:t>
      </w:r>
    </w:p>
    <w:p>
      <w:pPr>
        <w:spacing w:after="0" w:line="161" w:lineRule="exact"/>
        <w:rPr>
          <w:sz w:val="20"/>
          <w:szCs w:val="20"/>
          <w:color w:val="auto"/>
        </w:rPr>
      </w:pPr>
    </w:p>
    <w:p>
      <w:pPr>
        <w:ind w:right="40" w:firstLine="432"/>
        <w:spacing w:after="0"/>
        <w:rPr>
          <w:sz w:val="20"/>
          <w:szCs w:val="20"/>
          <w:color w:val="auto"/>
        </w:rPr>
      </w:pPr>
      <w:r>
        <w:rPr>
          <w:rFonts w:ascii="Times New Roman" w:cs="Times New Roman" w:eastAsia="Times New Roman" w:hAnsi="Times New Roman"/>
          <w:sz w:val="12"/>
          <w:szCs w:val="12"/>
          <w:color w:val="auto"/>
        </w:rPr>
        <w:t>The Company intends to enter into a separation agreement (the “Separation Agreement”) with BrazilCo substantially concurrently with the consummation of the Restructuring Transaction, which will set forth the Company’s agreements with BrazilCo regarding the principal actions to be taken in connection with the separation of the Company’s Brazil business from its other businesses and the transfer of all of the issued and outstanding equity interests of BrazilCo to the holders of the New 2029 Notes, holders of the debt under the R-2 Revolving Credit Facility and the holders of the debt under the Term Loan A Credit Agreement, as applicable, pursuant to the RSA, the Restructuring Plans and the Transaction Implementation Deed (collectively, the “BrazilCo Separation”). It will also set forth other agreements that govern certain aspects of the Company’s relationship with BrazilCo following the BrazilCo Separation. For purposes of this section, references to “BrazilCo” shall mean NFE Brazil Holdings Limited, a Bermuda exempted company limited by shares, and Bradford County Real Estate Partners LLC, a Delaware limited liability company (or a holding company or holding companies thereof, if applicable).</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u w:val="single" w:color="auto"/>
          <w:color w:val="auto"/>
        </w:rPr>
        <w:t>Transfer of Assets and Assumption of Liabilities</w:t>
      </w:r>
      <w:r>
        <w:rPr>
          <w:rFonts w:ascii="Times New Roman" w:cs="Times New Roman" w:eastAsia="Times New Roman" w:hAnsi="Times New Roman"/>
          <w:sz w:val="11"/>
          <w:szCs w:val="11"/>
          <w:color w:val="auto"/>
        </w:rPr>
        <w:t>. The Separation Agreement will identify categories of assets and liabilities to be contractually allocated to each of the Company and BrazilCo as part of the BrazilCo Separation.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particular, the Separation Agreement will provide that, among other things and subject to the terms and conditions contained in the Separation Agreement:</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Assets</w:t>
      </w:r>
    </w:p>
    <w:p>
      <w:pPr>
        <w:spacing w:after="0" w:line="182"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14"/>
          <w:szCs w:val="14"/>
          <w:color w:val="auto"/>
        </w:rPr>
      </w:pPr>
      <w:r>
        <w:rPr>
          <w:rFonts w:ascii="Times New Roman" w:cs="Times New Roman" w:eastAsia="Times New Roman" w:hAnsi="Times New Roman"/>
          <w:sz w:val="12"/>
          <w:szCs w:val="12"/>
          <w:color w:val="auto"/>
        </w:rPr>
        <w:t>Generally, assets primarily or exclusively related to the Brazil business have been contractually allocated to BrazilCo, and all other assets of the Company have been contractually retained by the Company;</w:t>
      </w:r>
    </w:p>
    <w:p>
      <w:pPr>
        <w:spacing w:after="0" w:line="169" w:lineRule="exact"/>
        <w:rPr>
          <w:rFonts w:ascii="Arial" w:cs="Arial" w:eastAsia="Arial" w:hAnsi="Arial"/>
          <w:sz w:val="14"/>
          <w:szCs w:val="14"/>
          <w:color w:val="auto"/>
        </w:rPr>
      </w:pPr>
    </w:p>
    <w:p>
      <w:pPr>
        <w:ind w:left="420" w:right="140" w:hanging="212"/>
        <w:spacing w:after="0" w:line="232" w:lineRule="auto"/>
        <w:tabs>
          <w:tab w:leader="none" w:pos="416" w:val="left"/>
        </w:tabs>
        <w:numPr>
          <w:ilvl w:val="0"/>
          <w:numId w:val="30"/>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the equity interests of certain subsidiaries and joint ventures and other minority equity interests intended to be owned by BrazilCo after the BrazilCo Separation, which, in each case, generally consist of BrazilCo’s current subsidiaries, joint ventures and other minority equity interests, and the Company has contractually retained all other subsidiaries, joint ventures and other minority equity interests;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1" w:name="page32"/>
    <w:bookmarkEnd w:id="31"/>
    <w:p>
      <w:pPr>
        <w:ind w:left="220" w:right="360" w:hanging="212"/>
        <w:spacing w:after="0" w:line="232" w:lineRule="auto"/>
        <w:tabs>
          <w:tab w:leader="none" w:pos="216"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certain real property owned or leased by BrazilCo or its subsidiaries and as set forth on a schedule (including owned and leased property set forth therein), and the Company has contractually retained all other owned and/or leased real property;</w:t>
      </w:r>
    </w:p>
    <w:p>
      <w:pPr>
        <w:spacing w:after="0" w:line="169" w:lineRule="exact"/>
        <w:rPr>
          <w:rFonts w:ascii="Arial" w:cs="Arial" w:eastAsia="Arial" w:hAnsi="Arial"/>
          <w:sz w:val="14"/>
          <w:szCs w:val="14"/>
          <w:color w:val="auto"/>
        </w:rPr>
      </w:pPr>
    </w:p>
    <w:p>
      <w:pPr>
        <w:ind w:left="220" w:right="80" w:hanging="212"/>
        <w:spacing w:after="0" w:line="233" w:lineRule="auto"/>
        <w:tabs>
          <w:tab w:leader="none" w:pos="216"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certain (i) contracts that are exclusively related to the Brazil business, assets and/or liabilities, (ii) contracts to which the Company or any of its subsidiaries was a party that are not related (other than in a de minimis respect) to either the Company or BrazilCo and are set forth on a schedule, and (iii) shared contracts (or portions thereof) set forth on a schedule, and the Company has contractually retained all other contracts;</w:t>
      </w:r>
    </w:p>
    <w:p>
      <w:pPr>
        <w:spacing w:after="0" w:line="169" w:lineRule="exact"/>
        <w:rPr>
          <w:rFonts w:ascii="Arial" w:cs="Arial" w:eastAsia="Arial" w:hAnsi="Arial"/>
          <w:sz w:val="14"/>
          <w:szCs w:val="14"/>
          <w:color w:val="auto"/>
        </w:rPr>
      </w:pPr>
    </w:p>
    <w:p>
      <w:pPr>
        <w:ind w:left="220" w:right="320" w:hanging="212"/>
        <w:spacing w:after="0" w:line="232" w:lineRule="auto"/>
        <w:tabs>
          <w:tab w:leader="none" w:pos="216"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certain trademarks and patents set forth on a schedule and other intellectual property that is exclusively related to, or exclusively used or held for use in, the conduct of the Brazil business, and the Company has contractually retained the NFE name and has been contractually allocated all other intellectual property, trademarks and patents;</w:t>
      </w:r>
    </w:p>
    <w:p>
      <w:pPr>
        <w:spacing w:after="0" w:line="154"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Employees and/or other service providers who provide services to BrazilCo and are employed by BrazilCo will remain employees of BrazilCo;</w:t>
      </w:r>
    </w:p>
    <w:p>
      <w:pPr>
        <w:spacing w:after="0" w:line="169"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1"/>
        </w:numPr>
        <w:rPr>
          <w:rFonts w:ascii="Arial" w:cs="Arial" w:eastAsia="Arial" w:hAnsi="Arial"/>
          <w:sz w:val="13"/>
          <w:szCs w:val="13"/>
          <w:color w:val="auto"/>
        </w:rPr>
      </w:pPr>
      <w:r>
        <w:rPr>
          <w:rFonts w:ascii="Times New Roman" w:cs="Times New Roman" w:eastAsia="Times New Roman" w:hAnsi="Times New Roman"/>
          <w:sz w:val="11"/>
          <w:szCs w:val="11"/>
          <w:color w:val="auto"/>
        </w:rPr>
        <w:t>BrazilCo has contractually retained the sponsorship of and all assets of any BrazilCo employee benefit plan, and the Company has contractually retained the sponsorship of and all assets of any Company employee benefit plan;</w:t>
      </w:r>
    </w:p>
    <w:p>
      <w:pPr>
        <w:spacing w:after="0" w:line="174" w:lineRule="exact"/>
        <w:rPr>
          <w:rFonts w:ascii="Arial" w:cs="Arial" w:eastAsia="Arial" w:hAnsi="Arial"/>
          <w:sz w:val="13"/>
          <w:szCs w:val="13"/>
          <w:color w:val="auto"/>
        </w:rPr>
      </w:pPr>
    </w:p>
    <w:p>
      <w:pPr>
        <w:ind w:left="220" w:right="220" w:hanging="212"/>
        <w:spacing w:after="0" w:line="232" w:lineRule="auto"/>
        <w:tabs>
          <w:tab w:leader="none" w:pos="216"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certain IT assets that are exclusively related to, or exclusively used or held for use in, the Brazil business (subject to certain limited exceptions), and the Company has contractually retained all other IT assets;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all tax refunds and tax attributes of BrazilCo;</w:t>
      </w:r>
    </w:p>
    <w:p>
      <w:pPr>
        <w:spacing w:after="0" w:line="169" w:lineRule="exact"/>
        <w:rPr>
          <w:rFonts w:ascii="Arial" w:cs="Arial" w:eastAsia="Arial" w:hAnsi="Arial"/>
          <w:sz w:val="14"/>
          <w:szCs w:val="14"/>
          <w:color w:val="auto"/>
        </w:rPr>
      </w:pPr>
    </w:p>
    <w:p>
      <w:pPr>
        <w:ind w:left="220" w:right="80" w:hanging="212"/>
        <w:spacing w:after="0" w:line="232" w:lineRule="auto"/>
        <w:tabs>
          <w:tab w:leader="none" w:pos="216"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financial assets to the extent related to the Brazil business and/or that are owned by BrazilCo or one of its subsidiaries, and the Company has generally been contractually allocated all other financial assets; and</w:t>
      </w:r>
    </w:p>
    <w:p>
      <w:pPr>
        <w:spacing w:after="0" w:line="163" w:lineRule="exact"/>
        <w:rPr>
          <w:rFonts w:ascii="Arial" w:cs="Arial" w:eastAsia="Arial" w:hAnsi="Arial"/>
          <w:sz w:val="14"/>
          <w:szCs w:val="14"/>
          <w:color w:val="auto"/>
        </w:rPr>
      </w:pPr>
    </w:p>
    <w:p>
      <w:pPr>
        <w:ind w:left="260" w:hanging="252"/>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BrazilCo has been contractually allocated certain other assets set forth on a schedule.</w:t>
      </w:r>
    </w:p>
    <w:p>
      <w:pPr>
        <w:spacing w:after="0" w:line="1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Liabilities</w:t>
      </w:r>
    </w:p>
    <w:p>
      <w:pPr>
        <w:spacing w:after="0" w:line="188" w:lineRule="exact"/>
        <w:rPr>
          <w:sz w:val="20"/>
          <w:szCs w:val="20"/>
          <w:color w:val="auto"/>
        </w:rPr>
      </w:pPr>
    </w:p>
    <w:p>
      <w:pPr>
        <w:ind w:left="220" w:right="20" w:hanging="212"/>
        <w:spacing w:after="0" w:line="232" w:lineRule="auto"/>
        <w:tabs>
          <w:tab w:leader="none" w:pos="216"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Generally, liabilities to the extent related to the Brazil business (and solely such portion of such liabilities) have been contractually allocated to BrazilCo, and all other liabilities of the Company have been contractually retained by the Company;</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Each of the Company and BrazilCo have been contractually allocated liabilities to the extent relating to any of their respective financing arrangements;</w:t>
      </w:r>
    </w:p>
    <w:p>
      <w:pPr>
        <w:spacing w:after="0" w:line="169" w:lineRule="exact"/>
        <w:rPr>
          <w:rFonts w:ascii="Arial" w:cs="Arial" w:eastAsia="Arial" w:hAnsi="Arial"/>
          <w:sz w:val="14"/>
          <w:szCs w:val="14"/>
          <w:color w:val="auto"/>
        </w:rPr>
      </w:pPr>
    </w:p>
    <w:p>
      <w:pPr>
        <w:ind w:left="220" w:right="180" w:hanging="212"/>
        <w:spacing w:after="0" w:line="225" w:lineRule="auto"/>
        <w:tabs>
          <w:tab w:leader="none" w:pos="216"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generally been contractually allocated liabilities (including environmental liabilities) to the extent related to businesses and operations of BrazilCo that were previously discontinued or divested that were, at the time of discontinuation or divestment, managed in all but de minimis respects by or exclusively associated with the Brazil business or any portion thereof as then conducted, or set forth on a schedule;</w:t>
      </w:r>
    </w:p>
    <w:p>
      <w:pPr>
        <w:spacing w:after="0" w:line="169" w:lineRule="exact"/>
        <w:rPr>
          <w:rFonts w:ascii="Arial" w:cs="Arial" w:eastAsia="Arial" w:hAnsi="Arial"/>
          <w:sz w:val="14"/>
          <w:szCs w:val="14"/>
          <w:color w:val="auto"/>
        </w:rPr>
      </w:pPr>
    </w:p>
    <w:p>
      <w:pPr>
        <w:ind w:left="220" w:right="160" w:hanging="212"/>
        <w:spacing w:after="0" w:line="233" w:lineRule="auto"/>
        <w:tabs>
          <w:tab w:leader="none" w:pos="216"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2"/>
          <w:szCs w:val="12"/>
          <w:color w:val="auto"/>
        </w:rPr>
        <w:t>In respect of other environmental liabilities not already covered by the above, BrazilCo has been contractually allocated (i) any environmental liabilities to the extent relating to any real property contractually allocated to BrazilCo, (ii) any environmental liabilities relating to any legacy sites that were managed in all but de minimis respects by or exclusively associated with the Brazil business or set forth on a schedule, (iii) any environmental liabilities to the extent related to, arising out of or resulting from the operation or conduct of the Brazil business and (iv) any offsite environmental liabilities to the extent related to, arising out of or resulting from wastes generated at such properties or by the Brazil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39370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500" w:top="741" w:right="319" w:bottom="1440" w:gutter="0" w:footer="0" w:header="0"/>
        </w:sectPr>
      </w:pPr>
    </w:p>
    <w:bookmarkStart w:id="32" w:name="page33"/>
    <w:bookmarkEnd w:id="32"/>
    <w:p>
      <w:pPr>
        <w:ind w:left="428" w:right="140" w:hanging="212"/>
        <w:spacing w:after="0" w:line="232" w:lineRule="auto"/>
        <w:tabs>
          <w:tab w:leader="none" w:pos="424" w:val="left"/>
        </w:tabs>
        <w:numPr>
          <w:ilvl w:val="1"/>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and its applicable subsidiaries have been contractually allocated liabilities for borrowed money, interest rate swaps and similar arrangements and indebtedness that were incurred or guaranteed by BrazilCo or any of such subsidiaries;</w:t>
      </w:r>
    </w:p>
    <w:p>
      <w:pPr>
        <w:spacing w:after="0" w:line="169" w:lineRule="exact"/>
        <w:rPr>
          <w:rFonts w:ascii="Arial" w:cs="Arial" w:eastAsia="Arial" w:hAnsi="Arial"/>
          <w:sz w:val="14"/>
          <w:szCs w:val="14"/>
          <w:color w:val="auto"/>
        </w:rPr>
      </w:pPr>
    </w:p>
    <w:p>
      <w:pPr>
        <w:jc w:val="both"/>
        <w:ind w:left="428" w:right="240" w:hanging="212"/>
        <w:spacing w:after="0" w:line="233" w:lineRule="auto"/>
        <w:tabs>
          <w:tab w:leader="none" w:pos="424" w:val="left"/>
        </w:tabs>
        <w:numPr>
          <w:ilvl w:val="1"/>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contractually retained all liabilities related to, arising out of or resulting from (i) any current or former employee or other service provider of BrazilCo, whether occurring prior to, on or following the BrazilCo Separation, and (ii) BrazilCo employee benefit plans, and the Company has contractually retained all liabilities related to, arising out of or resulting from (x) any current or former employee or other service provider of the Company, whether occurring prior to, on or following the BrazilCo Separation, and (y) Company employee benefit plans;</w:t>
      </w:r>
    </w:p>
    <w:p>
      <w:pPr>
        <w:spacing w:after="0" w:line="163" w:lineRule="exact"/>
        <w:rPr>
          <w:rFonts w:ascii="Arial" w:cs="Arial" w:eastAsia="Arial" w:hAnsi="Arial"/>
          <w:sz w:val="14"/>
          <w:szCs w:val="14"/>
          <w:color w:val="auto"/>
        </w:rPr>
      </w:pPr>
    </w:p>
    <w:p>
      <w:pPr>
        <w:ind w:left="428" w:hanging="212"/>
        <w:spacing w:after="0"/>
        <w:tabs>
          <w:tab w:leader="none" w:pos="428" w:val="left"/>
        </w:tabs>
        <w:numPr>
          <w:ilvl w:val="1"/>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generally retained, assumed or been contractually allocated other financial liabilities to the extent related to the Brazil business;</w:t>
      </w:r>
    </w:p>
    <w:p>
      <w:pPr>
        <w:spacing w:after="0" w:line="163" w:lineRule="exact"/>
        <w:rPr>
          <w:rFonts w:ascii="Arial" w:cs="Arial" w:eastAsia="Arial" w:hAnsi="Arial"/>
          <w:sz w:val="14"/>
          <w:szCs w:val="14"/>
          <w:color w:val="auto"/>
        </w:rPr>
      </w:pPr>
    </w:p>
    <w:p>
      <w:pPr>
        <w:ind w:left="428" w:hanging="212"/>
        <w:spacing w:after="0"/>
        <w:tabs>
          <w:tab w:leader="none" w:pos="428" w:val="left"/>
        </w:tabs>
        <w:numPr>
          <w:ilvl w:val="1"/>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generally retained liabilities for taxes of BrazilCo, and has assumed or been contractually allocated liabilities for at least 50% of any transfer taxes arising in connection with the BrazilCo Separation;</w:t>
      </w:r>
    </w:p>
    <w:p>
      <w:pPr>
        <w:spacing w:after="0" w:line="160" w:lineRule="exact"/>
        <w:rPr>
          <w:rFonts w:ascii="Arial" w:cs="Arial" w:eastAsia="Arial" w:hAnsi="Arial"/>
          <w:sz w:val="14"/>
          <w:szCs w:val="14"/>
          <w:color w:val="auto"/>
        </w:rPr>
      </w:pPr>
    </w:p>
    <w:p>
      <w:pPr>
        <w:ind w:left="428" w:right="160" w:hanging="212"/>
        <w:spacing w:after="0" w:line="226" w:lineRule="auto"/>
        <w:tabs>
          <w:tab w:leader="none" w:pos="424" w:val="left"/>
        </w:tabs>
        <w:numPr>
          <w:ilvl w:val="1"/>
          <w:numId w:val="33"/>
        </w:numPr>
        <w:rPr>
          <w:rFonts w:ascii="Arial" w:cs="Arial" w:eastAsia="Arial" w:hAnsi="Arial"/>
          <w:sz w:val="14"/>
          <w:szCs w:val="14"/>
          <w:color w:val="auto"/>
        </w:rPr>
      </w:pPr>
      <w:r>
        <w:rPr>
          <w:rFonts w:ascii="Times New Roman" w:cs="Times New Roman" w:eastAsia="Times New Roman" w:hAnsi="Times New Roman"/>
          <w:sz w:val="12"/>
          <w:szCs w:val="12"/>
          <w:color w:val="auto"/>
        </w:rPr>
        <w:t>BrazilCo has been contractually allocated liabilities related to, arising out of or resulting from (i) any indemnification obligations to any of its or its subsidiaries’ current or former directors or officers and/or (ii) ownership of any specified joint venture or other minority equity interests owned by BrazilCo after the BrazilCo Separation; and</w:t>
      </w:r>
    </w:p>
    <w:p>
      <w:pPr>
        <w:ind w:left="428" w:hanging="212"/>
        <w:spacing w:after="0"/>
        <w:tabs>
          <w:tab w:leader="none" w:pos="42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BrazilCo has been contractually allocated certain other liabilities set forth on a schedule.</w:t>
      </w:r>
    </w:p>
    <w:p>
      <w:pPr>
        <w:spacing w:after="0" w:line="147"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may expressly be set forth in the Separation Agreement or any ancillary agreement, all assets will be transferred on an “as is,” “where is” basis and the respective transferees will bear the economic and legal risks that</w:t>
      </w:r>
    </w:p>
    <w:p>
      <w:pPr>
        <w:spacing w:after="0" w:line="9" w:lineRule="exact"/>
        <w:rPr>
          <w:rFonts w:ascii="Times New Roman" w:cs="Times New Roman" w:eastAsia="Times New Roman" w:hAnsi="Times New Roman"/>
          <w:sz w:val="12"/>
          <w:szCs w:val="12"/>
          <w:color w:val="auto"/>
        </w:rPr>
      </w:pPr>
    </w:p>
    <w:p>
      <w:pPr>
        <w:ind w:left="8" w:right="40" w:hanging="8"/>
        <w:spacing w:after="0" w:line="239" w:lineRule="auto"/>
        <w:tabs>
          <w:tab w:leader="none" w:pos="15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conveyance will prove to be insufficient to vest in the transferee good title, free and clear of any security interest, and (ii) any necessary consents or governmental approvals are not obtained or that any requirements of laws or judgments are not complied with. In general, neither the Company nor BrazilCo will make any representations or warranties regarding any assets or liabilities transferred or contractually allocated pursuant to the Separation Agreement, any consents or governmental approvals that may be required in connection with such transfers or contractual allocations, or any other matters.</w:t>
      </w:r>
    </w:p>
    <w:p>
      <w:pPr>
        <w:spacing w:after="0" w:line="143" w:lineRule="exact"/>
        <w:rPr>
          <w:sz w:val="20"/>
          <w:szCs w:val="20"/>
          <w:color w:val="auto"/>
        </w:rPr>
      </w:pPr>
    </w:p>
    <w:p>
      <w:pPr>
        <w:ind w:left="8" w:right="20" w:firstLine="432"/>
        <w:spacing w:after="0" w:line="242" w:lineRule="auto"/>
        <w:rPr>
          <w:sz w:val="20"/>
          <w:szCs w:val="20"/>
          <w:color w:val="auto"/>
        </w:rPr>
      </w:pPr>
      <w:r>
        <w:rPr>
          <w:rFonts w:ascii="Times New Roman" w:cs="Times New Roman" w:eastAsia="Times New Roman" w:hAnsi="Times New Roman"/>
          <w:sz w:val="12"/>
          <w:szCs w:val="12"/>
          <w:color w:val="auto"/>
        </w:rPr>
        <w:t>Information in this Proxy Statement with respect to the assets and liabilities of the parties following the BrazilCo Separation is presented based on the anticipated contractual allocation of such assets and liabilities pursuant to the Separation Agreement, unless the context otherwise requires. Certain of the liabilities and obligations contractually allocated to one party or for which one party will have an indemnification obligation under the Separation Agreement and the other agreements relating to the BrazilCo Separation are, and following the BrazilCo Separation may continue to be, the legal or contractual liabilities or obligations of another party. Each such party that continues to be subject to such legal or contractual liability or obligation will rely on the applicable party that was contractually allocated the liability or obligation or the applicable party that undertook an indemnification obligation with respect to the liability or obligation, as applicable, under the Separation Agreement, to satisfy the performance and payment obligations or indemnification obligations with respect to such legal or contractual liability or obligation.</w:t>
      </w:r>
    </w:p>
    <w:p>
      <w:pPr>
        <w:spacing w:after="0" w:line="141" w:lineRule="exact"/>
        <w:rPr>
          <w:sz w:val="20"/>
          <w:szCs w:val="20"/>
          <w:color w:val="auto"/>
        </w:rPr>
      </w:pPr>
    </w:p>
    <w:p>
      <w:pPr>
        <w:ind w:left="8" w:right="20" w:firstLine="432"/>
        <w:spacing w:after="0" w:line="239" w:lineRule="auto"/>
        <w:rPr>
          <w:sz w:val="20"/>
          <w:szCs w:val="20"/>
          <w:color w:val="auto"/>
        </w:rPr>
      </w:pPr>
      <w:r>
        <w:rPr>
          <w:rFonts w:ascii="Times New Roman" w:cs="Times New Roman" w:eastAsia="Times New Roman" w:hAnsi="Times New Roman"/>
          <w:sz w:val="12"/>
          <w:szCs w:val="12"/>
          <w:u w:val="single" w:color="auto"/>
          <w:color w:val="auto"/>
        </w:rPr>
        <w:t>Further Assurances; Wrong Pockets</w:t>
      </w:r>
      <w:r>
        <w:rPr>
          <w:rFonts w:ascii="Times New Roman" w:cs="Times New Roman" w:eastAsia="Times New Roman" w:hAnsi="Times New Roman"/>
          <w:sz w:val="12"/>
          <w:szCs w:val="12"/>
          <w:color w:val="auto"/>
        </w:rPr>
        <w:t>. To the extent that any transfers of assets or contractual allocations of liabilities contemplated by the Separation Agreement have not been consummated on or prior to the BrazilCo Separation, the parties will agree to cooperate with each other to effect such transfers or assumptions while holding such assets or liabilities for the benefit or burden of the appropriate party so that all the benefits and burdens relating to such asset or liability inure to the party contractually allocated such asset or liability. Each party will agree to use commercially reasonable efforts to take or to cause to be taken all actions, and to do, or to cause to be done, all things reasonably necessary under applicable law or contractual obligations to consummate and make effective the transactions contemplated by the Separation Agreement.</w:t>
      </w:r>
    </w:p>
    <w:p>
      <w:pPr>
        <w:spacing w:after="0" w:line="14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Except as otherwise provided in the Separation Agreement, if at any time within twenty-four months following the BrazilCo Separation, either party discovers that an asset contractually allocated to it under the Separation</w:t>
      </w:r>
    </w:p>
    <w:p>
      <w:pPr>
        <w:spacing w:after="0" w:line="24" w:lineRule="exact"/>
        <w:rPr>
          <w:sz w:val="20"/>
          <w:szCs w:val="20"/>
          <w:color w:val="auto"/>
        </w:rPr>
      </w:pPr>
    </w:p>
    <w:p>
      <w:pPr>
        <w:ind w:left="8" w:right="120"/>
        <w:spacing w:after="0" w:line="249" w:lineRule="auto"/>
        <w:rPr>
          <w:sz w:val="20"/>
          <w:szCs w:val="20"/>
          <w:color w:val="auto"/>
        </w:rPr>
      </w:pPr>
      <w:r>
        <w:rPr>
          <w:rFonts w:ascii="Times New Roman" w:cs="Times New Roman" w:eastAsia="Times New Roman" w:hAnsi="Times New Roman"/>
          <w:sz w:val="12"/>
          <w:szCs w:val="12"/>
          <w:color w:val="auto"/>
        </w:rPr>
        <w:t>Agreement is held by the other party (or one of its subsidiaries), the parties will cooperate to promptly transfer such asset to the party to which it was contractually allocated, without additional consideration. If at any time within twenty-four months following the BrazilCo Separation, an asset is determined in good faith by both parties to more appropriately belong to the other party, or to be intended for the continued use of the other party, the parties will take commercially reasonable steps to effect a transfer or grant appropriate use rights so that the asset is held or used by the appropriate party.</w:t>
      </w:r>
    </w:p>
    <w:p>
      <w:pPr>
        <w:spacing w:after="0" w:line="138" w:lineRule="exact"/>
        <w:rPr>
          <w:sz w:val="20"/>
          <w:szCs w:val="20"/>
          <w:color w:val="auto"/>
        </w:rPr>
      </w:pPr>
    </w:p>
    <w:p>
      <w:pPr>
        <w:ind w:left="8" w:right="8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Shared Contracts</w:t>
      </w:r>
      <w:r>
        <w:rPr>
          <w:rFonts w:ascii="Times New Roman" w:cs="Times New Roman" w:eastAsia="Times New Roman" w:hAnsi="Times New Roman"/>
          <w:sz w:val="12"/>
          <w:szCs w:val="12"/>
          <w:color w:val="auto"/>
        </w:rPr>
        <w:t>. Generally, shared contracts will be assigned in part if so assignable, or amended, bifurcated or replicated to facilitate the BrazilCo Separation so that the appropriate party is contractually allocated the rights, benefits and the related portion of</w:t>
      </w:r>
    </w:p>
    <w:p>
      <w:pPr>
        <w:spacing w:after="0" w:line="200" w:lineRule="exact"/>
        <w:rPr>
          <w:sz w:val="20"/>
          <w:szCs w:val="20"/>
          <w:color w:val="auto"/>
        </w:rPr>
      </w:pPr>
    </w:p>
    <w:p>
      <w:pPr>
        <w:spacing w:after="0" w:line="23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7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color w:val="auto"/>
        </w:rPr>
        <w:t>any liabilities inuring to the business of the appropriate party, and each party will use commercially reasonable efforts to obtain the consents required to partially assign, amend, bifurcate or replicate any shared contract.</w:t>
      </w:r>
    </w:p>
    <w:p>
      <w:pPr>
        <w:spacing w:after="0" w:line="159" w:lineRule="exact"/>
        <w:rPr>
          <w:sz w:val="20"/>
          <w:szCs w:val="20"/>
          <w:color w:val="auto"/>
        </w:rPr>
      </w:pPr>
    </w:p>
    <w:p>
      <w:pPr>
        <w:ind w:right="64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Intercompany Accounts</w:t>
      </w:r>
      <w:r>
        <w:rPr>
          <w:rFonts w:ascii="Times New Roman" w:cs="Times New Roman" w:eastAsia="Times New Roman" w:hAnsi="Times New Roman"/>
          <w:sz w:val="12"/>
          <w:szCs w:val="12"/>
          <w:color w:val="auto"/>
        </w:rPr>
        <w:t>. The Separation Agreement will provide that, subject to certain specified exceptions in the Separation Agreement, schedules or any ancillary agreement, certain accounts that were formerly intercompany accounts within the Company will be settled prior to the BrazilCo Separation and, if not settled, will be terminated and released at such time.</w:t>
      </w:r>
    </w:p>
    <w:p>
      <w:pPr>
        <w:spacing w:after="0" w:line="128" w:lineRule="exact"/>
        <w:rPr>
          <w:sz w:val="20"/>
          <w:szCs w:val="20"/>
          <w:color w:val="auto"/>
        </w:rPr>
      </w:pPr>
    </w:p>
    <w:p>
      <w:pPr>
        <w:ind w:right="220" w:firstLine="432"/>
        <w:spacing w:after="0" w:line="244" w:lineRule="auto"/>
        <w:rPr>
          <w:sz w:val="20"/>
          <w:szCs w:val="20"/>
          <w:color w:val="auto"/>
        </w:rPr>
      </w:pPr>
      <w:r>
        <w:rPr>
          <w:rFonts w:ascii="Times New Roman" w:cs="Times New Roman" w:eastAsia="Times New Roman" w:hAnsi="Times New Roman"/>
          <w:sz w:val="12"/>
          <w:szCs w:val="12"/>
          <w:u w:val="single" w:color="auto"/>
          <w:color w:val="auto"/>
        </w:rPr>
        <w:t>Release of Claims and Indemnification</w:t>
      </w:r>
      <w:r>
        <w:rPr>
          <w:rFonts w:ascii="Times New Roman" w:cs="Times New Roman" w:eastAsia="Times New Roman" w:hAnsi="Times New Roman"/>
          <w:sz w:val="12"/>
          <w:szCs w:val="12"/>
          <w:color w:val="auto"/>
        </w:rPr>
        <w:t>. Except as otherwise provided in the Separation Agreement and subject to customary exceptions for gross negligence, fraud or willful misconduct, each party will fully release and forever discharge the other parties and their respective subsidiaries and affiliates from all liabilities existing or arising from any acts or events occurring or failing to occur or alleged to have occurred or to have failed to occur or any conditions existing or alleged to have existed on or before the BrazilCo Separation. The releases will not extend to obligations or liabilities under any agreements between the parties that remain in effect following the BrazilCo Separation pursuant to the Separation Agreement or any ancillary agreement. These releases are subject to certain exceptions set forth in the Separation Agreement.</w:t>
      </w:r>
    </w:p>
    <w:p>
      <w:pPr>
        <w:spacing w:after="0" w:line="132" w:lineRule="exact"/>
        <w:rPr>
          <w:sz w:val="20"/>
          <w:szCs w:val="20"/>
          <w:color w:val="auto"/>
        </w:rPr>
      </w:pPr>
    </w:p>
    <w:p>
      <w:pPr>
        <w:ind w:right="380" w:firstLine="432"/>
        <w:spacing w:after="0" w:line="244" w:lineRule="auto"/>
        <w:rPr>
          <w:sz w:val="20"/>
          <w:szCs w:val="20"/>
          <w:color w:val="auto"/>
        </w:rPr>
      </w:pPr>
      <w:r>
        <w:rPr>
          <w:rFonts w:ascii="Times New Roman" w:cs="Times New Roman" w:eastAsia="Times New Roman" w:hAnsi="Times New Roman"/>
          <w:sz w:val="12"/>
          <w:szCs w:val="12"/>
          <w:color w:val="auto"/>
        </w:rPr>
        <w:t>The Separation Agreement will provide for cross-indemnities that, except as otherwise provided in the Separation Agreement, are principally designed to place financial responsibility for the obligations and liabilities contractually allocated to the Company under the Separation Agreement with the Company and financial responsibility for the obligations and liabilities contractually allocated to BrazilCo under the Separation Agreement with BrazilCo. Specifically, each party will indemnify, defend and hold harmless the other parties, their respective affiliates and subsidiaries and each of their respective officers, directors, employees and agents (and each of the heirs, executors, successors and assigns of any of the foregoing) for any losses to the extent relating to, arising out of or resulting from:</w:t>
      </w:r>
    </w:p>
    <w:p>
      <w:pPr>
        <w:spacing w:after="0" w:line="154" w:lineRule="exact"/>
        <w:rPr>
          <w:sz w:val="20"/>
          <w:szCs w:val="20"/>
          <w:color w:val="auto"/>
        </w:rPr>
      </w:pPr>
    </w:p>
    <w:p>
      <w:pPr>
        <w:ind w:left="420" w:hanging="212"/>
        <w:spacing w:after="0"/>
        <w:tabs>
          <w:tab w:leader="none" w:pos="420"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2"/>
          <w:szCs w:val="12"/>
          <w:color w:val="auto"/>
        </w:rPr>
        <w:t>the liabilities each party was contractually allocated pursuant to the Separation Agreement (or any third-party claim that would, if resolved in favor of the claimant, constitute such a liability); and</w:t>
      </w:r>
    </w:p>
    <w:p>
      <w:pPr>
        <w:ind w:left="420" w:hanging="212"/>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by such party of any provision of the Separation Agreement.</w:t>
      </w:r>
    </w:p>
    <w:p>
      <w:pPr>
        <w:spacing w:after="0" w:line="147" w:lineRule="exact"/>
        <w:rPr>
          <w:sz w:val="20"/>
          <w:szCs w:val="20"/>
          <w:color w:val="auto"/>
        </w:rPr>
      </w:pPr>
    </w:p>
    <w:p>
      <w:pPr>
        <w:ind w:right="240" w:firstLine="432"/>
        <w:spacing w:after="0" w:line="249" w:lineRule="auto"/>
        <w:rPr>
          <w:sz w:val="20"/>
          <w:szCs w:val="20"/>
          <w:color w:val="auto"/>
        </w:rPr>
      </w:pPr>
      <w:r>
        <w:rPr>
          <w:rFonts w:ascii="Times New Roman" w:cs="Times New Roman" w:eastAsia="Times New Roman" w:hAnsi="Times New Roman"/>
          <w:sz w:val="12"/>
          <w:szCs w:val="12"/>
          <w:color w:val="auto"/>
        </w:rPr>
        <w:t>Each party’s indemnification obligations with respect to such liabilities pursuant to the Separation Agreement or such breach will be uncapped; provided that the amount of each party’s indemnification obligations will be subject to reduction by any insurance proceeds or other third-party proceeds received by the party being indemnified that reduce the amount of the loss. The Separation Agreement also will specify procedures with respect to claims subject to indemnification and related matters.</w:t>
      </w:r>
    </w:p>
    <w:p>
      <w:pPr>
        <w:spacing w:after="0" w:line="138"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2"/>
          <w:szCs w:val="12"/>
          <w:u w:val="single" w:color="auto"/>
          <w:color w:val="auto"/>
        </w:rPr>
        <w:t>Legal Matters</w:t>
      </w:r>
      <w:r>
        <w:rPr>
          <w:rFonts w:ascii="Times New Roman" w:cs="Times New Roman" w:eastAsia="Times New Roman" w:hAnsi="Times New Roman"/>
          <w:sz w:val="12"/>
          <w:szCs w:val="12"/>
          <w:color w:val="auto"/>
        </w:rPr>
        <w:t>. Except as otherwise set forth in the Separation Agreement, BrazilCo will be contractually allocated liabilities relating to legal matters that are exclusively related to the Brazil business, assets, or the liabilities contractually allocated to BrazilCo or, for liabilities relating to legal matters shared between the Company and BrazilCo, liabilities relating to such legal matters to the extent related to the Brazil business, assets or the liabilities contractually allocated to BrazilCo, and the Company will be contractually allocated all other liabilities relating to legal matters. Each party to the Separation Agreement will indemnify the other party for its respective indemnifiable losses, if any, arising out of or resulting from such legal matters allocated to such party, as well as, following the BrazilCo Separation, for those arising out of or resulting from any legal matters related to the liabilities such party has been contractually allocated or (unless contractually allocated specifically to the other party) its ongoing business. Each party to a claim will agree to cooperate in defending any claims against both parties for events that took place prior to, on or after the date of the BrazilCo Separation.</w:t>
      </w:r>
    </w:p>
    <w:p>
      <w:pPr>
        <w:spacing w:after="0" w:line="145" w:lineRule="exact"/>
        <w:rPr>
          <w:sz w:val="20"/>
          <w:szCs w:val="20"/>
          <w:color w:val="auto"/>
        </w:rPr>
      </w:pPr>
    </w:p>
    <w:p>
      <w:pPr>
        <w:jc w:val="both"/>
        <w:ind w:right="140" w:firstLine="432"/>
        <w:spacing w:after="0" w:line="249" w:lineRule="auto"/>
        <w:rPr>
          <w:sz w:val="20"/>
          <w:szCs w:val="20"/>
          <w:color w:val="auto"/>
        </w:rPr>
      </w:pP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Following the BrazilCo Separation, BrazilCo generally will be responsible for obtaining and maintaining, at its own cost, its own insurance coverage for liabilities for which it is assuming responsibility, although BrazilCo will continue to have coverage under certain insurance policies issued to the Company and its subsidiaries (after giving effect to the BrazilCo Separation) for certain matters arising from occurrences, acts, omissions or other matters occurring at or prior to the BrazilCo Separation, subject to the terms, conditions and exclusions of such policies.</w:t>
      </w:r>
    </w:p>
    <w:p>
      <w:pPr>
        <w:spacing w:after="0" w:line="138" w:lineRule="exact"/>
        <w:rPr>
          <w:sz w:val="20"/>
          <w:szCs w:val="20"/>
          <w:color w:val="auto"/>
        </w:rPr>
      </w:pPr>
    </w:p>
    <w:p>
      <w:pPr>
        <w:ind w:right="80" w:firstLine="432"/>
        <w:spacing w:after="0"/>
        <w:rPr>
          <w:sz w:val="20"/>
          <w:szCs w:val="20"/>
          <w:color w:val="auto"/>
        </w:rPr>
      </w:pPr>
      <w:r>
        <w:rPr>
          <w:rFonts w:ascii="Times New Roman" w:cs="Times New Roman" w:eastAsia="Times New Roman" w:hAnsi="Times New Roman"/>
          <w:sz w:val="12"/>
          <w:szCs w:val="12"/>
          <w:u w:val="single" w:color="auto"/>
          <w:color w:val="auto"/>
        </w:rPr>
        <w:t>Dispute Resolution</w:t>
      </w:r>
      <w:r>
        <w:rPr>
          <w:rFonts w:ascii="Times New Roman" w:cs="Times New Roman" w:eastAsia="Times New Roman" w:hAnsi="Times New Roman"/>
          <w:sz w:val="12"/>
          <w:szCs w:val="12"/>
          <w:color w:val="auto"/>
        </w:rPr>
        <w:t>. Except as otherwise set forth in the Separation Agreement, if a dispute arises between the Company and BrazilCo under the Separation Agreement, the general counsels of the parties and/or such other executive officers as the parties may designate will negotiate to resolve any disputes for a reasonable period of time. If the parties are unable to resolve the dispute in this manner, then the dispute will be resolved through binding arbitration. If either party files a judicial proceeding to resolve a dispute in contravention of the arbitration provisions included in the Separation Agreement, the other party will be entitled to any costs they may incur in defending such an action, including a $10 million punitive fee (subject to an annual adjustment to account for inflation of 5%) and any additional punitive, exemplary, treble or similar damages as may be awardable under applicable law. Each of the Company and BrazilCo acknowledges and agrees that if any party files an action in contravention of the arbitration provisions included in the Separation Agreement, the non-breaching party shall suffer reputational loss as a direct consequence of such action for which it is entitled to damages.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4" w:name="page35"/>
    <w:bookmarkEnd w:id="34"/>
    <w:p>
      <w:pPr>
        <w:ind w:right="24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Term, Termination and Amendment</w:t>
      </w:r>
      <w:r>
        <w:rPr>
          <w:rFonts w:ascii="Times New Roman" w:cs="Times New Roman" w:eastAsia="Times New Roman" w:hAnsi="Times New Roman"/>
          <w:sz w:val="12"/>
          <w:szCs w:val="12"/>
          <w:color w:val="auto"/>
        </w:rPr>
        <w:t>. Upon the consummation of the BrazilCo Separation, the term of the Separation Agreement is indefinite and it may only be terminated or modified with the prior written consent of both BrazilCo and the Company.</w:t>
      </w:r>
    </w:p>
    <w:p>
      <w:pPr>
        <w:spacing w:after="0" w:line="128" w:lineRule="exact"/>
        <w:rPr>
          <w:sz w:val="20"/>
          <w:szCs w:val="20"/>
          <w:color w:val="auto"/>
        </w:rPr>
      </w:pPr>
    </w:p>
    <w:p>
      <w:pPr>
        <w:ind w:right="20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Other Matters Governed by the Separation Agreement</w:t>
      </w:r>
      <w:r>
        <w:rPr>
          <w:rFonts w:ascii="Times New Roman" w:cs="Times New Roman" w:eastAsia="Times New Roman" w:hAnsi="Times New Roman"/>
          <w:sz w:val="12"/>
          <w:szCs w:val="12"/>
          <w:color w:val="auto"/>
        </w:rPr>
        <w:t>. Other matters to be governed by the Separation Agreement include, among others, access to financial and other information, confidentiality, access to and provision of records and separation of guarantees and other credit support instruments.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Transition Services Agreement</w:t>
      </w:r>
    </w:p>
    <w:p>
      <w:pPr>
        <w:spacing w:after="0" w:line="152"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BrazilCo Separation, the Company and BrazilCo will enter into a transition services agreement pursuant to which the Company will provide certain transitional services to BrazilCo. The services, including, without limitation, information technology support, trademark management support, and logistics support, will be provided for a limited time following the consummation of the BrazilCo Separation, and will be provided for specified fees as mutually agreed by the Company and BrazilCo.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CoreCo Term Loan Facility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New CoreCo Term Loans</w:t>
      </w:r>
    </w:p>
    <w:p>
      <w:pPr>
        <w:spacing w:after="0" w:line="152"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2"/>
          <w:szCs w:val="12"/>
          <w:color w:val="auto"/>
        </w:rPr>
        <w:t>On the Restructuring Effective Date, NFE, as borrower, and certain of its subsidiaries, as guarantors, shall enter into a new senior secured term loan agreement (the “New CoreCo Credit Agreement”) providing for: (i) a senior term loan facility (the “New CoreCo Senior Term Loan Facility” and the loans made under the New CoreCo Senior Term Loan Facility, the “New CoreCo Senior Term Loans”) in an aggregate principal amount which is expected to be equal to the sum of (w) up to $475 million, (x) $52.5 million of FEMA Make Whole Incremental New CoreCo Term Loans (as defined in the RSA), (y) $43.8 million the aggregate principal amount of the Incremental Equity-for-Debt Exchange Election New CoreCo Term Loans (as defined in the RSA) and (z) solely to the extent necessary, if at all, to meet the minimum liquidity threshold, up to $35 million of Senior Capital Raise Term Loans, and (ii) a junior term loan facility (the “New CoreCo Junior Term Loan Facility” and the New CoreCo Junior Term Loan Facility, together with the New CoreCo Senior Term Loan Facility, the “New CoreCo Term Loan Facility” and the loans made under the New CoreCo Junior Term Loan Facility, the “Capital Raise Junior Term Loans” and the Capital Raise Junior Term Loans, together with the New CoreCo Senior Term Loans, collectively, the “New CoreCo Term Loans”) in an aggregate principal amount, if any, required to satisfy the minimum liquidity threshold to the extent the minimum liquidity threshold is not satisfied after giving pro forma effect to the incurrence of the Senior Capital Raise Term Loans, which will rank junior to the New CoreCo Senior Term Loans. The funding (or deemed funding) of the New CoreCo Term Loans are subject to certain customary conditions. The New CoreCo Senior Term Loans will bear an interest rate of Term SOFR plus 6.125% at a fixed rate per annum payable in cash (the “Cash Rate”). NFE will be permitted to, at its option, pay interest in kind during the period commencing on the Restructuring Effective Date and ending on the last day of the first full fiscal quarter after the 18-month anniversary thereof, at a rate equal to the Cash Rate plus 1.50%, compounding at the end of the applicable interest period (but at least quarterly). The New CoreCo Term Loan Facility matures five (5) years after the Restructuring Effective Date (as defined in the RSA), subject to extension of the maturity date of the New CoreCo Term Loans as set forth in the New CoreCo Credit Agreement, and will amortize at a rate of 1.00% per annum.</w:t>
      </w:r>
    </w:p>
    <w:p>
      <w:pPr>
        <w:spacing w:after="0" w:line="12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The New CoreCo Senior Term Loans will be guaranteed, jointly and severally, on a senior secured basis by NFE and each of its restricted material subsidiaries (collectively, the “New CoreCo Loan Parties”) and will be secured by first-priority liens (ranking junior only to certain permitted liens, including the super priority liens securing NFE’s Letter of Credit Facility) on substantially all of the assets of the New CoreCo Loan Parties, subject to certain exceptions to be agreed, including NFE’s FLNG 2 assets. The New CoreCo Term Loan Facility will be subject to a customary intercreditor agreement with respect to the liens securing the New CoreCo LC Facility (as defined in the RSA), pursuant to which the liens under the New CoreCo LC Facility will rank senior to the liens under the New CoreCo Term Loan Facility.</w:t>
      </w:r>
    </w:p>
    <w:p>
      <w:pPr>
        <w:spacing w:after="0" w:line="122" w:lineRule="exact"/>
        <w:rPr>
          <w:sz w:val="20"/>
          <w:szCs w:val="20"/>
          <w:color w:val="auto"/>
        </w:rPr>
      </w:pPr>
    </w:p>
    <w:p>
      <w:pPr>
        <w:jc w:val="both"/>
        <w:ind w:right="140" w:firstLine="432"/>
        <w:spacing w:after="0" w:line="300" w:lineRule="auto"/>
        <w:rPr>
          <w:sz w:val="20"/>
          <w:szCs w:val="20"/>
          <w:color w:val="auto"/>
        </w:rPr>
      </w:pPr>
      <w:r>
        <w:rPr>
          <w:rFonts w:ascii="Times New Roman" w:cs="Times New Roman" w:eastAsia="Times New Roman" w:hAnsi="Times New Roman"/>
          <w:sz w:val="11"/>
          <w:szCs w:val="11"/>
          <w:color w:val="auto"/>
        </w:rPr>
        <w:t>The New CoreCo Term Loans may be voluntarily prepaid by NFE, in whole or in part, subject to a prepayment premium for voluntary prepayments equal to 102% of the aggregate principal amount of the New CoreCo Term Loans prepaid plus accrued and unpaid interest for the first year following the Restructuring Effective Date. NFE will be required to prepay the New CoreCo Term Loans at par with the net proceeds of non-ordinary course asset sales (subject to certain exceptions), property/insurance claims, condemnation proceedings and certain other events enumerated in the New CoreCo Credit Agreement. The New CoreCo Loan Parties will not have reinvestment rights.</w:t>
      </w:r>
    </w:p>
    <w:p>
      <w:pPr>
        <w:spacing w:after="0" w:line="102" w:lineRule="exact"/>
        <w:rPr>
          <w:sz w:val="20"/>
          <w:szCs w:val="20"/>
          <w:color w:val="auto"/>
        </w:rPr>
      </w:pPr>
    </w:p>
    <w:p>
      <w:pPr>
        <w:jc w:val="both"/>
        <w:ind w:right="140" w:firstLine="432"/>
        <w:spacing w:after="0" w:line="279" w:lineRule="auto"/>
        <w:rPr>
          <w:sz w:val="20"/>
          <w:szCs w:val="20"/>
          <w:color w:val="auto"/>
        </w:rPr>
      </w:pPr>
      <w:r>
        <w:rPr>
          <w:rFonts w:ascii="Times New Roman" w:cs="Times New Roman" w:eastAsia="Times New Roman" w:hAnsi="Times New Roman"/>
          <w:sz w:val="12"/>
          <w:szCs w:val="12"/>
          <w:color w:val="auto"/>
        </w:rPr>
        <w:t>The New CoreCo Credit Agreement contains usual and customary representations and warranties for transactions of this type, and usual and customary affirmative and negative covenants for transactions of this type, in each case, subject to applicable materiality qualifiers, thresholds and exceptions as set forth in the New CoreCo Credit Agreement. The affirmative covenants include, among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35" w:name="page36"/>
    <w:bookmarkEnd w:id="35"/>
    <w:p>
      <w:pPr>
        <w:ind w:right="520"/>
        <w:spacing w:after="0" w:line="279" w:lineRule="auto"/>
        <w:rPr>
          <w:sz w:val="20"/>
          <w:szCs w:val="20"/>
          <w:color w:val="auto"/>
        </w:rPr>
      </w:pPr>
      <w:r>
        <w:rPr>
          <w:rFonts w:ascii="Times New Roman" w:cs="Times New Roman" w:eastAsia="Times New Roman" w:hAnsi="Times New Roman"/>
          <w:sz w:val="12"/>
          <w:szCs w:val="12"/>
          <w:color w:val="auto"/>
        </w:rPr>
        <w:t>other things, the delivery of financial statements and notices, payment of taxes and other obligations, preservation of existence and compliance with applicable laws and regulations, maintenance of property and insurance, and compliance with the use of proceeds.</w:t>
      </w:r>
    </w:p>
    <w:p>
      <w:pPr>
        <w:spacing w:after="0" w:line="111" w:lineRule="exact"/>
        <w:rPr>
          <w:sz w:val="20"/>
          <w:szCs w:val="20"/>
          <w:color w:val="auto"/>
        </w:rPr>
      </w:pPr>
    </w:p>
    <w:p>
      <w:pPr>
        <w:ind w:right="320" w:firstLine="432"/>
        <w:spacing w:after="0" w:line="279" w:lineRule="auto"/>
        <w:rPr>
          <w:sz w:val="20"/>
          <w:szCs w:val="20"/>
          <w:color w:val="auto"/>
        </w:rPr>
      </w:pPr>
      <w:r>
        <w:rPr>
          <w:rFonts w:ascii="Times New Roman" w:cs="Times New Roman" w:eastAsia="Times New Roman" w:hAnsi="Times New Roman"/>
          <w:sz w:val="12"/>
          <w:szCs w:val="12"/>
          <w:color w:val="auto"/>
        </w:rPr>
        <w:t>The negative covenants include, among other things, limitations on restricted payments, paying dividends and making other payments affecting restricted subsidiaries, limitations on the incurrence of indebtedness and the creation of new liens, limitations of effectuating assets sales, mergers, or the consolidation or sale of all or substantially all assets and limitations on transactions with affiliates.</w:t>
      </w:r>
    </w:p>
    <w:p>
      <w:pPr>
        <w:spacing w:after="0" w:line="111"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The New CoreCo Credit Agreement includes usual and customary events of default for transactions of this type. These include, among other things, non-payment of principal, interest, fees or other amounts, material breach of representations or warranties, covenant defaults, cross-defaults with respect to other material debt, material judgments, bankruptcy or insolvency, ERISA-related defaults and impairment of security.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Capital Raise Junior Term Loans</w:t>
      </w:r>
    </w:p>
    <w:p>
      <w:pPr>
        <w:spacing w:after="0" w:line="152"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As noted above, under the terms of the RSA, CoreCo will be required to have a consolidated minimum liquidity of $100 million on the Restructuring Effective Date and projected consolidated liquidity of not less than $100 million at the end of each monthly period projected by CoreCo’s business plan.</w:t>
      </w:r>
    </w:p>
    <w:p>
      <w:pPr>
        <w:spacing w:after="0" w:line="11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Solely to the extent required to satisfy the minimum liquidity threshold on the Restructuring Effective Date, the Company will offer to raise up to $35 million of the Senior Capital Raise Term Loans on the same terms and conditions applicable to the other New CoreCo Senior Term Loans and to the extent the minimum liquidity threshold would not be satisfied after giving pro forma effect to the funding of the Senior Capital Raise Term Loans, the Company is permitted to raise the Capital Raise Junior Term Loans which will be (i) issued by the issuer of the New CoreCo Senior Term Loans and guaranteed by the same guarantors guaranteeing the New CoreCo Senior Term Loans but will be subordinated in right of payment to the New CoreCo Senior Term Loan Facility and (ii) secured by a lien (which may rank junior in priority) on all of the assets securing the obligations of the New CoreCo Senior Term Loans, in a principal amount, after giving pro forma effect to the application of proceeds from the Senior Capital Raise Term Loans and any original issue discount, not to exceed the amount required to satisfy the minimum liquidity threshold (such raise of Senior Capital Raise Term Loans and/or Capital Raise Junior Term Loans, the “Capital Raise”).</w:t>
      </w:r>
    </w:p>
    <w:p>
      <w:pPr>
        <w:spacing w:after="0" w:line="125"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Promptly following the Company’s final determination of the required amount (if any) of the Capital Raise, the Company shall offer to each creditor receiving New CoreCo Senior Term Loans pursuant to the Restructuring Plans, an original issue discount for the Capital Raise Junior Term Loans, and to each creditor holding debt subject to the RSA, an original issue discount and interest rate for the Capital Raise Junior Term Loans, in each case, based on market terms. The issuance of Capital Raise Junior Term Loans (but not any Senior Capital Raise Term Loans) may be backstopped on market terms by creditors holding debt subject to the RSA. If applicable, the original issue discount and interest rate for the Capital Raise Junior Term Loans shall be determined by reference to such backstop. CoreCo Plan creditors, and other third parties acceptable to CoreCo and the Company, may offer to participate in unsubscribed allocations of the Capital Raise through a competitive pricing process.</w:t>
      </w:r>
    </w:p>
    <w:p>
      <w:pPr>
        <w:spacing w:after="0" w:line="125"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Each creditor receiving New CoreCo Term Loans pursuant to the Restructuring Plans shall have the right to make an offer to the Company to subscribe for its pro rata share (relative to the aggregate principal amount of all New CoreCo Term Loans held by all such creditors) of the Senior Capital Raise Term Loans. Each creditor holding debt subject to the RSA shall have the right to make an offer to the Company to subscribe for its pro rata share (determined based on the aggregate number of shares of CoreCo Convertible Preferred Stock initially allocated to such creditors relative to all the issued CoreCo Convertible Preferred Stock) of Capital Raise Junior Term Loans.</w:t>
      </w:r>
    </w:p>
    <w:p>
      <w:pPr>
        <w:spacing w:after="0" w:line="119" w:lineRule="exact"/>
        <w:rPr>
          <w:sz w:val="20"/>
          <w:szCs w:val="20"/>
          <w:color w:val="auto"/>
        </w:rPr>
      </w:pPr>
    </w:p>
    <w:p>
      <w:pPr>
        <w:ind w:right="520" w:firstLine="432"/>
        <w:spacing w:after="0" w:line="279" w:lineRule="auto"/>
        <w:rPr>
          <w:sz w:val="20"/>
          <w:szCs w:val="20"/>
          <w:color w:val="auto"/>
        </w:rPr>
      </w:pPr>
      <w:r>
        <w:rPr>
          <w:rFonts w:ascii="Times New Roman" w:cs="Times New Roman" w:eastAsia="Times New Roman" w:hAnsi="Times New Roman"/>
          <w:sz w:val="12"/>
          <w:szCs w:val="12"/>
          <w:color w:val="auto"/>
        </w:rPr>
        <w:t>Notwithstanding the foregoing rights, but subject to the following allocation methodology, each creditor receiving New CoreCo Term Loans pursuant to the Restructuring Plans (and any other person acceptable to the Company) shall have the right to make an offer to the Company to subscribe for additional Senior Capital Raise Term Loans and Capital Raise Junior Term Loans in excess of its pro rata share (if any).</w:t>
      </w:r>
    </w:p>
    <w:p>
      <w:pPr>
        <w:spacing w:after="0" w:line="111" w:lineRule="exact"/>
        <w:rPr>
          <w:sz w:val="20"/>
          <w:szCs w:val="20"/>
          <w:color w:val="auto"/>
        </w:rPr>
      </w:pPr>
    </w:p>
    <w:p>
      <w:pPr>
        <w:jc w:val="both"/>
        <w:ind w:right="100" w:firstLine="432"/>
        <w:spacing w:after="0" w:line="260" w:lineRule="auto"/>
        <w:rPr>
          <w:sz w:val="20"/>
          <w:szCs w:val="20"/>
          <w:color w:val="auto"/>
        </w:rPr>
      </w:pPr>
      <w:r>
        <w:rPr>
          <w:rFonts w:ascii="Times New Roman" w:cs="Times New Roman" w:eastAsia="Times New Roman" w:hAnsi="Times New Roman"/>
          <w:sz w:val="12"/>
          <w:szCs w:val="12"/>
          <w:color w:val="auto"/>
        </w:rPr>
        <w:t>Subject to ratable treatment for subscriptions with the same priority level, the Company will allocate to the required amount of the Capital Raise all valid and compliant subscriptions from any person for Senior Capital Raise Term Loans and Capital Raise Junior Term Loans; provided that subscriptions for a lower yield-to-maturity shall be allocated in full prior to any allocation of subscriptions for a higher yield-to-maturity, and pro rata subscriptions shall be allocated in full prior to any allocation of subscriptions in excess of a creditor’s ratable share. Additional subscriptions for Senior Capital Raise Term Loans or Capital Raise Junior Term Loans, respectively, provided by any person that has not elected to subscribe for its ratable share, as applicable, shall be subject to a customary right of last refusal, on a ratable basis, for the relevant electing creditors.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2"/>
          <w:szCs w:val="12"/>
          <w:color w:val="auto"/>
        </w:rPr>
        <w:t>Additional terms, conditions, and procedures for the Capital Raise shall be determined by the Company in consultation with, and with the consent of, the Majority Supporting Creditors.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FLNG 2</w:t>
      </w:r>
    </w:p>
    <w:p>
      <w:pPr>
        <w:spacing w:after="0" w:line="154"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FLNG 2 Co and its subsidiaries will remain subsidiaries of NFE but shall operate on an arm’s length basis vis-à-vis the Company’s other subsidiaries. On the Restructuring Effective Date, FLNG 2 Co shall incur $400 million of FLNG 2 Term Loans and issue $200 million of FLNG 2 Preferred Equity. The Company is reviewing tax considerations related to the structure of the Common Interests and Preferred Interests (each, as defined below) in FLNG 2 Co. The Company is considering structures in which the Preferred Interests and the Common Interests will be held directly in NFE FLNG 2 LLC or, alternatively, through a holding company. In either case, relevant creditors are expected to hold equity in (i.e., FLNG 2 Co is expected to be) an entity classified as a corporation for U.S. federal income tax purposes.</w:t>
      </w:r>
    </w:p>
    <w:p>
      <w:pPr>
        <w:spacing w:after="0" w:line="122" w:lineRule="exact"/>
        <w:rPr>
          <w:sz w:val="20"/>
          <w:szCs w:val="20"/>
          <w:color w:val="auto"/>
        </w:rPr>
      </w:pPr>
    </w:p>
    <w:p>
      <w:pPr>
        <w:jc w:val="both"/>
        <w:ind w:right="200" w:firstLine="432"/>
        <w:spacing w:after="0" w:line="265" w:lineRule="auto"/>
        <w:rPr>
          <w:sz w:val="20"/>
          <w:szCs w:val="20"/>
          <w:color w:val="auto"/>
        </w:rPr>
      </w:pPr>
      <w:r>
        <w:rPr>
          <w:rFonts w:ascii="Times New Roman" w:cs="Times New Roman" w:eastAsia="Times New Roman" w:hAnsi="Times New Roman"/>
          <w:sz w:val="12"/>
          <w:szCs w:val="12"/>
          <w:color w:val="auto"/>
        </w:rPr>
        <w:t>In the event that FLNG 2 is sold, transferred, or disposed (however such sale, transfer, or disposal is structured, including, without limitation, any sale of the equity interests of FLNG 2 Co or any direct or indirect subsidiary thereof or any of its or their respective assets) following the Restructuring Effective Date, the Company shall retain any proceeds from such sale, transfer, or disposal of FLNG 2 in excess of the sum of (a) the outstanding obligations under the FLNG 2 Term Loan Facility and (b) the FLNG 2 Preferred Equity, after giving effect to the FLNG 2 Incentive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FLNG 2 Preferred Equity</w:t>
      </w:r>
    </w:p>
    <w:p>
      <w:pPr>
        <w:spacing w:after="0" w:line="152" w:lineRule="exact"/>
        <w:rPr>
          <w:sz w:val="20"/>
          <w:szCs w:val="20"/>
          <w:color w:val="auto"/>
        </w:rPr>
      </w:pPr>
    </w:p>
    <w:p>
      <w:pPr>
        <w:ind w:right="40" w:firstLine="432"/>
        <w:spacing w:after="0" w:line="291" w:lineRule="auto"/>
        <w:rPr>
          <w:sz w:val="20"/>
          <w:szCs w:val="20"/>
          <w:color w:val="auto"/>
        </w:rPr>
      </w:pPr>
      <w:r>
        <w:rPr>
          <w:rFonts w:ascii="Times New Roman" w:cs="Times New Roman" w:eastAsia="Times New Roman" w:hAnsi="Times New Roman"/>
          <w:sz w:val="11"/>
          <w:szCs w:val="11"/>
          <w:color w:val="auto"/>
        </w:rPr>
        <w:t>On the Restructuring Effective Date, the members of FLNG 2 Co (the "Members") will enter into an amendment and restatement of the limited liability company agreement (the “A&amp;R FLNG 2 LLCA”) to, among other things, recapitalize the equity interests of FLNG 2 Co into one class of one hundred (100) limited liability company membership interests (the "Common Interests"), one class of two hundred thousand (200,000) non-convertible, non-voting perpetual preferred limited liability company membership interests constituting the FLNG 2 Preferred Equity (referred to in the A&amp;R FLNG 2 LLCA as the "Preferred Interests") and the FLNG 2 Term Loans. As of the Restructuring Effective Date, the Company, as the managing member of FLNG 2 Co will transfer the Preferred Interests and the FLNG 2 Term Loans to the creditors as described above. The key terms of the Preferred Interests are as follows:</w:t>
      </w:r>
    </w:p>
    <w:p>
      <w:pPr>
        <w:spacing w:after="0" w:line="107"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Ranking</w:t>
      </w:r>
      <w:r>
        <w:rPr>
          <w:rFonts w:ascii="Times New Roman" w:cs="Times New Roman" w:eastAsia="Times New Roman" w:hAnsi="Times New Roman"/>
          <w:sz w:val="12"/>
          <w:szCs w:val="12"/>
          <w:color w:val="auto"/>
        </w:rPr>
        <w:t>. The Preferred Interests shall be subordinated to all existing and future indebtedness of FLNG 2 Co. The Preferred Interests shall be, with respect to rights upon any liquidation, senior to all existing and future equity securities of FLNG 2 Co (including the Common Interests).</w:t>
      </w:r>
    </w:p>
    <w:p>
      <w:pPr>
        <w:spacing w:after="0" w:line="111"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Conversion</w:t>
      </w:r>
      <w:r>
        <w:rPr>
          <w:rFonts w:ascii="Times New Roman" w:cs="Times New Roman" w:eastAsia="Times New Roman" w:hAnsi="Times New Roman"/>
          <w:sz w:val="12"/>
          <w:szCs w:val="12"/>
          <w:color w:val="auto"/>
        </w:rPr>
        <w:t>. The Preferred Interests are not convertible into Common Interests of FLNG 2 Co, or otherwise. The A&amp;R FLNG 2 LLCA will not contain any voluntary or mandatory conversion provisions with respect to the Preferred Interests.</w:t>
      </w:r>
    </w:p>
    <w:p>
      <w:pPr>
        <w:spacing w:after="0" w:line="111" w:lineRule="exact"/>
        <w:rPr>
          <w:sz w:val="20"/>
          <w:szCs w:val="20"/>
          <w:color w:val="auto"/>
        </w:rPr>
      </w:pPr>
    </w:p>
    <w:p>
      <w:pPr>
        <w:ind w:right="380"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Voting</w:t>
      </w:r>
      <w:r>
        <w:rPr>
          <w:rFonts w:ascii="Times New Roman" w:cs="Times New Roman" w:eastAsia="Times New Roman" w:hAnsi="Times New Roman"/>
          <w:sz w:val="12"/>
          <w:szCs w:val="12"/>
          <w:color w:val="auto"/>
        </w:rPr>
        <w:t>. The holders of Preferred Interests (the "Preferred Members") have no voting rights. However, the A&amp;R FLNG 2 LLCA will contain certain protective consent rights requiring the prior affirmative vote or written consent of the holders of at least a majority of the Preferred Interests (the "Required Preferred Members") for specified actions, as described below under "Consent Rights."</w:t>
      </w:r>
    </w:p>
    <w:p>
      <w:pPr>
        <w:spacing w:after="0" w:line="10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2"/>
          <w:szCs w:val="12"/>
          <w:u w:val="single" w:color="auto"/>
          <w:color w:val="auto"/>
        </w:rPr>
        <w:t>Liquidation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FLNG 2 Co shall be dissolved upon the occurrence of the following events: (a) the Managing Member votes for dissolution; (b) a judicial dissolution of the FLNG 2 Co under Section 18-802 of the Delaware Limited Liability Company Act (the “Act”); or (c) the termination of the legal existence of the last remaining holder of Interests or the occurrence of any other event that terminates the continued membership of the last remaining holder of Interests, unless FLNG 2 Co is continued without dissolution in a manner provided under the A&amp;R FLNG 2 LLCA or the Act. Upon dissolution, FLNG 2 Co shall be liquidated in an orderly manner, with the Managing Member acting as the liquidator. The proceeds of liquidation shall be applied as follows: first, to pay, satisfy and discharge all debts, obligations and other liabilities of FLNG 2 Co to its creditors (or make adequate provision for payment thereof); and second, all remaining assets of FLNG 2 Co shall be distributed to the Members in accordance with the distribution waterfall described above.</w:t>
      </w:r>
    </w:p>
    <w:p>
      <w:pPr>
        <w:spacing w:after="0" w:line="124" w:lineRule="exact"/>
        <w:rPr>
          <w:sz w:val="20"/>
          <w:szCs w:val="20"/>
          <w:color w:val="auto"/>
        </w:rPr>
      </w:pPr>
    </w:p>
    <w:p>
      <w:pPr>
        <w:ind w:right="220" w:firstLine="432"/>
        <w:spacing w:after="0" w:line="265" w:lineRule="auto"/>
        <w:rPr>
          <w:sz w:val="20"/>
          <w:szCs w:val="20"/>
          <w:color w:val="auto"/>
        </w:rPr>
      </w:pPr>
      <w:r>
        <w:rPr>
          <w:rFonts w:ascii="Times New Roman" w:cs="Times New Roman" w:eastAsia="Times New Roman" w:hAnsi="Times New Roman"/>
          <w:sz w:val="12"/>
          <w:szCs w:val="12"/>
          <w:u w:val="single" w:color="auto"/>
          <w:color w:val="auto"/>
        </w:rPr>
        <w:t>Redemption</w:t>
      </w:r>
      <w:r>
        <w:rPr>
          <w:rFonts w:ascii="Times New Roman" w:cs="Times New Roman" w:eastAsia="Times New Roman" w:hAnsi="Times New Roman"/>
          <w:sz w:val="12"/>
          <w:szCs w:val="12"/>
          <w:color w:val="auto"/>
        </w:rPr>
        <w:t>. FLNG 2 Co shall have the right, but not the obligation, to redeem each outstanding Preferred Interests in cash at any time and from time to time, in full or in part, at a redemption price equal to the liquidation preference thereof (defined as $1,000 per Preferred Interest) (the “FLNG 2 Liquidation Preference”). FLNG 2 Co shall deliver a notice of redemption (the "Redemption Notice") to each holder of a Preferred Interest not less than ten (10) calendar days nor more than sixty (60) calendar days before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11" w:right="299" w:bottom="1440" w:gutter="0" w:footer="0" w:header="0"/>
        </w:sectPr>
      </w:pPr>
    </w:p>
    <w:bookmarkStart w:id="37" w:name="page38"/>
    <w:bookmarkEnd w:id="37"/>
    <w:p>
      <w:pPr>
        <w:spacing w:after="0" w:line="257" w:lineRule="auto"/>
        <w:rPr>
          <w:sz w:val="20"/>
          <w:szCs w:val="20"/>
          <w:color w:val="auto"/>
        </w:rPr>
      </w:pPr>
      <w:r>
        <w:rPr>
          <w:rFonts w:ascii="Times New Roman" w:cs="Times New Roman" w:eastAsia="Times New Roman" w:hAnsi="Times New Roman"/>
          <w:sz w:val="12"/>
          <w:szCs w:val="12"/>
          <w:color w:val="auto"/>
        </w:rPr>
        <w:t>applicable redemption date. Each Redemption Notice shall identify the amount of Preferred Interests to be redeemed (the "Redemption Interests"), and shall state the redemption date, the aggregate FLNG 2 Liquidation Preference of the Redemption Interests and any conditions to the effectiveness of such redemption. Once a Redemption Notice is delivered, the aggregate FLNG 2 Liquidation Preference of the applicable Redemption Interests called for redemption shall become irrevocably due and payable on the redemption date, subject to any conditions specified in the Redemption Notice. In any case, failure to deliver such Redemption Notice or any defect in such Redemption Notice to any holder of a Preferred Interest shall not affect the validity of the proceedings for the redemption of any other Preferred Interest. All redemptions shall be made on a pro rata basis among all holders of Preferred Interests in proportion to the number of Preferred Interests held thereby, treating holders of vested warrants, options or other rights to acquire Preferred Interests as the holders thereof.</w:t>
      </w:r>
    </w:p>
    <w:p>
      <w:pPr>
        <w:spacing w:after="0" w:line="123"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2"/>
          <w:szCs w:val="12"/>
          <w:u w:val="single" w:color="auto"/>
          <w:color w:val="auto"/>
        </w:rPr>
        <w:t>Distributions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The Managing Member shall determine profits available for distribution and the amount, if any, to be distributed to the Members. Distributions shall be authorized and distributed on the Common Interests and the Preferred Interests, the determined amount when, as and if declared by the Managing Member, or in the event of any (a) voluntary or involuntary liquidation, dissolution or winding up, (b) bankruptcy or insolvency event, (c)(x) merger, change of control, or consolidation approved by the managing body of FLNG 2 Co or in which FLNG 2 Co issues equity securities, in each case, excluding, for the avoidance of doubt, any internal merger, consolidation or reorganization or (y) entry by FLNG 2 Co into a stock purchase agreement or other combination pursuant to which a person acquires a majority of the outstanding voting membership interests, or (d) sale, lease, transfer or other disposition of assets representing greater than 65% of the aggregate book value of the assets of FLNG 2 Co and its subsidiaries taken as a whole. Distributions shall be made in each case as follows: (i) first, to the Preferred Members, in accordance with their pro rata ownership thereof, until each Preferred Member has received an amount equal to the FLNG 2 Liquidation Preference (provided, that holders of at least a majority of the Preferred Interests may agree, on behalf of all Preferred Members, that the price per Preferred Interest payable in connection with any such liquidation be less than the FLNG 2 Liquidation Preference per Preferred Interest) for each Preferred Interest held; and (ii) second, to the holders of Common Interests (the "Common Members"), in accordance with their pro rata ownership thereof. Assets of FLNG 2 Co may be distributed in kind on the basis of fair market value as determined by the Managing Member, in the same proportion as if such distribution had been made in cash.</w:t>
      </w:r>
    </w:p>
    <w:p>
      <w:pPr>
        <w:spacing w:after="0" w:line="126" w:lineRule="exact"/>
        <w:rPr>
          <w:sz w:val="20"/>
          <w:szCs w:val="20"/>
          <w:color w:val="auto"/>
        </w:rPr>
      </w:pPr>
    </w:p>
    <w:p>
      <w:pPr>
        <w:ind w:right="100" w:firstLine="432"/>
        <w:spacing w:after="0" w:line="283" w:lineRule="auto"/>
        <w:rPr>
          <w:sz w:val="20"/>
          <w:szCs w:val="20"/>
          <w:color w:val="auto"/>
        </w:rPr>
      </w:pPr>
      <w:r>
        <w:rPr>
          <w:rFonts w:ascii="Times New Roman" w:cs="Times New Roman" w:eastAsia="Times New Roman" w:hAnsi="Times New Roman"/>
          <w:sz w:val="12"/>
          <w:szCs w:val="12"/>
          <w:u w:val="single" w:color="auto"/>
          <w:color w:val="auto"/>
        </w:rPr>
        <w:t>Consent Rights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Notwithstanding anything in the A&amp;R FLNG 2 LLCA to the contrary, for so long as any Preferred Interest is outstanding, the prior affirmative vote or written consent of the Required Preferred Members shall be required with respect to the following actions of FLNG 2 Co and its subsidiaries:</w:t>
      </w:r>
    </w:p>
    <w:p>
      <w:pPr>
        <w:spacing w:after="0" w:line="127" w:lineRule="exact"/>
        <w:rPr>
          <w:sz w:val="20"/>
          <w:szCs w:val="20"/>
          <w:color w:val="auto"/>
        </w:rPr>
      </w:pPr>
    </w:p>
    <w:p>
      <w:pPr>
        <w:ind w:left="420" w:right="60" w:hanging="212"/>
        <w:spacing w:after="0" w:line="279" w:lineRule="auto"/>
        <w:tabs>
          <w:tab w:leader="none" w:pos="41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amendments, modifications or repeals of the A&amp;R FLNG 2 LLCA that disproportionately and adversely affect the rights and preferences of the Preferred Interests (other than an amendment, modification or repeal to amend or correct to cure any ambiguity or correct any mistake, omission, defect or inconsistency);</w:t>
      </w:r>
    </w:p>
    <w:p>
      <w:pPr>
        <w:spacing w:after="0" w:line="129" w:lineRule="exact"/>
        <w:rPr>
          <w:rFonts w:ascii="Times New Roman" w:cs="Times New Roman" w:eastAsia="Times New Roman" w:hAnsi="Times New Roman"/>
          <w:sz w:val="12"/>
          <w:szCs w:val="12"/>
          <w:color w:val="auto"/>
        </w:rPr>
      </w:pPr>
    </w:p>
    <w:p>
      <w:pPr>
        <w:ind w:left="420" w:right="240" w:hanging="212"/>
        <w:spacing w:after="0" w:line="279" w:lineRule="auto"/>
        <w:tabs>
          <w:tab w:leader="none" w:pos="41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issuances of any new equity securities, or reclassifications, alterations or amendments of any existing equity securities into, or issuances of any equity or debt securities convertible into, equity securities, the terms of which expressly provide that such securities rank senior to,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or junior to the Preferred Interests as to dividend rights and rights on the distribution of assets on any liquidation;</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or decreases in the number of authorized Preferred Interests;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of Common Interests by Common Members; and</w:t>
      </w:r>
    </w:p>
    <w:p>
      <w:pPr>
        <w:spacing w:after="0" w:line="168" w:lineRule="exact"/>
        <w:rPr>
          <w:rFonts w:ascii="Times New Roman" w:cs="Times New Roman" w:eastAsia="Times New Roman" w:hAnsi="Times New Roman"/>
          <w:sz w:val="12"/>
          <w:szCs w:val="12"/>
          <w:color w:val="auto"/>
        </w:rPr>
      </w:pPr>
    </w:p>
    <w:p>
      <w:pPr>
        <w:ind w:left="420" w:right="20" w:hanging="212"/>
        <w:spacing w:after="0" w:line="255" w:lineRule="auto"/>
        <w:tabs>
          <w:tab w:leader="none" w:pos="41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redemptions, purchases or other acquisitions for consideration by FLNG 2 Co of equity securities, except (i) by conversion into or exchange for, or options, warrants or rights to purchase or subscribe for, other equity securities ranking junior to the Preferred Interests as to dividends and upon liquidation, (ii) in the case of the distribution of assets upon liquidation, dissolution or winding up, (iii) repurchases of equity securities of FLNG 2 Co upon the exercise of warrants, options or other securities convertible into or exchangeable for equity securities of FLNG 2 Co or upon the vesting of any profits interests, restricted stock units or similar incentive interests, or (iv) "net" or "cashless" exercises of warrants, options or other securities convertible into or exchangeable for equity securities of FLNG 2 Co (for purposes of exercising such warrants, options or other securities convertible into or exchangeable for equity securities of FLNG 2 Co, including any transfer for the payment of tax withholdings or remittance payments due as a result of the vesting, settlement or exercise of such warrants, options or other securities convertible into or exchangeable for equity securities of FLNG 2 Co), in each case if such equity securities represent all or a portion of the exercise price of such warrants, options or other securities convertible into or exchangeable for equity securities as part of a “cashless” exercise upon such exercise or vesting, as applicable.</w:t>
      </w:r>
    </w:p>
    <w:p>
      <w:pPr>
        <w:spacing w:after="0" w:line="124" w:lineRule="exact"/>
        <w:rPr>
          <w:sz w:val="20"/>
          <w:szCs w:val="20"/>
          <w:color w:val="auto"/>
        </w:rPr>
      </w:pPr>
    </w:p>
    <w:p>
      <w:pPr>
        <w:ind w:right="220" w:firstLine="432"/>
        <w:spacing w:after="0" w:line="283" w:lineRule="auto"/>
        <w:rPr>
          <w:sz w:val="20"/>
          <w:szCs w:val="20"/>
          <w:color w:val="auto"/>
        </w:rPr>
      </w:pPr>
      <w:r>
        <w:rPr>
          <w:rFonts w:ascii="Times New Roman" w:cs="Times New Roman" w:eastAsia="Times New Roman" w:hAnsi="Times New Roman"/>
          <w:sz w:val="12"/>
          <w:szCs w:val="12"/>
          <w:u w:val="single" w:color="auto"/>
          <w:color w:val="auto"/>
        </w:rPr>
        <w:t>Transferability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Each Preferred Member shall have the right to transfer all or any portion of its Preferred Interests, subject to applicable law. Upon receipt by FLNG 2 Co of a counterpart signature page to the A&amp;R FLNG 2 LLCA executed by the transferee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38" w:name="page39"/>
    <w:bookmarkEnd w:id="38"/>
    <w:p>
      <w:pPr>
        <w:ind w:right="200"/>
        <w:spacing w:after="0" w:line="260" w:lineRule="auto"/>
        <w:rPr>
          <w:sz w:val="20"/>
          <w:szCs w:val="20"/>
          <w:color w:val="auto"/>
        </w:rPr>
      </w:pPr>
      <w:r>
        <w:rPr>
          <w:rFonts w:ascii="Times New Roman" w:cs="Times New Roman" w:eastAsia="Times New Roman" w:hAnsi="Times New Roman"/>
          <w:sz w:val="12"/>
          <w:szCs w:val="12"/>
          <w:color w:val="auto"/>
        </w:rPr>
        <w:t>agreeing to be bound by the terms of the A&amp;R FLNG 2 LLCA, such person shall be admitted as a Preferred Member. Upon any transfer of Preferred Interests, the transferee shall become a Preferred Member for all purposes of the A&amp;R FLNG 2 LLCA and shall be entitled to receive the distributions and allocations of income, gain, loss, deduction, credit or similar items to which the transferring member would be entitled with respect to the Preferred Interests transferred, and shall be entitled to exercise all of the other rights and receive all of the other benefits of a Preferred Member. For the avoidance of doubt, no determination by the Managing Member shall be required to admit a transferee of Preferred Interests as a Preferred Member.</w:t>
      </w:r>
    </w:p>
    <w:p>
      <w:pPr>
        <w:spacing w:after="0" w:line="120"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2"/>
          <w:szCs w:val="12"/>
          <w:u w:val="single" w:color="auto"/>
          <w:color w:val="auto"/>
        </w:rPr>
        <w:t>Management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The management of FLNG 2 Co is fully reserved to the Managing Member. Except for situations in which the approval of the Preferred Members is required by the terms of the A&amp;R FLNG 2 LLCA, the powers of FLNG 2 Co shall be exercised by or under the authority of, and the business and affairs of FLNG 2 Co shall be managed under the direction of, the Managing Member. No Preferred Member shall have any right or authority to take any action on behalf of FLNG 2 Co with respect to third parties, except as authorized by the Managing Member or the express terms and provisions of the A&amp;R FLNG 2 LLCA.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The A&amp;R FLNG 2 LLCA is governed by and construed in accordance with the laws of the State of Delaware without regard to the principles of conflicts of laws thereof.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FLNG 2 Term Loans</w:t>
      </w:r>
    </w:p>
    <w:p>
      <w:pPr>
        <w:spacing w:after="0" w:line="170" w:lineRule="exact"/>
        <w:rPr>
          <w:sz w:val="20"/>
          <w:szCs w:val="20"/>
          <w:color w:val="auto"/>
        </w:rPr>
      </w:pPr>
    </w:p>
    <w:p>
      <w:pPr>
        <w:ind w:right="240" w:firstLine="432"/>
        <w:spacing w:after="0" w:line="260" w:lineRule="auto"/>
        <w:rPr>
          <w:sz w:val="20"/>
          <w:szCs w:val="20"/>
          <w:color w:val="auto"/>
        </w:rPr>
      </w:pPr>
      <w:r>
        <w:rPr>
          <w:rFonts w:ascii="Times New Roman" w:cs="Times New Roman" w:eastAsia="Times New Roman" w:hAnsi="Times New Roman"/>
          <w:sz w:val="12"/>
          <w:szCs w:val="12"/>
          <w:color w:val="auto"/>
        </w:rPr>
        <w:t>On the Restructuring Effective Date, FLNG 2 Co, as borrower, and its subsidiaries, as guarantors, shall enter into a new non-recourse senior secured term loan agreement (the “FLNG 2 Credit Agreement”) in an aggregate principal amount equal to $400 million (the “FLNG 2 Term Loan Facility,” and the loans made under the FLNG 2 Term Loan Facility, the “FLNG 2 Term Loans”). The funding of the FLNG 2 Term Loans are subject to certain customary conditions. The FLNG 2 Term Loans bear an interest rate of Term SOFR plus 3.00% at a fixed rate per annum, payable in-kind and capitalized on the last day of each interest period (which will be at least quarterly). The FLNG 2 Term Loan Facility matures three (3) years after the Restructuring Effective Date (as defined in the RSA) and will have no amortization.</w:t>
      </w:r>
    </w:p>
    <w:p>
      <w:pPr>
        <w:spacing w:after="0" w:line="14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FLNG 2 Term Loans will be guaranteed, jointly and severally, on a senior secured basis by FLNG 2 Co and each of its subsidiaries (collectively, the “FLNG 2 Loan Parties”), and will be secured by first-priority liens on all of the assets of the FLNG 2 Loan Parties, subject to certain exceptions.</w:t>
      </w:r>
    </w:p>
    <w:p>
      <w:pPr>
        <w:spacing w:after="0" w:line="120" w:lineRule="exact"/>
        <w:rPr>
          <w:sz w:val="20"/>
          <w:szCs w:val="20"/>
          <w:color w:val="auto"/>
        </w:rPr>
      </w:pPr>
    </w:p>
    <w:p>
      <w:pPr>
        <w:ind w:right="80" w:firstLine="432"/>
        <w:spacing w:after="0" w:line="242" w:lineRule="auto"/>
        <w:rPr>
          <w:sz w:val="20"/>
          <w:szCs w:val="20"/>
          <w:color w:val="auto"/>
        </w:rPr>
      </w:pPr>
      <w:r>
        <w:rPr>
          <w:rFonts w:ascii="Times New Roman" w:cs="Times New Roman" w:eastAsia="Times New Roman" w:hAnsi="Times New Roman"/>
          <w:sz w:val="12"/>
          <w:szCs w:val="12"/>
          <w:color w:val="auto"/>
        </w:rPr>
        <w:t>The FLNG 2 Term Loans may be voluntarily prepaid by FLNG 2 Co, in whole or in part, subject to a prepayment premium for voluntary prepayments equal to 103% of the aggregate principal amount of such term loans prepaid plus accrued and unpaid interest during the third year following the Restructuring Effective Date. There will be no prepayment premium if prepaid during the first or second year following the Restructuring Effective Date. FLNG 2 Co will be required to prepay the FLNG 2 Term Loans at par with the net proceeds of non-ordinary course asset sales, condemnations, property/insurance claims, and certain other events enumerated in the FLNG 2 Credit Agreement, only after (x) payment in full of all obligations owing by any FLNG 2 Loan Party in respect of permitted management services provided by the New CoreCo Loan Parties to any FLNG 2 Loan Party (including the payment of costs and expenses relating thereto or in connection therewith) and (y) cash payments in respect of awards under the FLNG 2 MIP; provided that the FLNG 2 Loan Parties shall not have reinvestment rights.</w:t>
      </w:r>
    </w:p>
    <w:p>
      <w:pPr>
        <w:spacing w:after="0" w:line="132"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The FLNG 2 Credit Agreement contains limited representations and warranties and affirmative and negative covenants, in each case, subject to applicable materiality qualifiers, thresholds and exceptions as set forth in the FLNG 2 Credit Agreement. The affirmative covenants include, among other things, the delivery of financial statements and notices; payment of taxes and other obligations, preservation of existence and compliance with applicable laws and regulations, maintenance of property and insurance, and compliance with the use of proceeds.</w:t>
      </w:r>
    </w:p>
    <w:p>
      <w:pPr>
        <w:spacing w:after="0" w:line="119" w:lineRule="exact"/>
        <w:rPr>
          <w:sz w:val="20"/>
          <w:szCs w:val="20"/>
          <w:color w:val="auto"/>
        </w:rPr>
      </w:pPr>
    </w:p>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The negative covenants include, among other things, limitations on restricted payments, paying dividends and making other payments affecting restricted subsidiaries, limitations on the incurrence of indebtedness and the creation of new liens, limitations of effectuating assets sales, mergers, or the consolidation or sale of all or substantially all assets and limitations on transactions with affiliates.</w:t>
      </w:r>
    </w:p>
    <w:p>
      <w:pPr>
        <w:spacing w:after="0" w:line="111"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The FLNG 2 Credit Agreement includes usual and customary events of default. These include, among other things, non-payment of principal, interest, fees or other amounts, material breach of representations or warranties, covenant defaults, cross-defaults with respect to other material debt, material judgements, bankruptcy or insolvency, ERISA-related defaults and impairment of security.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Incentive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NFE MIP</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9" w:name="page40"/>
    <w:bookmarkEnd w:id="39"/>
    <w:p>
      <w:pPr>
        <w:ind w:right="160" w:firstLine="432"/>
        <w:spacing w:after="0" w:line="256" w:lineRule="auto"/>
        <w:rPr>
          <w:sz w:val="20"/>
          <w:szCs w:val="20"/>
          <w:color w:val="auto"/>
        </w:rPr>
      </w:pPr>
      <w:r>
        <w:rPr>
          <w:rFonts w:ascii="Times New Roman" w:cs="Times New Roman" w:eastAsia="Times New Roman" w:hAnsi="Times New Roman"/>
          <w:sz w:val="12"/>
          <w:szCs w:val="12"/>
          <w:color w:val="auto"/>
        </w:rPr>
        <w:t>After the Restructuring Effective Date, and in any event, not later than 120 days thereafter, the CoreCo Board will adopt the NFE MIP that provides for the issuance of equity and/or equity-based compensation. 10% of the shares of Common Stock on a fully diluted basis as of the Restructuring Effective Date (prior to giving effect to any conversion of the CoreCo Convertible Preferred Stock into shares of Common Stock) and 7% of the CoreCo Convertible Preferred Stock outstanding as of the Restructuring Effective Date will be reserved for issuance in connection with the NFE MIP. The participants of the NFE MIP, the allocations, the reservation for future issuances, the form of equity-based compensation to such participants (including the amount of allocations and the timing of the grant of the equity-based compensation), and the terms and conditions of such equity-based compensation (including vesting, exercise prices, base values, hurdles, forfeiture, repurchase rights and transferability) will be determined by the anticipated CoreCo Board. The anticipated CoreCo Board will, as soon as reasonably practicable following its selection, engage a compensation consultant to assist it in evaluating and determining the terms and conditions of the equity-based compensation to be awarded under the NFE MIP.</w:t>
      </w:r>
    </w:p>
    <w:p>
      <w:pPr>
        <w:spacing w:after="0" w:line="125"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Awards granted under the NFE MIP will be issued under the Amended and Restated Incentive Plan, if the Incentive Plan Proposal and the other Restructuring Transaction Proposals are approved by our stockholders. Subject to such approval, the Amended and Restated Incentive Plan will become effective as of the Restructuring Effective 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FLNG 2 Incentive Program</w:t>
      </w:r>
    </w:p>
    <w:p>
      <w:pPr>
        <w:spacing w:after="0" w:line="15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NFE will adopt a cash incentive program for officers and other employees of NFE that are involved in the development of FLNG 2 (the “FLNG 2 Incentive Program”). A cash participation pool will be established under the FLNG 2 Incentive Program upon the sale of FLNG 2, in an amount based on cash proceeds of such FLNG 2 sale received by NFE FLNG 2 LLC, its subsidiaries or any direct parent of NFE FLNG 2 LLC, determined before deducting any such cash proceeds applied, or required to be applied, to pay amounts owing to NFE under any management services agreements entered into between or among NFE, NFE FLNG 2 LLC, its subsidiaries or any direct parent of NFE FLNG 2 LLC, but net of other transactions expenses and customary deductions (“FLNG 2 Sale Proceeds”), equal to the sum of: (i) 2 percent of every dollar of FLNG 2 Sale Proceeds up to and including $200,000,000, plus (ii) 3 percent of every dollar of FLNG 2 Sale Proceeds above $200,000,000 up to and including $400,000,000, plus (iii) 5 percent of every dollar of FLNG 2 Sale Proceeds above $400,000,000. Awards granted under the FLNG 2 Incentive Program may be issued as a cash-based award under the Incentive Plan.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BrazilCo MIP</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After the Restructuring Effective Date, the new board of directors of BrazilCo will adopt an equity incentive plan for directors, officers, and employees of BrazilCo (the “BrazilCo MIP”).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Governance Matters</w:t>
      </w:r>
    </w:p>
    <w:p>
      <w:pPr>
        <w:spacing w:after="0" w:line="154"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Pursuant to the terms of the Charter Amendment Proposal, NFE will remain a Delaware corporation, managed on a day-to-day basis by its chief executive officer and other senior executive officers with oversight from the CoreCo Board.</w:t>
      </w:r>
    </w:p>
    <w:p>
      <w:pPr>
        <w:spacing w:after="0" w:line="111" w:lineRule="exact"/>
        <w:rPr>
          <w:sz w:val="20"/>
          <w:szCs w:val="20"/>
          <w:color w:val="auto"/>
        </w:rPr>
      </w:pPr>
    </w:p>
    <w:p>
      <w:pPr>
        <w:jc w:val="both"/>
        <w:ind w:right="140" w:firstLine="432"/>
        <w:spacing w:after="0" w:line="265" w:lineRule="auto"/>
        <w:rPr>
          <w:sz w:val="20"/>
          <w:szCs w:val="20"/>
          <w:color w:val="auto"/>
        </w:rPr>
      </w:pPr>
      <w:r>
        <w:rPr>
          <w:rFonts w:ascii="Times New Roman" w:cs="Times New Roman" w:eastAsia="Times New Roman" w:hAnsi="Times New Roman"/>
          <w:sz w:val="12"/>
          <w:szCs w:val="12"/>
          <w:color w:val="auto"/>
        </w:rPr>
        <w:t>NFE will use its commercially reasonable efforts to continue as an SEC public reporting company. After the Restructuring Effective Date, if the Common Stock and CoreCo Convertible Preferred Stock are not then listed on the Nasdaq Global Select Market or another national securities exchange, the holders of a majority of the CoreCo Convertible Preferred Stock can require NFE to use commercially reasonable efforts to cause the Common Stock and, after NFE satisfies applicable listing standards, the CoreCo Convertible Preferred Stock, to be listed on a national securities exchange as promptly as reasonably practicable.</w:t>
      </w:r>
    </w:p>
    <w:p>
      <w:pPr>
        <w:spacing w:after="0" w:line="11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2"/>
          <w:szCs w:val="12"/>
          <w:color w:val="auto"/>
        </w:rPr>
        <w:t>Immediately following the Restructuring Effective Date, the CoreCo Board will be comprised of seven directors: (i) Wesley R. Edens, (ii) to the extent lenders under the Revolving Credit Agreement receive at least seven percent of the voting equity of NFE, one director selected by the holders of a majority of the outstanding debt under the Revolving Credit Agreement (the “Majority RCF Lenders”), which director (if any) must have knowledge of or experience in the industry and satisfy Nasdaq independence rules (it being understood that such director shall neither be an employee nor an affiliate of any holder of debt under the Revolving Credit Agreement), and (iii) the remaining five directors (or six directors to the extent no director is selected pursuant to (ii)) selected by holders of a majority of the outstanding debt under the Term Loan B Credit Agreement (the “Majority TLB Lenders”) and holders of a majority of the outstanding New 2029 Notes (the “Majority 2029 New Noteholders”), the composition of which would satisfy Nasdaq independence rules (including committee composition) (it being understood that the directors appointed by the Majority TLB Lenders and Majority 2029 New Noteholders shall neither be employees nor affiliates of any holder of debt under the Term Loan B Credit Agreement or New 2029 Notes). The Majority TLB Lenders, the Majority 2029 New Noteholders and the Majority RCF Lenders, in their sole discretion, may collectively determine to increase the size of the board to up to nine directors. The members of the CoreCo Board shall serve until NFE’s next annual meeting following the Restructuring Effective Date, following which the CoreCo Board will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color w:val="auto"/>
        </w:rPr>
        <w:t>be nominated/elected in accordance with standard public company board procedures (i.e., no ongoing right to serve, elected by majority vote of stockholders).</w:t>
      </w:r>
    </w:p>
    <w:p>
      <w:pPr>
        <w:spacing w:after="0" w:line="150" w:lineRule="exact"/>
        <w:rPr>
          <w:sz w:val="20"/>
          <w:szCs w:val="20"/>
          <w:color w:val="auto"/>
        </w:rPr>
      </w:pPr>
    </w:p>
    <w:p>
      <w:pPr>
        <w:ind w:right="120" w:firstLine="432"/>
        <w:spacing w:after="0" w:line="260" w:lineRule="auto"/>
        <w:rPr>
          <w:sz w:val="20"/>
          <w:szCs w:val="20"/>
          <w:color w:val="auto"/>
        </w:rPr>
      </w:pPr>
      <w:r>
        <w:rPr>
          <w:rFonts w:ascii="Times New Roman" w:cs="Times New Roman" w:eastAsia="Times New Roman" w:hAnsi="Times New Roman"/>
          <w:sz w:val="12"/>
          <w:szCs w:val="12"/>
          <w:color w:val="auto"/>
        </w:rPr>
        <w:t>The chairperson of the CoreCo Board shall be an independent director initially selected collectively by the Majority TLB Lenders and Majority 2029 New Noteholders. Thereafter, the chairperson will be determined by a majority vote of the CoreCo Board; provided, that (i) such chairperson will not also serve as the chief executive officer and (ii) the initial chairperson shall be selected from the five directors selected by the Majority TLB Lenders and Majority 2029 New Noteholders (or six directors if no director is selected pursuant to (ii), above, or seven directors if the size of the CoreCo Board is increased to nine directors) and at all times shall be an independent director in accordance with SEC and Nasdaq independence rules.</w:t>
      </w:r>
    </w:p>
    <w:p>
      <w:pPr>
        <w:spacing w:after="0" w:line="122"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NFE expects that the Common Stock and CoreCo Convertible Preferred Stock issued on the Restructuring Effective Date shall be freely transferable following the Restructuring Effective Date, subject to compliance with applicable securities laws as determined by NFE with the consent of the Majority Supporting Creditors.</w:t>
      </w:r>
    </w:p>
    <w:p>
      <w:pPr>
        <w:spacing w:after="0" w:line="111" w:lineRule="exact"/>
        <w:rPr>
          <w:sz w:val="20"/>
          <w:szCs w:val="20"/>
          <w:color w:val="auto"/>
        </w:rPr>
      </w:pPr>
    </w:p>
    <w:p>
      <w:pPr>
        <w:ind w:right="620" w:firstLine="432"/>
        <w:spacing w:after="0" w:line="279" w:lineRule="auto"/>
        <w:rPr>
          <w:sz w:val="20"/>
          <w:szCs w:val="20"/>
          <w:color w:val="auto"/>
        </w:rPr>
      </w:pPr>
      <w:r>
        <w:rPr>
          <w:rFonts w:ascii="Times New Roman" w:cs="Times New Roman" w:eastAsia="Times New Roman" w:hAnsi="Times New Roman"/>
          <w:sz w:val="12"/>
          <w:szCs w:val="12"/>
          <w:color w:val="auto"/>
        </w:rPr>
        <w:t>On or about the Restructuring Effective Date, we expect to amend and restate the Company's Bylaws in substantially the form set forth as Annex B hereto and approved by the Board of Directors, included here for informational purposes only.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Laws; Listing Matters</w:t>
      </w:r>
    </w:p>
    <w:p>
      <w:pPr>
        <w:spacing w:after="0" w:line="154"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We expect that the Proposed CoreCo Equity Issuances, together with the issuance of the FLNG 2 Preferred Equity and the BrazilCo Common Equity, will be made in reliance upon the exemption from registration under the Securities Act provided by Section 3(a)(10) thereof. We have been advised that the sanction of the Restructuring Plans by the High Court, following notice to affected stakeholders and an opportunity to be heard, will satisfy the fairness hearing requirements of Section 3(a)(10). Accordingly, no registration of such securities under the Securities Act is expected to be required, and such securities would be issued without restrictive transfer legends. The availability of the Section 3(a)(10) exemption is contingent on High Court approval.</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expect these securities to be DTC-eligible, and plan to apply to list the CoreCo Convertible Preferred Stock on Nasdaq.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54"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In connection with the Restructuring Transaction, the Company will enter into a registration rights agreement (the “RRA”) with each Supporting Creditor, providing customary registration rights for any Common Stock and CoreCo Convertible Preferred Stock (including the shares of Common Stock underlying the CoreCo Convertible Preferred Stock) received pursuant to the Restructuring Transaction.</w:t>
      </w:r>
    </w:p>
    <w:p>
      <w:pPr>
        <w:spacing w:after="0" w:line="11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The Company will use commercially reasonable efforts to, on or as soon as reasonably practicable after the Restructuring Effective Date, but in no event greater than 10 business days after the Restructuring Effective Date, file a registration statement on Form S-1 (or applicable successor form) to register all of the Common Stock and CoreCo Convertible Preferred Stock (including the shares of Common Stock underlying the CoreCo Convertible Preferred Stock) (such securities, together with any securities issued or issuable in respect of such shares by way of conversion, exchange, stock dividend, split or combination, recapitalization, merger, consolidation or otherwise, the “Registrable Securities”) on a shelf registration statement (the “S-1 Resale Shelf”). The Company will use its commercially reasonable efforts to have the S-1 Resale Shelf declared effective as soon as practicable after the filing thereof, but no later than 30 calendar days after the filing thereof (or 90 calendar days after the filing thereof if the SEC notifies the Company that it will “review” the S-1 Resale Shelf). Any Registrable Securities will cease to be Registrable Securities on the first date that (i) all such securities have become freely tradable under Rule 144 under the Securities Act without a holding period, current public information requirement, limitation on volume, manner of sale restrictions or notice requirements and (ii) any and all securities law restrictive legends or designations associated with such shares have been removed. The S-1 Resale Shelf will provide for offerings on a delayed or continuous basis pursuant to Rule 415 under the Securities Act. The Company will use commercially reasonable efforts to prepare and file such amendments, post-effective amendments and supplements to the S-1 Resale Shelf as may be necessary to keep the S-1 Resale Shelf effective until the earlier of (1) the date that no Registrable Securities remain, (2) the date that all Registrable Securities have been sold pursuant to Rule 144 or a registration statement or (3) the date the S-3 Resale Shelf (as defined below) has become effective.</w:t>
      </w:r>
    </w:p>
    <w:p>
      <w:pPr>
        <w:spacing w:after="0" w:line="129"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Once the Company is eligible to file a shelf registration statement on Form S-3, the Company will use commercially reasonable efforts to, as promptly as practicable, file a registration statement under the Securities Act on Form S-3 (or similar or successor form) (the “S-3 Resale Shelf”), covering the remaining Registrable Securities that have not been sold pursuant to Rule 144 or a registration statement. The Company will use commercially reasonable efforts to prepare and make all such filings as may be necessary to keep the S-3 Resale Shelf effective until the earlier of (1) the date that no Registrable Securities remain and (2) the date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color w:val="auto"/>
        </w:rPr>
        <w:t>that all such Registrable Securities have been sold pursuant to Rule 144 or a registration statement. The applicable holders will have the right to request an unlimited number of registrations on Form S-3.</w:t>
      </w:r>
    </w:p>
    <w:p>
      <w:pPr>
        <w:spacing w:after="0" w:line="150"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If requested by holders of Registrable Securities representing at least 10% of the then-outstanding Registrable Securities, the Company will conduct a shelf takedown off of the S-1 Resale Shelf or S-3 Resale Shelf, as applicable, covering Common Stock and, if applicable, CoreCo Convertible Preferred Stock requested by such holders (a “Takedown Request”); provided that the Company will not be obligated to undertake more than five shelf takedowns in the aggregate and no more than two shelf takedowns in any twelve-month period. Such holders may specify the type of offering to be covered by the Takedown Request, such as an underwritten offering or registered block trade.</w:t>
      </w:r>
    </w:p>
    <w:p>
      <w:pPr>
        <w:spacing w:after="0" w:line="122"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Each holder of Registrable Securities representing at least 5% of the then-outstanding Registrable Securities will have the right to include its CoreCo Convertible Preferred Stock and Common Stock each time the Company proposes for any reason to register CoreCo Convertible Preferred Stock and/or Common Stock under the Securities Act. The rights to piggyback registration may be exercised an unlimited number of occasions. The rights to piggyback registration will be subject to usual and customary exceptions and limitations (including, without limitation, exceptions for employee plan S-8 filings and acquisition transactions, and limitations on the selection of underwriters, priority and cutbacks).</w:t>
      </w:r>
    </w:p>
    <w:p>
      <w:pPr>
        <w:spacing w:after="0" w:line="122"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The RRA will also contain customary provisions relating to the registration procedures to be followed by the Company, indemnification obligations, delay and suspension rights, selection of underwriters, priority, cutbacks, lock-ups (to the extent requested by an applicable underwriter) and payment of expenses of registrations by the Company (including reasonable fees and disbursements of one counsel for the selling holders of Registrable Securities, but excluding underwriter discounts and commissions).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Conditions to the Consummation of the Restructuring Transaction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addition to the conditions described elsewhere in this Proxy Statement, the obligations of the parties to consummate the Restructuring Transaction under the RSA are subject to the satisfaction (or written waiver by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and the Majority Supporting Creditors, each acting reasonably) of the following additional conditions precedent:</w:t>
      </w:r>
    </w:p>
    <w:p>
      <w:pPr>
        <w:spacing w:after="0" w:line="157" w:lineRule="exact"/>
        <w:rPr>
          <w:sz w:val="20"/>
          <w:szCs w:val="20"/>
          <w:color w:val="auto"/>
        </w:rPr>
      </w:pPr>
    </w:p>
    <w:p>
      <w:pPr>
        <w:ind w:left="420" w:hanging="212"/>
        <w:spacing w:after="0"/>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Agreement Effective Date (as defined in the RSA) must have occurred, and the RSA must remain in full force and effect;</w:t>
      </w:r>
    </w:p>
    <w:p>
      <w:pPr>
        <w:spacing w:after="0" w:line="168" w:lineRule="exact"/>
        <w:rPr>
          <w:rFonts w:ascii="Times New Roman" w:cs="Times New Roman" w:eastAsia="Times New Roman" w:hAnsi="Times New Roman"/>
          <w:sz w:val="12"/>
          <w:szCs w:val="12"/>
          <w:color w:val="auto"/>
        </w:rPr>
      </w:pPr>
    </w:p>
    <w:p>
      <w:pPr>
        <w:ind w:left="420" w:right="260" w:hanging="212"/>
        <w:spacing w:after="0" w:line="279"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definitive documents governing the Restructuring Transaction must have been negotiated in good faith and finalized, consistent with the RSA (including the consent rights set forth in Section 8 thereof) and any applicable Term Sheet, and, where applicable, duly executed and delivered by the relevant parties thereto;</w:t>
      </w:r>
    </w:p>
    <w:p>
      <w:pPr>
        <w:spacing w:after="0" w:line="12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necessary corporate, board, and shareholder authorizations of the parties approving the execution, delivery, and performance of the definitive documents must have been obtained and remain in full force and effect;</w:t>
      </w:r>
    </w:p>
    <w:p>
      <w:pPr>
        <w:spacing w:after="0" w:line="168"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actions, documents, and agreements necessary or advisable to implement and consummate the Restructuring Transaction must have been duly executed and delivered by the parties required to be party thereto and must remain in full force and effect;</w:t>
      </w:r>
    </w:p>
    <w:p>
      <w:pPr>
        <w:spacing w:after="0" w:line="129" w:lineRule="exact"/>
        <w:rPr>
          <w:rFonts w:ascii="Times New Roman" w:cs="Times New Roman" w:eastAsia="Times New Roman" w:hAnsi="Times New Roman"/>
          <w:sz w:val="12"/>
          <w:szCs w:val="12"/>
          <w:color w:val="auto"/>
        </w:rPr>
      </w:pPr>
    </w:p>
    <w:p>
      <w:pPr>
        <w:ind w:left="420" w:right="60" w:hanging="212"/>
        <w:spacing w:after="0" w:line="279"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new money, exit financing, or backstop commitments required under the Restructuring Term Sheet must have been duly executed and, subject to satisfaction of customary draw conditions, must be available to be funded on or prior to the Restructuring Effective Date;</w:t>
      </w:r>
    </w:p>
    <w:p>
      <w:pPr>
        <w:spacing w:after="0" w:line="129" w:lineRule="exact"/>
        <w:rPr>
          <w:rFonts w:ascii="Times New Roman" w:cs="Times New Roman" w:eastAsia="Times New Roman" w:hAnsi="Times New Roman"/>
          <w:sz w:val="12"/>
          <w:szCs w:val="12"/>
          <w:color w:val="auto"/>
        </w:rPr>
      </w:pPr>
    </w:p>
    <w:p>
      <w:pPr>
        <w:ind w:left="420" w:right="40" w:hanging="212"/>
        <w:spacing w:after="0" w:line="279"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and warranties of the Company Parties (as defined in the RSA) set forth in Section 5 of the RSA must be true and correct in all material respects (without giving effect to any “materiality,” “material adverse effect,” or similar qualifiers contained therein) as of the Agreement Effective Date and as of the Restructuring Effective Date;</w:t>
      </w:r>
    </w:p>
    <w:p>
      <w:pPr>
        <w:spacing w:after="0" w:line="129" w:lineRule="exact"/>
        <w:rPr>
          <w:rFonts w:ascii="Times New Roman" w:cs="Times New Roman" w:eastAsia="Times New Roman" w:hAnsi="Times New Roman"/>
          <w:sz w:val="12"/>
          <w:szCs w:val="12"/>
          <w:color w:val="auto"/>
        </w:rPr>
      </w:pPr>
    </w:p>
    <w:p>
      <w:pPr>
        <w:ind w:left="420" w:right="40" w:hanging="212"/>
        <w:spacing w:after="0" w:line="265"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five Business Days prior to the Restructuring Effective Date, the Company Parties must have provided all diligence materials and sufficiently detailed information reasonably requested by the Advisors (as defined in the RSA) (which requests must be made within 45 days of the Agreement Effective Date) relating to certain representations and warranties set forth in the RSA, including those pertaining to anti-corruption, sanctions, and related matters;</w:t>
      </w:r>
    </w:p>
    <w:p>
      <w:pPr>
        <w:spacing w:after="0" w:line="136" w:lineRule="exact"/>
        <w:rPr>
          <w:rFonts w:ascii="Times New Roman" w:cs="Times New Roman" w:eastAsia="Times New Roman" w:hAnsi="Times New Roman"/>
          <w:sz w:val="12"/>
          <w:szCs w:val="12"/>
          <w:color w:val="auto"/>
        </w:rPr>
      </w:pPr>
    </w:p>
    <w:p>
      <w:pPr>
        <w:ind w:left="420" w:right="220" w:hanging="212"/>
        <w:spacing w:after="0" w:line="279" w:lineRule="auto"/>
        <w:tabs>
          <w:tab w:leader="none" w:pos="417"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agreement set forth on Schedule 13 to the RSA must be in full force and effect, and neither the applicable Group member nor the other party thereto may be in material breach or have delivered a notice of cancellation thereof, in each case, except as otherwise provided on such Schedule 13;</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42" w:name="page43"/>
    <w:bookmarkEnd w:id="42"/>
    <w:p>
      <w:pPr>
        <w:ind w:left="420" w:right="60" w:hanging="212"/>
        <w:spacing w:after="0" w:line="265" w:lineRule="auto"/>
        <w:tabs>
          <w:tab w:leader="none" w:pos="41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insolvency, winding-up, administration, receivership, or similar proceedings may have been commenced by or against any Company Party, other than as expressly contemplated by the Restructuring Term Sheet or the definitive documents; the Advisors to the Supporting Creditors must have received payment in full from the Company Parties for all accrued and unpaid Advisor Fees and Expenses (as defined in the RSA) on or prior to the Restructuring Effective Date, inclusive of any reasonable estimate of Advisor Fees and Expenses through and including the Restructuring Effective Date;</w:t>
      </w:r>
    </w:p>
    <w:p>
      <w:pPr>
        <w:spacing w:after="0" w:line="13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Agreement Effective Date through the RSA Termination Date (as defined in the RSA), no letter of credit issued under the Revolving Credit Agreement may have been drawn upon; and</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conditions as may be mutually agreed in writing between the Company and the Majority Supporting Creditors.</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In addition, prior to the Restructuring Effective Date, the Company must deliver to the Majority Supporting Creditors (through their counsel) a certificate executed by a duly authorized officer of the Company confirming the satisfaction (or waiver) of each of the Restructuring Conditions Precedent (as defined in the RSA).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Dilutive Effects of the Restructuring Transaction</w:t>
      </w:r>
    </w:p>
    <w:p>
      <w:pPr>
        <w:spacing w:after="0" w:line="154" w:lineRule="exact"/>
        <w:rPr>
          <w:sz w:val="20"/>
          <w:szCs w:val="20"/>
          <w:color w:val="auto"/>
        </w:rPr>
      </w:pPr>
    </w:p>
    <w:p>
      <w:pPr>
        <w:ind w:right="40" w:firstLine="432"/>
        <w:spacing w:after="0" w:line="260" w:lineRule="auto"/>
        <w:rPr>
          <w:sz w:val="20"/>
          <w:szCs w:val="20"/>
          <w:color w:val="auto"/>
        </w:rPr>
      </w:pPr>
      <w:r>
        <w:rPr>
          <w:rFonts w:ascii="Times New Roman" w:cs="Times New Roman" w:eastAsia="Times New Roman" w:hAnsi="Times New Roman"/>
          <w:sz w:val="12"/>
          <w:szCs w:val="12"/>
          <w:color w:val="auto"/>
        </w:rPr>
        <w:t>The Restructuring Transaction, if consummated, will have a substantially dilutive effect on the existing Common Stock. The Company has provided the information below to illustrate the potential dilutive impact to existing stockholders as a result of the Restructuring Transaction. This information is being provided for illustrative purposes only and is not intended to serve as, and must not be relied on by stockholders as, a guarantee, an assurance, a prediction, or a definitive statement of fact or probability. Actual events and circumstances are difficult or impossible to predict and may differ from assumptions. Many actual events and circumstances are beyond the control of the Company. See “</w:t>
      </w:r>
      <w:r>
        <w:rPr>
          <w:rFonts w:ascii="Times New Roman" w:cs="Times New Roman" w:eastAsia="Times New Roman" w:hAnsi="Times New Roman"/>
          <w:sz w:val="12"/>
          <w:szCs w:val="12"/>
          <w:i w:val="1"/>
          <w:iCs w:val="1"/>
          <w:color w:val="auto"/>
        </w:rPr>
        <w:t>Cautionary Note Regarding Forward-Looking Statements</w:t>
      </w:r>
      <w:r>
        <w:rPr>
          <w:rFonts w:ascii="Times New Roman" w:cs="Times New Roman" w:eastAsia="Times New Roman" w:hAnsi="Times New Roman"/>
          <w:sz w:val="12"/>
          <w:szCs w:val="12"/>
          <w:color w:val="auto"/>
        </w:rPr>
        <w:t>.”</w:t>
      </w:r>
    </w:p>
    <w:p>
      <w:pPr>
        <w:spacing w:after="0" w:line="188" w:lineRule="exact"/>
        <w:rPr>
          <w:sz w:val="20"/>
          <w:szCs w:val="20"/>
          <w:color w:val="auto"/>
        </w:rPr>
      </w:pPr>
    </w:p>
    <w:tbl>
      <w:tblPr>
        <w:tblLayout w:type="fixed"/>
        <w:tblInd w:w="420" w:type="dxa"/>
        <w:tblCellMar>
          <w:top w:w="0" w:type="dxa"/>
          <w:left w:w="0" w:type="dxa"/>
          <w:bottom w:w="0" w:type="dxa"/>
          <w:right w:w="0" w:type="dxa"/>
        </w:tblCellMar>
      </w:tblPr>
      <w:tr>
        <w:trPr>
          <w:trHeight w:val="134"/>
        </w:trPr>
        <w:tc>
          <w:tcPr>
            <w:tcW w:w="760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0"/>
                <w:szCs w:val="10"/>
                <w:b w:val="1"/>
                <w:bCs w:val="1"/>
                <w:color w:val="auto"/>
              </w:rPr>
              <w:t>in millions, except percentages</w:t>
            </w:r>
          </w:p>
        </w:tc>
      </w:tr>
      <w:tr>
        <w:trPr>
          <w:trHeight w:val="15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of Common Stock Issued pursuant to the Restructuring Transaction</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10,609,287</w:t>
            </w:r>
          </w:p>
        </w:tc>
      </w:tr>
      <w:tr>
        <w:trPr>
          <w:trHeight w:val="153"/>
        </w:trPr>
        <w:tc>
          <w:tcPr>
            <w:tcW w:w="7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of Common Stock issuable upon conversion of CoreCo Convertible Preferred Stock Issued pursuant to the Restructuring Transaction</w:t>
            </w:r>
          </w:p>
        </w:tc>
        <w:tc>
          <w:tcPr>
            <w:tcW w:w="2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112,872,769</w:t>
            </w:r>
          </w:p>
        </w:tc>
      </w:tr>
      <w:tr>
        <w:trPr>
          <w:trHeight w:val="1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of Common Stock Reserved for Issuance Under the Incentive Plan</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1,813,553</w:t>
            </w:r>
          </w:p>
        </w:tc>
      </w:tr>
      <w:tr>
        <w:trPr>
          <w:trHeight w:val="153"/>
        </w:trPr>
        <w:tc>
          <w:tcPr>
            <w:tcW w:w="7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of Common Stock issuable upon conversion of CoreCo Convertible Preferred Stock Reserved for Issuance Under the Incentive Plan</w:t>
            </w:r>
          </w:p>
        </w:tc>
        <w:tc>
          <w:tcPr>
            <w:tcW w:w="2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8,495,800</w:t>
            </w:r>
          </w:p>
        </w:tc>
      </w:tr>
      <w:tr>
        <w:trPr>
          <w:trHeight w:val="1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Shares Issued</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139,504,103</w:t>
            </w:r>
          </w:p>
        </w:tc>
      </w:tr>
      <w:tr>
        <w:trPr>
          <w:trHeight w:val="159"/>
        </w:trPr>
        <w:tc>
          <w:tcPr>
            <w:tcW w:w="7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Dilution to Existing Stockholders</w:t>
            </w:r>
          </w:p>
        </w:tc>
        <w:tc>
          <w:tcPr>
            <w:tcW w:w="2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~96%</w:t>
            </w:r>
          </w:p>
        </w:tc>
      </w:tr>
    </w:tbl>
    <w:p>
      <w:pPr>
        <w:spacing w:after="0" w:line="199" w:lineRule="exact"/>
        <w:rPr>
          <w:sz w:val="20"/>
          <w:szCs w:val="20"/>
          <w:color w:val="auto"/>
        </w:rPr>
      </w:pPr>
    </w:p>
    <w:p>
      <w:pPr>
        <w:ind w:firstLine="424"/>
        <w:spacing w:after="0" w:line="245" w:lineRule="auto"/>
        <w:tabs>
          <w:tab w:leader="none" w:pos="522"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reflect any shares of Common Stock that may be issued upon the exercise or vesting of any equity awards that are granted or may be granted under the Company’s equity compensation plans other than as set forth above. Assumes approval of Proposal 5– Incentive Plan Proposal.</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Assumes approval of Proposal 3–Charter Amendment Proposal, and adoption of a reverse split of the Common Stock at a ratio of 1-for-50.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4"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After consulting with its financial advisors and outside legal counsel, and after reviewing and considering the terms and conditions of the Restructuring Transaction and the Proposals, the Board of Directors has: (a) approved the Restructuring Transaction and the performance by the Company of its obligations in connection therewith; and (b) recommended that the Company’s stockholders approve the Proposals at the Annual Meeting. Accordingly, the Board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each of the Proposals.</w:t>
      </w:r>
    </w:p>
    <w:p>
      <w:pPr>
        <w:ind w:firstLine="432"/>
        <w:spacing w:after="0" w:line="239" w:lineRule="auto"/>
        <w:rPr>
          <w:sz w:val="20"/>
          <w:szCs w:val="20"/>
          <w:color w:val="auto"/>
        </w:rPr>
      </w:pPr>
      <w:r>
        <w:rPr>
          <w:rFonts w:ascii="Times New Roman" w:cs="Times New Roman" w:eastAsia="Times New Roman" w:hAnsi="Times New Roman"/>
          <w:sz w:val="12"/>
          <w:szCs w:val="12"/>
          <w:color w:val="auto"/>
        </w:rPr>
        <w:t xml:space="preserve">The foregoing descriptions of the RSA, the Amended Certificate of Incorporation, the Incentive Plan, the CoreCo Convertible Preferred Stock and the RRA, and the Restructuring Transactions generally, are not complete and are subject to, and qualified in their entirety by reference to, the full text of </w:t>
      </w:r>
      <w:r>
        <w:rPr>
          <w:rFonts w:ascii="Times New Roman" w:cs="Times New Roman" w:eastAsia="Times New Roman" w:hAnsi="Times New Roman"/>
          <w:sz w:val="12"/>
          <w:szCs w:val="12"/>
          <w:u w:val="single" w:color="auto"/>
          <w:color w:val="auto"/>
        </w:rPr>
        <w:t>Annexes A-F hereto</w:t>
      </w:r>
      <w:r>
        <w:rPr>
          <w:rFonts w:ascii="Times New Roman" w:cs="Times New Roman" w:eastAsia="Times New Roman" w:hAnsi="Times New Roman"/>
          <w:sz w:val="12"/>
          <w:szCs w:val="12"/>
          <w:color w:val="auto"/>
        </w:rPr>
        <w:t>, as well as the RSA, filed as Exhibit 10.1 to the Company's Current Report on Form 8-K, filed with the SEC on March 17, 2026, and incorporated by reference herein.</w:t>
      </w: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561" w:right="4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2"/>
          <w:szCs w:val="12"/>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first proposal is to elect two Class I directors to serve until the 2029 annual meeting of stockholders and until their respective successors are duly elected or appointed and qualified.</w:t>
      </w:r>
    </w:p>
    <w:p>
      <w:pPr>
        <w:spacing w:after="0" w:line="150"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Our Certificate of Incorporation authorizes the number of directors to be determined from time to time by resolution adopted by a majority of the Board of Directors then in office (subject to those certain exceptions in the Bylaws and the Shareholders’ Agreement, dated as of February 4, 2019, by and among the Company, Wesley R. Edens and Randal A. Nardone, as it may be amended (the “Shareholders’ Agreement”)), as described under “Certain Relationships and Related Persons.” The number of directors on the Board is currently fixed at eight. Our Board of Directors is divided into three classes. The members of each class of directors serve staggered three-year terms.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April 23, 2025, John J. Mack retired as an independent director of the Company.</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April 28, 2025, our Board of Directors appointed Charles M. Sledge as a Class I director of the Board of Directors, effective immediately, and he will serve until the Company’s 2026 annual meeting of shareholders and until his successor is duly elected and qualified or until his earlier death, resignation or removal. Mr. Sledge received the standard annual Board compensation for non-employee directors for 2025 pro-rated for the date that he joined the Board of Directors. In connection with his appointment, the Company entered into its customary indemnification agreement with Mr. Sledge.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current Board of Directors is classified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8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Class</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Term Expiration</w:t>
            </w:r>
          </w:p>
        </w:tc>
        <w:tc>
          <w:tcPr>
            <w:tcW w:w="4780" w:type="dxa"/>
            <w:vAlign w:val="bottom"/>
            <w:gridSpan w:val="2"/>
          </w:tcPr>
          <w:p>
            <w:pPr>
              <w:ind w:left="2140"/>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Age</w:t>
            </w:r>
          </w:p>
        </w:tc>
      </w:tr>
      <w:tr>
        <w:trPr>
          <w:trHeight w:val="151"/>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I</w:t>
            </w:r>
          </w:p>
        </w:tc>
        <w:tc>
          <w:tcPr>
            <w:tcW w:w="14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2026</w:t>
            </w:r>
          </w:p>
        </w:tc>
        <w:tc>
          <w:tcPr>
            <w:tcW w:w="14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M. Sledge</w:t>
            </w:r>
          </w:p>
        </w:tc>
        <w:tc>
          <w:tcPr>
            <w:tcW w:w="1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r>
      <w:tr>
        <w:trPr>
          <w:trHeight w:val="153"/>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Katherine E. Wanner</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58</w:t>
            </w:r>
          </w:p>
        </w:tc>
      </w:tr>
      <w:tr>
        <w:trPr>
          <w:trHeight w:val="15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II</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2027</w:t>
            </w:r>
          </w:p>
        </w:tc>
        <w:tc>
          <w:tcPr>
            <w:tcW w:w="14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Grain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r>
      <w:tr>
        <w:trPr>
          <w:trHeight w:val="153"/>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 William Griffin</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75</w:t>
            </w:r>
          </w:p>
        </w:tc>
      </w:tr>
      <w:tr>
        <w:trPr>
          <w:trHeight w:val="153"/>
        </w:trPr>
        <w:tc>
          <w:tcPr>
            <w:tcW w:w="3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Timothy W. Jay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r>
      <w:tr>
        <w:trPr>
          <w:trHeight w:val="153"/>
        </w:trPr>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III</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2028</w:t>
            </w: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Desmond Iain Catterall</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69</w:t>
            </w:r>
          </w:p>
        </w:tc>
      </w:tr>
      <w:tr>
        <w:trPr>
          <w:trHeight w:val="153"/>
        </w:trPr>
        <w:tc>
          <w:tcPr>
            <w:tcW w:w="3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64</w:t>
            </w:r>
          </w:p>
        </w:tc>
      </w:tr>
      <w:tr>
        <w:trPr>
          <w:trHeight w:val="155"/>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Randal A. Nardone</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6395720</wp:posOffset>
            </wp:positionH>
            <wp:positionV relativeFrom="paragraph">
              <wp:posOffset>-783590</wp:posOffset>
            </wp:positionV>
            <wp:extent cx="914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-783590</wp:posOffset>
            </wp:positionV>
            <wp:extent cx="914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-783590</wp:posOffset>
            </wp:positionV>
            <wp:extent cx="914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Board of Directors has unanimously proposed Charles M. Sledge and Katherine E. Wanner as nominees for election as Class I directors. The director nominees currently serve on our Board of Directors.</w:t>
      </w:r>
    </w:p>
    <w:p>
      <w:pPr>
        <w:spacing w:after="0" w:line="150"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 xml:space="preserve">If elected at the Annual Meeting, each of Mr. Sledge and Ms. Wanner will hold office until the 2029 annual meeting of stockholders and until their successors are duly elected or appointed and qualified, subject to earlier death, resignation or removal. Unless otherwise instructed, we will vote all proxies we receive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Mr. Sledge and Ms. Wanner. If any of the nominees become unable to stand for election as a director, an event that our Board of Directors does not presently expect, the proxy will be voted for a replacement nominee if one is designated by our Board of Directors.</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Notwithstanding the approval of this Proposal 1, as described under "Background of the Restructuring Transactions—Governance Matters," if the Restructuring Transaction Proposals are approved, and the Restructuring Transaction is consummated, we expect all directors (i) other than Mr. Edens or (ii) unless appointed to remain as a director pursuant to the terms of the RSA at the discretion of the applicable Supporting Creditors, to resign from the Board of Directors effective on or around the Restructuring Effective Date. We then expect the remaining directors will fill these vacancies consistent with the terms of the RSA, with all directors serving until the Company's next annual meeting. The continuing Board of Directors will then be nominated and elected in accordance with standard public company board procedures, and pursuant to the terms of the Amended Certificate of Incorporation, will no longer be composed of multiple classes.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54"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approval of the Directors Proposal requires a plurality of the voting power of votes cast by the holders of Common Stock present in person or represented by proxy at the meeting and entitled to vote thereon. Abstentions and broker non-votes, if any, will have no effect on the Directors Proposal.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41" w:lineRule="exact"/>
        <w:rPr>
          <w:sz w:val="20"/>
          <w:szCs w:val="20"/>
          <w:color w:val="auto"/>
        </w:rPr>
      </w:pPr>
    </w:p>
    <w:p>
      <w:pPr>
        <w:ind w:right="120" w:firstLine="216"/>
        <w:spacing w:after="0" w:line="286" w:lineRule="auto"/>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the election of Charles M. Sledge and Katherine E. Wanner to serve as our Class I directors until the 2029 annual meeting of the stockholders and until their successors are duly elected or appointed and qualified.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Information Concerning Our Directors, Including the Director Nominees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Set forth below is certain biographical information for our directors, including the director nominees, as well as the month and year each person was first elected as one of our directors.</w:t>
      </w:r>
    </w:p>
    <w:p>
      <w:pPr>
        <w:spacing w:after="0" w:line="150" w:lineRule="exact"/>
        <w:rPr>
          <w:sz w:val="20"/>
          <w:szCs w:val="20"/>
          <w:color w:val="auto"/>
        </w:rPr>
      </w:pPr>
    </w:p>
    <w:p>
      <w:pPr>
        <w:ind w:right="320" w:firstLine="240"/>
        <w:spacing w:after="0" w:line="279" w:lineRule="auto"/>
        <w:rPr>
          <w:sz w:val="20"/>
          <w:szCs w:val="20"/>
          <w:color w:val="auto"/>
        </w:rPr>
      </w:pPr>
      <w:r>
        <w:rPr>
          <w:rFonts w:ascii="Times New Roman" w:cs="Times New Roman" w:eastAsia="Times New Roman" w:hAnsi="Times New Roman"/>
          <w:sz w:val="12"/>
          <w:szCs w:val="12"/>
          <w:color w:val="auto"/>
        </w:rPr>
        <w:t>In evaluating director candidates, our Board of Directors assessed whether a candidate possessed the integrity, judgment, knowledge, experience, skill and expertise that are likely to enhance the Board of Directors’ ability to manage and direct our affairs and business, including, when applicable, to enhance the ability of committees of the Board of Directors to fulfill their duties.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Wesley R. Edens</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Mr. Edens has been our Chief Executive Officer and the Chairman of our board of directors since August 2018.</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Founder, Chief Executive Officer and Chairman since August 2018</w:t>
      </w:r>
    </w:p>
    <w:p>
      <w:pPr>
        <w:spacing w:after="0" w:line="5" w:lineRule="exact"/>
        <w:rPr>
          <w:sz w:val="20"/>
          <w:szCs w:val="20"/>
          <w:color w:val="auto"/>
        </w:rPr>
      </w:pPr>
    </w:p>
    <w:p>
      <w:pPr>
        <w:ind w:left="4360"/>
        <w:spacing w:after="0" w:line="263" w:lineRule="auto"/>
        <w:rPr>
          <w:sz w:val="20"/>
          <w:szCs w:val="20"/>
          <w:color w:val="auto"/>
        </w:rPr>
      </w:pPr>
      <w:r>
        <w:rPr>
          <w:rFonts w:ascii="Times New Roman" w:cs="Times New Roman" w:eastAsia="Times New Roman" w:hAnsi="Times New Roman"/>
          <w:sz w:val="12"/>
          <w:szCs w:val="12"/>
          <w:color w:val="auto"/>
        </w:rPr>
        <w:t>Mr. Edens was the Co-Chief Executive Officer of Fortress and was a member of the board of directors of Fortress from November 2006 to May 2024. Mr. Edens was a member of the Management Committee of Fortress since co-founding Fortress in May 1998 to May 2024. Mr. Edens has primary investment oversight of Fortress’ private equity and publicly traded alternative businesses.</w:t>
      </w:r>
    </w:p>
    <w:p>
      <w:pPr>
        <w:spacing w:after="0" w:line="138" w:lineRule="exact"/>
        <w:rPr>
          <w:sz w:val="20"/>
          <w:szCs w:val="20"/>
          <w:color w:val="auto"/>
        </w:rPr>
      </w:pPr>
    </w:p>
    <w:p>
      <w:pPr>
        <w:ind w:left="4360" w:right="300"/>
        <w:spacing w:after="0" w:line="265" w:lineRule="auto"/>
        <w:rPr>
          <w:sz w:val="20"/>
          <w:szCs w:val="20"/>
          <w:color w:val="auto"/>
        </w:rPr>
      </w:pPr>
      <w:r>
        <w:rPr>
          <w:rFonts w:ascii="Times New Roman" w:cs="Times New Roman" w:eastAsia="Times New Roman" w:hAnsi="Times New Roman"/>
          <w:sz w:val="12"/>
          <w:szCs w:val="12"/>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w:t>
      </w:r>
    </w:p>
    <w:p>
      <w:pPr>
        <w:spacing w:after="0" w:line="137" w:lineRule="exact"/>
        <w:rPr>
          <w:sz w:val="20"/>
          <w:szCs w:val="20"/>
          <w:color w:val="auto"/>
        </w:rPr>
      </w:pPr>
    </w:p>
    <w:p>
      <w:pPr>
        <w:ind w:left="4360" w:right="420"/>
        <w:spacing w:after="0" w:line="279" w:lineRule="auto"/>
        <w:rPr>
          <w:sz w:val="20"/>
          <w:szCs w:val="20"/>
          <w:color w:val="auto"/>
        </w:rPr>
      </w:pPr>
      <w:r>
        <w:rPr>
          <w:rFonts w:ascii="Times New Roman" w:cs="Times New Roman" w:eastAsia="Times New Roman" w:hAnsi="Times New Roman"/>
          <w:sz w:val="12"/>
          <w:szCs w:val="12"/>
          <w:color w:val="auto"/>
        </w:rPr>
        <w:t>Mr. Edens’ extensive credit, private equity finance and management expertise, extensive experience as an officer and director of public companies and his deep familiarity with our Company led the Board to conclude that Mr. Edens should serve as a director.</w:t>
      </w:r>
    </w:p>
    <w:p>
      <w:pPr>
        <w:sectPr>
          <w:pgSz w:w="11900" w:h="16838" w:orient="portrait"/>
          <w:cols w:equalWidth="0" w:num="1">
            <w:col w:w="11260"/>
          </w:cols>
          <w:pgMar w:left="300" w:top="557"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Desmond Iain Catterall</w:t>
      </w:r>
    </w:p>
    <w:p>
      <w:pPr>
        <w:spacing w:after="0" w:line="154"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Iain Catterall became a member of our Board of Directors in January 2019. Mr. Catterall currently 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w:t>
      </w:r>
    </w:p>
    <w:p>
      <w:pPr>
        <w:spacing w:after="0" w:line="200" w:lineRule="exact"/>
        <w:rPr>
          <w:sz w:val="20"/>
          <w:szCs w:val="20"/>
          <w:color w:val="auto"/>
        </w:rPr>
      </w:pPr>
    </w:p>
    <w:p>
      <w:pPr>
        <w:sectPr>
          <w:pgSz w:w="11900" w:h="16838" w:orient="portrait"/>
          <w:cols w:equalWidth="0" w:num="2">
            <w:col w:w="3640" w:space="720"/>
            <w:col w:w="6900"/>
          </w:cols>
          <w:pgMar w:left="300" w:top="557" w:right="339" w:bottom="1440" w:gutter="0" w:footer="0" w:header="0"/>
          <w:type w:val="continuous"/>
        </w:sect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57" w:right="339" w:bottom="1440" w:gutter="0" w:footer="0" w:header="0"/>
          <w:type w:val="continuous"/>
        </w:sectPr>
      </w:pPr>
    </w:p>
    <w:bookmarkStart w:id="45" w:name="page46"/>
    <w:bookmarkEnd w:id="45"/>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David J. Grain   </w:t>
      </w:r>
      <w:r>
        <w:rPr>
          <w:rFonts w:ascii="Times New Roman" w:cs="Times New Roman" w:eastAsia="Times New Roman" w:hAnsi="Times New Roman"/>
          <w:sz w:val="12"/>
          <w:szCs w:val="12"/>
          <w:color w:val="auto"/>
        </w:rPr>
        <w:t xml:space="preserve">           </w:t>
      </w:r>
    </w:p>
    <w:p>
      <w:pPr>
        <w:spacing w:after="0" w:line="14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 William Griffin</w:t>
      </w:r>
    </w:p>
    <w:p>
      <w:pPr>
        <w:spacing w:after="0" w:line="14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Times New Roman" w:cs="Times New Roman" w:eastAsia="Times New Roman" w:hAnsi="Times New Roman"/>
          <w:sz w:val="12"/>
          <w:szCs w:val="12"/>
          <w:color w:val="auto"/>
        </w:rPr>
        <w:t>Mr. Catterall holds a Bachelor of Commerce degree from the University of Natal (Durban). We believe that Mr. Catterall’s extensive experience in emerging markets, capital markets and financial services brings valuable expertise to our Board of Directors.</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David Grain became a member of our Board of Directors in January 2019. Mr. Grain currently serves as the Chief Executive Officer of Grain Management, LLC, a private equity firm focused on investments in the media and communications sectors, which he founded in 2007. Prior to founding Grain Management, LLC, from January 2003 to December 2005, Mr. Grain served as</w:t>
      </w:r>
    </w:p>
    <w:p>
      <w:pPr>
        <w:spacing w:after="0" w:line="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2"/>
          <w:szCs w:val="12"/>
          <w:color w:val="auto"/>
        </w:rPr>
        <w:t>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w:t>
      </w:r>
    </w:p>
    <w:p>
      <w:pPr>
        <w:spacing w:after="0" w:line="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2"/>
          <w:szCs w:val="12"/>
          <w:color w:val="auto"/>
        </w:rPr>
        <w:t>in the region. Prior to leading AT&amp;T Broadband' s New England operations, Mr. Grain spent more than a decade in the financial services industry, most recently at Morgan Stanley &amp; Co. LLC, a financial services company, in New York from 1992 to 2000 where he focused primarily on telecommunications, media and technology companies. Mr. Grain serves on the Board of Directors of The Southern Company (NYSE: SO), a gas and electric utility company, and of Dell</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2"/>
          <w:szCs w:val="12"/>
          <w:color w:val="auto"/>
        </w:rPr>
        <w:t>Technologies (NYSE: DELL), a multinational technology company, Vice Chair of the Advisory Council of the National Museum of African American History and Culture, and Board Chair of the Martha's Vineyard Museum. He is also a Lifetime Member of the Council on Foreign Relations, and was appointed as a member of the National Infrastructure Advisory Council in 2011 and again in 2024.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brings valuable skills and leadership to our Board of Directors.</w:t>
      </w:r>
    </w:p>
    <w:p>
      <w:pPr>
        <w:spacing w:after="0" w:line="32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1"/>
          <w:szCs w:val="11"/>
          <w:color w:val="auto"/>
        </w:rPr>
        <w:t>Bill Griffin became a member of our Board of Directors in January 2019. Mr. Griffin has more than 45 years of experience in financial services. Mr. Griffin currently serves as Executive Chairman of ServiceMac, a privately held financial services company specializing in mortgage sub-servicing. He previously served as Executive Vice President, Enterprise Strategy of ServiceLink, LLC, helping deliver end-to-end solutions to large financial institutions from January 2017 until mid-2019.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w:t>
      </w:r>
    </w:p>
    <w:p>
      <w:pPr>
        <w:spacing w:after="0" w:line="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bring significant value to our Board of Directors.</w:t>
      </w:r>
    </w:p>
    <w:p>
      <w:pPr>
        <w:spacing w:after="0" w:line="200" w:lineRule="exact"/>
        <w:rPr>
          <w:sz w:val="20"/>
          <w:szCs w:val="20"/>
          <w:color w:val="auto"/>
        </w:rPr>
      </w:pPr>
    </w:p>
    <w:p>
      <w:pPr>
        <w:spacing w:after="0" w:line="3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39370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640" w:space="720"/>
            <w:col w:w="6920"/>
          </w:cols>
          <w:pgMar w:left="300" w:top="741"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i w:val="1"/>
          <w:iCs w:val="1"/>
          <w:color w:val="auto"/>
        </w:rPr>
        <w:t>Timothy W. Jay</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Director since March 2023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Charles M. Sledge</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Director since April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Randal A. Nardone</w:t>
      </w:r>
    </w:p>
    <w:p>
      <w:pPr>
        <w:spacing w:after="0" w:line="145"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2"/>
          <w:szCs w:val="12"/>
          <w:color w:val="auto"/>
        </w:rPr>
        <w:t>Director since August 2018</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Timothy W. Jay became a member of our Board of Directors in March 2023. Mr. Jay has worked as Head of Government Bond Sales and Rates Trader at CRT Capital Group LLC, a financial services firm, from 2009 until his retirement in 2016. From 2005 to 2006, he served as Co-Managing Partner at Rockridge Advisors LLC, a multi-strategy hedge fund. Prior to 2005, he worked for Lehman Brothers as a Government Bond Trader, Head of Global Government Bond Business and a Liquid Markets Head Trader. During the same time, from 1996 to 2006, he served as both Chairman and Vice Chairman of the Treasury Borrowing Advisory Committee, which regularly advised the U.S. Treasury and the Federal Reserve Board on policy. He also served as a director of Intrawest Holdings from 2013 to 2017. We believe that Mr. Jay's significant knowledge of real estate and operational and financial development brings significant value to our Board of Directors.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Charles M. Sledge became a member of our Board of Directors in April 2025. Mr. Sledge currently serves as the Non-Executive Chairman of the board of directors of Noble Holding Corporation plc and serves a position he has held since February 2021. Mr. Sledge has also served as a member of the board of directors of Talos Energy Inc. since May 2018 and currently chairs the Audit Committee of Talos Energy Inc. Additionally, he currently serves on the board of Weatherford International plc, where he serves as chairman since June 2018. Mr. Sledge previously served on the board of directors of Vine Energy, Inc. (which was acquired by Chesapeake Energy Corporation). 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Mr. Sledge received his Bachelor of Science in Accounting at Louisiana State University and is a graduate of the Advanced Management Program at Harvard University. We believe that Mr. Sledge's significant knowledge of the energy space and extensive financial experience will bring significant value to our Board of Directors.</w:t>
      </w:r>
    </w:p>
    <w:p>
      <w:pPr>
        <w:spacing w:after="0" w:line="3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Randal Nardone has been a member of our Board of Directors since August 2018. A co-founder of Fortress in May 1998, he was also a member of its management committee from May 1998 to May 2024, as well as a member of its board of directors from November 2006 to May 2024. Mr. Nardone served as Fortress’s Chief Executive Officer from July 2013 through December 2017, after serving as its Interim Chief Executive Officer from December 2011 to July 2013. Prior to founding Fortress in 1998, Mr. Nardone was a principal of BlackRock Financial Management, Inc. Prior to joining BlackRock Financial Management, Inc., Mr. Nardone was a partner and a member of the executive committee at the law firm of Thacher Proffitt &amp; Wood. Mr. Nardone received a Bachelor of Arts from the University of Connecticut and received a Juris Doctor from Boston University School of Law. We believe that Mr. Nardone’s leadership, management experience and experience with corporate and securities law bring valuable experience to our Board of Directors.</w:t>
      </w:r>
    </w:p>
    <w:p>
      <w:pPr>
        <w:spacing w:after="0" w:line="200" w:lineRule="exact"/>
        <w:rPr>
          <w:sz w:val="20"/>
          <w:szCs w:val="20"/>
          <w:color w:val="auto"/>
        </w:rPr>
      </w:pPr>
    </w:p>
    <w:p>
      <w:pPr>
        <w:spacing w:after="0" w:line="3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39370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640" w:space="720"/>
            <w:col w:w="6920"/>
          </w:cols>
          <w:pgMar w:left="300" w:top="58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i w:val="1"/>
          <w:iCs w:val="1"/>
          <w:color w:val="auto"/>
        </w:rPr>
        <w:t>Katherine E. Wanner</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Determination of Director Independence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Katherine Wanner became a member of our Board of Directors in January 2019. From 1993 to 1997, 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currently with $65 billion in assets under its management and offices in 15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Post Ms. Wanner’s retirement from Adams Street Partners in 2015, Ms. Wanner has served as an Operating Partner at Abundant Venture Partners from 2016 to April 2018. Since April 2018 and through December 2019, Ms. Wanner served as an Advisor at Abundant Venture Partners. Ms. Wanner is currently a Senior Advisor and was a founding partner in 2020 at Fairway Capital Management, an institutional venture capital investment manager. Since 2024, Kathy Wanner is an Executive Partner with Shore Capital Partners, a lower middle-market private equity firm focused on partnering with companies that have between $1 to $10 million of EBITDA. Kathy focuses on supporting the firm’s strategic initiatives and supporting its funds and portfolio companies.</w:t>
      </w:r>
    </w:p>
    <w:p>
      <w:pPr>
        <w:spacing w:after="0" w:line="1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Since 1998, Ms. Wanner has served on many private equity and venture capital advisory boards and completed many primary investments across several sectors, and was 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 LLC.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brings significant value to our Board of Directors.</w:t>
      </w:r>
    </w:p>
    <w:p>
      <w:pPr>
        <w:spacing w:after="0" w:line="495" w:lineRule="exact"/>
        <w:rPr>
          <w:sz w:val="20"/>
          <w:szCs w:val="20"/>
          <w:color w:val="auto"/>
        </w:rPr>
      </w:pPr>
    </w:p>
    <w:p>
      <w:pPr>
        <w:sectPr>
          <w:pgSz w:w="11900" w:h="16838" w:orient="portrait"/>
          <w:cols w:equalWidth="0" w:num="2">
            <w:col w:w="3640" w:space="720"/>
            <w:col w:w="6920"/>
          </w:cols>
          <w:pgMar w:left="300" w:top="890" w:right="319" w:bottom="1440" w:gutter="0" w:footer="0" w:header="0"/>
        </w:sect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If required under the listing standards of the Nasdaq Stock Market LLC (“Nasdaq”), the Board of Directors shall be comprised of a majority of directors who qualify as independent directors (“Independent Directors”) under the listing standards of Nasdaq.</w:t>
      </w:r>
    </w:p>
    <w:p>
      <w:pPr>
        <w:spacing w:after="0" w:line="111"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Pursuant to the Company’s Corporate Governance Guidelines, the Board of Directors must be comprised of a majority of directors who qualify as Independent Directors. The Board of Directors review annually the relationships that each director has with the Company (either directly or as a partner, shareholder or officer of an organization that has a relationship with the Company). Following such annual review, only those directors who the Board of Directors affirmatively determines satisfy the applicable independence requirements will be considered Independent Directors. The Board of Directors may adopt and disclose categorical standards to assist it in determining director independence. In the event that a director becomes aware of any change in circumstances that may result in such director no longer being considered independent under the listing standards of Nasdaq or under applicable law, the director must promptly inform the Chair of the Nominating and Corporate Governance Committee if such committee is established. Our Board of Directors determined that Messrs. Griffin, Sledge, Grain, Catterall, Jay and Ms. Wanner qualify as Independent Directors. Our Board of Directors also previously determined that Mr. Mack, who retired as a director of the Company on April 23, 2025, qualified as an Independent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Statement on Corporate Governance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90" w:right="319" w:bottom="1440" w:gutter="0" w:footer="0" w:header="0"/>
          <w:type w:val="continuous"/>
        </w:sectPr>
      </w:pPr>
    </w:p>
    <w:bookmarkStart w:id="48" w:name="page49"/>
    <w:bookmarkEnd w:id="48"/>
    <w:p>
      <w:pPr>
        <w:ind w:firstLine="216"/>
        <w:spacing w:after="0" w:line="257" w:lineRule="auto"/>
        <w:rPr>
          <w:sz w:val="20"/>
          <w:szCs w:val="20"/>
          <w:color w:val="auto"/>
        </w:rPr>
      </w:pPr>
      <w:r>
        <w:rPr>
          <w:rFonts w:ascii="Times New Roman" w:cs="Times New Roman" w:eastAsia="Times New Roman" w:hAnsi="Times New Roman"/>
          <w:sz w:val="12"/>
          <w:szCs w:val="12"/>
          <w:color w:val="auto"/>
        </w:rPr>
        <w:t>We emphasize the importance of professional business conduct and ethics through our corporate governance initiatives. Our Board of Directors consists of a majority of independent directors under the corporate governance standards of Nasdaq. We have adopted Corporate Governance Guidelines and a Code of Business Conduct and Ethics (the “Code of Conduct”), which delineate our standards for our employees, officers and directors. We make available, free of charge through a link on our website, our annual reports on Form 10-K, quarterly reports on Form 10-Q, current reports on Form 8-K, and amendments to such reports, if any, as filed with the SEC as soon as reasonably practicable after such filing. Our website also contains our Code of Conduct, Corporate Governance Guidelines, and the charters of the Audit Committee and Compensation Committee of our Board of Directors. Our website address is www.newfortressenergy.com. You may also obtain these documents by writing the Company at 111 W. 19th Street, 8th Floor, New York, New York 10011, Attention: 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Sustainability</w:t>
      </w:r>
    </w:p>
    <w:p>
      <w:pPr>
        <w:spacing w:after="0" w:line="154" w:lineRule="exact"/>
        <w:rPr>
          <w:sz w:val="20"/>
          <w:szCs w:val="20"/>
          <w:color w:val="auto"/>
        </w:rPr>
      </w:pPr>
    </w:p>
    <w:p>
      <w:pPr>
        <w:ind w:right="260" w:firstLine="216"/>
        <w:spacing w:after="0" w:line="265" w:lineRule="auto"/>
        <w:rPr>
          <w:sz w:val="20"/>
          <w:szCs w:val="20"/>
          <w:color w:val="auto"/>
        </w:rPr>
      </w:pPr>
      <w:r>
        <w:rPr>
          <w:rFonts w:ascii="Times New Roman" w:cs="Times New Roman" w:eastAsia="Times New Roman" w:hAnsi="Times New Roman"/>
          <w:sz w:val="12"/>
          <w:szCs w:val="12"/>
          <w:color w:val="auto"/>
        </w:rPr>
        <w:t>As part of our strategy, we are focused on supporting the transition to a low-carbon economy and aim to provide cleaner, sustainable energy solutions around the world by leveraging our expertise and business and financing relationships, as well as our access to capital. We highlighted certain of our current sustainability solutions and investments in our Form 10-K for the year ended December 31, 2025, and we expect to continue to explore additional sustainability-related opportunities.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Conduct</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As mentioned above, the Board of Directors has adopted the Code of Conduct, which is available on our website, that applies to all of our officers, directors and employees, including our principal executive officer and principal financial officer. The purpose of the Code of Conduct is to promote, among other things:</w:t>
      </w:r>
    </w:p>
    <w:p>
      <w:pPr>
        <w:spacing w:after="0" w:line="111" w:lineRule="exact"/>
        <w:rPr>
          <w:sz w:val="20"/>
          <w:szCs w:val="20"/>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honest and ethical conduct;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maintenance of accurate financial records and adherence to applicable accounting rules and policies;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applicable governmental laws, rules and regulations;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accountability for adherence to the Code of Conduct and the reporting of violations thereof.</w:t>
      </w:r>
    </w:p>
    <w:p>
      <w:pPr>
        <w:spacing w:after="0" w:line="150"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Our Company intends to disclose any changes in or waivers from our Code of Conduct, as required by applicable U.S. federal securities laws and the corporate governance rules of Nasdaq, by posting such information on our website at the address and location specified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Policies and Procedures</w:t>
      </w:r>
    </w:p>
    <w:p>
      <w:pPr>
        <w:spacing w:after="0" w:line="154"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Company has adopted an insider trading policy that governs the purchase, sale and other dispositions of our securities by our directors, officers and employees, which we believe is reasonably designed to promote compliance with applicable insider trading laws, rules and regulations and listing standards. A copy of our insider trading policy is filed as Exhibit 19.1 to our Annual Report on Form 10-K for the year ended December 31, 2024. In addition, with regard to the Company’s trading in its own securities, it is the Company’s policy to comply with the federal securities laws and the applicable exchange listing requirements.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The Company does not have a policy to separate the roles of Chief Executive Officer and Chairman of the Board of Directors, as the Board of Directors believes it is in the best interests of the Company to make that determination based on the position and direction of the Company and the membership of the Board. Mr. Edens has served as both the Chairman of our Board of Directors and Chief Executive Officer since August 2018. The Board of Directors believes that having Mr. Edens serve as both Chief Executive Officer and Chairman is an appropriate, effective and efficient leadership structure, and has determined that combining the Chief Executive Officer and Chairman roles provides for clear accountability and leadership responsibility, and facilitates effective decision-making and a cohesive corporate strategy. The Board of Directors periodically reviews its leadership structure. The Company does not have a lead independent director; however, an independent director may preside over any executive sessions.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and Its Committees</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Our Certificate of Incorporation provides that the number of directors that constitute the whole Board of Directors shall be determined from time to time by resolution adopted by a majority of the Board of Directors then in office (subject to those certain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49" w:name="page50"/>
    <w:bookmarkEnd w:id="49"/>
    <w:p>
      <w:pPr>
        <w:ind w:right="20"/>
        <w:spacing w:after="0" w:line="255" w:lineRule="auto"/>
        <w:rPr>
          <w:sz w:val="20"/>
          <w:szCs w:val="20"/>
          <w:color w:val="auto"/>
        </w:rPr>
      </w:pPr>
      <w:r>
        <w:rPr>
          <w:rFonts w:ascii="Times New Roman" w:cs="Times New Roman" w:eastAsia="Times New Roman" w:hAnsi="Times New Roman"/>
          <w:sz w:val="12"/>
          <w:szCs w:val="12"/>
          <w:color w:val="auto"/>
        </w:rPr>
        <w:t>exceptions in the Bylaws and the Shareholders’ Agreement). Our Board of Directors currently consists of eight directors. Our Board of Directors is divided into three classes of directors, with each class as equal in number as possible, serving staggered three-year terms. Class I, Class II and Class III directors will serve until our annual meeting in 2026, 2027 and 2028, respectively. Mr. Sledge and Ms. Wanner are assigned to Class I; Messrs. Grain, Griffin and Jay are assigned to Class II; and Messrs. Edens, Nardone and Catterall are assigned to Class III. At each succeeding annual meeting, directors will be elected to succeed the class of directors whose terms have expired. This classification of the Board of Directors could have the effect of increasing the length of time necessary to change the composition of a majority of the Board of Directors. In general, at least two annual meetings will be necessary to effect a change in a majority of the members of the Board of Directors. All officers serve at the discretion of the Chief Executive Officer or the Board of Directors. Neither our Certificate of Incorporation nor our Bylaws provide for cumulative voting in the election of directors, which means that the holders of a majority of our issued and outstanding shares of Common Stock may elect all of the directors standing for election, and the holders of the remaining shares of Common Stock will not be able to elect any directors.</w:t>
      </w:r>
    </w:p>
    <w:p>
      <w:pPr>
        <w:spacing w:after="0" w:line="135" w:lineRule="exact"/>
        <w:rPr>
          <w:sz w:val="20"/>
          <w:szCs w:val="20"/>
          <w:color w:val="auto"/>
        </w:rPr>
      </w:pPr>
    </w:p>
    <w:p>
      <w:pPr>
        <w:ind w:right="60" w:firstLine="216"/>
        <w:spacing w:after="0" w:line="244" w:lineRule="auto"/>
        <w:rPr>
          <w:sz w:val="20"/>
          <w:szCs w:val="20"/>
          <w:color w:val="auto"/>
        </w:rPr>
      </w:pPr>
      <w:r>
        <w:rPr>
          <w:rFonts w:ascii="Times New Roman" w:cs="Times New Roman" w:eastAsia="Times New Roman" w:hAnsi="Times New Roman"/>
          <w:sz w:val="12"/>
          <w:szCs w:val="12"/>
          <w:color w:val="auto"/>
        </w:rPr>
        <w:t>During the year ended December 31, 2025, our Board of Directors held 33 meetings. No person then serving as a director attended fewer than 75 percent of all meetings of our Board of Directors and the committees on which such director served. The Board of Directors has three standing committees: the Audit Committee, the Compensation Committee and the Regulatory Compliance Committee. As of the effective date of the RSA, the Board also has a Transition Committee. During 2025, the Audit Committee met 13 times, the Compensation Committee met seven times and the Regulatory Compliance Committee met once. Although director attendance at the Company’s annual meeting each year is encouraged, the Company does not have an attendance policy. None of the persons serving then as our directors attended our annual meeting of stockholders in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54"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We are required to have an audit committee of at least three members, and all of its members are required to meet the independence and experience standards established by Nasdaq and the Exchange Act. We have established an audit committee compliant with Nasdaq and SEC rules, whereby Ms. Wanner and Messrs. Grain and Griffin serve as members of such committee with Ms. Wanner serving as the chairperson. SEC rules also require that a public company disclose whether or not its audit committee has at least one “audit committee financial expert” as a member. Ms. Wanner satisfies the definition of “audit committee financial expert.” As required by the SEC rules and Nasdaq listing standards, our Board of Directors have affirmatively determined that each of Messrs. Grain and Griffin and Ms. Wanner meet the definition of “independent director.” We adopted an audit committee charter defining the committee’s primary duties in a manner consistent with the rules of the SEC and Nasdaq standards. You can find a copy of our audit committee charter on the Investor Relations section of the NFE website (www.newfortressenergy.com).</w:t>
      </w:r>
    </w:p>
    <w:p>
      <w:pPr>
        <w:spacing w:after="0" w:line="125"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audit committee assists the Board of Directors in its oversight of the integrity of our financial statements and our compliance with legal and regulatory requirements and company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 Oversight</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Company’s risk management is overseen by the Chief Executive Officer, who receives reports directly from employees and individuals who perform services for the Company. Material risks are identified and prioritized by management, and material risks are periodically discussed with the Board of Directors. The Board of Directors regularly reviews information regarding the Company’s credit, liquidity and operations, including risks and contingencies associated with each area. In addition to the formal compliance program, the Board of Directors encourages management to promote a corporate culture that incorporates risk management into the Company’s corporate strategy and day-to-day business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Because we were a “controlled company” within the meaning of Nasdaq corporate governance standards until October 1, 2024, we were not required to have a compensation committee. However, even as a controlled company, we established a compensation committee to ease the administrative burden on the full Board of Directors. So long as we continued to be a controlled company, our compensation committee was not required to be comprised solely of independent directors. As such, Messrs. Edens and Nardone served as the members of our compensation committee until October 1, 2024. As of October 1, 2024, we have established a compensation committee compliant with Nasdaq and SEC rules for non-controlled companies. Messrs. Grain, Griffin and Jay served as members of such committee through August 2025. Since August 2025, Messrs. Grain, Griffin and Sledge have served as members of such committee.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50" w:name="page51"/>
    <w:bookmarkEnd w:id="50"/>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The compensation committee oversees our executive compensation programs and make recommendations to the Board of Directors regarding director compensation. We adopted a compensation committee charter defining the committee’s primary duties and authority. You can find a copy of our compensation committee charter on the Investor Relations section of the NFE website (www.newfortressenergy.com).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Nominating and Corporate Governance Committee</w:t>
      </w:r>
    </w:p>
    <w:p>
      <w:pPr>
        <w:spacing w:after="0" w:line="154" w:lineRule="exact"/>
        <w:rPr>
          <w:sz w:val="20"/>
          <w:szCs w:val="20"/>
          <w:color w:val="auto"/>
        </w:rPr>
      </w:pPr>
    </w:p>
    <w:p>
      <w:pPr>
        <w:ind w:right="600" w:firstLine="216"/>
        <w:spacing w:after="0" w:line="279" w:lineRule="auto"/>
        <w:rPr>
          <w:sz w:val="20"/>
          <w:szCs w:val="20"/>
          <w:color w:val="auto"/>
        </w:rPr>
      </w:pPr>
      <w:r>
        <w:rPr>
          <w:rFonts w:ascii="Times New Roman" w:cs="Times New Roman" w:eastAsia="Times New Roman" w:hAnsi="Times New Roman"/>
          <w:sz w:val="12"/>
          <w:szCs w:val="12"/>
          <w:color w:val="auto"/>
        </w:rPr>
        <w:t>Under Nasdaq corporate governance standards, we are not required to, and do not currently, have a nominating and corporate governance committee. See “Certain Relationships and Related Transactions—Shareholders’ Agreement” for additional information about our significant shareholders' ability to designate certain members of our Board.</w:t>
      </w:r>
    </w:p>
    <w:p>
      <w:pPr>
        <w:spacing w:after="0" w:line="111"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If we determine to establish a nominating and corporate governance committee, we anticipate that it would consist of three directors who will be “independent” under the rules of the SEC and Nasdaq.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Nasdaq or market standards.</w:t>
      </w:r>
    </w:p>
    <w:p>
      <w:pPr>
        <w:spacing w:after="0" w:line="122"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Our Bylaws provides certain procedures that a stockholder must follow to nominate persons for election to the Board of Directors. Nominations for director at an annual stockholder meeting must be submitted in writing to the Company’s Secretary at New Fortress Energy Inc., 111 W. 19th Street, 8th Floor, New York, New York 10011. The Secretary must receive the notice of a stockholder’s intention to introduce a nomination at an annual stockholder meeting (together with certain required information set forth in our Bylaws) within the timeframes set forth below under “Advance Notice for Stockholder Nominations and Proposals for 2027 Annual Meeting.”</w:t>
      </w:r>
    </w:p>
    <w:p>
      <w:pPr>
        <w:spacing w:after="0" w:line="119"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Board of Directors is responsible for nominating members for election to the Board and for filling vacancies on the Board that may occur between annual meetings of stockholders. The Board believes that the qualifications for serving as a director of the Company are, taking into account such person’s familiarity with the Company, possession of such knowledge, experience, skills, expertise and integrity as would enhance the Board’s ability to manage and direct the affairs and business of the Company, including, when applicable, the ability of committees of the Board to fulfill their duties and/or to satisfy any independence requirements imposed by law, regulation or Nasdaq rule.</w:t>
      </w:r>
    </w:p>
    <w:p>
      <w:pPr>
        <w:spacing w:after="0" w:line="119"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In addition to considering a director-candidate’s background and accomplishments, the process for identifying and evaluating all nominees includes a review of the current composition of the Board of Directors and the evolving needs of our business. The Board will identify potential nominees by asking current directors and executive officers to notify the Board if they become aware of suitable candidates. The Board also may, from time to time, engage firms that specialize in identifying director candidates. As described above, the Board will also consider candidates recommended by stockholders. Our evaluation of nominees does not necessarily vary depending on whether or not the nominee was nominated by a stockholder. In considering candidates submitted by stockholders, the Board may take into consideration the number of shares of Common Stock held by the recommending stockholder and the length of time that such shares have been held. We do not have a formal policy with regard to identifying director nominees, but the Board strives to nominate individuals with a variety of perspectives and complementary skills.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Transition Committee</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terms of the RSA, the Board of Directors formed a transition committee of the Board of Directors (the “Transition Committee”) comprised of two existing independent members of the Board of Directors, Charles 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Sledge (Chairperson) and Katherine E. Wanner.</w:t>
      </w:r>
    </w:p>
    <w:p>
      <w:pPr>
        <w:spacing w:after="0" w:line="139" w:lineRule="exact"/>
        <w:rPr>
          <w:sz w:val="20"/>
          <w:szCs w:val="20"/>
          <w:color w:val="auto"/>
        </w:rPr>
      </w:pPr>
    </w:p>
    <w:p>
      <w:pPr>
        <w:ind w:right="440" w:firstLine="216"/>
        <w:spacing w:after="0" w:line="265" w:lineRule="auto"/>
        <w:rPr>
          <w:sz w:val="20"/>
          <w:szCs w:val="20"/>
          <w:color w:val="auto"/>
        </w:rPr>
      </w:pPr>
      <w:r>
        <w:rPr>
          <w:rFonts w:ascii="Times New Roman" w:cs="Times New Roman" w:eastAsia="Times New Roman" w:hAnsi="Times New Roman"/>
          <w:sz w:val="12"/>
          <w:szCs w:val="12"/>
          <w:color w:val="auto"/>
        </w:rPr>
        <w:t>Subject to certain exceptions, including in respect of (i) the restrictions and requirements of the DGCL or the Company’s organizational documents and (ii) any matters previously delegated to either the Audit Committee or Compensation Committee, the Board of Directors has exclusively delegated to the Transition Committee all power and authority of the Board of Directors with respect to the following matters until the consummation of the Restructuring Transaction (or termination thereof):</w:t>
      </w:r>
    </w:p>
    <w:p>
      <w:pPr>
        <w:spacing w:after="0" w:line="137" w:lineRule="exact"/>
        <w:rPr>
          <w:sz w:val="20"/>
          <w:szCs w:val="20"/>
          <w:color w:val="auto"/>
        </w:rPr>
      </w:pPr>
    </w:p>
    <w:p>
      <w:pPr>
        <w:ind w:left="420" w:hanging="212"/>
        <w:spacing w:after="0" w:line="265" w:lineRule="auto"/>
        <w:tabs>
          <w:tab w:leader="none" w:pos="41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evaluating and approving (or, if required by the DGCL, providing a recommendation to the Board of Directors for or against), the entry by the Company or any of its direct or indirect subsidiaries into any agreement, arrangement or other transaction that is, or would reasonably be expected to be, significant to the Company or the Company’s business, taken as a whole, and that would not be in the ordinary course of business of the Company or its direct or indirect subsidiaries (as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51" w:name="page52"/>
    <w:bookmarkEnd w:id="51"/>
    <w:p>
      <w:pPr>
        <w:ind w:left="420" w:right="240" w:hanging="212"/>
        <w:spacing w:after="0" w:line="279"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whether any matter constitutes a matter in which a conflict of interest exists or is reasonably expected to exist between any Company Party, on the one hand, and any of its current and former related parties and other professionals and advisors of such person or entity, and any such person’s or entity’s respective heirs, executors, estates, assigns and nominees, on the other hand (a “Conflict Matter”);</w:t>
      </w:r>
    </w:p>
    <w:p>
      <w:pPr>
        <w:spacing w:after="0" w:line="129" w:lineRule="exact"/>
        <w:rPr>
          <w:rFonts w:ascii="Times New Roman" w:cs="Times New Roman" w:eastAsia="Times New Roman" w:hAnsi="Times New Roman"/>
          <w:sz w:val="12"/>
          <w:szCs w:val="12"/>
          <w:color w:val="auto"/>
        </w:rPr>
      </w:pPr>
    </w:p>
    <w:p>
      <w:pPr>
        <w:ind w:left="420" w:right="220" w:hanging="212"/>
        <w:spacing w:after="0" w:line="279"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evaluating and approving (or, if required by the DGCL, providing a recommendation to the Board of Directors for or against), any matter that constitutes a Conflict Matter excluding any Conflict Matter in which there is a conflict that affects both members of the Transition Committee;</w:t>
      </w:r>
    </w:p>
    <w:p>
      <w:pPr>
        <w:spacing w:after="0" w:line="129" w:lineRule="exact"/>
        <w:rPr>
          <w:rFonts w:ascii="Times New Roman" w:cs="Times New Roman" w:eastAsia="Times New Roman" w:hAnsi="Times New Roman"/>
          <w:sz w:val="12"/>
          <w:szCs w:val="12"/>
          <w:color w:val="auto"/>
        </w:rPr>
      </w:pPr>
    </w:p>
    <w:p>
      <w:pPr>
        <w:ind w:left="420" w:right="20" w:hanging="212"/>
        <w:spacing w:after="0" w:line="260"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limited and specified exceptions already subject to the review and approval of the Compensation Committee, (x) prior to seeking the consent of any Supporting Creditor as required under Section 2(d)(1) of the RSA, reviewing, evaluating and recommending to the Board of Directors, the taking, or not taking, by the Company or any of its direct or indirect subsidiaries (as applicable) of any action or omission, as applicable, that also requires the consent of any Supporting Creditor, and (y) negotiating and approving any management retention agreements or similar arrangements with any employee, officer or director (or equivalents) of the Company or any of its direct or indirect subsidiaries (as applicable) with respect to, or in anticipation of, the Restructuring Transaction;</w:t>
      </w:r>
    </w:p>
    <w:p>
      <w:pPr>
        <w:spacing w:after="0" w:line="140" w:lineRule="exact"/>
        <w:rPr>
          <w:rFonts w:ascii="Times New Roman" w:cs="Times New Roman" w:eastAsia="Times New Roman" w:hAnsi="Times New Roman"/>
          <w:sz w:val="12"/>
          <w:szCs w:val="12"/>
          <w:color w:val="auto"/>
        </w:rPr>
      </w:pPr>
    </w:p>
    <w:p>
      <w:pPr>
        <w:ind w:left="420" w:right="80" w:hanging="212"/>
        <w:spacing w:after="0" w:line="265"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causing the Company or any of its direct and indirect subsidiaries to enter into such contracts providing for the engagement of legal counsel, financial advisors and other outside professionals, consultants and agents (including with respect to reimbursement of expenses, indemnification and other rights) for the furtherance of the matters exclusively delegated to the Committee, and to cause a Company entity to perform all obligations required to be performed by it under, each such contract; and</w:t>
      </w:r>
    </w:p>
    <w:p>
      <w:pPr>
        <w:spacing w:after="0" w:line="136" w:lineRule="exact"/>
        <w:rPr>
          <w:rFonts w:ascii="Times New Roman" w:cs="Times New Roman" w:eastAsia="Times New Roman" w:hAnsi="Times New Roman"/>
          <w:sz w:val="12"/>
          <w:szCs w:val="12"/>
          <w:color w:val="auto"/>
        </w:rPr>
      </w:pPr>
    </w:p>
    <w:p>
      <w:pPr>
        <w:ind w:left="420" w:right="420" w:hanging="212"/>
        <w:spacing w:after="0" w:line="279" w:lineRule="auto"/>
        <w:tabs>
          <w:tab w:leader="none" w:pos="41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causing the Company’s management to, together with the Company’s advisors, provide updates to the advisors to the Supporting Creditors in regard to such matters and at such times as the Transition Committee deems appropriate and consistent with its activities.</w:t>
      </w:r>
    </w:p>
    <w:p>
      <w:pPr>
        <w:spacing w:after="0" w:line="111"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charter of the Transition Committee does not require the Transition Committee to take any specific action, nor the Board of Directors to take any specific action, including in response to a recommendation of the Transition Committee, in each case, if it deems so advisable, consistent with the exercise of fiduciary duties under applicable law, after consultation with outside counsel. Further, upon the Transition Committee’s approval of a delegated matter or action, the Transition Committee may, in its sole discretion, submit such matter or action to the Board of Directors for approval. Notwithstanding the foregoing, the Transition Committee is required to submit to the Board of Directors for approval any matter or action that cannot be delegated to or represents a power that cannot be exercised by the Transition Committee pursuant to the DGCL or the Company’s organizational documents.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Communications with the Board of Directors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Stockholders or other interested parties can contact any director, any committee of the Board of Directors or our independent directors as a group, by writing to them care of: General Counsel and Secretary, 111 W. 19th Street,</w:t>
      </w:r>
    </w:p>
    <w:p>
      <w:pPr>
        <w:spacing w:after="0" w:line="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8th Floor, New York, New York 10011. All such communications will be forwarded to the appropriate member(s) of the Board of Directors. Any complaints relating to the Company’s accounting, internal accounting controls or auditing matters will also be referred to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REPORT OF THE AUDIT COMMITTEE</w:t>
      </w:r>
    </w:p>
    <w:p>
      <w:pPr>
        <w:spacing w:after="0" w:line="152" w:lineRule="exact"/>
        <w:rPr>
          <w:sz w:val="20"/>
          <w:szCs w:val="20"/>
          <w:color w:val="auto"/>
        </w:rPr>
      </w:pPr>
    </w:p>
    <w:p>
      <w:pPr>
        <w:ind w:right="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In accordance with and to the extent permitted by the rules of the SEC, the information contained in the following Report of the Audit Committee shall not be incorporated by reference into any of the Company’s future filings made under the Exchange Act, and shall not be deemed to be “soliciting material” or to be “filed” under the Exchange Act or the Securities Act of 1933, as amended (the “Securities Act”).</w:t>
      </w:r>
    </w:p>
    <w:p>
      <w:pPr>
        <w:spacing w:after="0" w:line="109"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operates under a written charter approved by the Board of Directors, consistent with the corporate governance rules issued by the SEC and Nasdaq. The Audit Committee’s charter is available on the Company’s website at www.newfortressenergy.com. The members of the Audit Committee hold executive sessions during the course of the year.</w:t>
      </w:r>
    </w:p>
    <w:p>
      <w:pPr>
        <w:spacing w:after="0" w:line="111"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Audit Committee oversees the Company’s financial reporting process on behalf of the Board of Directors. It is not the duty of the Audit Committee to prepare the Company’s financial statements, to plan or conduct audits or to determine that the Company’s financial statements are complete and accurate in accordance with generally accepted accounting principles. Management has the primary responsibility for the financial statements and the reporting process, including the system of internal controls. The independent registered public accounting firm is responsible for auditing the financial statements and expressing an opinion as to whether those audited financial statements fairly present the financial position, results of operations and cash flows of the Company in conformity with generally accepted accounting principles.</w:t>
      </w:r>
    </w:p>
    <w:p>
      <w:pPr>
        <w:spacing w:after="0" w:line="122"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reviewed and discussed with management and the independent registered public accounting firm the Company’s internal control over financial reporting, including a review of management’s and the independent registered public accounting firm’s assessments of and reports on the effectiveness of internal control over financial reporting and any significant deficiencies or material weaknesses.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Audit Committee has reviewed and discussed with management the audited financial statements in the annual report on Form 10-K.</w:t>
      </w:r>
    </w:p>
    <w:p>
      <w:pPr>
        <w:spacing w:after="0" w:line="150"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discussed with the independent registered public accounting firm the matters required to be discussed by the applicable requirements of the Public Company Accounting Oversight Board (“PCAOB”) and the SEC, including the auditor’s judgment as to the quality, not just the acceptability, of the accounting principles, the consistency of their application and the clarity and completeness of the audited financial statements.</w:t>
      </w:r>
    </w:p>
    <w:p>
      <w:pPr>
        <w:spacing w:after="0" w:line="111"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received the written disclosures and the letter from the independent registered public accounting firm required by the applicable PCAOB requirements and has discussed with the independent registered public accounting firm their independence.</w:t>
      </w:r>
    </w:p>
    <w:p>
      <w:pPr>
        <w:spacing w:after="0" w:line="111"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Based on the reviews and discussions referred to above, the Audit Committee recommended to the Board of Directors (and the Board of Directors agreed) that the audited financial statements be included in the annual report on Form 10-K for the year ended December 31, 2025, for filing with the SEC. The Audit Committee and the Board of Directors also have recommended, subject to shareholder approval, the selection of the Company’s independent registered public accounting firm for fiscal year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Audit Committee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Katherine E. Wanner, Chairperson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David J. Grain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 William Griffin</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59"/>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MANAGEMENT</w:t>
            </w:r>
          </w:p>
        </w:tc>
      </w:tr>
      <w:tr>
        <w:trPr>
          <w:trHeight w:val="288"/>
        </w:trPr>
        <w:tc>
          <w:tcPr>
            <w:tcW w:w="1130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The following table sets forth certain information with respect to the executive officers of the Company:</w:t>
            </w:r>
          </w:p>
        </w:tc>
      </w:tr>
      <w:tr>
        <w:trPr>
          <w:trHeight w:val="288"/>
        </w:trPr>
        <w:tc>
          <w:tcPr>
            <w:tcW w:w="43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Age</w:t>
            </w:r>
          </w:p>
        </w:tc>
        <w:tc>
          <w:tcPr>
            <w:tcW w:w="6220" w:type="dxa"/>
            <w:vAlign w:val="bottom"/>
          </w:tcPr>
          <w:p>
            <w:pPr>
              <w:ind w:left="294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151"/>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64</w:t>
            </w:r>
          </w:p>
        </w:tc>
        <w:tc>
          <w:tcPr>
            <w:tcW w:w="140" w:type="dxa"/>
            <w:vAlign w:val="bottom"/>
            <w:tcBorders>
              <w:top w:val="single" w:sz="8" w:color="CCEEFF"/>
            </w:tcBorders>
            <w:shd w:val="clear" w:color="auto" w:fill="CCEEFF"/>
          </w:tcPr>
          <w:p>
            <w:pPr>
              <w:spacing w:after="0"/>
              <w:rPr>
                <w:sz w:val="13"/>
                <w:szCs w:val="13"/>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4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43</w:t>
            </w:r>
          </w:p>
        </w:tc>
        <w:tc>
          <w:tcPr>
            <w:tcW w:w="140" w:type="dxa"/>
            <w:vAlign w:val="bottom"/>
          </w:tcPr>
          <w:p>
            <w:pPr>
              <w:spacing w:after="0"/>
              <w:rPr>
                <w:sz w:val="13"/>
                <w:szCs w:val="13"/>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Lowe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140" w:type="dxa"/>
            <w:vAlign w:val="bottom"/>
            <w:shd w:val="clear" w:color="auto" w:fill="CCEEFF"/>
          </w:tcPr>
          <w:p>
            <w:pPr>
              <w:spacing w:after="0"/>
              <w:rPr>
                <w:sz w:val="13"/>
                <w:szCs w:val="13"/>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-296545</wp:posOffset>
            </wp:positionV>
            <wp:extent cx="914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-296545</wp:posOffset>
            </wp:positionV>
            <wp:extent cx="914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4" w:lineRule="exact"/>
        <w:rPr>
          <w:sz w:val="20"/>
          <w:szCs w:val="20"/>
          <w:color w:val="auto"/>
        </w:rPr>
      </w:pPr>
    </w:p>
    <w:p>
      <w:pPr>
        <w:ind w:right="1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Wesley R. Edens. </w:t>
      </w:r>
      <w:r>
        <w:rPr>
          <w:rFonts w:ascii="Times New Roman" w:cs="Times New Roman" w:eastAsia="Times New Roman" w:hAnsi="Times New Roman"/>
          <w:sz w:val="12"/>
          <w:szCs w:val="12"/>
          <w:color w:val="auto"/>
        </w:rPr>
        <w:t>Wesley Edens is our founder and has served as our Chief Executive Officer and the Chairman of our Board of Directors since August 2018. For more information regarding Mr. Edens, see above under “Proposal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 1 Election of Directors—Information Concerning Our Directors, Including the Director Nominees.”</w:t>
      </w:r>
    </w:p>
    <w:p>
      <w:pPr>
        <w:spacing w:after="0" w:line="107"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Christopher S. Guinta. </w:t>
      </w:r>
      <w:r>
        <w:rPr>
          <w:rFonts w:ascii="Times New Roman" w:cs="Times New Roman" w:eastAsia="Times New Roman" w:hAnsi="Times New Roman"/>
          <w:sz w:val="12"/>
          <w:szCs w:val="12"/>
          <w:color w:val="auto"/>
        </w:rPr>
        <w:t>Mr. Guinta has served as our Chief Financial Officer since August 2018, and the Chief Financial Officer of New Fortress Energy Holdings since April 2017. Prior to joining NFE, Mr. Guinta served as Chief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w:t>
      </w:r>
    </w:p>
    <w:p>
      <w:pPr>
        <w:spacing w:after="0" w:line="117" w:lineRule="exact"/>
        <w:rPr>
          <w:sz w:val="20"/>
          <w:szCs w:val="20"/>
          <w:color w:val="auto"/>
        </w:rPr>
      </w:pPr>
    </w:p>
    <w:p>
      <w:pPr>
        <w:ind w:right="2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Michael Lowe. </w:t>
      </w:r>
      <w:r>
        <w:rPr>
          <w:rFonts w:ascii="Times New Roman" w:cs="Times New Roman" w:eastAsia="Times New Roman" w:hAnsi="Times New Roman"/>
          <w:sz w:val="12"/>
          <w:szCs w:val="12"/>
          <w:color w:val="auto"/>
        </w:rPr>
        <w:t>Mr. Lowe began serving as our Chief Accounting Officer on April 29, 2025. Since 2019, Mr. Lowe has been a Senior Vice President of our accounting team, responsible for all financial reporting and technical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accounting matters. Prior to joining NFE, Mr. Lowe was a Director in PwC's Capital Markets and Accounting Advisory Services practice, advising clients on capital markets transactions and complex accounting issues. Mr. Lowe began his career with PwC and served in various roles from 2008 to 2019.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Introduction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Compensation Discussion and Analysis that follows provides a description of our compensation program for each of the individuals listed below. We refer to these individuals throughout the Compensation Discussion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Analysis and the tables that follow as our named executive officers. For 2025, our named executive officers were as follows:</w:t>
      </w:r>
    </w:p>
    <w:p>
      <w:pPr>
        <w:spacing w:after="0" w:line="139" w:lineRule="exact"/>
        <w:rPr>
          <w:sz w:val="20"/>
          <w:szCs w:val="20"/>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Wesley R. Edens, Chief Executive Officer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Christopher S. Guinta, Chief Financial Officer</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Michael Lowe, Chief Accounting Officer</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Yunyoung Shin, Former Chief Accounting Officer</w:t>
      </w:r>
    </w:p>
    <w:p>
      <w:pPr>
        <w:spacing w:after="0" w:line="132"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29, 2025, Ms. Shin ceased serving as our Chief Accounting Officer and Mr. Lowe began serving as our Chief Accounting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Role of the Compensation Committee in Executive Compensation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It is our Compensation Committee’s responsibility to:</w:t>
      </w:r>
    </w:p>
    <w:p>
      <w:pPr>
        <w:spacing w:after="0" w:line="150" w:lineRule="exact"/>
        <w:rPr>
          <w:sz w:val="20"/>
          <w:szCs w:val="20"/>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 the design of our executive compensation programs, policies and practices;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types and amounts of compensation for our executive officers; and</w:t>
      </w:r>
    </w:p>
    <w:p>
      <w:pPr>
        <w:spacing w:after="0" w:line="150" w:lineRule="exact"/>
        <w:rPr>
          <w:rFonts w:ascii="Times New Roman" w:cs="Times New Roman" w:eastAsia="Times New Roman" w:hAnsi="Times New Roman"/>
          <w:sz w:val="12"/>
          <w:szCs w:val="12"/>
          <w:color w:val="auto"/>
        </w:rPr>
      </w:pPr>
    </w:p>
    <w:p>
      <w:pPr>
        <w:ind w:left="200" w:right="1900" w:firstLine="8"/>
        <w:spacing w:after="0" w:line="497" w:lineRule="auto"/>
        <w:tabs>
          <w:tab w:leader="none" w:pos="413"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and approve the adoption, termination and amendment of, and to administer and, as appropriate, make recommendations to the Board regarding, our incentive compensation plans. Our objective is to provide a market-based executive compensation program tied to performance and aligned with the interests of our stockholders.</w:t>
      </w:r>
    </w:p>
    <w:p>
      <w:pPr>
        <w:spacing w:after="0"/>
        <w:rPr>
          <w:sz w:val="20"/>
          <w:szCs w:val="20"/>
          <w:color w:val="auto"/>
        </w:rPr>
      </w:pPr>
      <w:r>
        <w:rPr>
          <w:rFonts w:ascii="Times New Roman" w:cs="Times New Roman" w:eastAsia="Times New Roman" w:hAnsi="Times New Roman"/>
          <w:sz w:val="12"/>
          <w:szCs w:val="12"/>
          <w:b w:val="1"/>
          <w:bCs w:val="1"/>
          <w:i w:val="1"/>
          <w:iCs w:val="1"/>
          <w:color w:val="auto"/>
        </w:rPr>
        <w:t>Role of the Compensation Consultant</w:t>
      </w:r>
    </w:p>
    <w:p>
      <w:pPr>
        <w:spacing w:after="0" w:line="163" w:lineRule="exact"/>
        <w:rPr>
          <w:sz w:val="20"/>
          <w:szCs w:val="20"/>
          <w:color w:val="auto"/>
        </w:rPr>
      </w:pPr>
    </w:p>
    <w:p>
      <w:pPr>
        <w:ind w:right="20" w:firstLine="216"/>
        <w:spacing w:after="0" w:line="249" w:lineRule="auto"/>
        <w:rPr>
          <w:sz w:val="20"/>
          <w:szCs w:val="20"/>
          <w:color w:val="auto"/>
        </w:rPr>
      </w:pPr>
      <w:r>
        <w:rPr>
          <w:rFonts w:ascii="Times New Roman" w:cs="Times New Roman" w:eastAsia="Times New Roman" w:hAnsi="Times New Roman"/>
          <w:sz w:val="12"/>
          <w:szCs w:val="12"/>
          <w:color w:val="auto"/>
        </w:rPr>
        <w:t>During the summer of 2025, our Compensation Committee retained Lyons, Benenson &amp; Company Inc. (“LB&amp;Co.”) as its independent compensation consultant to advise on the 2025 Cash Retention Program (as described below in this Compensation Discussion and Analysis) and our new Director Compensation Program, which is described in the “Director Compensation” section of this Proxy Statement. LB&amp;Co. does not provide any other services to the Company. Following a review of the relationship between the Company and LB&amp;Co. during 2025, the Compensation Committee concluded that LB&amp;Co.’s work did not raise any conflicts of interest.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Role of Executive Officers in Determining Compensation for our Executive Compensation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Prior to October 1, 2024, Messrs. Edens and Nardone served as the members of our Compensation Committee. As of October 1, 2024, our Compensation Committee has been composed entirely of independent directors.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a member of our Compensation Committee until October 1, 2024, Mr. Edens was involved in all decisions regarding the compensation of our named executive officers prior to that date. As described more fully below, Mr.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Edens does not receive any regular annual compensation from any party for services rendered to us.</w:t>
      </w:r>
    </w:p>
    <w:p>
      <w:pPr>
        <w:spacing w:after="0" w:line="13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At our 2024 Annual Meeting of Stockholders, we held a non-binding advisory stockholder vote on the compensation of our named executive officers for the year ended December 31, 2023 (the “2024 Say-on-Pay” vote). Our stockholders approved the compensation of our named executive officers, with approximately 99.5% of the votes cast in favor of our 2024 Say-on-Pay resolution. We currently hold our “say-on-pay” advisory vote every three years and expect the next such vote will be held at our 2027 annual meeting of stockholders. Our Compensation Committee will consider the outcome of the Company’s say-on-pay votes and other feedback from stockholders when making future compensation decisions.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i w:val="1"/>
          <w:iCs w:val="1"/>
          <w:color w:val="auto"/>
        </w:rPr>
        <w:t>Elements of our Executive Compensation Program</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Mr. Edens has elected to serve as our CEO without regular annual compensation, primarily due to his substantial ownership stake in us. Mr. Edens is compensated by FIG LLC for services performed for the benefit of Fortress and certain other Fortress entities. However, none of the compensation received by Mr. Edens from FIG LLC is compensation for services rendered to us. As such, regular annual compensation information for Mr. Edens is not included below.</w:t>
      </w:r>
    </w:p>
    <w:p>
      <w:pPr>
        <w:spacing w:after="0" w:line="117"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Base Salary</w:t>
      </w:r>
      <w:r>
        <w:rPr>
          <w:rFonts w:ascii="Times New Roman" w:cs="Times New Roman" w:eastAsia="Times New Roman" w:hAnsi="Times New Roman"/>
          <w:sz w:val="12"/>
          <w:szCs w:val="12"/>
          <w:color w:val="auto"/>
        </w:rPr>
        <w:t>. Base salary is a fixed component of our executive compensation for each year, which may be increased from time to time based on the individual’s performance and other factors as determined by our Compensation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Committee. Base salaries were originally set pursuant to negotiations with our named executive officers at the time of hire, and are intended to reflect the position, duties and responsibilities of each executive. As previously noted, Mr. Edens does not receive regular annual compensation from us. For 2025, annual base salaries for Mr. Guinta and Mr. Lowe were $350,000 (which was unchanged from 2024) and $325,000, respectively.</w:t>
      </w:r>
    </w:p>
    <w:p>
      <w:pPr>
        <w:spacing w:after="0" w:line="126" w:lineRule="exact"/>
        <w:rPr>
          <w:sz w:val="20"/>
          <w:szCs w:val="20"/>
          <w:color w:val="auto"/>
        </w:rPr>
      </w:pPr>
    </w:p>
    <w:p>
      <w:pPr>
        <w:ind w:firstLine="216"/>
        <w:spacing w:after="0" w:line="245" w:lineRule="auto"/>
        <w:rPr>
          <w:sz w:val="20"/>
          <w:szCs w:val="20"/>
          <w:color w:val="auto"/>
        </w:rPr>
      </w:pPr>
      <w:r>
        <w:rPr>
          <w:rFonts w:ascii="Times New Roman" w:cs="Times New Roman" w:eastAsia="Times New Roman" w:hAnsi="Times New Roman"/>
          <w:sz w:val="12"/>
          <w:szCs w:val="12"/>
          <w:i w:val="1"/>
          <w:iCs w:val="1"/>
          <w:color w:val="auto"/>
        </w:rPr>
        <w:t>Annual Cash Bonuses</w:t>
      </w:r>
      <w:r>
        <w:rPr>
          <w:rFonts w:ascii="Times New Roman" w:cs="Times New Roman" w:eastAsia="Times New Roman" w:hAnsi="Times New Roman"/>
          <w:sz w:val="12"/>
          <w:szCs w:val="12"/>
          <w:color w:val="auto"/>
        </w:rPr>
        <w:t>. Our named executive officers are eligible to receive annual cash bonuses. We consider annual cash incentive bonuses to be “at-risk” compensation. For 2025, Mr. Guinta had a target bonus opportunity equal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125% of his annual base salary. For 2025, Mr. Lowe was eligible to receive a discretionary annual bonus. Mr. Guinta and Mr. Lowe must be actively employed at, and not have given or received notice of termination prior to, the time of the bonus payment in order to receive the bonus. As previously noted, Mr. Edens does not receive regular annual compensation from us. The Compensation Committee determined that no annual cash bonuses would be paid to the Company's executive officers for 2025 and instead determined to provide cash retention awards pursuant to the 2025 Cash Retention Program, as discussed below.</w:t>
      </w:r>
    </w:p>
    <w:p>
      <w:pPr>
        <w:spacing w:after="0" w:line="132"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Historically, we have not used pre-established performance goals in our evaluation of performance with respect to the annual incentive payment. Instead, we considered many factors in our decision-making process relating to the amount, if any, of the annual incentive payment. The factors have generally involved the following:</w:t>
      </w:r>
    </w:p>
    <w:p>
      <w:pPr>
        <w:spacing w:after="0" w:line="109" w:lineRule="exact"/>
        <w:rPr>
          <w:sz w:val="20"/>
          <w:szCs w:val="20"/>
          <w:color w:val="auto"/>
        </w:rPr>
      </w:pPr>
    </w:p>
    <w:p>
      <w:pPr>
        <w:ind w:left="420" w:right="160" w:hanging="212"/>
        <w:spacing w:after="0" w:line="283" w:lineRule="auto"/>
        <w:tabs>
          <w:tab w:leader="none" w:pos="417"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Reviewing Company performance</w:t>
      </w:r>
      <w:r>
        <w:rPr>
          <w:rFonts w:ascii="Times New Roman" w:cs="Times New Roman" w:eastAsia="Times New Roman" w:hAnsi="Times New Roman"/>
          <w:sz w:val="12"/>
          <w:szCs w:val="12"/>
          <w:color w:val="auto"/>
        </w:rPr>
        <w:t>. We review all aspects of financial and operational performance of the Company, and also assesses Company performance in relation to the direction of the Company’s business, taking into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account changing economic and market environments.</w:t>
      </w:r>
    </w:p>
    <w:p>
      <w:pPr>
        <w:spacing w:after="0" w:line="106" w:lineRule="exact"/>
        <w:rPr>
          <w:rFonts w:ascii="Times New Roman" w:cs="Times New Roman" w:eastAsia="Times New Roman" w:hAnsi="Times New Roman"/>
          <w:sz w:val="12"/>
          <w:szCs w:val="12"/>
          <w:color w:val="auto"/>
        </w:rPr>
      </w:pPr>
    </w:p>
    <w:p>
      <w:pPr>
        <w:ind w:left="420" w:right="380" w:hanging="212"/>
        <w:spacing w:after="0" w:line="283" w:lineRule="auto"/>
        <w:tabs>
          <w:tab w:leader="none" w:pos="417"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Individual performance</w:t>
      </w:r>
      <w:r>
        <w:rPr>
          <w:rFonts w:ascii="Times New Roman" w:cs="Times New Roman" w:eastAsia="Times New Roman" w:hAnsi="Times New Roman"/>
          <w:sz w:val="12"/>
          <w:szCs w:val="12"/>
          <w:color w:val="auto"/>
        </w:rPr>
        <w:t>. We also evaluate individual performance beyond purely financial measures, including, generally, one or any combination of the following: exceptional performance of the individual’s functional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responsibilities; leadership; creativity; innovation; collaboration; development and implementation of growth initiatives; and other activities that are critical to driving long-term value for shareholders.</w:t>
      </w:r>
    </w:p>
    <w:p>
      <w:pPr>
        <w:spacing w:after="0" w:line="109"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After the end of the fiscal year, we review both Company and individual performance to determine actual bonus payouts for the applicable year. Historically, we have not applied a pre-established formula for determining the relative importance of the factors discussed above.</w:t>
      </w:r>
    </w:p>
    <w:p>
      <w:pPr>
        <w:spacing w:after="0" w:line="109" w:lineRule="exact"/>
        <w:rPr>
          <w:sz w:val="20"/>
          <w:szCs w:val="20"/>
          <w:color w:val="auto"/>
        </w:rPr>
      </w:pPr>
    </w:p>
    <w:p>
      <w:pPr>
        <w:jc w:val="both"/>
        <w:ind w:right="12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Long-Term Incentive Awards</w:t>
      </w:r>
      <w:r>
        <w:rPr>
          <w:rFonts w:ascii="Times New Roman" w:cs="Times New Roman" w:eastAsia="Times New Roman" w:hAnsi="Times New Roman"/>
          <w:sz w:val="12"/>
          <w:szCs w:val="12"/>
          <w:color w:val="auto"/>
        </w:rPr>
        <w:t>. In 2019, in connection with our initial public offering, we adopted the Incentive Plan. Under the Incentive Plan, the Company may issue options, share appreciation rights, restricted shares, restricted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 units (“RSUs”) and performance share units (“PSUs”), share bonuses or other share-based awards to selected officers, employees, non-employee directors and select non-employees of NFE or its affiliates. We did not grant any equity awards to our named executive officers during 2025.</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Perquisites and Personal Benefits</w:t>
      </w:r>
      <w:r>
        <w:rPr>
          <w:rFonts w:ascii="Times New Roman" w:cs="Times New Roman" w:eastAsia="Times New Roman" w:hAnsi="Times New Roman"/>
          <w:sz w:val="12"/>
          <w:szCs w:val="12"/>
          <w:color w:val="auto"/>
        </w:rPr>
        <w:t>. We did not provide any perquisites or personal benefits to our named executive officers in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2025 Cash Retention Program</w:t>
      </w:r>
    </w:p>
    <w:p>
      <w:pPr>
        <w:spacing w:after="0" w:line="154" w:lineRule="exact"/>
        <w:rPr>
          <w:sz w:val="20"/>
          <w:szCs w:val="20"/>
          <w:color w:val="auto"/>
        </w:rPr>
      </w:pPr>
    </w:p>
    <w:p>
      <w:pPr>
        <w:ind w:firstLine="270"/>
        <w:spacing w:after="0" w:line="257" w:lineRule="auto"/>
        <w:rPr>
          <w:sz w:val="20"/>
          <w:szCs w:val="20"/>
          <w:color w:val="auto"/>
        </w:rPr>
      </w:pPr>
      <w:r>
        <w:rPr>
          <w:rFonts w:ascii="Times New Roman" w:cs="Times New Roman" w:eastAsia="Times New Roman" w:hAnsi="Times New Roman"/>
          <w:sz w:val="12"/>
          <w:szCs w:val="12"/>
          <w:color w:val="auto"/>
        </w:rPr>
        <w:t>In the fall of 2025, our Compensation Committee reviewed and approved a cash retention program (the “2025 Cash Retention Program”), in consultation with LB&amp;Co., to retain and incentivize certain critical executives and senior management employees of the Company (including each of our named executive officers other than Ms. Shin) during a period critical to the Company’s ongoing operations and corporate strategy. Each of Messrs. Edens, Guinta and Lowe received an award under the 2025 Cash Retention Program, the terms of which were set forth in a retention award agreement. The material terms of the retention award agreements entered into with Messrs. Edens, Guinta and Lowe are summarized below. Please see the section of this Proxy Statement entitled “Director Compensation” for additional information about the retention award agreement entered into with Mr. Nardone. The Company has not granted a retention award to any other non-employee director.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56" w:name="page57"/>
    <w:bookmarkEnd w:id="56"/>
    <w:p>
      <w:pPr>
        <w:ind w:right="80" w:firstLine="216"/>
        <w:spacing w:after="0" w:line="251" w:lineRule="auto"/>
        <w:rPr>
          <w:sz w:val="20"/>
          <w:szCs w:val="20"/>
          <w:color w:val="auto"/>
        </w:rPr>
      </w:pPr>
      <w:r>
        <w:rPr>
          <w:rFonts w:ascii="Times New Roman" w:cs="Times New Roman" w:eastAsia="Times New Roman" w:hAnsi="Times New Roman"/>
          <w:sz w:val="12"/>
          <w:szCs w:val="12"/>
          <w:i w:val="1"/>
          <w:iCs w:val="1"/>
          <w:color w:val="auto"/>
        </w:rPr>
        <w:t>Edens Retention Agreement</w:t>
      </w:r>
      <w:r>
        <w:rPr>
          <w:rFonts w:ascii="Times New Roman" w:cs="Times New Roman" w:eastAsia="Times New Roman" w:hAnsi="Times New Roman"/>
          <w:sz w:val="12"/>
          <w:szCs w:val="12"/>
          <w:color w:val="auto"/>
        </w:rPr>
        <w:t>. In October 2025, the Company entered into a retention award agreement with Mr. Edens providing for the following cash retention payments: (i) a service retention payment equal to $3,125,000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 Retention Payment”), (ii) a transaction resolution retention payment equal to $1,875,000 (“Transaction Retention Payment”) and (iii) a restructuring incentive payment equal to $2,500,000 (“Restructuring Incentive Payment”). Mr. Edens’ Service Retention Payment was paid upfront, subject to a clawback provision that lapses (and did lapse) on March 15, 2026 or, if earlier, upon Mr. Edens termination of employment by the Company without cause or due to his death or permanent disability (“Qualifying Termination”). Mr. Edens’ Transaction Retention Payment was also paid upfront, subject to a clawback provision that lapses (and did lapse) upon the negotiation and execution of a contract in a key operating jurisdiction (or a comparable contract elsewhere) or, if earlier, upon a Qualifying Termination. Such contract was executed in late 2025. Mr. Edens’ Restructuring Incentive Payment is payable upon the successful completion of the Company’s financial restructuring, provided that upon a Qualifying Termination prior to a financial restructuring, the Restructuring Incentive Payment will be paid if the financial restructuring is successfully completed within three months following such Qualifying Termination.</w:t>
      </w:r>
    </w:p>
    <w:p>
      <w:pPr>
        <w:spacing w:after="0" w:line="3" w:lineRule="exact"/>
        <w:rPr>
          <w:sz w:val="20"/>
          <w:szCs w:val="20"/>
          <w:color w:val="auto"/>
        </w:rPr>
      </w:pPr>
    </w:p>
    <w:p>
      <w:pPr>
        <w:ind w:firstLine="216"/>
        <w:spacing w:after="0" w:line="237" w:lineRule="auto"/>
        <w:rPr>
          <w:sz w:val="20"/>
          <w:szCs w:val="20"/>
          <w:color w:val="auto"/>
        </w:rPr>
      </w:pPr>
      <w:r>
        <w:rPr>
          <w:rFonts w:ascii="Times New Roman" w:cs="Times New Roman" w:eastAsia="Times New Roman" w:hAnsi="Times New Roman"/>
          <w:sz w:val="12"/>
          <w:szCs w:val="12"/>
          <w:i w:val="1"/>
          <w:iCs w:val="1"/>
          <w:color w:val="auto"/>
        </w:rPr>
        <w:t>Guinta Retention Agreemen</w:t>
      </w:r>
      <w:r>
        <w:rPr>
          <w:rFonts w:ascii="Times New Roman" w:cs="Times New Roman" w:eastAsia="Times New Roman" w:hAnsi="Times New Roman"/>
          <w:sz w:val="12"/>
          <w:szCs w:val="12"/>
          <w:color w:val="auto"/>
        </w:rPr>
        <w:t>t. In September 2025, the Company entered into a retention award agreement with Mr. Guinta providing for the following cash retention payments: (i) a $3,000,000 Service Retention Payment and (ii)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$3,000,000 Restructuring Incentive Payment. Mr. Guinta’s Service Retention Payment was paid upfront, subject to a clawback provision that lapses (and did lapse) on March 15, 2026 or, if earlier, upon a Qualifying Termination. Mr. Guinta’s Restructuring Incentive Payment is payable on the earlier of the completion of a Restructuring or, if the Restructuring Incentive Payment had not been paid by January 1, 2026, on January 1, 2026, in each case, subject to Mr. Guinta’s continued employment on the payment date. The Restructuring Incentive Payment was paid on January 1, 2026, subject to the same repayment obligation as his Service Retention Payment, and will be reported in our Summary Compensation Table for 2026.</w:t>
      </w:r>
    </w:p>
    <w:p>
      <w:pPr>
        <w:spacing w:after="0" w:line="133" w:lineRule="exact"/>
        <w:rPr>
          <w:sz w:val="20"/>
          <w:szCs w:val="20"/>
          <w:color w:val="auto"/>
        </w:rPr>
      </w:pPr>
    </w:p>
    <w:p>
      <w:pPr>
        <w:ind w:right="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Lowe Retention Agreement</w:t>
      </w:r>
      <w:r>
        <w:rPr>
          <w:rFonts w:ascii="Times New Roman" w:cs="Times New Roman" w:eastAsia="Times New Roman" w:hAnsi="Times New Roman"/>
          <w:sz w:val="12"/>
          <w:szCs w:val="12"/>
          <w:color w:val="auto"/>
        </w:rPr>
        <w:t>. In September 2025, the Company entered into a retention award agreement with Mr. Lowe providing for a $875,000 Service Retention Payment, which was paid upfront, subject to a clawback provision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lapses (and did lapse) on March 15, 2026 or, if earlier, upon a Qualifying Termination.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 Bonuses</w:t>
      </w:r>
    </w:p>
    <w:p>
      <w:pPr>
        <w:spacing w:after="0" w:line="134" w:lineRule="exact"/>
        <w:rPr>
          <w:sz w:val="20"/>
          <w:szCs w:val="20"/>
          <w:color w:val="auto"/>
        </w:rPr>
      </w:pPr>
    </w:p>
    <w:p>
      <w:pPr>
        <w:ind w:right="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Jamaica Transaction Bonuses</w:t>
      </w:r>
      <w:r>
        <w:rPr>
          <w:rFonts w:ascii="Times New Roman" w:cs="Times New Roman" w:eastAsia="Times New Roman" w:hAnsi="Times New Roman"/>
          <w:sz w:val="12"/>
          <w:szCs w:val="12"/>
          <w:color w:val="auto"/>
        </w:rPr>
        <w:t>. In May 2025, we completed the sale of the Company's Jamaica business to Excelerate Energy, Inc. (the “Jamaica Transaction”). In recognition of their efforts in connection with the completion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Jamaica Transaction, Mr. Guinta received a cash bonus of $5,000,000 and Mr. Lowe received a cash bonus of $750,000, in each case, payable in two installments in 2025.</w:t>
      </w:r>
    </w:p>
    <w:p>
      <w:pPr>
        <w:spacing w:after="0" w:line="125"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Energos Ship Sale Transaction Bonuses</w:t>
      </w:r>
      <w:r>
        <w:rPr>
          <w:rFonts w:ascii="Times New Roman" w:cs="Times New Roman" w:eastAsia="Times New Roman" w:hAnsi="Times New Roman"/>
          <w:sz w:val="12"/>
          <w:szCs w:val="12"/>
          <w:color w:val="auto"/>
        </w:rPr>
        <w:t>. In November 2025, we completed a transaction with Energos, pursuant to which the Company early terminated the long-term charter agreements with Energos for certain vessels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novated associated sub-charter agreements for these vessels to Energos, in exchange for cash consideration of $150 million (the “Energos Ship Sale Transaction”). In recognition of their efforts in connection with the completion of the Energos Ship Sale Transaction, Mr. Guinta received a cash bonus of $750,000 and Mr. Lowe received a cash bonus of $112,500, in each case, payable in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Offer Letters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have entered into offer letters with Mr. Guinta and Mr. Lowe. We have not entered into an offer letter or employment agreement with Mr. Edens.</w:t>
      </w:r>
    </w:p>
    <w:p>
      <w:pPr>
        <w:spacing w:after="0" w:line="148" w:lineRule="exact"/>
        <w:rPr>
          <w:sz w:val="20"/>
          <w:szCs w:val="20"/>
          <w:color w:val="auto"/>
        </w:rPr>
      </w:pPr>
    </w:p>
    <w:p>
      <w:pPr>
        <w:ind w:right="8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Guinta Offer Letter</w:t>
      </w:r>
      <w:r>
        <w:rPr>
          <w:rFonts w:ascii="Times New Roman" w:cs="Times New Roman" w:eastAsia="Times New Roman" w:hAnsi="Times New Roman"/>
          <w:sz w:val="12"/>
          <w:szCs w:val="12"/>
          <w:color w:val="auto"/>
        </w:rPr>
        <w:t>. On March 14, 2017, NFE Management, LLC entered into an offer letter (the “Guinta Offer Letter”) with Mr. Guinta. The Guinta Offer Letter provides Mr. Guinta with an annualized base salary of $350,000,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discretionary target bonus opportunity equal to 125% of annual base salary and eligibility to participate in our broad-based employee benefit plans, as may be adopted from time to time, subject to the eligibility requirements of such employee benefit plans. The Guinta Offer Letter also contains certain restrictive covenants, including (a) non-competition and non-solicitation covenants that are applicable during Mr. Guinta’s term of employment, and for twelve months following his resignation or termination of his employment for cause (as defined below) and (b) restrictions on disclosure of confidential information.</w:t>
      </w:r>
    </w:p>
    <w:p>
      <w:pPr>
        <w:spacing w:after="0" w:line="120"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Lowe Offer Letter. </w:t>
      </w:r>
      <w:r>
        <w:rPr>
          <w:rFonts w:ascii="Times New Roman" w:cs="Times New Roman" w:eastAsia="Times New Roman" w:hAnsi="Times New Roman"/>
          <w:sz w:val="12"/>
          <w:szCs w:val="12"/>
          <w:color w:val="auto"/>
        </w:rPr>
        <w:t>On June 10, 2019, NFE Management, LLC entered into an offer letter (the “Lowe Offer Letter”) with Mr. Lowe. The Lowe Offer Letter provided Mr. Lowe with an annualized base salary of $250,000, eligibility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receive a discretionary bonus and eligibility to participate in our broad-based employee benefit plans, as may be adopted from time to time, subject to the eligibility requirements of such employee benefit plans. The Lowe Offer Letter also contains certain restrictive covenants, including (a) non-competition and non-solicitation covenants that are applicable during Mr. Lowe’s term of employment, and for twelve months following his resignation or termination of his employment for cause (as defined below) and (b) restrictions on disclosure of confidential information. Mr. Lowe's annual base salary for 2025 was $325,000.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57" w:name="page58"/>
    <w:bookmarkEnd w:id="57"/>
    <w:p>
      <w:pPr>
        <w:ind w:firstLine="216"/>
        <w:spacing w:after="0" w:line="257" w:lineRule="auto"/>
        <w:rPr>
          <w:sz w:val="20"/>
          <w:szCs w:val="20"/>
          <w:color w:val="auto"/>
        </w:rPr>
      </w:pPr>
      <w:r>
        <w:rPr>
          <w:rFonts w:ascii="Times New Roman" w:cs="Times New Roman" w:eastAsia="Times New Roman" w:hAnsi="Times New Roman"/>
          <w:sz w:val="12"/>
          <w:szCs w:val="12"/>
          <w:color w:val="auto"/>
        </w:rPr>
        <w:t>As used in the Guinta Offer Letter and Lowe Offer Letter, “cause” generally means the executive’s (i) willful misconduct or gross negligence in the performance of his duties; (ii) failure to perform his duties or to follow the lawful directives of our Board;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Tax Considerations</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As a general matter, we consider the various tax and accounting implications of our existing and proposed compensation programs. We consider the tax-deductibility of compensation in designing our compensation programs, but it is not our sole consideration and we retain the discretion to award compensation that is non-deductible. Section 162(m) of the Internal Revenue Code limits to $1 million per year the federal income tax deduction available to public corporations for compensation paid for any fiscal year to the CEO and other named executive officers. As a result, compensation paid in excess of $1 million to each of our other named executive officers will generally not be deductible.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Hedging and Pledging Policy</w:t>
      </w:r>
    </w:p>
    <w:p>
      <w:pPr>
        <w:spacing w:after="0" w:line="154" w:lineRule="exact"/>
        <w:rPr>
          <w:sz w:val="20"/>
          <w:szCs w:val="20"/>
          <w:color w:val="auto"/>
        </w:rPr>
      </w:pPr>
    </w:p>
    <w:p>
      <w:pPr>
        <w:jc w:val="both"/>
        <w:ind w:right="60" w:firstLine="216"/>
        <w:spacing w:after="0" w:line="260" w:lineRule="auto"/>
        <w:rPr>
          <w:sz w:val="20"/>
          <w:szCs w:val="20"/>
          <w:color w:val="auto"/>
        </w:rPr>
      </w:pPr>
      <w:r>
        <w:rPr>
          <w:rFonts w:ascii="Times New Roman" w:cs="Times New Roman" w:eastAsia="Times New Roman" w:hAnsi="Times New Roman"/>
          <w:sz w:val="12"/>
          <w:szCs w:val="12"/>
          <w:color w:val="auto"/>
        </w:rPr>
        <w:t>Subject to certain exceptions (as described below), our insider trading policy expressly prohibits transactions involving hedging, margining or pledging of shares of our Common Stock and other equity securities and derivatives by officers, directors and employees of the Company (“Insiders”), as well as any such Insider’s spouse, minor children, adult family members sharing the same household on a continuous basis, financial dependents, and any other person or entity over whom the Insider exercises substantial influence or control over his, her or its securities trading decisions, and any other trust or other estate in which an Insider has a substantial beneficial interest or as to which he or she serves as trustee or in a similar capacity.</w:t>
      </w:r>
    </w:p>
    <w:p>
      <w:pPr>
        <w:spacing w:after="0" w:line="122"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Our policy provides limited exceptions in the event of prior approval by the Company's insider trading compliance officer, securities that are margined and are sold by a broker without the customer's consent if the customer fails to meet a margin call, transactions made pursuant to a written trading plan designed and entered into in accordance with Rule 10b5-1 of the Exchange Act, exercises of share options where no shares of the Company are sold in the market to fund the option exercise price or related taxes, the exercise of a tax withholding right pursuant to which a person has elected to have the Company withhold shares subject to an option to satisfy tax withholding requirements, vesting of restricted shares or the exercise of a tax withholding right in connection with restricted shares or other equity awards pursuant to which such person has elected to have the Company withhold shares to satisfy tax withholding requirements upon the vesting of any restricted shares or other award, and purchases of Company shares in any present or future 401(k) plan resulting from a person’s periodic contributions to the plan pursuant to that person’s payroll deduction election.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Clawback Policy</w:t>
      </w:r>
    </w:p>
    <w:p>
      <w:pPr>
        <w:spacing w:after="0" w:line="154"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Effective December 1, 2023, we adopted the New Fortress Energy Inc. Clawback Policy, which is included as Exhibit 97.1 to our Annual Report on Form 10-K for our most recently completed fiscal year, covering our executive officers. Our Clawback Policy provides that in the event of a required accounting restatement, our Compensation Committee will seek reimbursement of the portion of any incentive-based compensation that would not have been paid had our financial statements been correctly stated.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Option Grant Practices and Policies</w:t>
      </w:r>
    </w:p>
    <w:p>
      <w:pPr>
        <w:spacing w:after="0" w:line="154"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We do not grant equity in the form of stock options, stock appreciation rights, or similar option-like instruments. As such, we do not currently have any policies or practices in place with respect to the timing of such awards in relation to the disclosure of material non-public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COMMITTEE REPORT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Compensation Committee has reviewed and discussed the 2025 Compensation Discussion and Analysis required by Item 402(b) of Regulation S-K with the Company’s management.</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Based on this review and their discussions, the Compensation Committee has recommended to the Board of Directors that the 2025 Compensation Discussion and Analysis be included in the Annual Report and the Proxy Statement for the 2026 Annual Meeting of Stockholders to be filed with the SEC.</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The Compensation Committee</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David J. Grain</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C. William Griffin</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Charles M. Sledge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701"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59"/>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Summary Compensation Table for 2025</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420" w:type="dxa"/>
            <w:vAlign w:val="bottom"/>
            <w:gridSpan w:val="10"/>
          </w:tcPr>
          <w:p>
            <w:pPr>
              <w:ind w:left="200"/>
              <w:spacing w:after="0"/>
              <w:rPr>
                <w:sz w:val="20"/>
                <w:szCs w:val="20"/>
                <w:color w:val="auto"/>
              </w:rPr>
            </w:pPr>
            <w:r>
              <w:rPr>
                <w:rFonts w:ascii="Times New Roman" w:cs="Times New Roman" w:eastAsia="Times New Roman" w:hAnsi="Times New Roman"/>
                <w:sz w:val="12"/>
                <w:szCs w:val="12"/>
                <w:color w:val="auto"/>
              </w:rPr>
              <w:t>The following table provides information regarding the compensation earned by our named executive officers in respect of the applicable fiscal years set forth below.</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14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5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All Other</w:t>
            </w:r>
          </w:p>
        </w:tc>
        <w:tc>
          <w:tcPr>
            <w:tcW w:w="138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3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500" w:type="dxa"/>
            <w:vAlign w:val="bottom"/>
            <w:gridSpan w:val="2"/>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4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50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0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36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4"/>
                <w:szCs w:val="14"/>
                <w:color w:val="auto"/>
              </w:rPr>
            </w:pPr>
          </w:p>
        </w:tc>
        <w:tc>
          <w:tcPr>
            <w:tcW w:w="1340" w:type="dxa"/>
            <w:vAlign w:val="bottom"/>
          </w:tcPr>
          <w:p>
            <w:pPr>
              <w:jc w:val="right"/>
              <w:ind w:right="500"/>
              <w:spacing w:after="0" w:line="162"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(1)</w:t>
            </w:r>
          </w:p>
        </w:tc>
        <w:tc>
          <w:tcPr>
            <w:tcW w:w="16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2"/>
                <w:szCs w:val="12"/>
                <w:b w:val="1"/>
                <w:bCs w:val="1"/>
                <w:color w:val="auto"/>
                <w:w w:val="85"/>
              </w:rPr>
              <w:t>($)</w:t>
            </w:r>
            <w:r>
              <w:rPr>
                <w:rFonts w:ascii="Times New Roman" w:cs="Times New Roman" w:eastAsia="Times New Roman" w:hAnsi="Times New Roman"/>
                <w:sz w:val="15"/>
                <w:szCs w:val="15"/>
                <w:b w:val="1"/>
                <w:bCs w:val="1"/>
                <w:color w:val="auto"/>
                <w:w w:val="85"/>
                <w:vertAlign w:val="superscript"/>
              </w:rPr>
              <w:t>(2)</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4"/>
                <w:szCs w:val="14"/>
                <w:color w:val="auto"/>
              </w:rPr>
            </w:pPr>
          </w:p>
        </w:tc>
        <w:tc>
          <w:tcPr>
            <w:tcW w:w="138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06"/>
        </w:trPr>
        <w:tc>
          <w:tcPr>
            <w:tcW w:w="2920" w:type="dxa"/>
            <w:vAlign w:val="bottom"/>
            <w:tcBorders>
              <w:top w:val="single" w:sz="8" w:color="auto"/>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2"/>
                <w:szCs w:val="12"/>
                <w:b w:val="1"/>
                <w:bCs w:val="1"/>
                <w:color w:val="auto"/>
              </w:rPr>
              <w:t xml:space="preserve">Wesley R. Edens </w:t>
            </w: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5,000,000</w:t>
            </w:r>
          </w:p>
        </w:tc>
        <w:tc>
          <w:tcPr>
            <w:tcW w:w="16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ind w:left="1200"/>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5,000,000</w:t>
            </w:r>
          </w:p>
        </w:tc>
        <w:tc>
          <w:tcPr>
            <w:tcW w:w="0" w:type="dxa"/>
            <w:vAlign w:val="bottom"/>
          </w:tcPr>
          <w:p>
            <w:pPr>
              <w:spacing w:after="0"/>
              <w:rPr>
                <w:sz w:val="1"/>
                <w:szCs w:val="1"/>
                <w:color w:val="auto"/>
              </w:rPr>
            </w:pPr>
          </w:p>
        </w:tc>
      </w:tr>
      <w:tr>
        <w:trPr>
          <w:trHeight w:val="162"/>
        </w:trPr>
        <w:tc>
          <w:tcPr>
            <w:tcW w:w="3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14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7"/>
        </w:trPr>
        <w:tc>
          <w:tcPr>
            <w:tcW w:w="306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 xml:space="preserve">Christopher S. Guinta </w:t>
            </w:r>
            <w:r>
              <w:rPr>
                <w:rFonts w:ascii="Times New Roman" w:cs="Times New Roman" w:eastAsia="Times New Roman" w:hAnsi="Times New Roman"/>
                <w:sz w:val="12"/>
                <w:szCs w:val="12"/>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spacing w:after="0"/>
              <w:rPr>
                <w:sz w:val="10"/>
                <w:szCs w:val="10"/>
                <w:color w:val="auto"/>
              </w:rPr>
            </w:pPr>
          </w:p>
        </w:tc>
        <w:tc>
          <w:tcPr>
            <w:tcW w:w="13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350,000</w:t>
            </w:r>
          </w:p>
        </w:tc>
        <w:tc>
          <w:tcPr>
            <w:tcW w:w="140" w:type="dxa"/>
            <w:vAlign w:val="bottom"/>
          </w:tcPr>
          <w:p>
            <w:pPr>
              <w:spacing w:after="0"/>
              <w:rPr>
                <w:sz w:val="10"/>
                <w:szCs w:val="10"/>
                <w:color w:val="auto"/>
              </w:rPr>
            </w:pPr>
          </w:p>
        </w:tc>
        <w:tc>
          <w:tcPr>
            <w:tcW w:w="13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8,750,000</w:t>
            </w:r>
          </w:p>
        </w:tc>
        <w:tc>
          <w:tcPr>
            <w:tcW w:w="160" w:type="dxa"/>
            <w:vAlign w:val="bottom"/>
          </w:tcPr>
          <w:p>
            <w:pPr>
              <w:spacing w:after="0"/>
              <w:rPr>
                <w:sz w:val="10"/>
                <w:szCs w:val="10"/>
                <w:color w:val="auto"/>
              </w:rPr>
            </w:pPr>
          </w:p>
        </w:tc>
        <w:tc>
          <w:tcPr>
            <w:tcW w:w="14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9,100,000</w:t>
            </w:r>
          </w:p>
        </w:tc>
        <w:tc>
          <w:tcPr>
            <w:tcW w:w="0" w:type="dxa"/>
            <w:vAlign w:val="bottom"/>
          </w:tcPr>
          <w:p>
            <w:pPr>
              <w:spacing w:after="0"/>
              <w:rPr>
                <w:sz w:val="1"/>
                <w:szCs w:val="1"/>
                <w:color w:val="auto"/>
              </w:rPr>
            </w:pPr>
          </w:p>
        </w:tc>
      </w:tr>
      <w:tr>
        <w:trPr>
          <w:trHeight w:val="159"/>
        </w:trPr>
        <w:tc>
          <w:tcPr>
            <w:tcW w:w="3060" w:type="dxa"/>
            <w:vAlign w:val="bottom"/>
            <w:gridSpan w:val="2"/>
          </w:tcPr>
          <w:p>
            <w:pPr>
              <w:ind w:left="6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6,000,000</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5,300,718</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11,650,718</w:t>
            </w: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1,650,000</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0" w:type="dxa"/>
            <w:vAlign w:val="bottom"/>
          </w:tcPr>
          <w:p>
            <w:pPr>
              <w:spacing w:after="0"/>
              <w:rPr>
                <w:sz w:val="1"/>
                <w:szCs w:val="1"/>
                <w:color w:val="auto"/>
              </w:rPr>
            </w:pPr>
          </w:p>
        </w:tc>
      </w:tr>
      <w:tr>
        <w:trPr>
          <w:trHeight w:val="117"/>
        </w:trPr>
        <w:tc>
          <w:tcPr>
            <w:tcW w:w="3060" w:type="dxa"/>
            <w:vAlign w:val="bottom"/>
            <w:gridSpan w:val="2"/>
            <w:shd w:val="clear" w:color="auto" w:fill="CCEEFF"/>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 xml:space="preserve">Michael Lowe </w:t>
            </w: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shd w:val="clear" w:color="auto" w:fill="CCEEFF"/>
          </w:tcPr>
          <w:p>
            <w:pPr>
              <w:spacing w:after="0"/>
              <w:rPr>
                <w:sz w:val="10"/>
                <w:szCs w:val="10"/>
                <w:color w:val="auto"/>
              </w:rPr>
            </w:pPr>
          </w:p>
        </w:tc>
        <w:tc>
          <w:tcPr>
            <w:tcW w:w="13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325,000</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1,737,500</w:t>
            </w:r>
          </w:p>
        </w:tc>
        <w:tc>
          <w:tcPr>
            <w:tcW w:w="16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ind w:left="1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2,062,500</w:t>
            </w:r>
          </w:p>
        </w:tc>
        <w:tc>
          <w:tcPr>
            <w:tcW w:w="0" w:type="dxa"/>
            <w:vAlign w:val="bottom"/>
          </w:tcPr>
          <w:p>
            <w:pPr>
              <w:spacing w:after="0"/>
              <w:rPr>
                <w:sz w:val="1"/>
                <w:szCs w:val="1"/>
                <w:color w:val="auto"/>
              </w:rPr>
            </w:pPr>
          </w:p>
        </w:tc>
      </w:tr>
      <w:tr>
        <w:trPr>
          <w:trHeight w:val="155"/>
        </w:trPr>
        <w:tc>
          <w:tcPr>
            <w:tcW w:w="3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Chief Accounting Officer</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60" w:type="dxa"/>
            <w:vAlign w:val="bottom"/>
            <w:gridSpan w:val="2"/>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 xml:space="preserve">Yunyoung Shin </w:t>
            </w:r>
            <w:r>
              <w:rPr>
                <w:rFonts w:ascii="Times New Roman" w:cs="Times New Roman" w:eastAsia="Times New Roman" w:hAnsi="Times New Roman"/>
                <w:sz w:val="12"/>
                <w:szCs w:val="12"/>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spacing w:after="0"/>
              <w:rPr>
                <w:sz w:val="10"/>
                <w:szCs w:val="10"/>
                <w:color w:val="auto"/>
              </w:rPr>
            </w:pPr>
          </w:p>
        </w:tc>
        <w:tc>
          <w:tcPr>
            <w:tcW w:w="13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85,256</w:t>
            </w:r>
          </w:p>
        </w:tc>
        <w:tc>
          <w:tcPr>
            <w:tcW w:w="140" w:type="dxa"/>
            <w:vAlign w:val="bottom"/>
          </w:tcPr>
          <w:p>
            <w:pPr>
              <w:spacing w:after="0"/>
              <w:rPr>
                <w:sz w:val="10"/>
                <w:szCs w:val="10"/>
                <w:color w:val="auto"/>
              </w:rPr>
            </w:pPr>
          </w:p>
        </w:tc>
        <w:tc>
          <w:tcPr>
            <w:tcW w:w="15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85,256</w:t>
            </w:r>
          </w:p>
        </w:tc>
        <w:tc>
          <w:tcPr>
            <w:tcW w:w="0" w:type="dxa"/>
            <w:vAlign w:val="bottom"/>
          </w:tcPr>
          <w:p>
            <w:pPr>
              <w:spacing w:after="0"/>
              <w:rPr>
                <w:sz w:val="1"/>
                <w:szCs w:val="1"/>
                <w:color w:val="auto"/>
              </w:rPr>
            </w:pPr>
          </w:p>
        </w:tc>
      </w:tr>
      <w:tr>
        <w:trPr>
          <w:trHeight w:val="159"/>
        </w:trPr>
        <w:tc>
          <w:tcPr>
            <w:tcW w:w="3060" w:type="dxa"/>
            <w:vAlign w:val="bottom"/>
            <w:gridSpan w:val="2"/>
          </w:tcPr>
          <w:p>
            <w:pPr>
              <w:ind w:left="60"/>
              <w:spacing w:after="0"/>
              <w:rPr>
                <w:sz w:val="20"/>
                <w:szCs w:val="20"/>
                <w:color w:val="auto"/>
              </w:rPr>
            </w:pPr>
            <w:r>
              <w:rPr>
                <w:rFonts w:ascii="Times New Roman" w:cs="Times New Roman" w:eastAsia="Times New Roman" w:hAnsi="Times New Roman"/>
                <w:sz w:val="12"/>
                <w:szCs w:val="12"/>
                <w:i w:val="1"/>
                <w:iCs w:val="1"/>
                <w:color w:val="auto"/>
              </w:rPr>
              <w:t>Former Chief Accounting Officer</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1,500,000</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3,636,299</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5,386,299</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850,000</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1,100,000</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20" w:right="60" w:hanging="416"/>
        <w:spacing w:after="0" w:line="204" w:lineRule="auto"/>
        <w:tabs>
          <w:tab w:leader="none" w:pos="420" w:val="left"/>
        </w:tabs>
        <w:numPr>
          <w:ilvl w:val="0"/>
          <w:numId w:val="4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For fiscal years 2023 and 2024, the amounts in this column represent the cash discretionary annual bonuses for the respective periods awarded pursuant to our discretionary annual cash bonus program. For fiscal year 2025, the amounts in this column represent: (i) for Mr. Edens, the portion of his cash retention award paid in 2025 ($5,000,000); (ii) for Mr. Guinta, the portion of his cash retention award paid in 2025 ($3,000,000), his Jamaica Transaction bonus ($5,000,000) and his Energos Ship Sale Transaction bonus ($750,000); (iii) for Mr. Lowe, his cash retention award paid in 2025 ($875,000), his Jamaica transaction bonus ($750,000) and his Energos Ship Sale Transaction bonus ($112,500). For additional information regarding the cash retention awards, the Jamaica Transaction bonuses and the Energos Ship Sale Transaction bonuses, see "2025 Cash Retention Program", "Jamaica Transaction Bonuses" and "Energos Ship Sale Transaction Bonuses" in the Compensation Discussion and Analysis above.</w:t>
      </w:r>
    </w:p>
    <w:p>
      <w:pPr>
        <w:spacing w:after="0" w:line="84" w:lineRule="exact"/>
        <w:rPr>
          <w:rFonts w:ascii="Times New Roman" w:cs="Times New Roman" w:eastAsia="Times New Roman" w:hAnsi="Times New Roman"/>
          <w:sz w:val="12"/>
          <w:szCs w:val="12"/>
          <w:color w:val="auto"/>
          <w:vertAlign w:val="superscript"/>
        </w:rPr>
      </w:pPr>
    </w:p>
    <w:p>
      <w:pPr>
        <w:ind w:left="420" w:right="180" w:hanging="416"/>
        <w:spacing w:after="0" w:line="211" w:lineRule="auto"/>
        <w:tabs>
          <w:tab w:leader="none" w:pos="420" w:val="left"/>
        </w:tabs>
        <w:numPr>
          <w:ilvl w:val="0"/>
          <w:numId w:val="4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amounts in this column reflect the aggregate grant date value of awards made during the applicable calendar year computed in accordance with FASB ASC Topic 718. None of the named executive officers were granted equity awards in fiscal year 2025. Based on the closing price of $1.37 for our Class A common stock on February 3, 2026 (the date all of the Class A common stock underlying the RSUs was delivered to Mr. Guinta), the market value of the RSUs that he was granted on March 11, 2024 was $222,351.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Grants of Plan-Based Awards for 2025</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did not grant any incentive plan awards to our named executive officers during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 for 2025</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information concerning unvested RSU awards held by each of our named executive officers as of December 31,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5160" w:type="dxa"/>
            <w:vAlign w:val="bottom"/>
            <w:gridSpan w:val="2"/>
          </w:tcPr>
          <w:p>
            <w:pPr>
              <w:jc w:val="center"/>
              <w:ind w:left="3465"/>
              <w:spacing w:after="0"/>
              <w:rPr>
                <w:sz w:val="20"/>
                <w:szCs w:val="20"/>
                <w:color w:val="auto"/>
              </w:rPr>
            </w:pPr>
            <w:r>
              <w:rPr>
                <w:rFonts w:ascii="Times New Roman" w:cs="Times New Roman" w:eastAsia="Times New Roman" w:hAnsi="Times New Roman"/>
                <w:sz w:val="10"/>
                <w:szCs w:val="10"/>
                <w:b w:val="1"/>
                <w:bCs w:val="1"/>
                <w:color w:val="auto"/>
                <w:w w:val="96"/>
              </w:rPr>
              <w:t>Number of units that have not</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Market value of units that have</w:t>
            </w:r>
          </w:p>
        </w:tc>
      </w:tr>
      <w:tr>
        <w:trPr>
          <w:trHeight w:val="146"/>
        </w:trPr>
        <w:tc>
          <w:tcPr>
            <w:tcW w:w="4780" w:type="dxa"/>
            <w:vAlign w:val="bottom"/>
          </w:tcPr>
          <w:p>
            <w:pPr>
              <w:spacing w:after="0"/>
              <w:rPr>
                <w:sz w:val="12"/>
                <w:szCs w:val="12"/>
                <w:color w:val="auto"/>
              </w:rPr>
            </w:pPr>
          </w:p>
        </w:tc>
        <w:tc>
          <w:tcPr>
            <w:tcW w:w="5160" w:type="dxa"/>
            <w:vAlign w:val="bottom"/>
            <w:gridSpan w:val="2"/>
          </w:tcPr>
          <w:p>
            <w:pPr>
              <w:jc w:val="center"/>
              <w:ind w:left="3445"/>
              <w:spacing w:after="0"/>
              <w:rPr>
                <w:sz w:val="20"/>
                <w:szCs w:val="20"/>
                <w:color w:val="auto"/>
              </w:rPr>
            </w:pPr>
            <w:r>
              <w:rPr>
                <w:rFonts w:ascii="Times New Roman" w:cs="Times New Roman" w:eastAsia="Times New Roman" w:hAnsi="Times New Roman"/>
                <w:sz w:val="10"/>
                <w:szCs w:val="10"/>
                <w:b w:val="1"/>
                <w:bCs w:val="1"/>
                <w:color w:val="auto"/>
                <w:w w:val="94"/>
              </w:rPr>
              <w:t>vested</w:t>
            </w:r>
            <w:r>
              <w:rPr>
                <w:rFonts w:ascii="Times New Roman" w:cs="Times New Roman" w:eastAsia="Times New Roman" w:hAnsi="Times New Roman"/>
                <w:sz w:val="12"/>
                <w:szCs w:val="12"/>
                <w:b w:val="1"/>
                <w:bCs w:val="1"/>
                <w:color w:val="auto"/>
                <w:w w:val="94"/>
                <w:vertAlign w:val="superscript"/>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not vested</w:t>
            </w:r>
            <w:r>
              <w:rPr>
                <w:rFonts w:ascii="Times New Roman" w:cs="Times New Roman" w:eastAsia="Times New Roman" w:hAnsi="Times New Roman"/>
                <w:sz w:val="12"/>
                <w:szCs w:val="12"/>
                <w:b w:val="1"/>
                <w:bCs w:val="1"/>
                <w:color w:val="auto"/>
                <w:w w:val="91"/>
                <w:vertAlign w:val="superscript"/>
              </w:rPr>
              <w:t>(2)</w:t>
            </w:r>
          </w:p>
        </w:tc>
      </w:tr>
      <w:tr>
        <w:trPr>
          <w:trHeight w:val="134"/>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5020" w:type="dxa"/>
            <w:vAlign w:val="bottom"/>
            <w:tcBorders>
              <w:bottom w:val="single" w:sz="8" w:color="auto"/>
            </w:tcBorders>
          </w:tcPr>
          <w:p>
            <w:pPr>
              <w:jc w:val="center"/>
              <w:ind w:left="3585"/>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502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44,118</w:t>
            </w:r>
          </w:p>
        </w:tc>
        <w:tc>
          <w:tcPr>
            <w:tcW w:w="140" w:type="dxa"/>
            <w:vAlign w:val="bottom"/>
          </w:tcPr>
          <w:p>
            <w:pPr>
              <w:spacing w:after="0"/>
              <w:rPr>
                <w:sz w:val="13"/>
                <w:szCs w:val="13"/>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50,295</w:t>
            </w:r>
          </w:p>
        </w:tc>
      </w:tr>
      <w:tr>
        <w:trPr>
          <w:trHeight w:val="15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Lowe</w:t>
            </w:r>
          </w:p>
        </w:tc>
        <w:tc>
          <w:tcPr>
            <w:tcW w:w="5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8,089</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9,221</w:t>
            </w:r>
          </w:p>
        </w:tc>
      </w:tr>
      <w:tr>
        <w:trPr>
          <w:trHeight w:val="155"/>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Yunyoung Shin</w:t>
            </w:r>
          </w:p>
        </w:tc>
        <w:tc>
          <w:tcPr>
            <w:tcW w:w="5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-394970</wp:posOffset>
            </wp:positionV>
            <wp:extent cx="914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9" w:lineRule="exact"/>
        <w:rPr>
          <w:sz w:val="20"/>
          <w:szCs w:val="20"/>
          <w:color w:val="auto"/>
        </w:rPr>
      </w:pPr>
    </w:p>
    <w:p>
      <w:pPr>
        <w:ind w:left="420" w:hanging="416"/>
        <w:spacing w:after="0"/>
        <w:tabs>
          <w:tab w:leader="none" w:pos="420" w:val="left"/>
        </w:tabs>
        <w:numPr>
          <w:ilvl w:val="0"/>
          <w:numId w:val="4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These RSUs vested on January 2, 2026.</w:t>
      </w:r>
    </w:p>
    <w:p>
      <w:pPr>
        <w:spacing w:after="0" w:line="21" w:lineRule="exact"/>
        <w:rPr>
          <w:rFonts w:ascii="Times New Roman" w:cs="Times New Roman" w:eastAsia="Times New Roman" w:hAnsi="Times New Roman"/>
          <w:sz w:val="12"/>
          <w:szCs w:val="12"/>
          <w:color w:val="auto"/>
          <w:vertAlign w:val="superscript"/>
        </w:rPr>
      </w:pPr>
    </w:p>
    <w:p>
      <w:pPr>
        <w:ind w:left="420" w:hanging="416"/>
        <w:spacing w:after="0" w:line="197" w:lineRule="auto"/>
        <w:tabs>
          <w:tab w:leader="none" w:pos="420" w:val="left"/>
        </w:tabs>
        <w:numPr>
          <w:ilvl w:val="0"/>
          <w:numId w:val="4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market value of the RSUs shown in this column represents the per share closing price of our Class A Common Stock as of December 31, 2025, which was $1.14, multiplied by the number of unvested RSUs outstanding.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Option Exercises and Stock Vested for 2025</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provides information on the RSUs held by our named executive officers that vested during 2025. We had no stock options that were exercised during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440" w:type="dxa"/>
            <w:vAlign w:val="bottom"/>
          </w:tcPr>
          <w:p>
            <w:pPr>
              <w:spacing w:after="0"/>
              <w:rPr>
                <w:sz w:val="11"/>
                <w:szCs w:val="11"/>
                <w:color w:val="auto"/>
              </w:rPr>
            </w:pPr>
          </w:p>
        </w:tc>
        <w:tc>
          <w:tcPr>
            <w:tcW w:w="18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1060" w:type="dxa"/>
            <w:vAlign w:val="bottom"/>
            <w:tcBorders>
              <w:bottom w:val="single" w:sz="8" w:color="auto"/>
            </w:tcBorders>
          </w:tcPr>
          <w:p>
            <w:pPr>
              <w:spacing w:after="0"/>
              <w:rPr>
                <w:sz w:val="11"/>
                <w:szCs w:val="11"/>
                <w:color w:val="auto"/>
              </w:rPr>
            </w:pPr>
          </w:p>
        </w:tc>
      </w:tr>
      <w:tr>
        <w:trPr>
          <w:trHeight w:val="170"/>
        </w:trPr>
        <w:tc>
          <w:tcPr>
            <w:tcW w:w="8440" w:type="dxa"/>
            <w:vAlign w:val="bottom"/>
          </w:tcPr>
          <w:p>
            <w:pPr>
              <w:spacing w:after="0"/>
              <w:rPr>
                <w:sz w:val="14"/>
                <w:szCs w:val="14"/>
                <w:color w:val="auto"/>
              </w:rPr>
            </w:pPr>
          </w:p>
        </w:tc>
        <w:tc>
          <w:tcPr>
            <w:tcW w:w="1800" w:type="dxa"/>
            <w:vAlign w:val="bottom"/>
          </w:tcPr>
          <w:p>
            <w:pPr>
              <w:jc w:val="center"/>
              <w:ind w:right="387"/>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060" w:type="dxa"/>
            <w:vAlign w:val="bottom"/>
          </w:tcPr>
          <w:p>
            <w:pPr>
              <w:spacing w:after="0"/>
              <w:rPr>
                <w:sz w:val="14"/>
                <w:szCs w:val="14"/>
                <w:color w:val="auto"/>
              </w:rPr>
            </w:pPr>
          </w:p>
        </w:tc>
      </w:tr>
      <w:tr>
        <w:trPr>
          <w:trHeight w:val="144"/>
        </w:trPr>
        <w:tc>
          <w:tcPr>
            <w:tcW w:w="8440" w:type="dxa"/>
            <w:vAlign w:val="bottom"/>
          </w:tcPr>
          <w:p>
            <w:pPr>
              <w:spacing w:after="0"/>
              <w:rPr>
                <w:sz w:val="12"/>
                <w:szCs w:val="12"/>
                <w:color w:val="auto"/>
              </w:rPr>
            </w:pPr>
          </w:p>
        </w:tc>
        <w:tc>
          <w:tcPr>
            <w:tcW w:w="1800" w:type="dxa"/>
            <w:vAlign w:val="bottom"/>
          </w:tcPr>
          <w:p>
            <w:pPr>
              <w:jc w:val="center"/>
              <w:ind w:right="387"/>
              <w:spacing w:after="0"/>
              <w:rPr>
                <w:sz w:val="20"/>
                <w:szCs w:val="20"/>
                <w:color w:val="auto"/>
              </w:rPr>
            </w:pPr>
            <w:r>
              <w:rPr>
                <w:rFonts w:ascii="Times New Roman" w:cs="Times New Roman" w:eastAsia="Times New Roman" w:hAnsi="Times New Roman"/>
                <w:sz w:val="10"/>
                <w:szCs w:val="10"/>
                <w:b w:val="1"/>
                <w:bCs w:val="1"/>
                <w:color w:val="auto"/>
                <w:w w:val="95"/>
              </w:rPr>
              <w:t>Shares Acquired</w:t>
            </w:r>
          </w:p>
        </w:tc>
        <w:tc>
          <w:tcPr>
            <w:tcW w:w="1060" w:type="dxa"/>
            <w:vAlign w:val="bottom"/>
          </w:tcPr>
          <w:p>
            <w:pPr>
              <w:jc w:val="center"/>
              <w:ind w:right="245"/>
              <w:spacing w:after="0"/>
              <w:rPr>
                <w:sz w:val="20"/>
                <w:szCs w:val="20"/>
                <w:color w:val="auto"/>
              </w:rPr>
            </w:pPr>
            <w:r>
              <w:rPr>
                <w:rFonts w:ascii="Times New Roman" w:cs="Times New Roman" w:eastAsia="Times New Roman" w:hAnsi="Times New Roman"/>
                <w:sz w:val="10"/>
                <w:szCs w:val="10"/>
                <w:b w:val="1"/>
                <w:bCs w:val="1"/>
                <w:color w:val="auto"/>
                <w:w w:val="93"/>
              </w:rPr>
              <w:t>Value Realized</w:t>
            </w:r>
          </w:p>
        </w:tc>
      </w:tr>
      <w:tr>
        <w:trPr>
          <w:trHeight w:val="144"/>
        </w:trPr>
        <w:tc>
          <w:tcPr>
            <w:tcW w:w="8440" w:type="dxa"/>
            <w:vAlign w:val="bottom"/>
          </w:tcPr>
          <w:p>
            <w:pPr>
              <w:spacing w:after="0"/>
              <w:rPr>
                <w:sz w:val="12"/>
                <w:szCs w:val="12"/>
                <w:color w:val="auto"/>
              </w:rPr>
            </w:pPr>
          </w:p>
        </w:tc>
        <w:tc>
          <w:tcPr>
            <w:tcW w:w="1800" w:type="dxa"/>
            <w:vAlign w:val="bottom"/>
          </w:tcPr>
          <w:p>
            <w:pPr>
              <w:jc w:val="center"/>
              <w:ind w:right="407"/>
              <w:spacing w:after="0"/>
              <w:rPr>
                <w:sz w:val="20"/>
                <w:szCs w:val="20"/>
                <w:color w:val="auto"/>
              </w:rPr>
            </w:pPr>
            <w:r>
              <w:rPr>
                <w:rFonts w:ascii="Times New Roman" w:cs="Times New Roman" w:eastAsia="Times New Roman" w:hAnsi="Times New Roman"/>
                <w:sz w:val="10"/>
                <w:szCs w:val="10"/>
                <w:b w:val="1"/>
                <w:bCs w:val="1"/>
                <w:color w:val="auto"/>
                <w:w w:val="92"/>
              </w:rPr>
              <w:t>on Vesting</w:t>
            </w:r>
          </w:p>
        </w:tc>
        <w:tc>
          <w:tcPr>
            <w:tcW w:w="1060" w:type="dxa"/>
            <w:vAlign w:val="bottom"/>
          </w:tcPr>
          <w:p>
            <w:pPr>
              <w:jc w:val="center"/>
              <w:ind w:right="265"/>
              <w:spacing w:after="0"/>
              <w:rPr>
                <w:sz w:val="20"/>
                <w:szCs w:val="20"/>
                <w:color w:val="auto"/>
              </w:rPr>
            </w:pPr>
            <w:r>
              <w:rPr>
                <w:rFonts w:ascii="Times New Roman" w:cs="Times New Roman" w:eastAsia="Times New Roman" w:hAnsi="Times New Roman"/>
                <w:sz w:val="10"/>
                <w:szCs w:val="10"/>
                <w:b w:val="1"/>
                <w:bCs w:val="1"/>
                <w:color w:val="auto"/>
                <w:w w:val="92"/>
              </w:rPr>
              <w:t>on Vesting</w:t>
            </w:r>
          </w:p>
        </w:tc>
      </w:tr>
      <w:tr>
        <w:trPr>
          <w:trHeight w:val="148"/>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800" w:type="dxa"/>
            <w:vAlign w:val="bottom"/>
            <w:tcBorders>
              <w:bottom w:val="single" w:sz="8" w:color="auto"/>
            </w:tcBorders>
          </w:tcPr>
          <w:p>
            <w:pPr>
              <w:jc w:val="center"/>
              <w:ind w:right="407"/>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06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4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180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40" w:type="dxa"/>
            <w:vAlign w:val="bottom"/>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1800" w:type="dxa"/>
            <w:vAlign w:val="bottom"/>
          </w:tcPr>
          <w:p>
            <w:pPr>
              <w:jc w:val="right"/>
              <w:ind w:right="447"/>
              <w:spacing w:after="0"/>
              <w:rPr>
                <w:sz w:val="20"/>
                <w:szCs w:val="20"/>
                <w:color w:val="auto"/>
              </w:rPr>
            </w:pPr>
            <w:r>
              <w:rPr>
                <w:rFonts w:ascii="Times New Roman" w:cs="Times New Roman" w:eastAsia="Times New Roman" w:hAnsi="Times New Roman"/>
                <w:sz w:val="12"/>
                <w:szCs w:val="12"/>
                <w:color w:val="auto"/>
              </w:rPr>
              <w:t>118,182</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1,926,367</w:t>
            </w:r>
          </w:p>
        </w:tc>
      </w:tr>
      <w:tr>
        <w:trPr>
          <w:trHeight w:val="15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Lowe</w:t>
            </w:r>
          </w:p>
        </w:tc>
        <w:tc>
          <w:tcPr>
            <w:tcW w:w="180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2"/>
                <w:szCs w:val="12"/>
                <w:color w:val="auto"/>
              </w:rPr>
              <w:t>16,289</w:t>
            </w: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265,511</w:t>
            </w:r>
          </w:p>
        </w:tc>
      </w:tr>
      <w:tr>
        <w:trPr>
          <w:trHeight w:val="155"/>
        </w:trPr>
        <w:tc>
          <w:tcPr>
            <w:tcW w:w="8440" w:type="dxa"/>
            <w:vAlign w:val="bottom"/>
          </w:tcPr>
          <w:p>
            <w:pPr>
              <w:spacing w:after="0"/>
              <w:rPr>
                <w:sz w:val="20"/>
                <w:szCs w:val="20"/>
                <w:color w:val="auto"/>
              </w:rPr>
            </w:pPr>
            <w:r>
              <w:rPr>
                <w:rFonts w:ascii="Times New Roman" w:cs="Times New Roman" w:eastAsia="Times New Roman" w:hAnsi="Times New Roman"/>
                <w:sz w:val="12"/>
                <w:szCs w:val="12"/>
                <w:color w:val="auto"/>
              </w:rPr>
              <w:t>Yunyoung Shin</w:t>
            </w:r>
          </w:p>
        </w:tc>
        <w:tc>
          <w:tcPr>
            <w:tcW w:w="1800" w:type="dxa"/>
            <w:vAlign w:val="bottom"/>
          </w:tcPr>
          <w:p>
            <w:pPr>
              <w:jc w:val="right"/>
              <w:ind w:right="447"/>
              <w:spacing w:after="0"/>
              <w:rPr>
                <w:sz w:val="20"/>
                <w:szCs w:val="20"/>
                <w:color w:val="auto"/>
              </w:rPr>
            </w:pPr>
            <w:r>
              <w:rPr>
                <w:rFonts w:ascii="Times New Roman" w:cs="Times New Roman" w:eastAsia="Times New Roman" w:hAnsi="Times New Roman"/>
                <w:sz w:val="12"/>
                <w:szCs w:val="12"/>
                <w:color w:val="auto"/>
              </w:rPr>
              <w:t>80,455</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1,311,417</w:t>
            </w:r>
          </w:p>
        </w:tc>
      </w:tr>
      <w:tr>
        <w:trPr>
          <w:trHeight w:val="205"/>
        </w:trPr>
        <w:tc>
          <w:tcPr>
            <w:tcW w:w="8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Pension Benefits for 2025</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06"/>
        </w:trPr>
        <w:tc>
          <w:tcPr>
            <w:tcW w:w="84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We do not maintain any defined benefit pension plans in which any of our named executive officers participate.</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8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Nonqualified Deferred Compensation for 2025</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84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We do not maintain any nonqualified deferred compensation plans in which any of our named executive officers participate.</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8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Potential Payments Upon Change-in-Control or Termination</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33" w:lineRule="exact"/>
        <w:rPr>
          <w:sz w:val="20"/>
          <w:szCs w:val="20"/>
          <w:color w:val="auto"/>
        </w:rPr>
      </w:pPr>
    </w:p>
    <w:p>
      <w:pPr>
        <w:ind w:right="340" w:firstLine="216"/>
        <w:spacing w:after="0" w:line="265" w:lineRule="auto"/>
        <w:rPr>
          <w:sz w:val="20"/>
          <w:szCs w:val="20"/>
          <w:color w:val="auto"/>
        </w:rPr>
      </w:pPr>
      <w:r>
        <w:rPr>
          <w:rFonts w:ascii="Times New Roman" w:cs="Times New Roman" w:eastAsia="Times New Roman" w:hAnsi="Times New Roman"/>
          <w:sz w:val="12"/>
          <w:szCs w:val="12"/>
          <w:color w:val="auto"/>
        </w:rPr>
        <w:t>We generally do not have any employment agreements, offer letters, severance plans or change in control plans that provide for any cash payment to any of our named executive officers in connection with a termination of employment or a change in control of the Company. None of our named executive officers would have been entitled to any cash payments if their employment with the Company was terminated for any reason in 2025. Ms. Shin’s employment with the Company terminated on April 29, 2025, and she did not receive any severance payments or benefits in connection with her termination of employment.</w:t>
      </w:r>
    </w:p>
    <w:p>
      <w:pPr>
        <w:spacing w:after="0" w:line="11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Under the terms of the Incentive Plan, unless otherwise determined by our Board of Directors or our Compensation Committee prior to a change in control or evidenced in an award agreement, outstanding and unvested RSUs will fully vest upon a termination of employment by the Company without cause or by the participant for “good reason” (to the extent a “good reason” concept is provided in a participant’s applicable award agreement or individual employment or severance agreement) within 12 months following a change in control, with any performance conditions deemed to be fully achieved. Mr. Guinta’s and Mr. Lowe's RSU award agreements and offer letters do not provide for a “good reason” concept.</w:t>
      </w:r>
    </w:p>
    <w:p>
      <w:pPr>
        <w:spacing w:after="0" w:line="122"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In addition, Mr. Edens, Mr. Guinta and Mr. Lowe would be entitled to certain payments or benefits under their respective retention award agreements if their employment is terminated by the Company without cause or upon death or permanent disability. The following describes the payments and benefits named executive officers would receive under their respective retention award agreements if such termination of employment occurred on December 31, 2025. For Mr. Edens, he would receive his Restructuring Incentive Payment ($2,500,000), to the extent then unpaid, if the Company completed its financial restructuring within three months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4" w:right="299" w:bottom="1440" w:gutter="0" w:footer="0" w:header="0"/>
        </w:sectPr>
      </w:pPr>
    </w:p>
    <w:bookmarkStart w:id="62" w:name="page63"/>
    <w:bookmarkEnd w:id="62"/>
    <w:p>
      <w:pPr>
        <w:spacing w:after="0" w:line="256" w:lineRule="auto"/>
        <w:rPr>
          <w:sz w:val="20"/>
          <w:szCs w:val="20"/>
          <w:color w:val="auto"/>
        </w:rPr>
      </w:pPr>
      <w:r>
        <w:rPr>
          <w:rFonts w:ascii="Times New Roman" w:cs="Times New Roman" w:eastAsia="Times New Roman" w:hAnsi="Times New Roman"/>
          <w:sz w:val="12"/>
          <w:szCs w:val="12"/>
          <w:color w:val="auto"/>
        </w:rPr>
        <w:t>following such termination of employment and the repayment obligation related to his Service Retention Payment ($3,125,000) and Transaction Retention Payment ($1,875,000) would lapse (these repayment obligations have already lapsed in the ordinary course). For Mr. Guinta, he would receive, to the extent not yet paid, his Restructuring Incentive Payment ($3,000,000) if the Company completed its financial restructuring prior to June 30, 2026 and the repayment obligation related to his Service Retention Payment ($3,000,000) would lapse (this repayment obligation lapsed in the ordinary course on March 15, 2026). Mr. Guinta’s Restructuring Incentive Payment was paid on January 1, 2026 and was subject to a repayment obligation that lapsed on March 15, 2026. For Mr. Lowe, the repayment obligation with respect to his Service Retention Payment ($875,000) would lapse (this repayment obligation lapsed in the ordinary course on March 15, 2026). The payments and benefits described above are subject to the named executive officer’s execution and non-revocation of a general release of claims (unless the termination of employment occurred following a change in control) and continued compliance with applicable restrictive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 Ratio Disclosure</w:t>
      </w:r>
    </w:p>
    <w:p>
      <w:pPr>
        <w:spacing w:after="0" w:line="154" w:lineRule="exact"/>
        <w:rPr>
          <w:sz w:val="20"/>
          <w:szCs w:val="20"/>
          <w:color w:val="auto"/>
        </w:rPr>
      </w:pPr>
    </w:p>
    <w:p>
      <w:pPr>
        <w:jc w:val="both"/>
        <w:ind w:right="240" w:firstLine="216"/>
        <w:spacing w:after="0" w:line="300" w:lineRule="auto"/>
        <w:rPr>
          <w:sz w:val="20"/>
          <w:szCs w:val="20"/>
          <w:color w:val="auto"/>
        </w:rPr>
      </w:pPr>
      <w:r>
        <w:rPr>
          <w:rFonts w:ascii="Times New Roman" w:cs="Times New Roman" w:eastAsia="Times New Roman" w:hAnsi="Times New Roman"/>
          <w:sz w:val="11"/>
          <w:szCs w:val="11"/>
          <w:color w:val="auto"/>
        </w:rPr>
        <w:t>As required by SEC rules, we are providing the information below to explain the relationship between the annual total compensation of Mr. Edens, who served as our Chief Executive Officer and the Chairman of our Board of Directors in 2025, and the annual total compensation of our median employee, excluding our CEO. Mr. Edens has elected to serve as our CEO without regular annual compensation and, in 2025, the only compensation Mr. Edens received was payment with respect to a portion of his cash retention award ($5,000,000). For 2025, the ratio of the annual total compensation of our CEO’s to the median annual total compensation of all employees was 73:1.</w:t>
      </w:r>
    </w:p>
    <w:p>
      <w:pPr>
        <w:spacing w:after="0" w:line="102" w:lineRule="exact"/>
        <w:rPr>
          <w:sz w:val="20"/>
          <w:szCs w:val="20"/>
          <w:color w:val="auto"/>
        </w:rPr>
      </w:pPr>
    </w:p>
    <w:p>
      <w:pPr>
        <w:ind w:right="20" w:firstLine="216"/>
        <w:spacing w:after="0" w:line="300" w:lineRule="auto"/>
        <w:rPr>
          <w:sz w:val="20"/>
          <w:szCs w:val="20"/>
          <w:color w:val="auto"/>
        </w:rPr>
      </w:pPr>
      <w:r>
        <w:rPr>
          <w:rFonts w:ascii="Times New Roman" w:cs="Times New Roman" w:eastAsia="Times New Roman" w:hAnsi="Times New Roman"/>
          <w:sz w:val="11"/>
          <w:szCs w:val="11"/>
          <w:color w:val="auto"/>
        </w:rPr>
        <w:t>The 2025 annual total compensation of our median employee (other than our CEO), calculated in accordance with Item 402(c) of Regulation S-K, was $68,520. This reflects an analysis of our workforce of 1,301 employees as of December 31, 2025, including part-time employees. We did not include independent contractors in our determination. To identify our median employee, we reviewed the W-2 Box 1 for US employees and pay stub data for any non-US employee compensation for all of our employees, which measure was consistently applied to all our employees included in the calculation. We did not make any cost-of-living adjustments in identifying our median employee for 2025.</w:t>
      </w:r>
    </w:p>
    <w:p>
      <w:pPr>
        <w:spacing w:after="0" w:line="102"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Once we identified our median employee for 2025 using the methodology described above, we determined the median employee’s annual total compensation for 2025 in accordance with the requirements of Item 402(c) of Regulation S-K consistent with the calculation of the 2025 annual total compensation of our named executive officers as reported in the Summary Compensation Table for 2025 in this Proxy Statement.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color w:val="auto"/>
        </w:rPr>
        <w:t>Pay Versus Performance</w:t>
      </w:r>
    </w:p>
    <w:p>
      <w:pPr>
        <w:spacing w:after="0" w:line="13" w:lineRule="exact"/>
        <w:rPr>
          <w:sz w:val="20"/>
          <w:szCs w:val="20"/>
          <w:color w:val="auto"/>
        </w:rPr>
      </w:pPr>
    </w:p>
    <w:p>
      <w:pPr>
        <w:ind w:right="140" w:firstLine="216"/>
        <w:spacing w:after="0" w:line="237" w:lineRule="auto"/>
        <w:rPr>
          <w:sz w:val="20"/>
          <w:szCs w:val="20"/>
          <w:color w:val="auto"/>
        </w:rPr>
      </w:pPr>
      <w:r>
        <w:rPr>
          <w:rFonts w:ascii="Times New Roman" w:cs="Times New Roman" w:eastAsia="Times New Roman" w:hAnsi="Times New Roman"/>
          <w:sz w:val="12"/>
          <w:szCs w:val="12"/>
          <w:color w:val="auto"/>
        </w:rPr>
        <w:t>As required by Item 402(v) of Regulation S-K, we are providing the following information regarding the relationship between executive compensation and our financial performance for each of the past five years. In determining the “compensation actually paid” to our named executive officers, we are required to make various adjustments to amounts that have been reported in our Summary Compensation Table for each year presented, as the SEC’s valuation methods for this section differ from those required in our Summary Compensation Tables. As described more fully above, this table does not include information regarding regular annual compensation paid to Mr. Edens because Mr. Edens does not receive any regular annual compensation from any party for services rendered to us. The only compensation that Mr. Edens has received from the Company for the covered years was payment of a portion of his cash retention awards in 2025, as discussed above.</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0"/>
          <w:szCs w:val="10"/>
          <w:b w:val="1"/>
          <w:bCs w:val="1"/>
          <w:color w:val="auto"/>
        </w:rPr>
        <w:t>Pay Versus Performance Table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20" w:type="dxa"/>
            <w:vAlign w:val="bottom"/>
            <w:tcBorders>
              <w:top w:val="single" w:sz="8" w:color="auto"/>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w w:val="95"/>
              </w:rPr>
              <w:t>Value of initial fixed $100 investment based on:</w:t>
            </w:r>
          </w:p>
        </w:tc>
        <w:tc>
          <w:tcPr>
            <w:tcW w:w="1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restart"/>
          </w:tcPr>
          <w:p>
            <w:pPr>
              <w:jc w:val="center"/>
              <w:ind w:right="105"/>
              <w:spacing w:after="0"/>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00" w:type="dxa"/>
            <w:vAlign w:val="bottom"/>
          </w:tcPr>
          <w:p>
            <w:pPr>
              <w:spacing w:after="0"/>
              <w:rPr>
                <w:sz w:val="21"/>
                <w:szCs w:val="21"/>
                <w:color w:val="auto"/>
              </w:rPr>
            </w:pPr>
          </w:p>
        </w:tc>
        <w:tc>
          <w:tcPr>
            <w:tcW w:w="960" w:type="dxa"/>
            <w:vAlign w:val="bottom"/>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4"/>
              </w:rPr>
              <w:t>Average Summary</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Average Compensation</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jc w:val="center"/>
              <w:ind w:right="26"/>
              <w:spacing w:after="0" w:line="90" w:lineRule="exact"/>
              <w:rPr>
                <w:sz w:val="20"/>
                <w:szCs w:val="20"/>
                <w:color w:val="auto"/>
              </w:rPr>
            </w:pPr>
            <w:r>
              <w:rPr>
                <w:rFonts w:ascii="Times New Roman" w:cs="Times New Roman" w:eastAsia="Times New Roman" w:hAnsi="Times New Roman"/>
                <w:sz w:val="10"/>
                <w:szCs w:val="10"/>
                <w:b w:val="1"/>
                <w:bCs w:val="1"/>
                <w:color w:val="auto"/>
                <w:w w:val="94"/>
              </w:rPr>
              <w:t>Compensation Table</w:t>
            </w: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restart"/>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5"/>
              </w:rPr>
              <w:t>Peer Group Total</w:t>
            </w:r>
          </w:p>
        </w:tc>
        <w:tc>
          <w:tcPr>
            <w:tcW w:w="120" w:type="dxa"/>
            <w:vAlign w:val="bottom"/>
          </w:tcPr>
          <w:p>
            <w:pPr>
              <w:spacing w:after="0"/>
              <w:rPr>
                <w:sz w:val="7"/>
                <w:szCs w:val="7"/>
                <w:color w:val="auto"/>
              </w:rPr>
            </w:pPr>
          </w:p>
        </w:tc>
        <w:tc>
          <w:tcPr>
            <w:tcW w:w="940" w:type="dxa"/>
            <w:vAlign w:val="bottom"/>
            <w:vMerge w:val="restart"/>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2"/>
              </w:rPr>
              <w:t>Peer Group Total</w:t>
            </w:r>
          </w:p>
        </w:tc>
        <w:tc>
          <w:tcPr>
            <w:tcW w:w="120" w:type="dxa"/>
            <w:vAlign w:val="bottom"/>
          </w:tcPr>
          <w:p>
            <w:pPr>
              <w:spacing w:after="0"/>
              <w:rPr>
                <w:sz w:val="7"/>
                <w:szCs w:val="7"/>
                <w:color w:val="auto"/>
              </w:rPr>
            </w:pPr>
          </w:p>
        </w:tc>
        <w:tc>
          <w:tcPr>
            <w:tcW w:w="98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5"/>
              </w:rPr>
              <w:t>Peer Group Total</w:t>
            </w: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85"/>
              <w:spacing w:after="0" w:line="99" w:lineRule="exact"/>
              <w:rPr>
                <w:sz w:val="20"/>
                <w:szCs w:val="20"/>
                <w:color w:val="auto"/>
              </w:rPr>
            </w:pPr>
            <w:r>
              <w:rPr>
                <w:rFonts w:ascii="Times New Roman" w:cs="Times New Roman" w:eastAsia="Times New Roman" w:hAnsi="Times New Roman"/>
                <w:sz w:val="10"/>
                <w:szCs w:val="10"/>
                <w:b w:val="1"/>
                <w:bCs w:val="1"/>
                <w:color w:val="auto"/>
                <w:w w:val="99"/>
              </w:rPr>
              <w:t>Actually</w:t>
            </w:r>
          </w:p>
        </w:tc>
        <w:tc>
          <w:tcPr>
            <w:tcW w:w="100" w:type="dxa"/>
            <w:vAlign w:val="bottom"/>
          </w:tcPr>
          <w:p>
            <w:pPr>
              <w:spacing w:after="0"/>
              <w:rPr>
                <w:sz w:val="8"/>
                <w:szCs w:val="8"/>
                <w:color w:val="auto"/>
              </w:rPr>
            </w:pPr>
          </w:p>
        </w:tc>
        <w:tc>
          <w:tcPr>
            <w:tcW w:w="960" w:type="dxa"/>
            <w:vAlign w:val="bottom"/>
          </w:tcPr>
          <w:p>
            <w:pPr>
              <w:jc w:val="center"/>
              <w:ind w:right="6"/>
              <w:spacing w:after="0" w:line="99" w:lineRule="exact"/>
              <w:rPr>
                <w:sz w:val="20"/>
                <w:szCs w:val="20"/>
                <w:color w:val="auto"/>
              </w:rPr>
            </w:pPr>
            <w:r>
              <w:rPr>
                <w:rFonts w:ascii="Times New Roman" w:cs="Times New Roman" w:eastAsia="Times New Roman" w:hAnsi="Times New Roman"/>
                <w:sz w:val="10"/>
                <w:szCs w:val="10"/>
                <w:b w:val="1"/>
                <w:bCs w:val="1"/>
                <w:color w:val="auto"/>
                <w:w w:val="94"/>
              </w:rPr>
              <w:t>Total for Non-PEO</w:t>
            </w:r>
          </w:p>
        </w:tc>
        <w:tc>
          <w:tcPr>
            <w:tcW w:w="100" w:type="dxa"/>
            <w:vAlign w:val="bottom"/>
          </w:tcPr>
          <w:p>
            <w:pPr>
              <w:spacing w:after="0"/>
              <w:rPr>
                <w:sz w:val="8"/>
                <w:szCs w:val="8"/>
                <w:color w:val="auto"/>
              </w:rPr>
            </w:pPr>
          </w:p>
        </w:tc>
        <w:tc>
          <w:tcPr>
            <w:tcW w:w="980" w:type="dxa"/>
            <w:vAlign w:val="bottom"/>
          </w:tcPr>
          <w:p>
            <w:pPr>
              <w:jc w:val="center"/>
              <w:ind w:right="4"/>
              <w:spacing w:after="0" w:line="99" w:lineRule="exact"/>
              <w:rPr>
                <w:sz w:val="20"/>
                <w:szCs w:val="20"/>
                <w:color w:val="auto"/>
              </w:rPr>
            </w:pPr>
            <w:r>
              <w:rPr>
                <w:rFonts w:ascii="Times New Roman" w:cs="Times New Roman" w:eastAsia="Times New Roman" w:hAnsi="Times New Roman"/>
                <w:sz w:val="10"/>
                <w:szCs w:val="10"/>
                <w:b w:val="1"/>
                <w:bCs w:val="1"/>
                <w:color w:val="auto"/>
                <w:w w:val="95"/>
              </w:rPr>
              <w:t>Actually Paid to Non-</w:t>
            </w: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restart"/>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5"/>
              </w:rPr>
              <w:t>Net Income (Loss)</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00" w:type="dxa"/>
            <w:vAlign w:val="bottom"/>
          </w:tcPr>
          <w:p>
            <w:pPr>
              <w:spacing w:after="0"/>
              <w:rPr>
                <w:sz w:val="6"/>
                <w:szCs w:val="6"/>
                <w:color w:val="auto"/>
              </w:rPr>
            </w:pPr>
          </w:p>
        </w:tc>
        <w:tc>
          <w:tcPr>
            <w:tcW w:w="108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60" w:type="dxa"/>
            <w:vAlign w:val="bottom"/>
          </w:tcPr>
          <w:p>
            <w:pPr>
              <w:spacing w:after="0"/>
              <w:rPr>
                <w:sz w:val="6"/>
                <w:szCs w:val="6"/>
                <w:color w:val="auto"/>
              </w:rPr>
            </w:pPr>
          </w:p>
        </w:tc>
        <w:tc>
          <w:tcPr>
            <w:tcW w:w="900" w:type="dxa"/>
            <w:vAlign w:val="bottom"/>
            <w:vMerge w:val="restart"/>
          </w:tcPr>
          <w:p>
            <w:pPr>
              <w:jc w:val="center"/>
              <w:ind w:right="65"/>
              <w:spacing w:after="0" w:line="99" w:lineRule="exact"/>
              <w:rPr>
                <w:sz w:val="20"/>
                <w:szCs w:val="20"/>
                <w:color w:val="auto"/>
              </w:rPr>
            </w:pPr>
            <w:r>
              <w:rPr>
                <w:rFonts w:ascii="Times New Roman" w:cs="Times New Roman" w:eastAsia="Times New Roman" w:hAnsi="Times New Roman"/>
                <w:sz w:val="10"/>
                <w:szCs w:val="10"/>
                <w:b w:val="1"/>
                <w:bCs w:val="1"/>
                <w:color w:val="auto"/>
                <w:w w:val="92"/>
              </w:rPr>
              <w:t>Paid</w:t>
            </w:r>
          </w:p>
        </w:tc>
        <w:tc>
          <w:tcPr>
            <w:tcW w:w="100" w:type="dxa"/>
            <w:vAlign w:val="bottom"/>
          </w:tcPr>
          <w:p>
            <w:pPr>
              <w:spacing w:after="0"/>
              <w:rPr>
                <w:sz w:val="6"/>
                <w:szCs w:val="6"/>
                <w:color w:val="auto"/>
              </w:rPr>
            </w:pPr>
          </w:p>
        </w:tc>
        <w:tc>
          <w:tcPr>
            <w:tcW w:w="960" w:type="dxa"/>
            <w:vAlign w:val="bottom"/>
            <w:vMerge w:val="restart"/>
          </w:tcPr>
          <w:p>
            <w:pPr>
              <w:jc w:val="center"/>
              <w:ind w:right="26"/>
              <w:spacing w:after="0" w:line="99" w:lineRule="exact"/>
              <w:rPr>
                <w:sz w:val="20"/>
                <w:szCs w:val="20"/>
                <w:color w:val="auto"/>
              </w:rPr>
            </w:pPr>
            <w:r>
              <w:rPr>
                <w:rFonts w:ascii="Times New Roman" w:cs="Times New Roman" w:eastAsia="Times New Roman" w:hAnsi="Times New Roman"/>
                <w:sz w:val="10"/>
                <w:szCs w:val="10"/>
                <w:b w:val="1"/>
                <w:bCs w:val="1"/>
                <w:color w:val="auto"/>
                <w:w w:val="96"/>
              </w:rPr>
              <w:t>Named Executive</w:t>
            </w:r>
          </w:p>
        </w:tc>
        <w:tc>
          <w:tcPr>
            <w:tcW w:w="108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PEO Named Executive</w:t>
            </w:r>
          </w:p>
        </w:tc>
        <w:tc>
          <w:tcPr>
            <w:tcW w:w="120" w:type="dxa"/>
            <w:vAlign w:val="bottom"/>
          </w:tcPr>
          <w:p>
            <w:pPr>
              <w:spacing w:after="0"/>
              <w:rPr>
                <w:sz w:val="6"/>
                <w:szCs w:val="6"/>
                <w:color w:val="auto"/>
              </w:rPr>
            </w:pPr>
          </w:p>
        </w:tc>
        <w:tc>
          <w:tcPr>
            <w:tcW w:w="940" w:type="dxa"/>
            <w:vAlign w:val="bottom"/>
            <w:vMerge w:val="restart"/>
          </w:tcPr>
          <w:p>
            <w:pPr>
              <w:jc w:val="center"/>
              <w:ind w:right="24"/>
              <w:spacing w:after="0" w:line="99" w:lineRule="exact"/>
              <w:rPr>
                <w:sz w:val="20"/>
                <w:szCs w:val="20"/>
                <w:color w:val="auto"/>
              </w:rPr>
            </w:pPr>
            <w:r>
              <w:rPr>
                <w:rFonts w:ascii="Times New Roman" w:cs="Times New Roman" w:eastAsia="Times New Roman" w:hAnsi="Times New Roman"/>
                <w:sz w:val="10"/>
                <w:szCs w:val="10"/>
                <w:b w:val="1"/>
                <w:bCs w:val="1"/>
                <w:color w:val="auto"/>
                <w:w w:val="94"/>
              </w:rPr>
              <w:t>Total Shareholder</w:t>
            </w:r>
          </w:p>
        </w:tc>
        <w:tc>
          <w:tcPr>
            <w:tcW w:w="120" w:type="dxa"/>
            <w:vAlign w:val="bottom"/>
          </w:tcPr>
          <w:p>
            <w:pPr>
              <w:spacing w:after="0"/>
              <w:rPr>
                <w:sz w:val="6"/>
                <w:szCs w:val="6"/>
                <w:color w:val="auto"/>
              </w:rPr>
            </w:pPr>
          </w:p>
        </w:tc>
        <w:tc>
          <w:tcPr>
            <w:tcW w:w="960" w:type="dxa"/>
            <w:vAlign w:val="bottom"/>
            <w:vMerge w:val="restart"/>
          </w:tcPr>
          <w:p>
            <w:pPr>
              <w:jc w:val="center"/>
              <w:ind w:right="45"/>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20" w:type="dxa"/>
            <w:vAlign w:val="bottom"/>
          </w:tcPr>
          <w:p>
            <w:pPr>
              <w:spacing w:after="0"/>
              <w:rPr>
                <w:sz w:val="6"/>
                <w:szCs w:val="6"/>
                <w:color w:val="auto"/>
              </w:rPr>
            </w:pPr>
          </w:p>
        </w:tc>
        <w:tc>
          <w:tcPr>
            <w:tcW w:w="940" w:type="dxa"/>
            <w:vAlign w:val="bottom"/>
            <w:vMerge w:val="restart"/>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20" w:type="dxa"/>
            <w:vAlign w:val="bottom"/>
          </w:tcPr>
          <w:p>
            <w:pPr>
              <w:spacing w:after="0"/>
              <w:rPr>
                <w:sz w:val="6"/>
                <w:szCs w:val="6"/>
                <w:color w:val="auto"/>
              </w:rPr>
            </w:pPr>
          </w:p>
        </w:tc>
        <w:tc>
          <w:tcPr>
            <w:tcW w:w="980" w:type="dxa"/>
            <w:vAlign w:val="bottom"/>
            <w:vMerge w:val="restart"/>
          </w:tcPr>
          <w:p>
            <w:pPr>
              <w:jc w:val="center"/>
              <w:ind w:right="65"/>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restart"/>
          </w:tcPr>
          <w:p>
            <w:pPr>
              <w:jc w:val="center"/>
              <w:ind w:right="24"/>
              <w:spacing w:after="0" w:line="99" w:lineRule="exact"/>
              <w:rPr>
                <w:sz w:val="20"/>
                <w:szCs w:val="20"/>
                <w:color w:val="auto"/>
              </w:rPr>
            </w:pPr>
            <w:r>
              <w:rPr>
                <w:rFonts w:ascii="Times New Roman" w:cs="Times New Roman" w:eastAsia="Times New Roman" w:hAnsi="Times New Roman"/>
                <w:sz w:val="10"/>
                <w:szCs w:val="10"/>
                <w:b w:val="1"/>
                <w:bCs w:val="1"/>
                <w:color w:val="auto"/>
                <w:w w:val="96"/>
              </w:rPr>
              <w:t>Adjusted EBITDA (In</w:t>
            </w:r>
          </w:p>
        </w:tc>
        <w:tc>
          <w:tcPr>
            <w:tcW w:w="0" w:type="dxa"/>
            <w:vAlign w:val="bottom"/>
          </w:tcPr>
          <w:p>
            <w:pPr>
              <w:spacing w:after="0"/>
              <w:rPr>
                <w:sz w:val="1"/>
                <w:szCs w:val="1"/>
                <w:color w:val="auto"/>
              </w:rPr>
            </w:pPr>
          </w:p>
        </w:tc>
      </w:tr>
      <w:tr>
        <w:trPr>
          <w:trHeight w:val="26"/>
        </w:trPr>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restart"/>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3"/>
              </w:rPr>
              <w:t>(In thousands)</w:t>
            </w:r>
          </w:p>
        </w:tc>
        <w:tc>
          <w:tcPr>
            <w:tcW w:w="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4"/>
              </w:rPr>
              <w:t>Table Total for PEO</w:t>
            </w:r>
            <w:r>
              <w:rPr>
                <w:rFonts w:ascii="Times New Roman" w:cs="Times New Roman" w:eastAsia="Times New Roman" w:hAnsi="Times New Roman"/>
                <w:sz w:val="6"/>
                <w:szCs w:val="6"/>
                <w:b w:val="1"/>
                <w:bCs w:val="1"/>
                <w:color w:val="auto"/>
                <w:w w:val="94"/>
              </w:rPr>
              <w:t>(1)</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5"/>
              </w:rPr>
              <w:t>to PEO</w:t>
            </w: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0"/>
                <w:szCs w:val="10"/>
                <w:b w:val="1"/>
                <w:bCs w:val="1"/>
                <w:color w:val="auto"/>
                <w:w w:val="96"/>
              </w:rPr>
              <w:t>Officers</w:t>
            </w:r>
            <w:r>
              <w:rPr>
                <w:rFonts w:ascii="Times New Roman" w:cs="Times New Roman" w:eastAsia="Times New Roman" w:hAnsi="Times New Roman"/>
                <w:sz w:val="6"/>
                <w:szCs w:val="6"/>
                <w:b w:val="1"/>
                <w:bCs w:val="1"/>
                <w:color w:val="auto"/>
                <w:w w:val="96"/>
              </w:rPr>
              <w:t>(1)</w:t>
            </w: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4"/>
              <w:spacing w:after="0" w:line="135" w:lineRule="exact"/>
              <w:rPr>
                <w:sz w:val="20"/>
                <w:szCs w:val="20"/>
                <w:color w:val="auto"/>
              </w:rPr>
            </w:pPr>
            <w:r>
              <w:rPr>
                <w:rFonts w:ascii="Times New Roman" w:cs="Times New Roman" w:eastAsia="Times New Roman" w:hAnsi="Times New Roman"/>
                <w:sz w:val="10"/>
                <w:szCs w:val="10"/>
                <w:b w:val="1"/>
                <w:bCs w:val="1"/>
                <w:color w:val="auto"/>
                <w:w w:val="90"/>
              </w:rPr>
              <w:t>Officers</w:t>
            </w:r>
            <w:r>
              <w:rPr>
                <w:rFonts w:ascii="Times New Roman" w:cs="Times New Roman" w:eastAsia="Times New Roman" w:hAnsi="Times New Roman"/>
                <w:sz w:val="12"/>
                <w:szCs w:val="12"/>
                <w:b w:val="1"/>
                <w:bCs w:val="1"/>
                <w:color w:val="auto"/>
                <w:w w:val="90"/>
                <w:vertAlign w:val="superscript"/>
              </w:rPr>
              <w:t>(2)(3)</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w w:val="98"/>
              </w:rPr>
              <w:t>Return</w:t>
            </w: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8"/>
              </w:rPr>
              <w:t>(ICLN)</w:t>
            </w:r>
            <w:r>
              <w:rPr>
                <w:rFonts w:ascii="Times New Roman" w:cs="Times New Roman" w:eastAsia="Times New Roman" w:hAnsi="Times New Roman"/>
                <w:sz w:val="6"/>
                <w:szCs w:val="6"/>
                <w:b w:val="1"/>
                <w:bCs w:val="1"/>
                <w:color w:val="auto"/>
                <w:w w:val="98"/>
              </w:rPr>
              <w:t>(4)</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25"/>
              <w:spacing w:after="0" w:line="135" w:lineRule="exact"/>
              <w:rPr>
                <w:sz w:val="20"/>
                <w:szCs w:val="20"/>
                <w:color w:val="auto"/>
              </w:rPr>
            </w:pPr>
            <w:r>
              <w:rPr>
                <w:rFonts w:ascii="Times New Roman" w:cs="Times New Roman" w:eastAsia="Times New Roman" w:hAnsi="Times New Roman"/>
                <w:sz w:val="10"/>
                <w:szCs w:val="10"/>
                <w:b w:val="1"/>
                <w:bCs w:val="1"/>
                <w:color w:val="auto"/>
                <w:w w:val="91"/>
              </w:rPr>
              <w:t>(VDE)</w:t>
            </w:r>
            <w:r>
              <w:rPr>
                <w:rFonts w:ascii="Times New Roman" w:cs="Times New Roman" w:eastAsia="Times New Roman" w:hAnsi="Times New Roman"/>
                <w:sz w:val="12"/>
                <w:szCs w:val="12"/>
                <w:b w:val="1"/>
                <w:bCs w:val="1"/>
                <w:color w:val="auto"/>
                <w:w w:val="91"/>
                <w:vertAlign w:val="superscript"/>
              </w:rPr>
              <w:t>(4)</w:t>
            </w: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45"/>
              <w:spacing w:after="0" w:line="135" w:lineRule="exact"/>
              <w:rPr>
                <w:sz w:val="20"/>
                <w:szCs w:val="20"/>
                <w:color w:val="auto"/>
              </w:rPr>
            </w:pPr>
            <w:r>
              <w:rPr>
                <w:rFonts w:ascii="Times New Roman" w:cs="Times New Roman" w:eastAsia="Times New Roman" w:hAnsi="Times New Roman"/>
                <w:sz w:val="10"/>
                <w:szCs w:val="10"/>
                <w:b w:val="1"/>
                <w:bCs w:val="1"/>
                <w:color w:val="auto"/>
                <w:w w:val="87"/>
              </w:rPr>
              <w:t>(XLE)</w:t>
            </w:r>
            <w:r>
              <w:rPr>
                <w:rFonts w:ascii="Times New Roman" w:cs="Times New Roman" w:eastAsia="Times New Roman" w:hAnsi="Times New Roman"/>
                <w:sz w:val="12"/>
                <w:szCs w:val="12"/>
                <w:b w:val="1"/>
                <w:bCs w:val="1"/>
                <w:color w:val="auto"/>
                <w:w w:val="87"/>
                <w:vertAlign w:val="superscript"/>
              </w:rPr>
              <w:t>(4)</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24"/>
              <w:spacing w:after="0" w:line="135" w:lineRule="exact"/>
              <w:rPr>
                <w:sz w:val="20"/>
                <w:szCs w:val="20"/>
                <w:color w:val="auto"/>
              </w:rPr>
            </w:pPr>
            <w:r>
              <w:rPr>
                <w:rFonts w:ascii="Times New Roman" w:cs="Times New Roman" w:eastAsia="Times New Roman" w:hAnsi="Times New Roman"/>
                <w:sz w:val="10"/>
                <w:szCs w:val="10"/>
                <w:b w:val="1"/>
                <w:bCs w:val="1"/>
                <w:color w:val="auto"/>
                <w:w w:val="92"/>
              </w:rPr>
              <w:t>thousands)</w:t>
            </w:r>
            <w:r>
              <w:rPr>
                <w:rFonts w:ascii="Times New Roman" w:cs="Times New Roman" w:eastAsia="Times New Roman" w:hAnsi="Times New Roman"/>
                <w:sz w:val="12"/>
                <w:szCs w:val="12"/>
                <w:b w:val="1"/>
                <w:bCs w:val="1"/>
                <w:color w:val="auto"/>
                <w:w w:val="92"/>
                <w:vertAlign w:val="superscript"/>
              </w:rPr>
              <w:t>(5)</w:t>
            </w:r>
          </w:p>
        </w:tc>
        <w:tc>
          <w:tcPr>
            <w:tcW w:w="0" w:type="dxa"/>
            <w:vAlign w:val="bottom"/>
          </w:tcPr>
          <w:p>
            <w:pPr>
              <w:spacing w:after="0"/>
              <w:rPr>
                <w:sz w:val="1"/>
                <w:szCs w:val="1"/>
                <w:color w:val="auto"/>
              </w:rPr>
            </w:pPr>
          </w:p>
        </w:tc>
      </w:tr>
      <w:tr>
        <w:trPr>
          <w:trHeight w:val="132"/>
        </w:trPr>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3"/>
              </w:rPr>
              <w:t>(a)</w:t>
            </w:r>
          </w:p>
        </w:tc>
        <w:tc>
          <w:tcPr>
            <w:tcW w:w="80" w:type="dxa"/>
            <w:vAlign w:val="bottom"/>
          </w:tcPr>
          <w:p>
            <w:pPr>
              <w:spacing w:after="0"/>
              <w:rPr>
                <w:sz w:val="11"/>
                <w:szCs w:val="11"/>
                <w:color w:val="auto"/>
              </w:rPr>
            </w:pPr>
          </w:p>
        </w:tc>
        <w:tc>
          <w:tcPr>
            <w:tcW w:w="1000" w:type="dxa"/>
            <w:vAlign w:val="bottom"/>
          </w:tcPr>
          <w:p>
            <w:pPr>
              <w:jc w:val="center"/>
              <w:ind w:right="23"/>
              <w:spacing w:after="0"/>
              <w:rPr>
                <w:sz w:val="20"/>
                <w:szCs w:val="20"/>
                <w:color w:val="auto"/>
              </w:rPr>
            </w:pPr>
            <w:r>
              <w:rPr>
                <w:rFonts w:ascii="Times New Roman" w:cs="Times New Roman" w:eastAsia="Times New Roman" w:hAnsi="Times New Roman"/>
                <w:sz w:val="11"/>
                <w:szCs w:val="11"/>
                <w:i w:val="1"/>
                <w:iCs w:val="1"/>
                <w:color w:val="auto"/>
                <w:w w:val="93"/>
              </w:rPr>
              <w:t>(b)</w:t>
            </w:r>
          </w:p>
        </w:tc>
        <w:tc>
          <w:tcPr>
            <w:tcW w:w="160" w:type="dxa"/>
            <w:vAlign w:val="bottom"/>
          </w:tcPr>
          <w:p>
            <w:pPr>
              <w:spacing w:after="0"/>
              <w:rPr>
                <w:sz w:val="11"/>
                <w:szCs w:val="11"/>
                <w:color w:val="auto"/>
              </w:rPr>
            </w:pPr>
          </w:p>
        </w:tc>
        <w:tc>
          <w:tcPr>
            <w:tcW w:w="900" w:type="dxa"/>
            <w:vAlign w:val="bottom"/>
          </w:tcPr>
          <w:p>
            <w:pPr>
              <w:jc w:val="center"/>
              <w:ind w:right="85"/>
              <w:spacing w:after="0"/>
              <w:rPr>
                <w:sz w:val="20"/>
                <w:szCs w:val="20"/>
                <w:color w:val="auto"/>
              </w:rPr>
            </w:pPr>
            <w:r>
              <w:rPr>
                <w:rFonts w:ascii="Times New Roman" w:cs="Times New Roman" w:eastAsia="Times New Roman" w:hAnsi="Times New Roman"/>
                <w:sz w:val="11"/>
                <w:szCs w:val="11"/>
                <w:i w:val="1"/>
                <w:iCs w:val="1"/>
                <w:color w:val="auto"/>
                <w:w w:val="97"/>
              </w:rPr>
              <w:t>(c)</w:t>
            </w:r>
          </w:p>
        </w:tc>
        <w:tc>
          <w:tcPr>
            <w:tcW w:w="100" w:type="dxa"/>
            <w:vAlign w:val="bottom"/>
          </w:tcPr>
          <w:p>
            <w:pPr>
              <w:spacing w:after="0"/>
              <w:rPr>
                <w:sz w:val="11"/>
                <w:szCs w:val="11"/>
                <w:color w:val="auto"/>
              </w:rPr>
            </w:pPr>
          </w:p>
        </w:tc>
        <w:tc>
          <w:tcPr>
            <w:tcW w:w="960" w:type="dxa"/>
            <w:vAlign w:val="bottom"/>
          </w:tcPr>
          <w:p>
            <w:pPr>
              <w:jc w:val="center"/>
              <w:ind w:right="26"/>
              <w:spacing w:after="0"/>
              <w:rPr>
                <w:sz w:val="20"/>
                <w:szCs w:val="20"/>
                <w:color w:val="auto"/>
              </w:rPr>
            </w:pPr>
            <w:r>
              <w:rPr>
                <w:rFonts w:ascii="Times New Roman" w:cs="Times New Roman" w:eastAsia="Times New Roman" w:hAnsi="Times New Roman"/>
                <w:sz w:val="11"/>
                <w:szCs w:val="11"/>
                <w:i w:val="1"/>
                <w:iCs w:val="1"/>
                <w:color w:val="auto"/>
                <w:w w:val="93"/>
              </w:rPr>
              <w:t>(d)</w:t>
            </w:r>
          </w:p>
        </w:tc>
        <w:tc>
          <w:tcPr>
            <w:tcW w:w="100" w:type="dxa"/>
            <w:vAlign w:val="bottom"/>
          </w:tcPr>
          <w:p>
            <w:pPr>
              <w:spacing w:after="0"/>
              <w:rPr>
                <w:sz w:val="11"/>
                <w:szCs w:val="11"/>
                <w:color w:val="auto"/>
              </w:rPr>
            </w:pPr>
          </w:p>
        </w:tc>
        <w:tc>
          <w:tcPr>
            <w:tcW w:w="980" w:type="dxa"/>
            <w:vAlign w:val="bottom"/>
          </w:tcPr>
          <w:p>
            <w:pPr>
              <w:jc w:val="center"/>
              <w:ind w:right="4"/>
              <w:spacing w:after="0"/>
              <w:rPr>
                <w:sz w:val="20"/>
                <w:szCs w:val="20"/>
                <w:color w:val="auto"/>
              </w:rPr>
            </w:pPr>
            <w:r>
              <w:rPr>
                <w:rFonts w:ascii="Times New Roman" w:cs="Times New Roman" w:eastAsia="Times New Roman" w:hAnsi="Times New Roman"/>
                <w:sz w:val="11"/>
                <w:szCs w:val="11"/>
                <w:i w:val="1"/>
                <w:iCs w:val="1"/>
                <w:color w:val="auto"/>
                <w:w w:val="97"/>
              </w:rPr>
              <w:t>(e)</w:t>
            </w:r>
          </w:p>
        </w:tc>
        <w:tc>
          <w:tcPr>
            <w:tcW w:w="120" w:type="dxa"/>
            <w:vAlign w:val="bottom"/>
          </w:tcPr>
          <w:p>
            <w:pPr>
              <w:spacing w:after="0"/>
              <w:rPr>
                <w:sz w:val="11"/>
                <w:szCs w:val="11"/>
                <w:color w:val="auto"/>
              </w:rPr>
            </w:pPr>
          </w:p>
        </w:tc>
        <w:tc>
          <w:tcPr>
            <w:tcW w:w="940" w:type="dxa"/>
            <w:vAlign w:val="bottom"/>
          </w:tcPr>
          <w:p>
            <w:pPr>
              <w:jc w:val="center"/>
              <w:ind w:right="24"/>
              <w:spacing w:after="0"/>
              <w:rPr>
                <w:sz w:val="20"/>
                <w:szCs w:val="20"/>
                <w:color w:val="auto"/>
              </w:rPr>
            </w:pPr>
            <w:r>
              <w:rPr>
                <w:rFonts w:ascii="Times New Roman" w:cs="Times New Roman" w:eastAsia="Times New Roman" w:hAnsi="Times New Roman"/>
                <w:sz w:val="11"/>
                <w:szCs w:val="11"/>
                <w:i w:val="1"/>
                <w:iCs w:val="1"/>
                <w:color w:val="auto"/>
                <w:w w:val="95"/>
              </w:rPr>
              <w:t>(f)</w:t>
            </w:r>
          </w:p>
        </w:tc>
        <w:tc>
          <w:tcPr>
            <w:tcW w:w="120" w:type="dxa"/>
            <w:vAlign w:val="bottom"/>
          </w:tcPr>
          <w:p>
            <w:pPr>
              <w:spacing w:after="0"/>
              <w:rPr>
                <w:sz w:val="11"/>
                <w:szCs w:val="11"/>
                <w:color w:val="auto"/>
              </w:rPr>
            </w:pPr>
          </w:p>
        </w:tc>
        <w:tc>
          <w:tcPr>
            <w:tcW w:w="960" w:type="dxa"/>
            <w:vAlign w:val="bottom"/>
          </w:tcPr>
          <w:p>
            <w:pPr>
              <w:jc w:val="center"/>
              <w:ind w:right="25"/>
              <w:spacing w:after="0"/>
              <w:rPr>
                <w:sz w:val="20"/>
                <w:szCs w:val="20"/>
                <w:color w:val="auto"/>
              </w:rPr>
            </w:pPr>
            <w:r>
              <w:rPr>
                <w:rFonts w:ascii="Times New Roman" w:cs="Times New Roman" w:eastAsia="Times New Roman" w:hAnsi="Times New Roman"/>
                <w:sz w:val="11"/>
                <w:szCs w:val="11"/>
                <w:i w:val="1"/>
                <w:iCs w:val="1"/>
                <w:color w:val="auto"/>
                <w:w w:val="93"/>
              </w:rPr>
              <w:t>(g)</w:t>
            </w:r>
          </w:p>
        </w:tc>
        <w:tc>
          <w:tcPr>
            <w:tcW w:w="120" w:type="dxa"/>
            <w:vAlign w:val="bottom"/>
          </w:tcPr>
          <w:p>
            <w:pPr>
              <w:spacing w:after="0"/>
              <w:rPr>
                <w:sz w:val="11"/>
                <w:szCs w:val="11"/>
                <w:color w:val="auto"/>
              </w:rPr>
            </w:pPr>
          </w:p>
        </w:tc>
        <w:tc>
          <w:tcPr>
            <w:tcW w:w="940" w:type="dxa"/>
            <w:vAlign w:val="bottom"/>
          </w:tcPr>
          <w:p>
            <w:pPr>
              <w:jc w:val="center"/>
              <w:ind w:right="25"/>
              <w:spacing w:after="0"/>
              <w:rPr>
                <w:sz w:val="20"/>
                <w:szCs w:val="20"/>
                <w:color w:val="auto"/>
              </w:rPr>
            </w:pPr>
            <w:r>
              <w:rPr>
                <w:rFonts w:ascii="Times New Roman" w:cs="Times New Roman" w:eastAsia="Times New Roman" w:hAnsi="Times New Roman"/>
                <w:sz w:val="11"/>
                <w:szCs w:val="11"/>
                <w:i w:val="1"/>
                <w:iCs w:val="1"/>
                <w:color w:val="auto"/>
              </w:rPr>
              <w:t>(g)</w:t>
            </w:r>
          </w:p>
        </w:tc>
        <w:tc>
          <w:tcPr>
            <w:tcW w:w="120" w:type="dxa"/>
            <w:vAlign w:val="bottom"/>
          </w:tcPr>
          <w:p>
            <w:pPr>
              <w:spacing w:after="0"/>
              <w:rPr>
                <w:sz w:val="11"/>
                <w:szCs w:val="11"/>
                <w:color w:val="auto"/>
              </w:rPr>
            </w:pPr>
          </w:p>
        </w:tc>
        <w:tc>
          <w:tcPr>
            <w:tcW w:w="980" w:type="dxa"/>
            <w:vAlign w:val="bottom"/>
          </w:tcPr>
          <w:p>
            <w:pPr>
              <w:jc w:val="center"/>
              <w:ind w:right="45"/>
              <w:spacing w:after="0"/>
              <w:rPr>
                <w:sz w:val="20"/>
                <w:szCs w:val="20"/>
                <w:color w:val="auto"/>
              </w:rPr>
            </w:pPr>
            <w:r>
              <w:rPr>
                <w:rFonts w:ascii="Times New Roman" w:cs="Times New Roman" w:eastAsia="Times New Roman" w:hAnsi="Times New Roman"/>
                <w:sz w:val="11"/>
                <w:szCs w:val="11"/>
                <w:i w:val="1"/>
                <w:iCs w:val="1"/>
                <w:color w:val="auto"/>
                <w:w w:val="93"/>
              </w:rPr>
              <w:t>(g)</w:t>
            </w:r>
          </w:p>
        </w:tc>
        <w:tc>
          <w:tcPr>
            <w:tcW w:w="120" w:type="dxa"/>
            <w:vAlign w:val="bottom"/>
          </w:tcPr>
          <w:p>
            <w:pPr>
              <w:spacing w:after="0"/>
              <w:rPr>
                <w:sz w:val="11"/>
                <w:szCs w:val="11"/>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1"/>
                <w:szCs w:val="11"/>
                <w:i w:val="1"/>
                <w:iCs w:val="1"/>
                <w:color w:val="auto"/>
              </w:rPr>
              <w:t>(h)</w:t>
            </w:r>
          </w:p>
        </w:tc>
        <w:tc>
          <w:tcPr>
            <w:tcW w:w="80" w:type="dxa"/>
            <w:vAlign w:val="bottom"/>
          </w:tcPr>
          <w:p>
            <w:pPr>
              <w:spacing w:after="0"/>
              <w:rPr>
                <w:sz w:val="11"/>
                <w:szCs w:val="11"/>
                <w:color w:val="auto"/>
              </w:rPr>
            </w:pPr>
          </w:p>
        </w:tc>
        <w:tc>
          <w:tcPr>
            <w:tcW w:w="1000" w:type="dxa"/>
            <w:vAlign w:val="bottom"/>
          </w:tcPr>
          <w:p>
            <w:pPr>
              <w:jc w:val="center"/>
              <w:ind w:right="24"/>
              <w:spacing w:after="0"/>
              <w:rPr>
                <w:sz w:val="20"/>
                <w:szCs w:val="20"/>
                <w:color w:val="auto"/>
              </w:rPr>
            </w:pPr>
            <w:r>
              <w:rPr>
                <w:rFonts w:ascii="Times New Roman" w:cs="Times New Roman" w:eastAsia="Times New Roman" w:hAnsi="Times New Roman"/>
                <w:sz w:val="11"/>
                <w:szCs w:val="11"/>
                <w:i w:val="1"/>
                <w:iCs w:val="1"/>
                <w:color w:val="auto"/>
              </w:rPr>
              <w:t>(i)</w:t>
            </w:r>
          </w:p>
        </w:tc>
        <w:tc>
          <w:tcPr>
            <w:tcW w:w="0" w:type="dxa"/>
            <w:vAlign w:val="bottom"/>
          </w:tcPr>
          <w:p>
            <w:pPr>
              <w:spacing w:after="0"/>
              <w:rPr>
                <w:sz w:val="1"/>
                <w:szCs w:val="1"/>
                <w:color w:val="auto"/>
              </w:rPr>
            </w:pPr>
          </w:p>
        </w:tc>
      </w:tr>
      <w:tr>
        <w:trPr>
          <w:trHeight w:val="154"/>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5,000,000</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4,061,939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3,436,241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284.68</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(1,831,953)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219,717</w:t>
            </w:r>
          </w:p>
        </w:tc>
        <w:tc>
          <w:tcPr>
            <w:tcW w:w="0" w:type="dxa"/>
            <w:vAlign w:val="bottom"/>
          </w:tcPr>
          <w:p>
            <w:pPr>
              <w:spacing w:after="0"/>
              <w:rPr>
                <w:sz w:val="1"/>
                <w:szCs w:val="1"/>
                <w:color w:val="auto"/>
              </w:rPr>
            </w:pPr>
          </w:p>
        </w:tc>
      </w:tr>
      <w:tr>
        <w:trPr>
          <w:trHeight w:val="153"/>
        </w:trPr>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8,518,509</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16,716,406</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31.86</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271.59</w:t>
            </w:r>
          </w:p>
        </w:tc>
        <w:tc>
          <w:tcPr>
            <w:tcW w:w="120" w:type="dxa"/>
            <w:vAlign w:val="bottom"/>
          </w:tcPr>
          <w:p>
            <w:pPr>
              <w:spacing w:after="0"/>
              <w:rPr>
                <w:sz w:val="13"/>
                <w:szCs w:val="13"/>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263.89</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(244,537)</w:t>
            </w:r>
          </w:p>
        </w:tc>
        <w:tc>
          <w:tcPr>
            <w:tcW w:w="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939,278</w:t>
            </w:r>
          </w:p>
        </w:tc>
        <w:tc>
          <w:tcPr>
            <w:tcW w:w="0" w:type="dxa"/>
            <w:vAlign w:val="bottom"/>
          </w:tcPr>
          <w:p>
            <w:pPr>
              <w:spacing w:after="0"/>
              <w:rPr>
                <w:sz w:val="1"/>
                <w:szCs w:val="1"/>
                <w:color w:val="auto"/>
              </w:rPr>
            </w:pPr>
          </w:p>
        </w:tc>
      </w:tr>
      <w:tr>
        <w:trPr>
          <w:trHeight w:val="153"/>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4,087,514</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1,550,000</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78.90</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57.10</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254.41</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250.08</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548,224</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1,122,859</w:t>
            </w:r>
          </w:p>
        </w:tc>
        <w:tc>
          <w:tcPr>
            <w:tcW w:w="0" w:type="dxa"/>
            <w:vAlign w:val="bottom"/>
          </w:tcPr>
          <w:p>
            <w:pPr>
              <w:spacing w:after="0"/>
              <w:rPr>
                <w:sz w:val="1"/>
                <w:szCs w:val="1"/>
                <w:color w:val="auto"/>
              </w:rPr>
            </w:pPr>
          </w:p>
        </w:tc>
      </w:tr>
      <w:tr>
        <w:trPr>
          <w:trHeight w:val="153"/>
        </w:trPr>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2,260,943</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3,402,381</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80.88</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71.72</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254.40</w:t>
            </w:r>
          </w:p>
        </w:tc>
        <w:tc>
          <w:tcPr>
            <w:tcW w:w="120" w:type="dxa"/>
            <w:vAlign w:val="bottom"/>
          </w:tcPr>
          <w:p>
            <w:pPr>
              <w:spacing w:after="0"/>
              <w:rPr>
                <w:sz w:val="13"/>
                <w:szCs w:val="13"/>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251.70</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184,786</w:t>
            </w:r>
          </w:p>
        </w:tc>
        <w:tc>
          <w:tcPr>
            <w:tcW w:w="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1,071,309</w:t>
            </w:r>
          </w:p>
        </w:tc>
        <w:tc>
          <w:tcPr>
            <w:tcW w:w="0" w:type="dxa"/>
            <w:vAlign w:val="bottom"/>
          </w:tcPr>
          <w:p>
            <w:pPr>
              <w:spacing w:after="0"/>
              <w:rPr>
                <w:sz w:val="1"/>
                <w:szCs w:val="1"/>
                <w:color w:val="auto"/>
              </w:rPr>
            </w:pPr>
          </w:p>
        </w:tc>
      </w:tr>
      <w:tr>
        <w:trPr>
          <w:trHeight w:val="153"/>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1,736,742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3,801,911</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45.58</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75.82</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156.21</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153.31</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92,711</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604,560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20" w:right="2860" w:hanging="316"/>
        <w:spacing w:after="0" w:line="211" w:lineRule="auto"/>
        <w:tabs>
          <w:tab w:leader="none" w:pos="320" w:val="left"/>
        </w:tabs>
        <w:numPr>
          <w:ilvl w:val="0"/>
          <w:numId w:val="4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For all five years shown in the table, our principal executive officer (“PEO”) was Mr. Edens. For 2021-2023, our non-PEO named executive officers were Mr. Guinta and Ms. Shin. For 2024, our non-PEO named executive officers were Mr. Guinta, Ms. Shin and Mr. Dete. For 2025, our non-PEO named executive officers were Mr. Guinta, Mr. Lowe and Ms. Shin.</w:t>
      </w:r>
    </w:p>
    <w:p>
      <w:pPr>
        <w:spacing w:after="0" w:line="2" w:lineRule="exact"/>
        <w:rPr>
          <w:rFonts w:ascii="Times New Roman" w:cs="Times New Roman" w:eastAsia="Times New Roman" w:hAnsi="Times New Roman"/>
          <w:sz w:val="12"/>
          <w:szCs w:val="12"/>
          <w:color w:val="auto"/>
          <w:vertAlign w:val="superscript"/>
        </w:rPr>
      </w:pPr>
    </w:p>
    <w:p>
      <w:pPr>
        <w:ind w:left="320" w:right="3140" w:hanging="316"/>
        <w:spacing w:after="0" w:line="211" w:lineRule="auto"/>
        <w:tabs>
          <w:tab w:leader="none" w:pos="320" w:val="left"/>
        </w:tabs>
        <w:numPr>
          <w:ilvl w:val="0"/>
          <w:numId w:val="4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amounts in the following table represent each of the average amounts deducted and added to the equity award values for our non-PEO named executive officers for 2025 for purposes of computing the average “compensation actually paid” for our non-PEO named executive officers for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0"/>
                <w:szCs w:val="10"/>
                <w:b w:val="1"/>
                <w:bCs w:val="1"/>
                <w:color w:val="auto"/>
                <w:w w:val="95"/>
              </w:rPr>
              <w:t>Minus</w:t>
            </w:r>
          </w:p>
        </w:tc>
        <w:tc>
          <w:tcPr>
            <w:tcW w:w="14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0"/>
                <w:szCs w:val="10"/>
                <w:b w:val="1"/>
                <w:bCs w:val="1"/>
                <w:color w:val="auto"/>
                <w:w w:val="97"/>
              </w:rPr>
              <w:t>Plus</w:t>
            </w:r>
          </w:p>
        </w:tc>
        <w:tc>
          <w:tcPr>
            <w:tcW w:w="146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86"/>
              </w:rPr>
              <w:t>Plus</w:t>
            </w:r>
          </w:p>
        </w:tc>
        <w:tc>
          <w:tcPr>
            <w:tcW w:w="240" w:type="dxa"/>
            <w:vAlign w:val="bottom"/>
          </w:tcPr>
          <w:p>
            <w:pPr>
              <w:spacing w:after="0"/>
              <w:rPr>
                <w:sz w:val="10"/>
                <w:szCs w:val="10"/>
                <w:color w:val="auto"/>
              </w:rPr>
            </w:pPr>
          </w:p>
        </w:tc>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7"/>
              </w:rPr>
              <w:t>Plus</w:t>
            </w: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tcPr>
          <w:p>
            <w:pPr>
              <w:jc w:val="center"/>
              <w:ind w:right="31"/>
              <w:spacing w:after="0" w:line="98" w:lineRule="exact"/>
              <w:rPr>
                <w:sz w:val="20"/>
                <w:szCs w:val="20"/>
                <w:color w:val="auto"/>
              </w:rPr>
            </w:pPr>
            <w:r>
              <w:rPr>
                <w:rFonts w:ascii="Times New Roman" w:cs="Times New Roman" w:eastAsia="Times New Roman" w:hAnsi="Times New Roman"/>
                <w:sz w:val="10"/>
                <w:szCs w:val="10"/>
                <w:b w:val="1"/>
                <w:bCs w:val="1"/>
                <w:color w:val="auto"/>
                <w:w w:val="95"/>
              </w:rPr>
              <w:t>Average Change in</w:t>
            </w:r>
          </w:p>
        </w:tc>
        <w:tc>
          <w:tcPr>
            <w:tcW w:w="240" w:type="dxa"/>
            <w:vAlign w:val="bottom"/>
          </w:tcPr>
          <w:p>
            <w:pPr>
              <w:spacing w:after="0"/>
              <w:rPr>
                <w:sz w:val="8"/>
                <w:szCs w:val="8"/>
                <w:color w:val="auto"/>
              </w:rPr>
            </w:pPr>
          </w:p>
        </w:tc>
        <w:tc>
          <w:tcPr>
            <w:tcW w:w="1300" w:type="dxa"/>
            <w:vAlign w:val="bottom"/>
          </w:tcPr>
          <w:p>
            <w:pPr>
              <w:jc w:val="center"/>
              <w:ind w:right="191"/>
              <w:spacing w:after="0" w:line="98" w:lineRule="exact"/>
              <w:rPr>
                <w:sz w:val="20"/>
                <w:szCs w:val="20"/>
                <w:color w:val="auto"/>
              </w:rPr>
            </w:pPr>
            <w:r>
              <w:rPr>
                <w:rFonts w:ascii="Times New Roman" w:cs="Times New Roman" w:eastAsia="Times New Roman" w:hAnsi="Times New Roman"/>
                <w:sz w:val="10"/>
                <w:szCs w:val="10"/>
                <w:b w:val="1"/>
                <w:bCs w:val="1"/>
                <w:color w:val="auto"/>
                <w:w w:val="95"/>
              </w:rPr>
              <w:t>Average Change in</w:t>
            </w: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jc w:val="center"/>
              <w:ind w:right="370"/>
              <w:spacing w:after="0" w:line="99" w:lineRule="exact"/>
              <w:rPr>
                <w:sz w:val="20"/>
                <w:szCs w:val="20"/>
                <w:color w:val="auto"/>
              </w:rPr>
            </w:pPr>
            <w:r>
              <w:rPr>
                <w:rFonts w:ascii="Times New Roman" w:cs="Times New Roman" w:eastAsia="Times New Roman" w:hAnsi="Times New Roman"/>
                <w:sz w:val="10"/>
                <w:szCs w:val="10"/>
                <w:b w:val="1"/>
                <w:bCs w:val="1"/>
                <w:color w:val="auto"/>
                <w:w w:val="94"/>
              </w:rPr>
              <w:t>Average Grant Date</w:t>
            </w:r>
          </w:p>
        </w:tc>
        <w:tc>
          <w:tcPr>
            <w:tcW w:w="1400" w:type="dxa"/>
            <w:vAlign w:val="bottom"/>
          </w:tcPr>
          <w:p>
            <w:pPr>
              <w:jc w:val="center"/>
              <w:ind w:right="270"/>
              <w:spacing w:after="0" w:line="99" w:lineRule="exact"/>
              <w:rPr>
                <w:sz w:val="20"/>
                <w:szCs w:val="20"/>
                <w:color w:val="auto"/>
              </w:rPr>
            </w:pPr>
            <w:r>
              <w:rPr>
                <w:rFonts w:ascii="Times New Roman" w:cs="Times New Roman" w:eastAsia="Times New Roman" w:hAnsi="Times New Roman"/>
                <w:sz w:val="10"/>
                <w:szCs w:val="10"/>
                <w:b w:val="1"/>
                <w:bCs w:val="1"/>
                <w:color w:val="auto"/>
                <w:w w:val="94"/>
              </w:rPr>
              <w:t>Average Year-End</w:t>
            </w:r>
          </w:p>
        </w:tc>
        <w:tc>
          <w:tcPr>
            <w:tcW w:w="1460" w:type="dxa"/>
            <w:vAlign w:val="bottom"/>
          </w:tcPr>
          <w:p>
            <w:pPr>
              <w:jc w:val="center"/>
              <w:ind w:right="11"/>
              <w:spacing w:after="0" w:line="99" w:lineRule="exact"/>
              <w:rPr>
                <w:sz w:val="20"/>
                <w:szCs w:val="20"/>
                <w:color w:val="auto"/>
              </w:rPr>
            </w:pPr>
            <w:r>
              <w:rPr>
                <w:rFonts w:ascii="Times New Roman" w:cs="Times New Roman" w:eastAsia="Times New Roman" w:hAnsi="Times New Roman"/>
                <w:sz w:val="10"/>
                <w:szCs w:val="10"/>
                <w:b w:val="1"/>
                <w:bCs w:val="1"/>
                <w:color w:val="auto"/>
                <w:w w:val="94"/>
              </w:rPr>
              <w:t>Fair Value as of Year-End of Any</w:t>
            </w:r>
          </w:p>
        </w:tc>
        <w:tc>
          <w:tcPr>
            <w:tcW w:w="240" w:type="dxa"/>
            <w:vAlign w:val="bottom"/>
          </w:tcPr>
          <w:p>
            <w:pPr>
              <w:spacing w:after="0"/>
              <w:rPr>
                <w:sz w:val="8"/>
                <w:szCs w:val="8"/>
                <w:color w:val="auto"/>
              </w:rPr>
            </w:pPr>
          </w:p>
        </w:tc>
        <w:tc>
          <w:tcPr>
            <w:tcW w:w="1300" w:type="dxa"/>
            <w:vAlign w:val="bottom"/>
          </w:tcPr>
          <w:p>
            <w:pPr>
              <w:jc w:val="center"/>
              <w:ind w:right="171"/>
              <w:spacing w:after="0" w:line="99" w:lineRule="exact"/>
              <w:rPr>
                <w:sz w:val="20"/>
                <w:szCs w:val="20"/>
                <w:color w:val="auto"/>
              </w:rPr>
            </w:pPr>
            <w:r>
              <w:rPr>
                <w:rFonts w:ascii="Times New Roman" w:cs="Times New Roman" w:eastAsia="Times New Roman" w:hAnsi="Times New Roman"/>
                <w:sz w:val="10"/>
                <w:szCs w:val="10"/>
                <w:b w:val="1"/>
                <w:bCs w:val="1"/>
                <w:color w:val="auto"/>
                <w:w w:val="95"/>
              </w:rPr>
              <w:t>Fair Value as of the</w:t>
            </w: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vMerge w:val="restart"/>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4"/>
              </w:rPr>
              <w:t>Equals</w:t>
            </w:r>
          </w:p>
        </w:tc>
        <w:tc>
          <w:tcPr>
            <w:tcW w:w="0" w:type="dxa"/>
            <w:vAlign w:val="bottom"/>
          </w:tcPr>
          <w:p>
            <w:pPr>
              <w:spacing w:after="0"/>
              <w:rPr>
                <w:sz w:val="1"/>
                <w:szCs w:val="1"/>
                <w:color w:val="auto"/>
              </w:rPr>
            </w:pPr>
          </w:p>
        </w:tc>
      </w:tr>
      <w:tr>
        <w:trPr>
          <w:trHeight w:val="92"/>
        </w:trPr>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vMerge w:val="restart"/>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w w:val="95"/>
              </w:rPr>
              <w:t>Average Summary Compensation</w:t>
            </w:r>
          </w:p>
        </w:tc>
        <w:tc>
          <w:tcPr>
            <w:tcW w:w="220" w:type="dxa"/>
            <w:vAlign w:val="bottom"/>
          </w:tcPr>
          <w:p>
            <w:pPr>
              <w:spacing w:after="0"/>
              <w:rPr>
                <w:sz w:val="7"/>
                <w:szCs w:val="7"/>
                <w:color w:val="auto"/>
              </w:rPr>
            </w:pPr>
          </w:p>
        </w:tc>
        <w:tc>
          <w:tcPr>
            <w:tcW w:w="1560" w:type="dxa"/>
            <w:vAlign w:val="bottom"/>
          </w:tcPr>
          <w:p>
            <w:pPr>
              <w:jc w:val="center"/>
              <w:ind w:right="390"/>
              <w:spacing w:after="0" w:line="92" w:lineRule="exact"/>
              <w:rPr>
                <w:sz w:val="20"/>
                <w:szCs w:val="20"/>
                <w:color w:val="auto"/>
              </w:rPr>
            </w:pPr>
            <w:r>
              <w:rPr>
                <w:rFonts w:ascii="Times New Roman" w:cs="Times New Roman" w:eastAsia="Times New Roman" w:hAnsi="Times New Roman"/>
                <w:sz w:val="10"/>
                <w:szCs w:val="10"/>
                <w:b w:val="1"/>
                <w:bCs w:val="1"/>
                <w:color w:val="auto"/>
                <w:w w:val="95"/>
              </w:rPr>
              <w:t>Fair Value of Equity</w:t>
            </w:r>
          </w:p>
        </w:tc>
        <w:tc>
          <w:tcPr>
            <w:tcW w:w="1400" w:type="dxa"/>
            <w:vAlign w:val="bottom"/>
          </w:tcPr>
          <w:p>
            <w:pPr>
              <w:jc w:val="center"/>
              <w:ind w:right="250"/>
              <w:spacing w:after="0" w:line="92" w:lineRule="exact"/>
              <w:rPr>
                <w:sz w:val="20"/>
                <w:szCs w:val="20"/>
                <w:color w:val="auto"/>
              </w:rPr>
            </w:pPr>
            <w:r>
              <w:rPr>
                <w:rFonts w:ascii="Times New Roman" w:cs="Times New Roman" w:eastAsia="Times New Roman" w:hAnsi="Times New Roman"/>
                <w:sz w:val="10"/>
                <w:szCs w:val="10"/>
                <w:b w:val="1"/>
                <w:bCs w:val="1"/>
                <w:color w:val="auto"/>
                <w:w w:val="93"/>
              </w:rPr>
              <w:t>Fair Value of Equity</w:t>
            </w:r>
          </w:p>
        </w:tc>
        <w:tc>
          <w:tcPr>
            <w:tcW w:w="1460" w:type="dxa"/>
            <w:vAlign w:val="bottom"/>
          </w:tcPr>
          <w:p>
            <w:pPr>
              <w:jc w:val="center"/>
              <w:ind w:right="31"/>
              <w:spacing w:after="0" w:line="92" w:lineRule="exact"/>
              <w:rPr>
                <w:sz w:val="20"/>
                <w:szCs w:val="20"/>
                <w:color w:val="auto"/>
              </w:rPr>
            </w:pPr>
            <w:r>
              <w:rPr>
                <w:rFonts w:ascii="Times New Roman" w:cs="Times New Roman" w:eastAsia="Times New Roman" w:hAnsi="Times New Roman"/>
                <w:sz w:val="10"/>
                <w:szCs w:val="10"/>
                <w:b w:val="1"/>
                <w:bCs w:val="1"/>
                <w:color w:val="auto"/>
                <w:w w:val="96"/>
              </w:rPr>
              <w:t>Prior</w:t>
            </w:r>
          </w:p>
        </w:tc>
        <w:tc>
          <w:tcPr>
            <w:tcW w:w="240" w:type="dxa"/>
            <w:vAlign w:val="bottom"/>
          </w:tcPr>
          <w:p>
            <w:pPr>
              <w:spacing w:after="0"/>
              <w:rPr>
                <w:sz w:val="7"/>
                <w:szCs w:val="7"/>
                <w:color w:val="auto"/>
              </w:rPr>
            </w:pPr>
          </w:p>
        </w:tc>
        <w:tc>
          <w:tcPr>
            <w:tcW w:w="1300" w:type="dxa"/>
            <w:vAlign w:val="bottom"/>
          </w:tcPr>
          <w:p>
            <w:pPr>
              <w:jc w:val="center"/>
              <w:ind w:right="151"/>
              <w:spacing w:after="0" w:line="92" w:lineRule="exact"/>
              <w:rPr>
                <w:sz w:val="20"/>
                <w:szCs w:val="20"/>
                <w:color w:val="auto"/>
              </w:rPr>
            </w:pPr>
            <w:r>
              <w:rPr>
                <w:rFonts w:ascii="Times New Roman" w:cs="Times New Roman" w:eastAsia="Times New Roman" w:hAnsi="Times New Roman"/>
                <w:sz w:val="10"/>
                <w:szCs w:val="10"/>
                <w:b w:val="1"/>
                <w:bCs w:val="1"/>
                <w:color w:val="auto"/>
                <w:w w:val="95"/>
              </w:rPr>
              <w:t>Vesting Date of Any</w:t>
            </w:r>
          </w:p>
        </w:tc>
        <w:tc>
          <w:tcPr>
            <w:tcW w:w="140" w:type="dxa"/>
            <w:vAlign w:val="bottom"/>
          </w:tcPr>
          <w:p>
            <w:pPr>
              <w:spacing w:after="0"/>
              <w:rPr>
                <w:sz w:val="7"/>
                <w:szCs w:val="7"/>
                <w:color w:val="auto"/>
              </w:rPr>
            </w:pPr>
          </w:p>
        </w:tc>
        <w:tc>
          <w:tcPr>
            <w:tcW w:w="1420" w:type="dxa"/>
            <w:vAlign w:val="bottom"/>
            <w:vMerge w:val="restart"/>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4"/>
              </w:rPr>
              <w:t>Less Fair Value of Prior Year</w:t>
            </w:r>
          </w:p>
        </w:tc>
        <w:tc>
          <w:tcPr>
            <w:tcW w:w="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jc w:val="center"/>
              <w:ind w:right="390"/>
              <w:spacing w:after="0" w:line="98" w:lineRule="exact"/>
              <w:rPr>
                <w:sz w:val="20"/>
                <w:szCs w:val="20"/>
                <w:color w:val="auto"/>
              </w:rPr>
            </w:pPr>
            <w:r>
              <w:rPr>
                <w:rFonts w:ascii="Times New Roman" w:cs="Times New Roman" w:eastAsia="Times New Roman" w:hAnsi="Times New Roman"/>
                <w:sz w:val="10"/>
                <w:szCs w:val="10"/>
                <w:b w:val="1"/>
                <w:bCs w:val="1"/>
                <w:color w:val="auto"/>
                <w:w w:val="94"/>
              </w:rPr>
              <w:t>Awards Granted</w:t>
            </w:r>
          </w:p>
        </w:tc>
        <w:tc>
          <w:tcPr>
            <w:tcW w:w="1400" w:type="dxa"/>
            <w:vAlign w:val="bottom"/>
          </w:tcPr>
          <w:p>
            <w:pPr>
              <w:jc w:val="center"/>
              <w:ind w:right="250"/>
              <w:spacing w:after="0" w:line="98" w:lineRule="exact"/>
              <w:rPr>
                <w:sz w:val="20"/>
                <w:szCs w:val="20"/>
                <w:color w:val="auto"/>
              </w:rPr>
            </w:pPr>
            <w:r>
              <w:rPr>
                <w:rFonts w:ascii="Times New Roman" w:cs="Times New Roman" w:eastAsia="Times New Roman" w:hAnsi="Times New Roman"/>
                <w:sz w:val="10"/>
                <w:szCs w:val="10"/>
                <w:b w:val="1"/>
                <w:bCs w:val="1"/>
                <w:color w:val="auto"/>
                <w:w w:val="97"/>
              </w:rPr>
              <w:t>Awards Granted</w:t>
            </w:r>
          </w:p>
        </w:tc>
        <w:tc>
          <w:tcPr>
            <w:tcW w:w="1460" w:type="dxa"/>
            <w:vAlign w:val="bottom"/>
          </w:tcPr>
          <w:p>
            <w:pPr>
              <w:jc w:val="right"/>
              <w:ind w:right="331"/>
              <w:spacing w:after="0" w:line="98" w:lineRule="exact"/>
              <w:rPr>
                <w:sz w:val="20"/>
                <w:szCs w:val="20"/>
                <w:color w:val="auto"/>
              </w:rPr>
            </w:pPr>
            <w:r>
              <w:rPr>
                <w:rFonts w:ascii="Times New Roman" w:cs="Times New Roman" w:eastAsia="Times New Roman" w:hAnsi="Times New Roman"/>
                <w:sz w:val="10"/>
                <w:szCs w:val="10"/>
                <w:b w:val="1"/>
                <w:bCs w:val="1"/>
                <w:color w:val="auto"/>
              </w:rPr>
              <w:t>Year Awards that</w:t>
            </w:r>
          </w:p>
        </w:tc>
        <w:tc>
          <w:tcPr>
            <w:tcW w:w="240" w:type="dxa"/>
            <w:vAlign w:val="bottom"/>
          </w:tcPr>
          <w:p>
            <w:pPr>
              <w:spacing w:after="0"/>
              <w:rPr>
                <w:sz w:val="8"/>
                <w:szCs w:val="8"/>
                <w:color w:val="auto"/>
              </w:rPr>
            </w:pPr>
          </w:p>
        </w:tc>
        <w:tc>
          <w:tcPr>
            <w:tcW w:w="1300" w:type="dxa"/>
            <w:vAlign w:val="bottom"/>
          </w:tcPr>
          <w:p>
            <w:pPr>
              <w:jc w:val="center"/>
              <w:ind w:right="191"/>
              <w:spacing w:after="0" w:line="98" w:lineRule="exact"/>
              <w:rPr>
                <w:sz w:val="20"/>
                <w:szCs w:val="20"/>
                <w:color w:val="auto"/>
              </w:rPr>
            </w:pPr>
            <w:r>
              <w:rPr>
                <w:rFonts w:ascii="Times New Roman" w:cs="Times New Roman" w:eastAsia="Times New Roman" w:hAnsi="Times New Roman"/>
                <w:sz w:val="10"/>
                <w:szCs w:val="10"/>
                <w:b w:val="1"/>
                <w:bCs w:val="1"/>
                <w:color w:val="auto"/>
                <w:w w:val="94"/>
              </w:rPr>
              <w:t>Prior Year Awards</w:t>
            </w:r>
          </w:p>
        </w:tc>
        <w:tc>
          <w:tcPr>
            <w:tcW w:w="14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jc w:val="center"/>
              <w:ind w:right="30"/>
              <w:spacing w:after="0" w:line="98" w:lineRule="exact"/>
              <w:rPr>
                <w:sz w:val="20"/>
                <w:szCs w:val="20"/>
                <w:color w:val="auto"/>
              </w:rPr>
            </w:pPr>
            <w:r>
              <w:rPr>
                <w:rFonts w:ascii="Times New Roman" w:cs="Times New Roman" w:eastAsia="Times New Roman" w:hAnsi="Times New Roman"/>
                <w:sz w:val="10"/>
                <w:szCs w:val="10"/>
                <w:b w:val="1"/>
                <w:bCs w:val="1"/>
                <w:color w:val="auto"/>
                <w:w w:val="96"/>
              </w:rPr>
              <w:t>Average Compensation</w:t>
            </w:r>
          </w:p>
        </w:tc>
        <w:tc>
          <w:tcPr>
            <w:tcW w:w="0" w:type="dxa"/>
            <w:vAlign w:val="bottom"/>
          </w:tcPr>
          <w:p>
            <w:pPr>
              <w:spacing w:after="0"/>
              <w:rPr>
                <w:sz w:val="1"/>
                <w:szCs w:val="1"/>
                <w:color w:val="auto"/>
              </w:rPr>
            </w:pPr>
          </w:p>
        </w:tc>
      </w:tr>
      <w:tr>
        <w:trPr>
          <w:trHeight w:val="99"/>
        </w:trPr>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20" w:type="dxa"/>
            <w:vAlign w:val="bottom"/>
          </w:tcPr>
          <w:p>
            <w:pPr>
              <w:spacing w:after="0"/>
              <w:rPr>
                <w:sz w:val="8"/>
                <w:szCs w:val="8"/>
                <w:color w:val="auto"/>
              </w:rPr>
            </w:pPr>
          </w:p>
        </w:tc>
        <w:tc>
          <w:tcPr>
            <w:tcW w:w="1480" w:type="dxa"/>
            <w:vAlign w:val="bottom"/>
          </w:tcPr>
          <w:p>
            <w:pPr>
              <w:jc w:val="center"/>
              <w:ind w:right="28"/>
              <w:spacing w:after="0" w:line="99" w:lineRule="exact"/>
              <w:rPr>
                <w:sz w:val="20"/>
                <w:szCs w:val="20"/>
                <w:color w:val="auto"/>
              </w:rPr>
            </w:pPr>
            <w:r>
              <w:rPr>
                <w:rFonts w:ascii="Times New Roman" w:cs="Times New Roman" w:eastAsia="Times New Roman" w:hAnsi="Times New Roman"/>
                <w:sz w:val="10"/>
                <w:szCs w:val="10"/>
                <w:b w:val="1"/>
                <w:bCs w:val="1"/>
                <w:color w:val="auto"/>
                <w:w w:val="92"/>
              </w:rPr>
              <w:t>Table Total for</w:t>
            </w:r>
          </w:p>
        </w:tc>
        <w:tc>
          <w:tcPr>
            <w:tcW w:w="220" w:type="dxa"/>
            <w:vAlign w:val="bottom"/>
          </w:tcPr>
          <w:p>
            <w:pPr>
              <w:spacing w:after="0"/>
              <w:rPr>
                <w:sz w:val="8"/>
                <w:szCs w:val="8"/>
                <w:color w:val="auto"/>
              </w:rPr>
            </w:pPr>
          </w:p>
        </w:tc>
        <w:tc>
          <w:tcPr>
            <w:tcW w:w="1560" w:type="dxa"/>
            <w:vAlign w:val="bottom"/>
          </w:tcPr>
          <w:p>
            <w:pPr>
              <w:jc w:val="center"/>
              <w:ind w:right="390"/>
              <w:spacing w:after="0" w:line="99" w:lineRule="exact"/>
              <w:rPr>
                <w:sz w:val="20"/>
                <w:szCs w:val="20"/>
                <w:color w:val="auto"/>
              </w:rPr>
            </w:pPr>
            <w:r>
              <w:rPr>
                <w:rFonts w:ascii="Times New Roman" w:cs="Times New Roman" w:eastAsia="Times New Roman" w:hAnsi="Times New Roman"/>
                <w:sz w:val="10"/>
                <w:szCs w:val="10"/>
                <w:b w:val="1"/>
                <w:bCs w:val="1"/>
                <w:color w:val="auto"/>
                <w:w w:val="95"/>
              </w:rPr>
              <w:t>During Applicable</w:t>
            </w:r>
          </w:p>
        </w:tc>
        <w:tc>
          <w:tcPr>
            <w:tcW w:w="1400" w:type="dxa"/>
            <w:vAlign w:val="bottom"/>
          </w:tcPr>
          <w:p>
            <w:pPr>
              <w:jc w:val="center"/>
              <w:ind w:right="250"/>
              <w:spacing w:after="0" w:line="99" w:lineRule="exact"/>
              <w:rPr>
                <w:sz w:val="20"/>
                <w:szCs w:val="20"/>
                <w:color w:val="auto"/>
              </w:rPr>
            </w:pPr>
            <w:r>
              <w:rPr>
                <w:rFonts w:ascii="Times New Roman" w:cs="Times New Roman" w:eastAsia="Times New Roman" w:hAnsi="Times New Roman"/>
                <w:sz w:val="10"/>
                <w:szCs w:val="10"/>
                <w:b w:val="1"/>
                <w:bCs w:val="1"/>
                <w:color w:val="auto"/>
                <w:w w:val="93"/>
              </w:rPr>
              <w:t>During Applicable</w:t>
            </w:r>
          </w:p>
        </w:tc>
        <w:tc>
          <w:tcPr>
            <w:tcW w:w="1460" w:type="dxa"/>
            <w:vAlign w:val="bottom"/>
          </w:tcPr>
          <w:p>
            <w:pPr>
              <w:jc w:val="center"/>
              <w:ind w:right="11"/>
              <w:spacing w:after="0" w:line="99" w:lineRule="exact"/>
              <w:rPr>
                <w:sz w:val="20"/>
                <w:szCs w:val="20"/>
                <w:color w:val="auto"/>
              </w:rPr>
            </w:pPr>
            <w:r>
              <w:rPr>
                <w:rFonts w:ascii="Times New Roman" w:cs="Times New Roman" w:eastAsia="Times New Roman" w:hAnsi="Times New Roman"/>
                <w:sz w:val="10"/>
                <w:szCs w:val="10"/>
                <w:b w:val="1"/>
                <w:bCs w:val="1"/>
                <w:color w:val="auto"/>
                <w:w w:val="96"/>
              </w:rPr>
              <w:t>Remain Unvested as</w:t>
            </w:r>
          </w:p>
        </w:tc>
        <w:tc>
          <w:tcPr>
            <w:tcW w:w="240" w:type="dxa"/>
            <w:vAlign w:val="bottom"/>
          </w:tcPr>
          <w:p>
            <w:pPr>
              <w:spacing w:after="0"/>
              <w:rPr>
                <w:sz w:val="8"/>
                <w:szCs w:val="8"/>
                <w:color w:val="auto"/>
              </w:rPr>
            </w:pPr>
          </w:p>
        </w:tc>
        <w:tc>
          <w:tcPr>
            <w:tcW w:w="1300" w:type="dxa"/>
            <w:vAlign w:val="bottom"/>
          </w:tcPr>
          <w:p>
            <w:pPr>
              <w:jc w:val="center"/>
              <w:ind w:right="191"/>
              <w:spacing w:after="0" w:line="99" w:lineRule="exact"/>
              <w:rPr>
                <w:sz w:val="20"/>
                <w:szCs w:val="20"/>
                <w:color w:val="auto"/>
              </w:rPr>
            </w:pPr>
            <w:r>
              <w:rPr>
                <w:rFonts w:ascii="Times New Roman" w:cs="Times New Roman" w:eastAsia="Times New Roman" w:hAnsi="Times New Roman"/>
                <w:sz w:val="10"/>
                <w:szCs w:val="10"/>
                <w:b w:val="1"/>
                <w:bCs w:val="1"/>
                <w:color w:val="auto"/>
                <w:w w:val="95"/>
              </w:rPr>
              <w:t>that Vested During</w:t>
            </w:r>
          </w:p>
        </w:tc>
        <w:tc>
          <w:tcPr>
            <w:tcW w:w="140" w:type="dxa"/>
            <w:vAlign w:val="bottom"/>
          </w:tcPr>
          <w:p>
            <w:pPr>
              <w:spacing w:after="0"/>
              <w:rPr>
                <w:sz w:val="8"/>
                <w:szCs w:val="8"/>
                <w:color w:val="auto"/>
              </w:rPr>
            </w:pPr>
          </w:p>
        </w:tc>
        <w:tc>
          <w:tcPr>
            <w:tcW w:w="142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 Forfeited During the</w:t>
            </w:r>
          </w:p>
        </w:tc>
        <w:tc>
          <w:tcPr>
            <w:tcW w:w="80" w:type="dxa"/>
            <w:vAlign w:val="bottom"/>
          </w:tcPr>
          <w:p>
            <w:pPr>
              <w:spacing w:after="0"/>
              <w:rPr>
                <w:sz w:val="8"/>
                <w:szCs w:val="8"/>
                <w:color w:val="auto"/>
              </w:rPr>
            </w:pPr>
          </w:p>
        </w:tc>
        <w:tc>
          <w:tcPr>
            <w:tcW w:w="1480" w:type="dxa"/>
            <w:vAlign w:val="bottom"/>
          </w:tcPr>
          <w:p>
            <w:pPr>
              <w:jc w:val="center"/>
              <w:ind w:right="3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Actually Paid to Non-PEO Named</w:t>
            </w:r>
          </w:p>
        </w:tc>
        <w:tc>
          <w:tcPr>
            <w:tcW w:w="0" w:type="dxa"/>
            <w:vAlign w:val="bottom"/>
          </w:tcPr>
          <w:p>
            <w:pPr>
              <w:spacing w:after="0"/>
              <w:rPr>
                <w:sz w:val="1"/>
                <w:szCs w:val="1"/>
                <w:color w:val="auto"/>
              </w:rPr>
            </w:pPr>
          </w:p>
        </w:tc>
      </w:tr>
      <w:tr>
        <w:trPr>
          <w:trHeight w:val="130"/>
        </w:trPr>
        <w:tc>
          <w:tcPr>
            <w:tcW w:w="400" w:type="dxa"/>
            <w:vAlign w:val="bottom"/>
            <w:tcBorders>
              <w:bottom w:val="single" w:sz="8" w:color="auto"/>
            </w:tcBorders>
            <w:vMerge w:val="continue"/>
          </w:tcPr>
          <w:p>
            <w:pPr>
              <w:spacing w:after="0"/>
              <w:rPr>
                <w:sz w:val="11"/>
                <w:szCs w:val="11"/>
                <w:color w:val="auto"/>
              </w:rPr>
            </w:pPr>
          </w:p>
        </w:tc>
        <w:tc>
          <w:tcPr>
            <w:tcW w:w="1600" w:type="dxa"/>
            <w:vAlign w:val="bottom"/>
            <w:tcBorders>
              <w:bottom w:val="single" w:sz="8" w:color="auto"/>
            </w:tcBorders>
            <w:gridSpan w:val="2"/>
          </w:tcPr>
          <w:p>
            <w:pPr>
              <w:jc w:val="center"/>
              <w:ind w:left="6"/>
              <w:spacing w:after="0"/>
              <w:rPr>
                <w:sz w:val="20"/>
                <w:szCs w:val="20"/>
                <w:color w:val="auto"/>
              </w:rPr>
            </w:pPr>
            <w:r>
              <w:rPr>
                <w:rFonts w:ascii="Times New Roman" w:cs="Times New Roman" w:eastAsia="Times New Roman" w:hAnsi="Times New Roman"/>
                <w:sz w:val="10"/>
                <w:szCs w:val="10"/>
                <w:b w:val="1"/>
                <w:bCs w:val="1"/>
                <w:color w:val="auto"/>
                <w:w w:val="96"/>
              </w:rPr>
              <w:t>Non-PEO Named Executive Officers</w:t>
            </w:r>
          </w:p>
        </w:tc>
        <w:tc>
          <w:tcPr>
            <w:tcW w:w="2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4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0"/>
                <w:szCs w:val="10"/>
                <w:b w:val="1"/>
                <w:bCs w:val="1"/>
                <w:color w:val="auto"/>
                <w:w w:val="85"/>
              </w:rPr>
              <w:t>Year</w:t>
            </w:r>
          </w:p>
        </w:tc>
        <w:tc>
          <w:tcPr>
            <w:tcW w:w="14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0"/>
              </w:rPr>
              <w:t>of Year-End</w:t>
            </w: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4"/>
              </w:rPr>
              <w:t>Applicable Year</w:t>
            </w:r>
          </w:p>
        </w:tc>
        <w:tc>
          <w:tcPr>
            <w:tcW w:w="1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0"/>
                <w:szCs w:val="10"/>
                <w:b w:val="1"/>
                <w:bCs w:val="1"/>
                <w:color w:val="auto"/>
                <w:w w:val="94"/>
              </w:rPr>
              <w:t>Applicable Year</w:t>
            </w: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6"/>
              </w:rPr>
              <w:t>Executive Officer</w:t>
            </w:r>
          </w:p>
        </w:tc>
        <w:tc>
          <w:tcPr>
            <w:tcW w:w="0" w:type="dxa"/>
            <w:vAlign w:val="bottom"/>
          </w:tcPr>
          <w:p>
            <w:pPr>
              <w:spacing w:after="0"/>
              <w:rPr>
                <w:sz w:val="1"/>
                <w:szCs w:val="1"/>
                <w:color w:val="auto"/>
              </w:rPr>
            </w:pPr>
          </w:p>
        </w:tc>
      </w:tr>
      <w:tr>
        <w:trPr>
          <w:trHeight w:val="147"/>
        </w:trPr>
        <w:tc>
          <w:tcPr>
            <w:tcW w:w="4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4,061,939</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 $</w:t>
            </w: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(243,285)</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(466,951)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3,436,241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64" w:name="page65"/>
    <w:bookmarkEnd w:id="64"/>
    <w:p>
      <w:pPr>
        <w:ind w:left="680" w:right="159" w:hanging="315"/>
        <w:spacing w:after="0" w:line="211" w:lineRule="auto"/>
        <w:tabs>
          <w:tab w:leader="none" w:pos="68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RSU grant date fair values are calculated using stock price as of the grant date, as adjusted for a post-vesting holding period. Adjustments have been made using the stock price as of year-end and as of each vesting date.</w:t>
      </w:r>
    </w:p>
    <w:p>
      <w:pPr>
        <w:spacing w:after="0" w:line="200" w:lineRule="exact"/>
        <w:rPr>
          <w:rFonts w:ascii="Times New Roman" w:cs="Times New Roman" w:eastAsia="Times New Roman" w:hAnsi="Times New Roman"/>
          <w:sz w:val="12"/>
          <w:szCs w:val="12"/>
          <w:color w:val="auto"/>
          <w:vertAlign w:val="superscript"/>
        </w:rPr>
      </w:pPr>
    </w:p>
    <w:p>
      <w:pPr>
        <w:ind w:left="680" w:right="259" w:hanging="315"/>
        <w:spacing w:after="0" w:line="211" w:lineRule="auto"/>
        <w:tabs>
          <w:tab w:leader="none" w:pos="68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iShare Global Clean Energy ETF Index ("ICLN"), Vanguard Energy ETF ("VDE") and Energy Select Sector (SPDR) Fund ("XLE"), as reported in the Company's Annual Report in Form 10-K filed with the SEC on April 13, 2026, were used to calculate the Company's peer group total shareholder returns.</w:t>
      </w:r>
    </w:p>
    <w:p>
      <w:pPr>
        <w:spacing w:after="0" w:line="38" w:lineRule="exact"/>
        <w:rPr>
          <w:rFonts w:ascii="Times New Roman" w:cs="Times New Roman" w:eastAsia="Times New Roman" w:hAnsi="Times New Roman"/>
          <w:sz w:val="12"/>
          <w:szCs w:val="12"/>
          <w:color w:val="auto"/>
          <w:vertAlign w:val="superscript"/>
        </w:rPr>
      </w:pPr>
    </w:p>
    <w:p>
      <w:pPr>
        <w:ind w:left="680" w:right="239" w:hanging="315"/>
        <w:spacing w:after="0" w:line="204" w:lineRule="auto"/>
        <w:tabs>
          <w:tab w:leader="none" w:pos="68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calculate Adjusted EBITDA for the applicable year as net income, plus transaction and integration costs, contract termination charges and loss on mitigation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expenses associated with changes to our corporate structure and certain non-capitalizable contract acquisition costs, plus our pro rata share of Adjusted EBITDA from unconsolidated entities, less the impact of equity in earnings (losses) of unconsolidated entities and gains from sales of assets.</w:t>
      </w:r>
    </w:p>
    <w:p>
      <w:pPr>
        <w:spacing w:after="0" w:line="130" w:lineRule="exact"/>
        <w:rPr>
          <w:rFonts w:ascii="Times New Roman" w:cs="Times New Roman" w:eastAsia="Times New Roman" w:hAnsi="Times New Roman"/>
          <w:sz w:val="12"/>
          <w:szCs w:val="12"/>
          <w:color w:val="auto"/>
          <w:vertAlign w:val="superscript"/>
        </w:rPr>
      </w:pPr>
    </w:p>
    <w:p>
      <w:pPr>
        <w:ind w:left="680" w:right="239"/>
        <w:spacing w:after="0" w:line="214"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Adjusted EBITDA is mathematically equivalent to our Total Segment Operating Margin, as reported in the segment disclosures within our financial statements, minus Core SG&amp;A, including our pro rata share of such expenses of unconsolidated entities, minus deferred earnings for which a prepayment was received. Core SG&amp;A is defined as total SG&amp;A adjusted for non-cash share-based compensation and severance expenses,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48" w:lineRule="exact"/>
        <w:rPr>
          <w:rFonts w:ascii="Times New Roman" w:cs="Times New Roman" w:eastAsia="Times New Roman" w:hAnsi="Times New Roman"/>
          <w:sz w:val="12"/>
          <w:szCs w:val="12"/>
          <w:color w:val="auto"/>
          <w:vertAlign w:val="superscript"/>
        </w:rPr>
      </w:pPr>
    </w:p>
    <w:p>
      <w:pPr>
        <w:ind w:left="680" w:right="459" w:hanging="315"/>
        <w:spacing w:after="0" w:line="211" w:lineRule="auto"/>
        <w:tabs>
          <w:tab w:leader="none" w:pos="68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Net Income (Loss) for the years ended December 31, 2024 and 2023 was restated as reported in the Company's Annual Report in Form 10-K filed with the SEC on April 13, 2026, and accordingly Adjusted EBITDA for those years was recalculated based on the restated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39370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728" w:right="1440" w:bottom="1440" w:gutter="0" w:footer="0" w:header="0"/>
        </w:sectPr>
      </w:pPr>
    </w:p>
    <w:bookmarkStart w:id="65" w:name="page66"/>
    <w:bookmarkEnd w:id="65"/>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Description of the Relationship Between Pay and Performance</w:t>
      </w:r>
    </w:p>
    <w:p>
      <w:pPr>
        <w:spacing w:after="0" w:line="145" w:lineRule="exact"/>
        <w:rPr>
          <w:sz w:val="20"/>
          <w:szCs w:val="20"/>
          <w:color w:val="auto"/>
        </w:rPr>
      </w:pPr>
    </w:p>
    <w:p>
      <w:pPr>
        <w:ind w:firstLine="216"/>
        <w:spacing w:after="0" w:line="264" w:lineRule="auto"/>
        <w:rPr>
          <w:sz w:val="20"/>
          <w:szCs w:val="20"/>
          <w:color w:val="auto"/>
        </w:rPr>
      </w:pPr>
      <w:r>
        <w:rPr>
          <w:rFonts w:ascii="Times New Roman" w:cs="Times New Roman" w:eastAsia="Times New Roman" w:hAnsi="Times New Roman"/>
          <w:sz w:val="12"/>
          <w:szCs w:val="12"/>
          <w:color w:val="auto"/>
        </w:rPr>
        <w:t>The graph below sets out the relationship between (x) the average “Compensation Actually Paid” to our non-PEO named executive officers and (y) the Company’s Adjusted EBITDA and net income (loss). The only year in which we had “Compensation Actually Paid” to our CEO was 2025, for a total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196850</wp:posOffset>
            </wp:positionV>
            <wp:extent cx="3068955" cy="2228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689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0" w:firstLine="216"/>
        <w:spacing w:after="0" w:line="249" w:lineRule="auto"/>
        <w:rPr>
          <w:sz w:val="20"/>
          <w:szCs w:val="20"/>
          <w:color w:val="auto"/>
        </w:rPr>
      </w:pPr>
      <w:r>
        <w:rPr>
          <w:rFonts w:ascii="Times New Roman" w:cs="Times New Roman" w:eastAsia="Times New Roman" w:hAnsi="Times New Roman"/>
          <w:sz w:val="12"/>
          <w:szCs w:val="12"/>
          <w:color w:val="auto"/>
        </w:rPr>
        <w:t>The graph below sets out the relationship between (x) the Company’s TSR and (y) the peer group TSR, calculated using each of iShared Global Clean Energy ETF Index ("ICLN"), Vanguard Energy ETF ("VDE") and Energy Select Sector (SPDR) Fund ("XLE"), as well as the relationship between (x) the average “Compensation Actually Paid” to our non-PEO named executive officers and (z) the Company’s TSR. The only year in which we had “Compensation Actually Paid” to our CEO was 2025, for a total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548" w:right="39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2242820</wp:posOffset>
            </wp:positionH>
            <wp:positionV relativeFrom="page">
              <wp:posOffset>363220</wp:posOffset>
            </wp:positionV>
            <wp:extent cx="3068955" cy="23317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306895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1"/>
          <w:szCs w:val="11"/>
          <w:b w:val="1"/>
          <w:bCs w:val="1"/>
          <w:color w:val="auto"/>
        </w:rPr>
        <w:t>Tabular List of Most Important Performance Measures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uses the following financial performance levels to assess the Company's performance:</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2"/>
          <w:szCs w:val="12"/>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38353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83530" cy="1028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5"/>
          <w:szCs w:val="15"/>
          <w:color w:val="auto"/>
          <w:vertAlign w:val="superscript"/>
        </w:rPr>
        <w:t>(1)</w:t>
      </w:r>
    </w:p>
    <w:p>
      <w:pPr>
        <w:spacing w:after="0"/>
        <w:rPr>
          <w:sz w:val="20"/>
          <w:szCs w:val="20"/>
          <w:color w:val="auto"/>
        </w:rPr>
      </w:pPr>
      <w:r>
        <w:rPr>
          <w:rFonts w:ascii="Times New Roman" w:cs="Times New Roman" w:eastAsia="Times New Roman" w:hAnsi="Times New Roman"/>
          <w:sz w:val="12"/>
          <w:szCs w:val="12"/>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67" w:name="page68"/>
    <w:bookmarkEnd w:id="67"/>
    <w:p>
      <w:pPr>
        <w:ind w:left="316" w:right="1699" w:hanging="316"/>
        <w:spacing w:after="0" w:line="201" w:lineRule="auto"/>
        <w:tabs>
          <w:tab w:leader="none" w:pos="316" w:val="left"/>
        </w:tabs>
        <w:numPr>
          <w:ilvl w:val="0"/>
          <w:numId w:val="4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Adjusted EBITDA is calculated as net income, plus transaction and integration costs, contract termination charges and loss on mitigation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selling, general and administrative expenses (“SG&amp;A") not otherwise indicative of ongoing operating performance, including non-cash share-based compensation and severance expenses, non-capitalizable development expenses, cost to pursue new business opportunities, expenses associated with changes to our corporate structure and certain non-capitalizable contract acquisition costs, plus our pro rata share of Adjusted EBITDA from unconsolidated entities, less the impact of equity in earnings (losses) of unconsolidated entities and gains from sale of assets. Adjusted EBITDA is mathematically equivalent to our Total Segment Operating Margin, as reported in the segment disclosures within our financial statements, minus Core SG&amp;A, including our pro rata share of such expenses of unconsolidated entities, minus deferred earnings for which a prepayment has been received.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76"/>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5"/>
          </w:cols>
          <w:pgMar w:left="304" w:top="584" w:right="1440" w:bottom="1440" w:gutter="0" w:footer="0" w:header="0"/>
        </w:sectPr>
      </w:pPr>
    </w:p>
    <w:bookmarkStart w:id="68" w:name="page69"/>
    <w:bookmarkEnd w:id="6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54" w:lineRule="exact"/>
        <w:rPr>
          <w:sz w:val="20"/>
          <w:szCs w:val="20"/>
          <w:color w:val="auto"/>
        </w:rPr>
      </w:pPr>
    </w:p>
    <w:p>
      <w:pPr>
        <w:ind w:left="8" w:right="80" w:firstLine="216"/>
        <w:spacing w:after="0" w:line="283" w:lineRule="auto"/>
        <w:rPr>
          <w:sz w:val="20"/>
          <w:szCs w:val="20"/>
          <w:color w:val="auto"/>
        </w:rPr>
      </w:pPr>
      <w:r>
        <w:rPr>
          <w:rFonts w:ascii="Times New Roman" w:cs="Times New Roman" w:eastAsia="Times New Roman" w:hAnsi="Times New Roman"/>
          <w:sz w:val="11"/>
          <w:szCs w:val="11"/>
          <w:color w:val="auto"/>
        </w:rPr>
        <w:t>In 2025, the Board, with the support of its compensation consultant, LB&amp;Co., adopted a non-employee director compensation program (the "Director Compensation Program"). The Director Compensation Program is designed to achieve three goals: (1) fairly compensate directors for their service to the Company given its size and the complexity of its operations and structure; (2) align the directors’ interests with the long-term interests of our stockholders; and</w:t>
      </w:r>
    </w:p>
    <w:p>
      <w:pPr>
        <w:spacing w:after="0" w:line="1" w:lineRule="exact"/>
        <w:rPr>
          <w:sz w:val="20"/>
          <w:szCs w:val="20"/>
          <w:color w:val="auto"/>
        </w:rPr>
      </w:pPr>
    </w:p>
    <w:p>
      <w:pPr>
        <w:ind w:left="8" w:right="180" w:hanging="8"/>
        <w:spacing w:after="0" w:line="260" w:lineRule="auto"/>
        <w:tabs>
          <w:tab w:leader="none" w:pos="17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incentivize the directors to continue to serve as board members. Under the Director Compensation Program, our non-employee directors are eligible to receive cash retainers (payable quarterly) and an annual equity retainer as set forth below. Until the Company completes its restructuring, the annual equity retainer will be paid in cash. Mr. Nardone does not receive regular fees for his service as a director.</w:t>
      </w:r>
    </w:p>
    <w:p>
      <w:pPr>
        <w:spacing w:after="0" w:line="122" w:lineRule="exact"/>
        <w:rPr>
          <w:sz w:val="20"/>
          <w:szCs w:val="20"/>
          <w:color w:val="auto"/>
        </w:rPr>
      </w:pPr>
    </w:p>
    <w:p>
      <w:pPr>
        <w:ind w:left="8" w:right="40" w:firstLine="216"/>
        <w:spacing w:after="0" w:line="279" w:lineRule="auto"/>
        <w:rPr>
          <w:sz w:val="20"/>
          <w:szCs w:val="20"/>
          <w:color w:val="auto"/>
        </w:rPr>
      </w:pPr>
      <w:r>
        <w:rPr>
          <w:rFonts w:ascii="Times New Roman" w:cs="Times New Roman" w:eastAsia="Times New Roman" w:hAnsi="Times New Roman"/>
          <w:sz w:val="12"/>
          <w:szCs w:val="12"/>
          <w:color w:val="auto"/>
        </w:rPr>
        <w:t>In addition, the Board adopted a special service fee for non-employee directors in connection with the Company’s restructuring. Non-employee directors (other than Mr. Nardone) who are materially involved in the restructuring (as determined by Mr. Nardone) may receive a special service fee equal to $25,000 per month until the completion of the Company’s restructuring. The special service fee is paid monthly in advance.</w:t>
      </w:r>
    </w:p>
    <w:p>
      <w:pPr>
        <w:spacing w:after="0" w:line="111" w:lineRule="exact"/>
        <w:rPr>
          <w:sz w:val="20"/>
          <w:szCs w:val="20"/>
          <w:color w:val="auto"/>
        </w:rPr>
      </w:pPr>
    </w:p>
    <w:p>
      <w:pPr>
        <w:ind w:left="8" w:right="20" w:firstLine="216"/>
        <w:spacing w:after="0" w:line="256" w:lineRule="auto"/>
        <w:rPr>
          <w:sz w:val="20"/>
          <w:szCs w:val="20"/>
          <w:color w:val="auto"/>
        </w:rPr>
      </w:pPr>
      <w:r>
        <w:rPr>
          <w:rFonts w:ascii="Times New Roman" w:cs="Times New Roman" w:eastAsia="Times New Roman" w:hAnsi="Times New Roman"/>
          <w:sz w:val="12"/>
          <w:szCs w:val="12"/>
          <w:color w:val="auto"/>
        </w:rPr>
        <w:t>Mr. Nardone received a cash retention award pursuant to the 2025 Cash Retention Program. In October 2025, the Company entered into a retention award agreement with Mr. Nardone providing for the following cash retention payments: (i) a Service Retention Payment equal to $1,875,000, (ii) a Transaction Retention Payment equal to $1,875,000 and (iii) a Restructuring Incentive Payment equal to $3,750,000. Mr. Nardone’s Service Retention Payment was paid upfront, subject to a clawback provision that lapses (and did lapse) on March 15, 2026 or, if earlier, upon a Qualifying Termination. Mr. Nardone’s Transaction Retention Payment was also paid upfront, subject to a clawback provision that lapses (and did lapse) upon the negotiation and execution of a contract in a key operating jurisdiction (or a comparable contract elsewhere) or, if earlier, upon a Qualifying Termination. Such contract was executed in late 2025. Mr. Nardone’s Restructuring Incentive Payment is payable upon the successful completion of the Company’s financial restructuring, provided that upon a Qualifying Termination prior to a financial restructuring, the Restructuring Incentive Payment will be paid if the financial restructuring is successfully completed within three months following such Qualifying Termination.</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Compensation Element</w:t>
            </w:r>
          </w:p>
        </w:tc>
        <w:tc>
          <w:tcPr>
            <w:tcW w:w="19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Compensation Amount</w:t>
            </w:r>
          </w:p>
        </w:tc>
      </w:tr>
      <w:tr>
        <w:trPr>
          <w:trHeight w:val="15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non-employee directors Annual Cash Retainer</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100,000</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All non-employee directors Annual Equity Retainer</w:t>
            </w:r>
          </w:p>
        </w:tc>
        <w:tc>
          <w:tcPr>
            <w:tcW w:w="1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Chair of the Audit Committee Cash Fee</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27,500</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Chair of the Compensation Committee Cash Fee</w:t>
            </w:r>
          </w:p>
        </w:tc>
        <w:tc>
          <w:tcPr>
            <w:tcW w:w="1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20,000</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Committee Member (other than Chairperson)</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13,750</w:t>
            </w:r>
          </w:p>
        </w:tc>
      </w:tr>
      <w:tr>
        <w:trPr>
          <w:trHeight w:val="155"/>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Compensation Committee Member (other than Chairperson)</w:t>
            </w:r>
          </w:p>
        </w:tc>
        <w:tc>
          <w:tcPr>
            <w:tcW w:w="1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w:t>
            </w:r>
          </w:p>
        </w:tc>
      </w:tr>
      <w:tr>
        <w:trPr>
          <w:trHeight w:val="349"/>
        </w:trPr>
        <w:tc>
          <w:tcPr>
            <w:tcW w:w="4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Director Compensation Table for 2025</w:t>
            </w:r>
          </w:p>
        </w:tc>
        <w:tc>
          <w:tcPr>
            <w:tcW w:w="1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8"/>
        </w:trPr>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The following table provides additional information on the compensation we paid to our non-employee directors in 2025.</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82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0"/>
                <w:szCs w:val="10"/>
                <w:b w:val="1"/>
                <w:bCs w:val="1"/>
                <w:color w:val="auto"/>
              </w:rPr>
              <w:t>Fees Earned or Paid in Cash ($)</w:t>
            </w:r>
          </w:p>
        </w:tc>
        <w:tc>
          <w:tcPr>
            <w:tcW w:w="1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Stock Awards ($)</w:t>
            </w:r>
            <w:r>
              <w:rPr>
                <w:rFonts w:ascii="Times New Roman" w:cs="Times New Roman" w:eastAsia="Times New Roman" w:hAnsi="Times New Roman"/>
                <w:sz w:val="12"/>
                <w:szCs w:val="12"/>
                <w:b w:val="1"/>
                <w:bCs w:val="1"/>
                <w:color w:val="auto"/>
                <w:vertAlign w:val="superscript"/>
              </w:rPr>
              <w:t>(1)</w:t>
            </w: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0"/>
                <w:szCs w:val="10"/>
                <w:b w:val="1"/>
                <w:bCs w:val="1"/>
                <w:color w:val="auto"/>
              </w:rPr>
              <w:t>All Other Compensation ($)</w:t>
            </w:r>
          </w:p>
        </w:tc>
        <w:tc>
          <w:tcPr>
            <w:tcW w:w="12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 ($)</w:t>
            </w:r>
          </w:p>
        </w:tc>
      </w:tr>
      <w:tr>
        <w:trPr>
          <w:trHeight w:val="14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Randal A. Nardone</w:t>
            </w:r>
          </w:p>
        </w:tc>
        <w:tc>
          <w:tcPr>
            <w:tcW w:w="19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3,750,000</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3,750,000</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Desmond Iain Catterall</w:t>
            </w:r>
          </w:p>
        </w:tc>
        <w:tc>
          <w:tcPr>
            <w:tcW w:w="198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150,000</w:t>
            </w:r>
          </w:p>
        </w:tc>
        <w:tc>
          <w:tcPr>
            <w:tcW w:w="142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Grain</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157,917</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157,917</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 William Griffin</w:t>
            </w:r>
          </w:p>
        </w:tc>
        <w:tc>
          <w:tcPr>
            <w:tcW w:w="198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157,917</w:t>
            </w:r>
          </w:p>
        </w:tc>
        <w:tc>
          <w:tcPr>
            <w:tcW w:w="142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157,917</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Timothy W. Jay</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150,000</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150,000</w:t>
            </w: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John J. Mack</w:t>
            </w:r>
          </w:p>
        </w:tc>
        <w:tc>
          <w:tcPr>
            <w:tcW w:w="198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31,389</w:t>
            </w:r>
          </w:p>
        </w:tc>
        <w:tc>
          <w:tcPr>
            <w:tcW w:w="142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31,389</w:t>
            </w: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Katherine E. Wanner</w:t>
            </w:r>
          </w:p>
        </w:tc>
        <w:tc>
          <w:tcPr>
            <w:tcW w:w="19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265,833</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265,833</w:t>
            </w:r>
          </w:p>
        </w:tc>
      </w:tr>
      <w:tr>
        <w:trPr>
          <w:trHeight w:val="155"/>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Charles M. Sledge</w:t>
            </w:r>
          </w:p>
        </w:tc>
        <w:tc>
          <w:tcPr>
            <w:tcW w:w="198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220,833</w:t>
            </w:r>
          </w:p>
        </w:tc>
        <w:tc>
          <w:tcPr>
            <w:tcW w:w="1420" w:type="dxa"/>
            <w:vAlign w:val="bottom"/>
          </w:tcPr>
          <w:p>
            <w:pPr>
              <w:ind w:left="116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220,833</w:t>
            </w:r>
          </w:p>
        </w:tc>
      </w:tr>
    </w:tbl>
    <w:p>
      <w:pPr>
        <w:spacing w:after="0" w:line="65" w:lineRule="exact"/>
        <w:rPr>
          <w:sz w:val="20"/>
          <w:szCs w:val="20"/>
          <w:color w:val="auto"/>
        </w:rPr>
      </w:pPr>
    </w:p>
    <w:p>
      <w:pPr>
        <w:ind w:left="108" w:hanging="96"/>
        <w:spacing w:after="0"/>
        <w:tabs>
          <w:tab w:leader="none" w:pos="108" w:val="left"/>
        </w:tabs>
        <w:numPr>
          <w:ilvl w:val="0"/>
          <w:numId w:val="5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As of December 31, 2025, none of our non-employee directors held any unvested equity-based awards.</w:t>
      </w:r>
    </w:p>
    <w:p>
      <w:pPr>
        <w:spacing w:after="0" w:line="200" w:lineRule="exact"/>
        <w:rPr>
          <w:sz w:val="20"/>
          <w:szCs w:val="20"/>
          <w:color w:val="auto"/>
        </w:rPr>
      </w:pPr>
    </w:p>
    <w:p>
      <w:pPr>
        <w:spacing w:after="0" w:line="3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1" w:right="299" w:bottom="1440" w:gutter="0" w:footer="0" w:header="0"/>
        </w:sectPr>
      </w:pPr>
    </w:p>
    <w:bookmarkStart w:id="69" w:name="page70"/>
    <w:bookmarkEnd w:id="69"/>
    <w:p>
      <w:pPr>
        <w:ind w:left="3280"/>
        <w:spacing w:after="0"/>
        <w:rPr>
          <w:sz w:val="20"/>
          <w:szCs w:val="20"/>
          <w:color w:val="auto"/>
        </w:rPr>
      </w:pPr>
      <w:r>
        <w:rPr>
          <w:rFonts w:ascii="Times New Roman" w:cs="Times New Roman" w:eastAsia="Times New Roman" w:hAnsi="Times New Roman"/>
          <w:sz w:val="12"/>
          <w:szCs w:val="12"/>
          <w:b w:val="1"/>
          <w:bCs w:val="1"/>
          <w:color w:val="auto"/>
        </w:rPr>
        <w:t>SECURITY OWNERSHIP OF MANAGEMENT AND CERTAIN BENEFICIAL OWNERS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 and Management and Related Stockholder Matters.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the beneficial ownership of our shares of Common Stock issued and outstanding as of April 30, 2026 by:</w:t>
      </w:r>
    </w:p>
    <w:p>
      <w:pPr>
        <w:spacing w:after="0" w:line="150" w:lineRule="exact"/>
        <w:rPr>
          <w:sz w:val="20"/>
          <w:szCs w:val="20"/>
          <w:color w:val="auto"/>
        </w:rPr>
      </w:pPr>
    </w:p>
    <w:p>
      <w:pPr>
        <w:ind w:left="420" w:hanging="212"/>
        <w:spacing w:after="0"/>
        <w:tabs>
          <w:tab w:leader="none" w:pos="4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to us to beneficially own more than 5% of our Common Stock;</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director and named executive officer;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directors and executive officers as a group.</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Unless otherwise noted, the address for each beneficial owner listed below is 111 W. 19th Street, 8th Floor, New York, New York 10011. As of April 30, 2026, we had 285,634,650 shares of Common Stock outstanding.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gridSpan w:val="3"/>
          </w:tcPr>
          <w:p>
            <w:pPr>
              <w:ind w:left="12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92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5"/>
              </w:rPr>
              <w:t>Number of Shares Beneficially</w:t>
            </w:r>
          </w:p>
        </w:tc>
        <w:tc>
          <w:tcPr>
            <w:tcW w:w="1220" w:type="dxa"/>
            <w:vAlign w:val="bottom"/>
            <w:vMerge w:val="restart"/>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w w:val="98"/>
              </w:rPr>
              <w:t>Percentage of Class</w:t>
            </w:r>
          </w:p>
        </w:tc>
        <w:tc>
          <w:tcPr>
            <w:tcW w:w="0" w:type="dxa"/>
            <w:vAlign w:val="bottom"/>
          </w:tcPr>
          <w:p>
            <w:pPr>
              <w:spacing w:after="0"/>
              <w:rPr>
                <w:sz w:val="1"/>
                <w:szCs w:val="1"/>
                <w:color w:val="auto"/>
              </w:rPr>
            </w:pPr>
          </w:p>
        </w:tc>
      </w:tr>
      <w:tr>
        <w:trPr>
          <w:trHeight w:val="144"/>
        </w:trPr>
        <w:tc>
          <w:tcPr>
            <w:tcW w:w="8160" w:type="dxa"/>
            <w:vAlign w:val="bottom"/>
            <w:gridSpan w:val="2"/>
            <w:vMerge w:val="continue"/>
          </w:tcPr>
          <w:p>
            <w:pPr>
              <w:spacing w:after="0"/>
              <w:rPr>
                <w:sz w:val="12"/>
                <w:szCs w:val="12"/>
                <w:color w:val="auto"/>
              </w:rPr>
            </w:pPr>
          </w:p>
        </w:tc>
        <w:tc>
          <w:tcPr>
            <w:tcW w:w="192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0"/>
              </w:rPr>
              <w:t>Owned</w:t>
            </w:r>
            <w:r>
              <w:rPr>
                <w:rFonts w:ascii="Times New Roman" w:cs="Times New Roman" w:eastAsia="Times New Roman" w:hAnsi="Times New Roman"/>
                <w:sz w:val="12"/>
                <w:szCs w:val="12"/>
                <w:b w:val="1"/>
                <w:bCs w:val="1"/>
                <w:color w:val="auto"/>
                <w:w w:val="90"/>
                <w:vertAlign w:val="superscript"/>
              </w:rPr>
              <w:t>(1)</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Greater Than 5% Shareholders:</w:t>
            </w:r>
          </w:p>
        </w:tc>
        <w:tc>
          <w:tcPr>
            <w:tcW w:w="14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Great Mountain Partners LLC</w:t>
            </w:r>
            <w:r>
              <w:rPr>
                <w:rFonts w:ascii="Times New Roman" w:cs="Times New Roman" w:eastAsia="Times New Roman" w:hAnsi="Times New Roman"/>
                <w:sz w:val="15"/>
                <w:szCs w:val="15"/>
                <w:color w:val="auto"/>
                <w:vertAlign w:val="superscript"/>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25,559,846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8.9 %</w:t>
            </w:r>
          </w:p>
        </w:tc>
        <w:tc>
          <w:tcPr>
            <w:tcW w:w="0" w:type="dxa"/>
            <w:vAlign w:val="bottom"/>
          </w:tcPr>
          <w:p>
            <w:pPr>
              <w:spacing w:after="0"/>
              <w:rPr>
                <w:sz w:val="1"/>
                <w:szCs w:val="1"/>
                <w:color w:val="auto"/>
              </w:rPr>
            </w:pPr>
          </w:p>
        </w:tc>
      </w:tr>
      <w:tr>
        <w:trPr>
          <w:trHeight w:val="207"/>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Edens Family Holdings LLC </w:t>
            </w:r>
            <w:r>
              <w:rPr>
                <w:rFonts w:ascii="Times New Roman" w:cs="Times New Roman" w:eastAsia="Times New Roman" w:hAnsi="Times New Roman"/>
                <w:sz w:val="15"/>
                <w:szCs w:val="15"/>
                <w:color w:val="auto"/>
                <w:vertAlign w:val="superscript"/>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25,086,851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8.8 %</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Rubric Capital Management LP</w:t>
            </w:r>
            <w:r>
              <w:rPr>
                <w:rFonts w:ascii="Times New Roman" w:cs="Times New Roman" w:eastAsia="Times New Roman" w:hAnsi="Times New Roman"/>
                <w:sz w:val="15"/>
                <w:szCs w:val="15"/>
                <w:color w:val="auto"/>
                <w:vertAlign w:val="superscript"/>
              </w:rPr>
              <w:t>(4)</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24,338,675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8.5 %</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Directors and Named Executive Officers:</w:t>
            </w:r>
          </w:p>
        </w:tc>
        <w:tc>
          <w:tcPr>
            <w:tcW w:w="1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Wesley R. Edens</w:t>
            </w:r>
            <w:r>
              <w:rPr>
                <w:rFonts w:ascii="Times New Roman" w:cs="Times New Roman" w:eastAsia="Times New Roman" w:hAnsi="Times New Roman"/>
                <w:sz w:val="15"/>
                <w:szCs w:val="15"/>
                <w:color w:val="auto"/>
                <w:vertAlign w:val="superscript"/>
              </w:rPr>
              <w:t>(5)</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53,634,666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333,242</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Yunyoung Shin</w:t>
            </w:r>
            <w:r>
              <w:rPr>
                <w:rFonts w:ascii="Times New Roman" w:cs="Times New Roman" w:eastAsia="Times New Roman" w:hAnsi="Times New Roman"/>
                <w:sz w:val="15"/>
                <w:szCs w:val="15"/>
                <w:color w:val="auto"/>
                <w:vertAlign w:val="superscript"/>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47,660</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Lowe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16,486</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Randal A. Nardone</w:t>
            </w:r>
            <w:r>
              <w:rPr>
                <w:rFonts w:ascii="Times New Roman" w:cs="Times New Roman" w:eastAsia="Times New Roman" w:hAnsi="Times New Roman"/>
                <w:sz w:val="15"/>
                <w:szCs w:val="15"/>
                <w:color w:val="auto"/>
                <w:vertAlign w:val="superscript"/>
              </w:rPr>
              <w:t>(7)</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26,196,526</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9.2 %</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Desmond Iain Catterall</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73,000</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David J. Grain</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114,294</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 William Griffin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344,805</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Charles M. Sledge</w:t>
            </w:r>
          </w:p>
        </w:tc>
        <w:tc>
          <w:tcPr>
            <w:tcW w:w="192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Katherine E. Wanner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82,599</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Timothy W. Jay</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42,551</w:t>
            </w:r>
          </w:p>
        </w:tc>
        <w:tc>
          <w:tcPr>
            <w:tcW w:w="1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executive officers and directors as a group (10 persons)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80,838,169</w:t>
            </w:r>
          </w:p>
        </w:tc>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6098540</wp:posOffset>
            </wp:positionH>
            <wp:positionV relativeFrom="paragraph">
              <wp:posOffset>-1788160</wp:posOffset>
            </wp:positionV>
            <wp:extent cx="914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-1788160</wp:posOffset>
            </wp:positionV>
            <wp:extent cx="914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56" w:lineRule="exact"/>
        <w:rPr>
          <w:sz w:val="20"/>
          <w:szCs w:val="20"/>
          <w:color w:val="auto"/>
        </w:rPr>
      </w:pPr>
    </w:p>
    <w:p>
      <w:pPr>
        <w:ind w:left="420" w:hanging="416"/>
        <w:spacing w:after="0"/>
        <w:tabs>
          <w:tab w:leader="none" w:pos="420"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Less than 1.0%.</w:t>
      </w:r>
    </w:p>
    <w:p>
      <w:pPr>
        <w:spacing w:after="0" w:line="88" w:lineRule="exact"/>
        <w:rPr>
          <w:sz w:val="20"/>
          <w:szCs w:val="20"/>
          <w:color w:val="auto"/>
        </w:rPr>
      </w:pPr>
    </w:p>
    <w:p>
      <w:pPr>
        <w:jc w:val="right"/>
        <w:ind w:right="3280"/>
        <w:spacing w:after="0" w:line="199" w:lineRule="auto"/>
        <w:rPr>
          <w:sz w:val="20"/>
          <w:szCs w:val="20"/>
          <w:color w:val="auto"/>
        </w:rPr>
      </w:pPr>
      <w:r>
        <w:rPr>
          <w:rFonts w:ascii="Times New Roman" w:cs="Times New Roman" w:eastAsia="Times New Roman" w:hAnsi="Times New Roman"/>
          <w:sz w:val="5"/>
          <w:szCs w:val="5"/>
          <w:color w:val="auto"/>
        </w:rPr>
        <w:t xml:space="preserve">(1)                                                                                                                                                                                                                                                        </w:t>
      </w:r>
      <w:r>
        <w:rPr>
          <w:rFonts w:ascii="Times New Roman" w:cs="Times New Roman" w:eastAsia="Times New Roman" w:hAnsi="Times New Roman"/>
          <w:sz w:val="11"/>
          <w:szCs w:val="11"/>
          <w:color w:val="auto"/>
        </w:rPr>
        <w:t>.</w:t>
      </w:r>
      <w:r>
        <w:rPr>
          <w:rFonts w:ascii="Times New Roman" w:cs="Times New Roman" w:eastAsia="Times New Roman" w:hAnsi="Times New Roman"/>
          <w:sz w:val="5"/>
          <w:szCs w:val="5"/>
          <w:color w:val="auto"/>
        </w:rPr>
        <w:t xml:space="preserve"> </w:t>
      </w:r>
      <w:r>
        <w:rPr>
          <w:rFonts w:ascii="Times New Roman" w:cs="Times New Roman" w:eastAsia="Times New Roman" w:hAnsi="Times New Roman"/>
          <w:sz w:val="7"/>
          <w:szCs w:val="7"/>
          <w:color w:val="auto"/>
        </w:rPr>
        <w:t>Shares beneficially owned includes all outstanding stock options or restricted stock units exercisable for or convertible into our common stock either currently or within 60 days after April 30, 2026</w:t>
      </w:r>
    </w:p>
    <w:p>
      <w:pPr>
        <w:spacing w:after="0" w:line="93" w:lineRule="exact"/>
        <w:rPr>
          <w:sz w:val="20"/>
          <w:szCs w:val="20"/>
          <w:color w:val="auto"/>
        </w:rPr>
      </w:pPr>
    </w:p>
    <w:p>
      <w:pPr>
        <w:ind w:left="420" w:right="100" w:hanging="416"/>
        <w:spacing w:after="0" w:line="203" w:lineRule="auto"/>
        <w:tabs>
          <w:tab w:leader="none" w:pos="420" w:val="left"/>
        </w:tabs>
        <w:numPr>
          <w:ilvl w:val="0"/>
          <w:numId w:val="5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Shared voting and dispositive power in respect of 25,559,846 shares, as stated in a Schedule 13D/A jointly filed with the SEC on February 17, 2026 by Energy Transition Holdings LLC, Great Mountain Partners LLC, Jonathan Rotolo and Alexander Thomson. Energy Transition Holdings LLC is managed by Great Mountain Partners LLC. Jonathan Rotolo and Alexander Thomson are the managers of Great Mountain Partners LLC and, in that capacity, have voting and dispositive power over the shares held by Energy Transition Holdings LLC. The address of the principal business office of the reporting persons is 157 Church Street, 20th Floor, New Haven, CT, 06510.</w:t>
      </w:r>
    </w:p>
    <w:p>
      <w:pPr>
        <w:spacing w:after="0" w:line="93" w:lineRule="exact"/>
        <w:rPr>
          <w:rFonts w:ascii="Times New Roman" w:cs="Times New Roman" w:eastAsia="Times New Roman" w:hAnsi="Times New Roman"/>
          <w:sz w:val="12"/>
          <w:szCs w:val="12"/>
          <w:color w:val="auto"/>
          <w:vertAlign w:val="superscript"/>
        </w:rPr>
      </w:pPr>
    </w:p>
    <w:p>
      <w:pPr>
        <w:ind w:left="420" w:right="180" w:hanging="416"/>
        <w:spacing w:after="0" w:line="202" w:lineRule="auto"/>
        <w:tabs>
          <w:tab w:leader="none" w:pos="420" w:val="left"/>
        </w:tabs>
        <w:numPr>
          <w:ilvl w:val="0"/>
          <w:numId w:val="5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Shared voting and shared dispositive power in respect of 25,086,851 shares, as stated in a Schedule 13D/A jointly filed with the SEC on June 15, 2021 by Edens Family Holdings LLC and Lynn M. Edens. The address of the principal business office of the reporting persons is c/o Baobob Advisors LLC, 111 W. 19th St., 8th Floor, New York, New York 10011.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(4)</w:t>
      </w:r>
    </w:p>
    <w:p>
      <w:pPr>
        <w:ind w:left="420" w:right="120"/>
        <w:spacing w:after="0" w:line="221" w:lineRule="auto"/>
        <w:rPr>
          <w:sz w:val="20"/>
          <w:szCs w:val="20"/>
          <w:color w:val="auto"/>
        </w:rPr>
      </w:pPr>
      <w:r>
        <w:rPr>
          <w:rFonts w:ascii="Times New Roman" w:cs="Times New Roman" w:eastAsia="Times New Roman" w:hAnsi="Times New Roman"/>
          <w:sz w:val="10"/>
          <w:szCs w:val="10"/>
          <w:color w:val="auto"/>
        </w:rPr>
        <w:t>Shared voting and shared dispositive power in respect of 24,338,675 shares, as stated in a Schedule 13G filed with the SEC on May 14, 2025 by Rubric Capital Management LP and David Rosen. The address of the principal business office of the reporting persons is 155 East 44th Street, Suite 1630, New York, NY 10017.</w:t>
      </w:r>
    </w:p>
    <w:p>
      <w:pPr>
        <w:spacing w:after="0" w:line="70" w:lineRule="exact"/>
        <w:rPr>
          <w:sz w:val="20"/>
          <w:szCs w:val="20"/>
          <w:color w:val="auto"/>
        </w:rPr>
      </w:pPr>
    </w:p>
    <w:p>
      <w:pPr>
        <w:ind w:left="420" w:hanging="416"/>
        <w:spacing w:after="0"/>
        <w:tabs>
          <w:tab w:leader="none" w:pos="420" w:val="left"/>
        </w:tabs>
        <w:numPr>
          <w:ilvl w:val="0"/>
          <w:numId w:val="5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Based on the Schedule 13D/A filed with the SEC on April 2, 2026 by Wesley R. Edens. Mr. Edens reported sole voting and sole dispositive power with respect to the 53,634,666 shares of Common Stock.</w:t>
      </w:r>
    </w:p>
    <w:p>
      <w:pPr>
        <w:spacing w:after="0" w:line="21" w:lineRule="exact"/>
        <w:rPr>
          <w:rFonts w:ascii="Times New Roman" w:cs="Times New Roman" w:eastAsia="Times New Roman" w:hAnsi="Times New Roman"/>
          <w:sz w:val="12"/>
          <w:szCs w:val="12"/>
          <w:color w:val="auto"/>
          <w:vertAlign w:val="superscript"/>
        </w:rPr>
      </w:pPr>
    </w:p>
    <w:p>
      <w:pPr>
        <w:ind w:left="420" w:hanging="416"/>
        <w:spacing w:after="0" w:line="197" w:lineRule="auto"/>
        <w:tabs>
          <w:tab w:leader="none" w:pos="420" w:val="left"/>
        </w:tabs>
        <w:numPr>
          <w:ilvl w:val="0"/>
          <w:numId w:val="5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Based on the Form 4 filed with the SEC on April 23, 2025 by Yunyoung Shin. Ms. Shin reported sole voting and sole dispositive power with respect to the 47,660 shares of Common Stock.</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70" w:name="page71"/>
    <w:bookmarkEnd w:id="70"/>
    <w:p>
      <w:pPr>
        <w:ind w:left="420" w:hanging="416"/>
        <w:spacing w:after="0"/>
        <w:tabs>
          <w:tab w:leader="none" w:pos="420" w:val="left"/>
        </w:tabs>
        <w:numPr>
          <w:ilvl w:val="0"/>
          <w:numId w:val="5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Based on the Schedule 13D/A filed with the SEC on May 22, 2023 by Randal A. Nardone. Mr. Nardone reported sole voting and sole dispositive power with respect to the 26,196,526 shares of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Section 16(a) of the Exchange Act requires directors, executive officers and persons beneficially owning more than ten percent of a registered class of a company’s equity securities to file reports of ownership and changes in ownership on Forms 3, 4, and 5 with the SEC. To our knowledge, based solely on review of the copies of such reports filed with the SEC, or written representations from such persons, all reports required to be filed by our directors, executive officers and greater-than-ten-percent owners with respect to the year ended December 31, 2025 were timely filed in compliance with the Section 16(a) filing requirements, except for one Form 4 filed by Yunyoung Shin in April 2025, reporting 1 late transaction made in January 2025.</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570" w:right="359" w:bottom="1440" w:gutter="0" w:footer="0" w:header="0"/>
        </w:sectPr>
      </w:pPr>
    </w:p>
    <w:bookmarkStart w:id="71" w:name="page72"/>
    <w:bookmarkEnd w:id="71"/>
    <w:p>
      <w:pPr>
        <w:ind w:left="3940"/>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Procedures for Review, Approval and Ratification of Transactions with Related Persons</w:t>
      </w:r>
    </w:p>
    <w:p>
      <w:pPr>
        <w:spacing w:after="0" w:line="154"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has adopted a written policy that outlines procedures for approving transactions with related persons, and any such transactions will be reviewed and approved or ratified by a majority of our disinterested and independent directors pursuant to the procedures outlined in such policy. In determining whether to approve or ratify a transaction with a related person, we expect that the independent and disinterested directors will consider a variety of factors they deem relevant. The policy includes standing pre-approvals for specified categories of transactions, including, with certain limitations, investments in securities offerings, charter aircraft use and services provided pursuant to the Company’s Administrative Services Agreement with FIG LLC.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4"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Agreements with Affiliates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Restructuring Transaction</w:t>
      </w:r>
    </w:p>
    <w:p>
      <w:pPr>
        <w:spacing w:after="0" w:line="163" w:lineRule="exact"/>
        <w:rPr>
          <w:sz w:val="20"/>
          <w:szCs w:val="20"/>
          <w:color w:val="auto"/>
        </w:rPr>
      </w:pPr>
    </w:p>
    <w:p>
      <w:pPr>
        <w:ind w:firstLine="432"/>
        <w:spacing w:after="0" w:line="242" w:lineRule="auto"/>
        <w:rPr>
          <w:sz w:val="20"/>
          <w:szCs w:val="20"/>
          <w:color w:val="auto"/>
        </w:rPr>
      </w:pPr>
      <w:r>
        <w:rPr>
          <w:rFonts w:ascii="Times New Roman" w:cs="Times New Roman" w:eastAsia="Times New Roman" w:hAnsi="Times New Roman"/>
          <w:sz w:val="12"/>
          <w:szCs w:val="12"/>
          <w:color w:val="auto"/>
        </w:rPr>
        <w:t>Pursuant to the terms of the RSA, upon consummation of the Restructuring Transaction, Wesley R. Edens will purchase from certain of our existing creditors 6,672 shares of CoreCo Convertible Preferred Stock (liquidation preference of $1,000 per share) at a price of $250 per share. Subsequent to the execution of the RSA, Mr. Edens purchased approximately $110 million aggregate principal amount of the loans issued pursuant to the Term Loan A Credit Agreement at a discount and is entitled by virtue of his ownership thereof to receive a pro rata portion of the consideration to be received by the lenders under the Term Loan A Credit Agreement pursuant to the Restructuring Transaction. Additionally, Mr. Edens entered into a restructuring support agreement with the Company pursuant to which Mr. Edens agreed to support the Company’s comprehensive restructuring of its principal funded debt obligations on substantially the same terms as agreed to between the Company and its key creditors under the RSA.</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Shareholders’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w:t>
      </w:r>
    </w:p>
    <w:p>
      <w:pPr>
        <w:spacing w:after="0" w:line="15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connection with the closing of our initial public offering in 2019 (the “Offering”), we entered into the Shareholders’ Agreement with New Fortress Energy Holdings and its affiliates. Our Shareholders’ Agreement provides that the parties thereto will use their respective reasonable efforts (including voting or causing to be voted all of our voting shares beneficially owned by each) so that no amendment is made to our Certificate of Formation or Bylaws in effect as of the date of the Shareholders’ Agreement that would add restrictions to the transferability of our shares by New Fortress Energy Holdings or its permitted transferees which are beyond those provided for in our Certificate of Formation or Bylaws,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25"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New Fortress Energy Holdings has assigned, pursuant to the terms of the Shareholders’ Agreement, to the affiliates of certain entities controlled by Wesley R. Edens and Randal A. Nardone (the “Founder Entities”), New Fortress Energy Holdings’ rights and obligations under the Shareholders’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Designation and Election of Directors</w:t>
      </w:r>
    </w:p>
    <w:p>
      <w:pPr>
        <w:spacing w:after="0" w:line="15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Our Shareholders’ Agreement provides that, for so long as the Shareholders’ Agreement is in effect, we and the Founder Entities (including certain former members of New Fortress Energy Holdings) shall take all reasonable actions within our respective control (including voting or causing to be voted all of the securities entitled to vote generally in the election of our directors held of record or beneficially owned by the Founder Entities, and, with respect to us, including in the slate of nominees recommended by the Board of Directors those individuals designated by the Founder Entities) so as to elect to the Board of Directors, and to cause to continue in office, not more than eight directors (or such other number as the Founder Entities may agree in writing), of whom, at any given time: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72" w:name="page73"/>
    <w:bookmarkEnd w:id="72"/>
    <w:p>
      <w:pPr>
        <w:ind w:left="420" w:right="40" w:hanging="212"/>
        <w:spacing w:after="0" w:line="265" w:lineRule="auto"/>
        <w:tabs>
          <w:tab w:leader="none" w:pos="41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equal to a majority of the Board of Directors, plus one director, shall be individuals designated by the Founder Entities, for so long as the Founder Entities directly or indirectly beneficially own, together with their permitted transferees, at least 30% of our voting power; provided that if the Board of Directors consists of six or fewer directors, then the Founder Entities shall have the right to designate a number of directors equal to a majority of the Board of Directors;</w:t>
      </w:r>
    </w:p>
    <w:p>
      <w:pPr>
        <w:spacing w:after="0" w:line="118"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1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equal to a majority of the Board of Directors, minus one director, shall be individuals designated by the Founder Entities, for so long as the Founder Entities directly or indirectly beneficially own, together with their permitted transferees, less than 30% but at least 20% of our voting power; provided that if the Board of Directors consists of six or fewer directors, then the Founder Entities shall have the right to designate a number of directors equal to three directors;</w:t>
      </w:r>
    </w:p>
    <w:p>
      <w:pPr>
        <w:spacing w:after="0" w:line="118" w:lineRule="exact"/>
        <w:rPr>
          <w:rFonts w:ascii="Times New Roman" w:cs="Times New Roman" w:eastAsia="Times New Roman" w:hAnsi="Times New Roman"/>
          <w:sz w:val="12"/>
          <w:szCs w:val="12"/>
          <w:color w:val="auto"/>
        </w:rPr>
      </w:pPr>
    </w:p>
    <w:p>
      <w:pPr>
        <w:ind w:left="420" w:right="20" w:hanging="212"/>
        <w:spacing w:after="0" w:line="265" w:lineRule="auto"/>
        <w:tabs>
          <w:tab w:leader="none" w:pos="41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20% but at least 10% of our voting power; provided that if the Board of Directors consists of six or fewer directors, then the Founder Entities shall have the right to designate a number of directors equal to two directors; and</w:t>
      </w:r>
    </w:p>
    <w:p>
      <w:pPr>
        <w:spacing w:after="0" w:line="118" w:lineRule="exact"/>
        <w:rPr>
          <w:rFonts w:ascii="Times New Roman" w:cs="Times New Roman" w:eastAsia="Times New Roman" w:hAnsi="Times New Roman"/>
          <w:sz w:val="12"/>
          <w:szCs w:val="12"/>
          <w:color w:val="auto"/>
        </w:rPr>
      </w:pPr>
    </w:p>
    <w:p>
      <w:pPr>
        <w:ind w:left="420" w:right="80" w:hanging="212"/>
        <w:spacing w:after="0" w:line="265" w:lineRule="auto"/>
        <w:tabs>
          <w:tab w:leader="none" w:pos="41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10% but at least 5% of our voting power; provided that if the Board of Directors consists of six or fewer directors, then the Founder Entities shall have the right to designate a number of directors equal to one director.</w:t>
      </w:r>
    </w:p>
    <w:p>
      <w:pPr>
        <w:spacing w:after="0" w:line="119"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So long as the Founder Entities are entitled to designate one or more nominees to the Board of Directors and notifies the Board of Directors of their desire to remove, with or without cause, any director previously designated by them to the Board of Directors, we are required to take all necessary action to cause such removal.</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accordance with the Shareholders’ Agreement, New Fortress Energy Holdings designated Messrs. Catterall, Grain, Griffin and Jay and Ms. Wanner for election to our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Indemnification</w:t>
      </w:r>
    </w:p>
    <w:p>
      <w:pPr>
        <w:spacing w:after="0" w:line="15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The Shareholders’ Agreement provides that we will indemnify the Founder Entities and their officers, directors, employees, agents and affiliates against losses arising out of third-party claims (including litigation matters and other claims) based on, arising out of or resulting from:</w:t>
      </w:r>
    </w:p>
    <w:p>
      <w:pPr>
        <w:spacing w:after="0" w:line="111" w:lineRule="exact"/>
        <w:rPr>
          <w:sz w:val="20"/>
          <w:szCs w:val="20"/>
          <w:color w:val="auto"/>
        </w:rPr>
      </w:pPr>
    </w:p>
    <w:p>
      <w:pPr>
        <w:ind w:left="420" w:hanging="212"/>
        <w:spacing w:after="0"/>
        <w:tabs>
          <w:tab w:leader="none" w:pos="4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ownership or the operation of our assets or properties, and the operation or conduct of our business, prior to or following the Offering;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activities we engage in.</w:t>
      </w:r>
    </w:p>
    <w:p>
      <w:pPr>
        <w:spacing w:after="0" w:line="150"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In addition, we have agreed to indemnify the Founder Entities and their officers, directors, employees, agents and affiliates against losses, including liabilities under the Securities Act and the Exchange Act, relating to misstatements in or omissions from any registration statement or report that we file, other than misstatements or omissions made in reliance on information relating to and furnished by New Fortress Energy Holdings or the Founder Entities for use in the preparation of that registration statement or this Proxy Statement, against which New Fortress Energy Holdings or the Founder Entities, as applicable, has agreed to indemnify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Registration Rights</w:t>
      </w:r>
    </w:p>
    <w:p>
      <w:pPr>
        <w:spacing w:after="0" w:line="150"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Demand Rights. </w:t>
      </w:r>
      <w:r>
        <w:rPr>
          <w:rFonts w:ascii="Times New Roman" w:cs="Times New Roman" w:eastAsia="Times New Roman" w:hAnsi="Times New Roman"/>
          <w:sz w:val="12"/>
          <w:szCs w:val="12"/>
          <w:color w:val="auto"/>
        </w:rPr>
        <w:t>Under our Shareholders’ Agreement, the Founder Entities have, for so long as the Founder Entities directly or indirectly beneficially owns, together with their permitted transferees, an amount of our shares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(whether owned at the time of the Offering or subsequently acquired) equal to or greater than 1% of the shares of Common Stock issued and outstanding immediately after the consummation of the Offering (a “Registrable Amount”), “demand” registration rights that allow the Founder Entities, and on behalf of their permitted transferees, at any time after 180 days following the consummation of the Offering, to request that we register under the Securities Act an amount of shares of Common Stock equal to or greater than a Registrable Amount.</w:t>
      </w:r>
    </w:p>
    <w:p>
      <w:pPr>
        <w:spacing w:after="0" w:line="122"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Founder Entities, and on behalf of their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color w:val="auto"/>
        </w:rPr>
        <w:t>included at least 50% of the shares of Common Stock requested by the requestor to be included or within one month of any other underwritten offering pursuant to a shelf registration statement.</w:t>
      </w:r>
    </w:p>
    <w:p>
      <w:pPr>
        <w:spacing w:after="0" w:line="148" w:lineRule="exact"/>
        <w:rPr>
          <w:sz w:val="20"/>
          <w:szCs w:val="20"/>
          <w:color w:val="auto"/>
        </w:rPr>
      </w:pPr>
    </w:p>
    <w:p>
      <w:pPr>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Piggyback Rights. </w:t>
      </w:r>
      <w:r>
        <w:rPr>
          <w:rFonts w:ascii="Times New Roman" w:cs="Times New Roman" w:eastAsia="Times New Roman" w:hAnsi="Times New Roman"/>
          <w:sz w:val="12"/>
          <w:szCs w:val="12"/>
          <w:color w:val="auto"/>
        </w:rPr>
        <w:t>For so long as the Founder Entities beneficially owns, together with their permitted transferees, a Registrable Amount, the Founder Entities (and its permitted transferees) also have “piggyback” registration rights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allow them to include shares of Common Stock that they own in any public offering of equity securities initiated by us (other than those public offerings pursuant to registration statements on Form S-4 or Form S-8 or pursuant to an employee benefit plan arrangement) or by any of our other stockholders that have registration rights. These “piggyback” registration rights are subject to proportional cutbacks based on the manner of the offering and the identity of the party initiating such offering.</w:t>
      </w:r>
    </w:p>
    <w:p>
      <w:pPr>
        <w:spacing w:after="0" w:line="120" w:lineRule="exact"/>
        <w:rPr>
          <w:sz w:val="20"/>
          <w:szCs w:val="20"/>
          <w:color w:val="auto"/>
        </w:rPr>
      </w:pPr>
    </w:p>
    <w:p>
      <w:pPr>
        <w:ind w:right="6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Shelf Registration. </w:t>
      </w:r>
      <w:r>
        <w:rPr>
          <w:rFonts w:ascii="Times New Roman" w:cs="Times New Roman" w:eastAsia="Times New Roman" w:hAnsi="Times New Roman"/>
          <w:sz w:val="12"/>
          <w:szCs w:val="12"/>
          <w:color w:val="auto"/>
        </w:rPr>
        <w:t>Under our Shareholders’ Agreement, we granted to the Founder Entities or any of their permitted transferees, for so long as the Founder Entities, together with their permitted transferees, beneficially owns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Registrable Amount, the right to request a shelf registration on Form S-3 providing for offerings of shares of Common Stock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stockholders. In addition, the Founder Entities, and on behalf of their permitted transferees, may elect to participate in such shelf registrations within ten days after notice of the registration is given.</w:t>
      </w:r>
    </w:p>
    <w:p>
      <w:pPr>
        <w:spacing w:after="0" w:line="12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Indemnification; Expenses; Lock-ups. </w:t>
      </w:r>
      <w:r>
        <w:rPr>
          <w:rFonts w:ascii="Times New Roman" w:cs="Times New Roman" w:eastAsia="Times New Roman" w:hAnsi="Times New Roman"/>
          <w:sz w:val="12"/>
          <w:szCs w:val="12"/>
          <w:color w:val="auto"/>
        </w:rPr>
        <w:t>Under our Shareholders’ Agreement, we agreed to indemnify the applicable selling shareholder and its officers, directors, employees, managers, members partners, agents and controlling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persons against any losses or damages resulting from any untrue statement or omission of material fact in any registration statement or prospectus pursuant to which it sells shares of Common Stock, unless such liability arose from the applicable selling stockholder’s misstatement or omission, and the applicable selling stockholder agrees to indemnify us against all losses caused by its misstatements or omissions. We will pay all registration and offering-related expenses incidental to our performance under the Shareholders’ Agreement, and the applicable selling stockholder will pay its portion of all underwriting discounts, commissions and transfer taxes, if any, relating to the sale of its shares of Common Stock under the Shareholders’ Agreement. We have entered into, and have caused our officers and directors to enter into, lock-up agreements in connection with any exercise of registration rights by the Founder Entities, and on behalf of their permitted transferees.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Information Rights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Under our Shareholders’ Agreement, the Founder Entities have the right to request certain information from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Assistance in the Sale of the Founder Entities’ Shares</w:t>
      </w:r>
    </w:p>
    <w:p>
      <w:pPr>
        <w:spacing w:after="0" w:line="15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Under our Shareholders’ Agreement, if the Founder Entities seek to sell their shares of Common Stock other than pursuant to a registration statement, we shall use our reasonable best efforts to assist the Founder Entities in the sale process, including by providing information to potential purchasers as requested by the Founder Entities.</w:t>
      </w:r>
    </w:p>
    <w:p>
      <w:pPr>
        <w:spacing w:after="0" w:line="111"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In addition, if the Board of Directors starts and then abandons a sale process, and the Founder Entities subsequently indicate that they want to sell their shares of Common Stock, we shall permit the Founder Entities to engage in discussions with potential purchasers who participated in the abandoned sales process. We shall be obligated to assist the Founder Entities in any such sale process.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Transactions with Related Persons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Administrative Services Agreement</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We are party to an Administrative Services Agreement (“Administrative Agreement”) with FIG LLC, an affiliate of Fortress (which currently employs Wesley R. Edens, our chief executive officer and chairman of our Board of Directors, and Randal A. Nardone, one of our directors), to charge us for certain administrative and general expenses incurred. The charges under the Administrative Agreement that are attributable to the Company totaled $0.8 million for the year ended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Aircraft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74" w:name="page75"/>
    <w:bookmarkEnd w:id="74"/>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Mr. Edens owns an aircraft that we charter from a third-party aircraft operator for business purposes in the ordinary course of operations. We paid aircraft operator rates for the charters. For the year ended December 31, 2025, we incurred charter costs of $1.8 million, and such amount is included within selling, general and administrative expenses.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Corporate Headquarters Lease and Sublease</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Since February 2023, we have subleased a portion of our corporate offices to FTAI Infrastructure Inc. (“FTAI Infrastructure”) and an affiliate that manages Brightline Trains ("Brightline"). During the year ended December 31, 2025, FTAI Infrastructure and Brightline incurred $0.6 million and $0.2 million of rent expenses, respectively. FTAI Infrastructure and Brightline did not make any payments to us in 2025. We may sublease a portion of our corporate offices to certain other affiliates.</w:t>
      </w:r>
    </w:p>
    <w:p>
      <w:pPr>
        <w:spacing w:after="0" w:line="11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Since September 2023, we have also leased land for development of a hydrogen facility in Beaumont, Texas from Jefferson Terminal South LLC, which is an indirect, majority-owned subsidiary of FTAI Infrastructure. During the year ended December 31, 2025, we incurred $0.7 million of costs under the lease agreement; no amounts were paid to Jefferson Terminal South LLC.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Fortress Affiliated Entities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Since 2017, the Company has provided certain administrative services to affiliates of FEP Holdco. There are no costs incurred by the Company as the Company is fully reimbursed for all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705" w:right="4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2"/>
          <w:szCs w:val="12"/>
          <w:b w:val="1"/>
          <w:bCs w:val="1"/>
          <w:color w:val="auto"/>
        </w:rPr>
        <w:t>PROPOSAL NO. 2</w:t>
      </w:r>
    </w:p>
    <w:p>
      <w:pPr>
        <w:jc w:val="center"/>
        <w:spacing w:after="0" w:line="219" w:lineRule="auto"/>
        <w:rPr>
          <w:sz w:val="20"/>
          <w:szCs w:val="20"/>
          <w:color w:val="auto"/>
        </w:rPr>
      </w:pPr>
      <w:r>
        <w:rPr>
          <w:rFonts w:ascii="Times New Roman" w:cs="Times New Roman" w:eastAsia="Times New Roman" w:hAnsi="Times New Roman"/>
          <w:sz w:val="12"/>
          <w:szCs w:val="12"/>
          <w:b w:val="1"/>
          <w:bCs w:val="1"/>
          <w:color w:val="auto"/>
        </w:rPr>
        <w:t>APPROVAL OF APPOINTMENT OF ERNST &amp; YOUNG LLP AS INDEPENDENT</w:t>
      </w:r>
    </w:p>
    <w:p>
      <w:pPr>
        <w:jc w:val="center"/>
        <w:spacing w:after="0"/>
        <w:rPr>
          <w:sz w:val="20"/>
          <w:szCs w:val="20"/>
          <w:color w:val="auto"/>
        </w:rPr>
      </w:pPr>
      <w:r>
        <w:rPr>
          <w:rFonts w:ascii="Times New Roman" w:cs="Times New Roman" w:eastAsia="Times New Roman" w:hAnsi="Times New Roman"/>
          <w:sz w:val="12"/>
          <w:szCs w:val="12"/>
          <w:b w:val="1"/>
          <w:bCs w:val="1"/>
          <w:color w:val="auto"/>
        </w:rPr>
        <w:t>REGISTERED PUBLIC ACCOUNTING FIRM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Proposed Independent Registered Public Accounting Firm</w:t>
      </w:r>
    </w:p>
    <w:p>
      <w:pPr>
        <w:spacing w:after="0" w:line="154" w:lineRule="exact"/>
        <w:rPr>
          <w:sz w:val="20"/>
          <w:szCs w:val="20"/>
          <w:color w:val="auto"/>
        </w:rPr>
      </w:pPr>
    </w:p>
    <w:p>
      <w:pPr>
        <w:jc w:val="both"/>
        <w:ind w:right="40" w:firstLine="240"/>
        <w:spacing w:after="0" w:line="265" w:lineRule="auto"/>
        <w:rPr>
          <w:sz w:val="20"/>
          <w:szCs w:val="20"/>
          <w:color w:val="auto"/>
        </w:rPr>
      </w:pPr>
      <w:r>
        <w:rPr>
          <w:rFonts w:ascii="Times New Roman" w:cs="Times New Roman" w:eastAsia="Times New Roman" w:hAnsi="Times New Roman"/>
          <w:sz w:val="12"/>
          <w:szCs w:val="12"/>
          <w:color w:val="auto"/>
        </w:rPr>
        <w:t>Ernst &amp; Young LLP, independent registered public accountants, served as the independent registered public accounting firm for us and our subsidiaries for the fiscal years ended December 31, 2025 and 2024. The Audit Committee has appointed Ernst &amp; Young LLP to be our independent registered public accounting firm for the fiscal year ending December 31, 2026 and has further directed that the selection of the independent registered public accounting firm be submitted for approval by the stockholders at the Annual Meeting.</w:t>
      </w:r>
    </w:p>
    <w:p>
      <w:pPr>
        <w:spacing w:after="0" w:line="119" w:lineRule="exact"/>
        <w:rPr>
          <w:sz w:val="20"/>
          <w:szCs w:val="20"/>
          <w:color w:val="auto"/>
        </w:rPr>
      </w:pPr>
    </w:p>
    <w:p>
      <w:pPr>
        <w:ind w:right="580" w:firstLine="240"/>
        <w:spacing w:after="0" w:line="279" w:lineRule="auto"/>
        <w:rPr>
          <w:sz w:val="20"/>
          <w:szCs w:val="20"/>
          <w:color w:val="auto"/>
        </w:rPr>
      </w:pPr>
      <w:r>
        <w:rPr>
          <w:rFonts w:ascii="Times New Roman" w:cs="Times New Roman" w:eastAsia="Times New Roman" w:hAnsi="Times New Roman"/>
          <w:sz w:val="12"/>
          <w:szCs w:val="12"/>
          <w:color w:val="auto"/>
        </w:rPr>
        <w:t>Representatives of Ernst &amp; Young LLP will be present in person at the Annual Meeting, will be given the opportunity to make a statement, if they so desire, and will be available to respond to appropriate questions from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72"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Approval of the Auditor Approval Proposal requires the affirmative vote of the holders of a majority in voting power of the votes cast by holders of Common Stock present in person or represented by proxy at the meeting and entitled to vote thereon. Abstentions and broker non-votes, if any, will have no effect on the vote on the Auditor Approval Proposal.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the approval of the appointment of Ernst &amp; Young LLP as independent registered public accounting firm for the Company for fiscal year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Accountant Fees and Services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table below sets forth the aggregate fees and expenses for the years ended December 31, 2025 and 2024 for professional services performed by our independent registered public accounting firm, Ernst &amp; Young LLP: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4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286"/>
        </w:trPr>
        <w:tc>
          <w:tcPr>
            <w:tcW w:w="8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04"/>
        </w:trPr>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Fees</w:t>
            </w:r>
            <w:r>
              <w:rPr>
                <w:rFonts w:ascii="Times New Roman" w:cs="Times New Roman" w:eastAsia="Times New Roman" w:hAnsi="Times New Roman"/>
                <w:sz w:val="15"/>
                <w:szCs w:val="15"/>
                <w:color w:val="auto"/>
                <w:vertAlign w:val="superscript"/>
              </w:rPr>
              <w:t>(1)</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7,833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7,112</w:t>
            </w:r>
          </w:p>
        </w:tc>
      </w:tr>
      <w:tr>
        <w:trPr>
          <w:trHeight w:val="207"/>
        </w:trPr>
        <w:tc>
          <w:tcPr>
            <w:tcW w:w="8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Audit-Related Fees</w:t>
            </w:r>
            <w:r>
              <w:rPr>
                <w:rFonts w:ascii="Times New Roman" w:cs="Times New Roman" w:eastAsia="Times New Roman" w:hAnsi="Times New Roman"/>
                <w:sz w:val="15"/>
                <w:szCs w:val="15"/>
                <w:color w:val="auto"/>
                <w:vertAlign w:val="superscript"/>
              </w:rPr>
              <w:t>(2)</w:t>
            </w: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714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1,921</w:t>
            </w:r>
          </w:p>
        </w:tc>
      </w:tr>
      <w:tr>
        <w:trPr>
          <w:trHeight w:val="187"/>
        </w:trPr>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6"/>
                <w:shd w:val="clear" w:color="auto" w:fill="CCEEFF"/>
              </w:rPr>
              <w:t>Tax Fees</w:t>
            </w:r>
          </w:p>
        </w:tc>
        <w:tc>
          <w:tcPr>
            <w:tcW w:w="7840" w:type="dxa"/>
            <w:vAlign w:val="bottom"/>
            <w:tcBorders>
              <w:bottom w:val="single" w:sz="8" w:color="CCEEFF"/>
            </w:tcBorders>
            <w:shd w:val="clear" w:color="auto" w:fill="CCEEFF"/>
          </w:tcPr>
          <w:p>
            <w:pPr>
              <w:jc w:val="right"/>
              <w:ind w:right="7728"/>
              <w:spacing w:after="0"/>
              <w:rPr>
                <w:sz w:val="20"/>
                <w:szCs w:val="20"/>
                <w:color w:val="auto"/>
              </w:rPr>
            </w:pPr>
            <w:r>
              <w:rPr>
                <w:rFonts w:ascii="Times New Roman" w:cs="Times New Roman" w:eastAsia="Times New Roman" w:hAnsi="Times New Roman"/>
                <w:sz w:val="6"/>
                <w:szCs w:val="6"/>
                <w:color w:val="auto"/>
                <w:w w:val="85"/>
                <w:shd w:val="clear" w:color="auto" w:fill="CCEEFF"/>
              </w:rPr>
              <w:t>(3)</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8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r>
      <w:tr>
        <w:trPr>
          <w:trHeight w:val="142"/>
        </w:trPr>
        <w:tc>
          <w:tcPr>
            <w:tcW w:w="84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Fees</w:t>
            </w: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8,554</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9,059</w:t>
            </w:r>
          </w:p>
        </w:tc>
      </w:tr>
      <w:tr>
        <w:trPr>
          <w:trHeight w:val="20"/>
        </w:trPr>
        <w:tc>
          <w:tcPr>
            <w:tcW w:w="4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-622300</wp:posOffset>
            </wp:positionV>
            <wp:extent cx="914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-622300</wp:posOffset>
            </wp:positionV>
            <wp:extent cx="914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18" w:lineRule="exact"/>
        <w:rPr>
          <w:sz w:val="20"/>
          <w:szCs w:val="20"/>
          <w:color w:val="auto"/>
        </w:rPr>
      </w:pPr>
    </w:p>
    <w:p>
      <w:pPr>
        <w:ind w:left="420" w:right="200" w:hanging="416"/>
        <w:spacing w:after="0" w:line="211" w:lineRule="auto"/>
        <w:tabs>
          <w:tab w:leader="none" w:pos="420" w:val="left"/>
        </w:tabs>
        <w:numPr>
          <w:ilvl w:val="0"/>
          <w:numId w:val="5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Audit fees consists of fees for audit services rendered for the audit of our annual consolidated financial statements, the review of quarterly reports on Form 10-Q, statutory audits required, comfort letters, consents, assistance with and review of documents filed with the SEC, and other attest services.</w:t>
      </w:r>
    </w:p>
    <w:p>
      <w:pPr>
        <w:spacing w:after="0" w:line="69" w:lineRule="exact"/>
        <w:rPr>
          <w:rFonts w:ascii="Times New Roman" w:cs="Times New Roman" w:eastAsia="Times New Roman" w:hAnsi="Times New Roman"/>
          <w:sz w:val="12"/>
          <w:szCs w:val="12"/>
          <w:color w:val="auto"/>
          <w:vertAlign w:val="superscript"/>
        </w:rPr>
      </w:pPr>
    </w:p>
    <w:p>
      <w:pPr>
        <w:ind w:left="420" w:hanging="416"/>
        <w:spacing w:after="0"/>
        <w:tabs>
          <w:tab w:leader="none" w:pos="420" w:val="left"/>
        </w:tabs>
        <w:numPr>
          <w:ilvl w:val="0"/>
          <w:numId w:val="5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Audit-related fees consist of fees for diligence services, attest services and audit services provided for transactions and potential transactions.</w:t>
      </w:r>
    </w:p>
    <w:p>
      <w:pPr>
        <w:spacing w:after="0" w:line="69" w:lineRule="exact"/>
        <w:rPr>
          <w:rFonts w:ascii="Times New Roman" w:cs="Times New Roman" w:eastAsia="Times New Roman" w:hAnsi="Times New Roman"/>
          <w:sz w:val="12"/>
          <w:szCs w:val="12"/>
          <w:color w:val="auto"/>
          <w:vertAlign w:val="superscript"/>
        </w:rPr>
      </w:pPr>
    </w:p>
    <w:p>
      <w:pPr>
        <w:ind w:left="420" w:hanging="416"/>
        <w:spacing w:after="0"/>
        <w:tabs>
          <w:tab w:leader="none" w:pos="420" w:val="left"/>
        </w:tabs>
        <w:numPr>
          <w:ilvl w:val="0"/>
          <w:numId w:val="5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Tax fees consists of fees for professional services rendered by our principal accountant for tax compliance services.</w:t>
      </w:r>
    </w:p>
    <w:p>
      <w:pPr>
        <w:spacing w:after="0" w:line="213"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19"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adopted a pre-approval policy with respect to services which may be performed by Ernst &amp; Young LLP. This policy lists specific audit-related and tax services as well as any other services that Ernst &amp; Young LLP is authorized to perform and sets out specific dollar limits for each specific service, which may not be exceeded without additional audit committee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43" w:right="299" w:bottom="1440" w:gutter="0" w:footer="0" w:header="0"/>
        </w:sectPr>
      </w:pPr>
    </w:p>
    <w:bookmarkStart w:id="76" w:name="page77"/>
    <w:bookmarkEnd w:id="76"/>
    <w:p>
      <w:pPr>
        <w:spacing w:after="0" w:line="265" w:lineRule="auto"/>
        <w:rPr>
          <w:sz w:val="20"/>
          <w:szCs w:val="20"/>
          <w:color w:val="auto"/>
        </w:rPr>
      </w:pPr>
      <w:r>
        <w:rPr>
          <w:rFonts w:ascii="Times New Roman" w:cs="Times New Roman" w:eastAsia="Times New Roman" w:hAnsi="Times New Roman"/>
          <w:sz w:val="12"/>
          <w:szCs w:val="12"/>
          <w:color w:val="auto"/>
        </w:rPr>
        <w:t>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The charter of the audit committee and its pre-approval policy require that the audit committee review and pre-approve the plan and scope of Ernst &amp; Young LLP’s audit, audit-related, tax and other services.</w:t>
      </w:r>
    </w:p>
    <w:p>
      <w:pPr>
        <w:spacing w:after="0" w:line="11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Our audit committee has approved the appointment of Ernst &amp; Young LLP as independent registered public accounting firm to conduct the audit of the Company’s consolidated financial statements for the year ending December 31, 2026.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NO. 3</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CHARTER AMENDMENT PROPOSAL</w:t>
      </w:r>
    </w:p>
    <w:p>
      <w:pPr>
        <w:spacing w:after="0" w:line="138" w:lineRule="exact"/>
        <w:rPr>
          <w:sz w:val="20"/>
          <w:szCs w:val="20"/>
          <w:color w:val="auto"/>
        </w:rPr>
      </w:pPr>
    </w:p>
    <w:p>
      <w:pPr>
        <w:ind w:right="300" w:firstLine="432"/>
        <w:spacing w:after="0" w:line="264" w:lineRule="auto"/>
        <w:rPr>
          <w:sz w:val="20"/>
          <w:szCs w:val="20"/>
          <w:color w:val="auto"/>
        </w:rPr>
      </w:pPr>
      <w:r>
        <w:rPr>
          <w:rFonts w:ascii="Times New Roman" w:cs="Times New Roman" w:eastAsia="Times New Roman" w:hAnsi="Times New Roman"/>
          <w:sz w:val="12"/>
          <w:szCs w:val="12"/>
          <w:color w:val="auto"/>
        </w:rPr>
        <w:t xml:space="preserve">The following sets forth a summary of the Charter Amendment Proposal. This summary is qualified by reference to the complete text of the proposed Amended Certificate of Incorporation, a copy of which is attached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All stockholders and other interested parties are encouraged to read the proposed Amended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Board Declassification (Proposal 3A)</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Amendments to Article Seventh of the Certificate of Incorporation to remove the existing staggered board of directors structure, which will result in all directors standing for election annually for a one-year term.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Majority Voting for Directors (Proposal 3B)</w:t>
      </w:r>
    </w:p>
    <w:p>
      <w:pPr>
        <w:spacing w:after="0" w:line="161" w:lineRule="exact"/>
        <w:rPr>
          <w:sz w:val="20"/>
          <w:szCs w:val="20"/>
          <w:color w:val="auto"/>
        </w:rPr>
      </w:pPr>
    </w:p>
    <w:p>
      <w:pPr>
        <w:ind w:right="240" w:firstLine="432"/>
        <w:spacing w:after="0" w:line="264" w:lineRule="auto"/>
        <w:rPr>
          <w:sz w:val="20"/>
          <w:szCs w:val="20"/>
          <w:color w:val="auto"/>
        </w:rPr>
      </w:pPr>
      <w:r>
        <w:rPr>
          <w:rFonts w:ascii="Times New Roman" w:cs="Times New Roman" w:eastAsia="Times New Roman" w:hAnsi="Times New Roman"/>
          <w:sz w:val="12"/>
          <w:szCs w:val="12"/>
          <w:color w:val="auto"/>
        </w:rPr>
        <w:t>Amendments to Article Seventh of the Certificate of Incorporation to provide for the election of directors by a majority of the total votes that may be cast in the election of directors by holders of all issued and outstanding shares of the Company entitled to vote, replacing the existing plurality voting standard.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Minimum Board Size (Proposal 3C)</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Amendments to Article Seventh of the Certificate of Incorporation to increase the minimum size of the Board from one director to three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Entitlement to Vote on Certain Matters (Proposal 3D)</w:t>
      </w:r>
    </w:p>
    <w:p>
      <w:pPr>
        <w:spacing w:after="0" w:line="161" w:lineRule="exact"/>
        <w:rPr>
          <w:sz w:val="20"/>
          <w:szCs w:val="20"/>
          <w:color w:val="auto"/>
        </w:rPr>
      </w:pPr>
    </w:p>
    <w:p>
      <w:pPr>
        <w:ind w:right="120" w:firstLine="432"/>
        <w:spacing w:after="0" w:line="244" w:lineRule="auto"/>
        <w:rPr>
          <w:sz w:val="20"/>
          <w:szCs w:val="20"/>
          <w:color w:val="auto"/>
        </w:rPr>
      </w:pPr>
      <w:r>
        <w:rPr>
          <w:rFonts w:ascii="Times New Roman" w:cs="Times New Roman" w:eastAsia="Times New Roman" w:hAnsi="Times New Roman"/>
          <w:sz w:val="12"/>
          <w:szCs w:val="12"/>
          <w:color w:val="auto"/>
        </w:rPr>
        <w:t>Amendments to Article Fifteenth of the Certificate of Incorporation to provide that holders of shares of Class A common stock will not be entitled to vote on any amendment to the Certificate of Incorporation (including the Certificate of Designations and any other applicable designation of capital stock)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Certificate of Incorporation (including the Certificate of Designations and any other applicable designation of capital stock) or pursuant to the DGCL.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Officer Exculpation (Proposal 3E)</w:t>
      </w:r>
    </w:p>
    <w:p>
      <w:pPr>
        <w:spacing w:after="0" w:line="161" w:lineRule="exact"/>
        <w:rPr>
          <w:sz w:val="20"/>
          <w:szCs w:val="20"/>
          <w:color w:val="auto"/>
        </w:rPr>
      </w:pPr>
    </w:p>
    <w:p>
      <w:pPr>
        <w:ind w:right="100" w:firstLine="432"/>
        <w:spacing w:after="0" w:line="248" w:lineRule="auto"/>
        <w:rPr>
          <w:sz w:val="20"/>
          <w:szCs w:val="20"/>
          <w:color w:val="auto"/>
        </w:rPr>
      </w:pPr>
      <w:r>
        <w:rPr>
          <w:rFonts w:ascii="Times New Roman" w:cs="Times New Roman" w:eastAsia="Times New Roman" w:hAnsi="Times New Roman"/>
          <w:sz w:val="12"/>
          <w:szCs w:val="12"/>
          <w:color w:val="auto"/>
        </w:rPr>
        <w:t>Amendments to Article Ninth of the Certificate of Incorporation to provide for exculpation of certain of the Company’s officers from liability to the extent permitted by Delaware law, substantially aligning the protections for the Company’s officers with those currently afforded to the Company’s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Removal of References to the Company’s Class B Shares (Proposal 3F)</w:t>
      </w:r>
    </w:p>
    <w:p>
      <w:pPr>
        <w:spacing w:after="0" w:line="16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Amendments to the Certificate of Incorporation to remove any and all references to shares of the Company’s Class B common stock, including the terms associated with such stock. There are no shares of the Company’s Class B common stock outstanding, and we have no plans to issue additional shares of Class B common stock in the future. As a result, all references to Class B common stock in the Certificate of Incorporation are superfluous. The proposed amendments do not effectuate any substantive change to the rights of the Company or its stockholders.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authorized shares of the Company would, accordingly, consist of 750,000,000 shares of Class A common stock, each having a par value of $0.01, and 200,000,000 shares of preferred stock, each having a par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$0.01.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Reverse Stock Split (Proposal 3G)</w:t>
      </w:r>
    </w:p>
    <w:p>
      <w:pPr>
        <w:spacing w:after="0" w:line="161"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Our Common Stock is currently listed on the Nasdaq Global Select Market under the symbol “NFE.” The closing price of our Common Stock on April 30, 2026 was $0.69 per share. We believe that the Reverse Split will make our Common Stock more attractive to a broader range of institutional and other investors and, if necessary, help to satisfy Nasdaq’s continued listing requirements if deemed in the best interests of stockholders.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Amendment and Restatement of the Certificate of Incorporation (Proposal 3H)</w:t>
      </w:r>
    </w:p>
    <w:p>
      <w:pPr>
        <w:spacing w:after="0" w:line="161"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Certificate of Incorporation will be amended and restated in its entirety with the Amended Certificate of Incorporation. Conditioned upon the receipt of the requisite vote on Proposals 3A through 3G, Proposal 3H provides for the approval of the proposed Amended Certificate of Incorporation, which includes approval of all other changes in the proposed Amended Certificate of</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4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color w:val="auto"/>
        </w:rPr>
        <w:t>Incorporation in connection with replacing the existing Certificate of Incorporation with the proposed Amended Certificate of Incorporation.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 for Request for Stockholder Approval</w:t>
      </w:r>
    </w:p>
    <w:p>
      <w:pPr>
        <w:spacing w:after="0" w:line="163" w:lineRule="exact"/>
        <w:rPr>
          <w:sz w:val="20"/>
          <w:szCs w:val="20"/>
          <w:color w:val="auto"/>
        </w:rPr>
      </w:pPr>
    </w:p>
    <w:p>
      <w:pPr>
        <w:ind w:right="100" w:firstLine="432"/>
        <w:spacing w:after="0" w:line="244" w:lineRule="auto"/>
        <w:rPr>
          <w:sz w:val="20"/>
          <w:szCs w:val="20"/>
          <w:color w:val="auto"/>
        </w:rPr>
      </w:pPr>
      <w:r>
        <w:rPr>
          <w:rFonts w:ascii="Times New Roman" w:cs="Times New Roman" w:eastAsia="Times New Roman" w:hAnsi="Times New Roman"/>
          <w:sz w:val="12"/>
          <w:szCs w:val="12"/>
          <w:color w:val="auto"/>
        </w:rPr>
        <w:t xml:space="preserve">The Restructuring Transaction contemplates certain corporate governance matters in respect of the Company. As such, we are seeking stockholder approval for certain amendments to the Certificate of Incorporation. If the Charter Amendment Proposal is approved by the stockholders, the Company intends to file the Amended Certificate of Incorporation (the “Charter Amendment”), attached to this Proxy Statement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with the Secretary of State of the State of Delaware substantially concurrently with the closing of the Restructuring Transaction. The Board of Directors may, at any time prior to effectiveness, abandon the Charter Amendment without further action by the stockholders or the Board of Directors (even if the requisite stockholder vote is obtained).</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Reverse Split</w:t>
      </w:r>
    </w:p>
    <w:p>
      <w:pPr>
        <w:spacing w:after="0" w:line="152" w:lineRule="exact"/>
        <w:rPr>
          <w:sz w:val="20"/>
          <w:szCs w:val="20"/>
          <w:color w:val="auto"/>
        </w:rPr>
      </w:pPr>
    </w:p>
    <w:p>
      <w:pPr>
        <w:ind w:firstLine="432"/>
        <w:spacing w:after="0"/>
        <w:rPr>
          <w:sz w:val="20"/>
          <w:szCs w:val="20"/>
          <w:color w:val="auto"/>
        </w:rPr>
      </w:pPr>
      <w:r>
        <w:rPr>
          <w:rFonts w:ascii="Times New Roman" w:cs="Times New Roman" w:eastAsia="Times New Roman" w:hAnsi="Times New Roman"/>
          <w:sz w:val="12"/>
          <w:szCs w:val="12"/>
          <w:color w:val="auto"/>
        </w:rPr>
        <w:t>It is our understanding that the current market price of our Common Stock may affect its acceptability to certain institutional investors, professional investors, and other members of the investing public. It is also our understanding that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 However, some investors may view the Reverse Split negatively because it reduces the number of shares of Common Stock available in the public market.</w:t>
      </w:r>
    </w:p>
    <w:p>
      <w:pPr>
        <w:spacing w:after="0" w:line="144" w:lineRule="exact"/>
        <w:rPr>
          <w:sz w:val="20"/>
          <w:szCs w:val="20"/>
          <w:color w:val="auto"/>
        </w:rPr>
      </w:pPr>
    </w:p>
    <w:p>
      <w:pPr>
        <w:ind w:right="20" w:firstLine="432"/>
        <w:spacing w:after="0" w:line="239" w:lineRule="auto"/>
        <w:rPr>
          <w:sz w:val="20"/>
          <w:szCs w:val="20"/>
          <w:color w:val="auto"/>
        </w:rPr>
      </w:pPr>
      <w:r>
        <w:rPr>
          <w:rFonts w:ascii="Times New Roman" w:cs="Times New Roman" w:eastAsia="Times New Roman" w:hAnsi="Times New Roman"/>
          <w:sz w:val="12"/>
          <w:szCs w:val="12"/>
          <w:color w:val="auto"/>
        </w:rPr>
        <w:t>As previously reported, on May 1, 2026, the Company received a written notice from Nasdaq notifying the Company that because the minimum closing bid price of our Common Stock fell below $1.00 for at least 30 consecutive business days beginning March 18, 2026, the Company no longer complied with the minimum bid price requirement for continued listing on The Nasdaq Global Market pursuant to Nasdaq Listing Rule 5450(a)(1) (the “Minimum Bid Price Requirement”). In accordance with Nasdaq Listing Rule 5810(c)(3)(A), the Company was provided an initial period of 180-calendar days, or until October 28, 2026, to regain compliance with the Minimum Bid Price Requirement. To regain compliance with the Minimum Bid Price Requirement and qualify for continued listing on Nasdaq, the minimum bid price per share of the Company’s Common Stock must be at least $1.00 for at least 10 consecutive business days during this 180-calendar day grace period. If the Company does not regain compliance during this additional grace period, its Common Stock would be subject to delisting by Nasdaq. The Company intends to actively monitor the closing bid price of its Common Stock and evaluate all available options to regain compliance with the applicable Nasdaq listing rules, including seeking stockholder approval for the implementation of the Reverse Split.</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Board believes that effecting the Reverse Split in connection with the Restructuring Transaction Proposals is prudent to minimize the chance of compliance issues with Nasdaq listing requirements moving forward.</w:t>
      </w:r>
    </w:p>
    <w:p>
      <w:pPr>
        <w:spacing w:after="0" w:line="159" w:lineRule="exact"/>
        <w:rPr>
          <w:sz w:val="20"/>
          <w:szCs w:val="20"/>
          <w:color w:val="auto"/>
        </w:rPr>
      </w:pPr>
    </w:p>
    <w:p>
      <w:pPr>
        <w:ind w:firstLine="432"/>
        <w:spacing w:after="0" w:line="244" w:lineRule="auto"/>
        <w:rPr>
          <w:sz w:val="20"/>
          <w:szCs w:val="20"/>
          <w:color w:val="auto"/>
        </w:rPr>
      </w:pPr>
      <w:r>
        <w:rPr>
          <w:rFonts w:ascii="Times New Roman" w:cs="Times New Roman" w:eastAsia="Times New Roman" w:hAnsi="Times New Roman"/>
          <w:sz w:val="12"/>
          <w:szCs w:val="12"/>
          <w:color w:val="auto"/>
        </w:rPr>
        <w:t>Reducing the number of outstanding shares of our Common Stock through the Reverse Split is intended, absent other factors, to increase the per share market price of our Common Stock. However, other factors, such as our financial results, market conditions, long-term outlook, corporate strategy and the market perception of our business may adversely affect the market price of our Common Stock. As a result, there can be no assurance that the Reverse Split, if completed, will result in the intended benefits described above, that the market price of our Common Stock will increase following the Reverse Split, that the market price of our Common Stock will not decrease in the future, or that our Common Stock will maintain a price per share sufficient to permit its continued listing by Nasdaq.</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Reverse Split</w:t>
      </w:r>
    </w:p>
    <w:p>
      <w:pPr>
        <w:spacing w:after="0" w:line="163" w:lineRule="exact"/>
        <w:rPr>
          <w:sz w:val="20"/>
          <w:szCs w:val="20"/>
          <w:color w:val="auto"/>
        </w:rPr>
      </w:pPr>
    </w:p>
    <w:p>
      <w:pPr>
        <w:ind w:right="80" w:firstLine="432"/>
        <w:spacing w:after="0" w:line="242" w:lineRule="auto"/>
        <w:rPr>
          <w:sz w:val="20"/>
          <w:szCs w:val="20"/>
          <w:color w:val="auto"/>
        </w:rPr>
      </w:pPr>
      <w:r>
        <w:rPr>
          <w:rFonts w:ascii="Times New Roman" w:cs="Times New Roman" w:eastAsia="Times New Roman" w:hAnsi="Times New Roman"/>
          <w:sz w:val="12"/>
          <w:szCs w:val="12"/>
          <w:u w:val="single" w:color="auto"/>
          <w:color w:val="auto"/>
        </w:rPr>
        <w:t>Effect on Outstanding Shares, Options, and Certain Other Securities</w:t>
      </w:r>
      <w:r>
        <w:rPr>
          <w:rFonts w:ascii="Times New Roman" w:cs="Times New Roman" w:eastAsia="Times New Roman" w:hAnsi="Times New Roman"/>
          <w:sz w:val="12"/>
          <w:szCs w:val="12"/>
          <w:color w:val="auto"/>
        </w:rPr>
        <w:t>. If the Reverse Split is adopted and effected, the number of shares of our Common Stock owned by each stockholder will be reduced in the same proportion as the reduction in the total number of shares outstanding, such that the percentage of our Common Stock owned by each stockholder will remain unchanged, except for any de minimis change resulting from the treatment of any fractional shares that such stockholder would have received as a result of the Reverse Split. The number of shares of Common Stock that may be received upon conversion, exercise or exchange, as the case may be, of outstanding options or other securities convertible into, or exercisable or exchangeable for, shares of our Common Stock, and the exercise or conversion prices for these securities, will also be adjusted in accordance with their terms as of the effective time of the Reverse Split.</w:t>
      </w:r>
    </w:p>
    <w:p>
      <w:pPr>
        <w:spacing w:after="0" w:line="141" w:lineRule="exact"/>
        <w:rPr>
          <w:sz w:val="20"/>
          <w:szCs w:val="20"/>
          <w:color w:val="auto"/>
        </w:rPr>
      </w:pPr>
    </w:p>
    <w:p>
      <w:pPr>
        <w:ind w:right="24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Effect on Registration and Stock Trading.</w:t>
      </w:r>
      <w:r>
        <w:rPr>
          <w:rFonts w:ascii="Times New Roman" w:cs="Times New Roman" w:eastAsia="Times New Roman" w:hAnsi="Times New Roman"/>
          <w:sz w:val="12"/>
          <w:szCs w:val="12"/>
          <w:color w:val="auto"/>
        </w:rPr>
        <w:t xml:space="preserve"> Our Common Stock is currently registered under Section 12(b) of the Exchange Act, and NFE is subject to the periodic reporting and other requirements of the Exchange Act. The proposed Reverse Split will not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color w:val="auto"/>
        </w:rPr>
        <w:t>affect the registration of our Common Stock under the Exchange Act. If the Reverse Split is approved and effected, our Common Stock will receive a new CUSIP number.</w:t>
      </w:r>
    </w:p>
    <w:p>
      <w:pPr>
        <w:spacing w:after="0" w:line="159" w:lineRule="exact"/>
        <w:rPr>
          <w:sz w:val="20"/>
          <w:szCs w:val="20"/>
          <w:color w:val="auto"/>
        </w:rPr>
      </w:pPr>
    </w:p>
    <w:p>
      <w:pPr>
        <w:ind w:right="6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Mechanics of Reverse Split</w:t>
      </w:r>
      <w:r>
        <w:rPr>
          <w:rFonts w:ascii="Times New Roman" w:cs="Times New Roman" w:eastAsia="Times New Roman" w:hAnsi="Times New Roman"/>
          <w:sz w:val="12"/>
          <w:szCs w:val="12"/>
          <w:color w:val="auto"/>
        </w:rPr>
        <w:t>. The mechanics of the Reverse Split will differ depending upon whether a stockholder holds its shares of Common Stock in brokerage accounts or “street name” or whether the shares are registered directly in a stockholder’s name and held in book-entry form.</w:t>
      </w:r>
    </w:p>
    <w:p>
      <w:pPr>
        <w:spacing w:after="0" w:line="128" w:lineRule="exact"/>
        <w:rPr>
          <w:sz w:val="20"/>
          <w:szCs w:val="20"/>
          <w:color w:val="auto"/>
        </w:rPr>
      </w:pPr>
    </w:p>
    <w:p>
      <w:pPr>
        <w:ind w:right="60" w:firstLine="432"/>
        <w:spacing w:after="0" w:line="249" w:lineRule="auto"/>
        <w:rPr>
          <w:sz w:val="20"/>
          <w:szCs w:val="20"/>
          <w:color w:val="auto"/>
        </w:rPr>
      </w:pPr>
      <w:r>
        <w:rPr>
          <w:rFonts w:ascii="Times New Roman" w:cs="Times New Roman" w:eastAsia="Times New Roman" w:hAnsi="Times New Roman"/>
          <w:sz w:val="12"/>
          <w:szCs w:val="12"/>
          <w:color w:val="auto"/>
        </w:rPr>
        <w:t>Our stockholders who hold shares of Common Stock in “street name” through a nominee (such as a bank or broker) will be treated in the same manner as stockholders whose shares are registered in their names, and nominees will be instructed to effect the Reverse Split for their beneficial holders. However, nominees may have different procedures for processing the Reverse Split and stockholders holding shares in “street name” are encouraged to contact their nominees.</w:t>
      </w:r>
    </w:p>
    <w:p>
      <w:pPr>
        <w:spacing w:after="0" w:line="138" w:lineRule="exact"/>
        <w:rPr>
          <w:sz w:val="20"/>
          <w:szCs w:val="20"/>
          <w:color w:val="auto"/>
        </w:rPr>
      </w:pPr>
    </w:p>
    <w:p>
      <w:pPr>
        <w:ind w:right="80" w:firstLine="432"/>
        <w:spacing w:after="0" w:line="241" w:lineRule="auto"/>
        <w:rPr>
          <w:sz w:val="20"/>
          <w:szCs w:val="20"/>
          <w:color w:val="auto"/>
        </w:rPr>
      </w:pPr>
      <w:r>
        <w:rPr>
          <w:rFonts w:ascii="Times New Roman" w:cs="Times New Roman" w:eastAsia="Times New Roman" w:hAnsi="Times New Roman"/>
          <w:sz w:val="12"/>
          <w:szCs w:val="12"/>
          <w:color w:val="auto"/>
        </w:rPr>
        <w:t>Our registered stockholders may hold some or all of their shares of Common Stock electronically in book-entry form under the direct registration system for securities. These stockholders will not have stock certificates evidencing their ownership of our Common Stock. They are, however, provided with a statement reflecting the number of shares registered in their accounts. Stockholders holding registered shares of our Common Stock in book-entry form need not take any action to receive post-Reverse Split shares as a transaction statement will automatically be sent to the stockholder’s address of record indicating the number of shares held.</w:t>
      </w:r>
    </w:p>
    <w:p>
      <w:pPr>
        <w:spacing w:after="0" w:line="142" w:lineRule="exact"/>
        <w:rPr>
          <w:sz w:val="20"/>
          <w:szCs w:val="20"/>
          <w:color w:val="auto"/>
        </w:rPr>
      </w:pPr>
    </w:p>
    <w:p>
      <w:pPr>
        <w:ind w:firstLine="432"/>
        <w:spacing w:after="0" w:line="244" w:lineRule="auto"/>
        <w:rPr>
          <w:sz w:val="20"/>
          <w:szCs w:val="20"/>
          <w:color w:val="auto"/>
        </w:rPr>
      </w:pPr>
      <w:r>
        <w:rPr>
          <w:rFonts w:ascii="Times New Roman" w:cs="Times New Roman" w:eastAsia="Times New Roman" w:hAnsi="Times New Roman"/>
          <w:sz w:val="12"/>
          <w:szCs w:val="12"/>
          <w:u w:val="single" w:color="auto"/>
          <w:color w:val="auto"/>
        </w:rPr>
        <w:t>Treatment of Fractional Shares</w:t>
      </w:r>
      <w:r>
        <w:rPr>
          <w:rFonts w:ascii="Times New Roman" w:cs="Times New Roman" w:eastAsia="Times New Roman" w:hAnsi="Times New Roman"/>
          <w:sz w:val="12"/>
          <w:szCs w:val="12"/>
          <w:color w:val="auto"/>
        </w:rPr>
        <w:t>. Stockholders who would otherwise hold fractional shares because the number of shares of our Common Stock they hold before the Reverse Split is not evenly divisible based on the Approved Split Ratio, will be entitled to receive cash (without interest or deduction) in lieu of such fractional shares from our transfer agent, upon receipt by our transfer agent of a properly completed and duly executed transmittal letter and, in an amount per share equal to the product obtained by multiplying (a) the closing price per share of our Common Stock on the effective date for the Reverse Split as reported on Nasdaq, after giving effect to the Reverse Split, by (b) the fraction of the share owned by the stockholder, without interest. The ownership of a fractional share interest will not give the holder any voting, dividend, or other rights, except to receive the above-described cash payment.</w:t>
      </w:r>
    </w:p>
    <w:p>
      <w:pPr>
        <w:spacing w:after="0" w:line="141" w:lineRule="exact"/>
        <w:rPr>
          <w:sz w:val="20"/>
          <w:szCs w:val="20"/>
          <w:color w:val="auto"/>
        </w:rPr>
      </w:pPr>
    </w:p>
    <w:p>
      <w:pPr>
        <w:ind w:right="10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Effect on Authorized but Unissued Shares of Capital Stock</w:t>
      </w:r>
      <w:r>
        <w:rPr>
          <w:rFonts w:ascii="Times New Roman" w:cs="Times New Roman" w:eastAsia="Times New Roman" w:hAnsi="Times New Roman"/>
          <w:sz w:val="12"/>
          <w:szCs w:val="12"/>
          <w:color w:val="auto"/>
        </w:rPr>
        <w:t>. We are currently authorized to issue up to a total of 750,000,000 shares of Common Stock, of which 285,634,650 shares were issued and outstanding as of April 30, 2026. The Reverse Split would not have any effect on the authorized number of shares of our Common Stock.</w:t>
      </w:r>
    </w:p>
    <w:p>
      <w:pPr>
        <w:spacing w:after="0" w:line="128" w:lineRule="exact"/>
        <w:rPr>
          <w:sz w:val="20"/>
          <w:szCs w:val="20"/>
          <w:color w:val="auto"/>
        </w:rPr>
      </w:pPr>
    </w:p>
    <w:p>
      <w:pPr>
        <w:ind w:right="20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Accounting Consequences</w:t>
      </w:r>
      <w:r>
        <w:rPr>
          <w:rFonts w:ascii="Times New Roman" w:cs="Times New Roman" w:eastAsia="Times New Roman" w:hAnsi="Times New Roman"/>
          <w:sz w:val="12"/>
          <w:szCs w:val="12"/>
          <w:color w:val="auto"/>
        </w:rPr>
        <w:t>. The Reverse Split will not affect the par value of our Common Stock per share, which will remain $0.01 per share. As a result, the total of the stated capital attributable to Common Stock and the additional paid-in capital account on our balance sheet will not change due to the Reverse Split. Reported per share net income or loss will be higher because there will be fewer shares of Common Stock outstanding.</w:t>
      </w:r>
    </w:p>
    <w:p>
      <w:pPr>
        <w:spacing w:after="0" w:line="128" w:lineRule="exact"/>
        <w:rPr>
          <w:sz w:val="20"/>
          <w:szCs w:val="20"/>
          <w:color w:val="auto"/>
        </w:rPr>
      </w:pPr>
    </w:p>
    <w:p>
      <w:pPr>
        <w:ind w:right="40" w:firstLine="432"/>
        <w:spacing w:after="0" w:line="264" w:lineRule="auto"/>
        <w:rPr>
          <w:sz w:val="20"/>
          <w:szCs w:val="20"/>
          <w:color w:val="auto"/>
        </w:rPr>
      </w:pPr>
      <w:r>
        <w:rPr>
          <w:rFonts w:ascii="Times New Roman" w:cs="Times New Roman" w:eastAsia="Times New Roman" w:hAnsi="Times New Roman"/>
          <w:sz w:val="12"/>
          <w:szCs w:val="12"/>
          <w:u w:val="single" w:color="auto"/>
          <w:color w:val="auto"/>
        </w:rPr>
        <w:t>No Going Private Transaction</w:t>
      </w:r>
      <w:r>
        <w:rPr>
          <w:rFonts w:ascii="Times New Roman" w:cs="Times New Roman" w:eastAsia="Times New Roman" w:hAnsi="Times New Roman"/>
          <w:sz w:val="12"/>
          <w:szCs w:val="12"/>
          <w:color w:val="auto"/>
        </w:rPr>
        <w:t>. Notwithstanding the decrease in the number of outstanding shares following the implementation of the Reverse Split, the Board of Directors does not intend for this transaction to be the first step in a “going private transaction” within the meaning of Rule 13e-3 of the Exchange Act, and the implementation of the proposed Reverse Split would not cause the Company to go private.</w:t>
      </w:r>
    </w:p>
    <w:p>
      <w:pPr>
        <w:spacing w:after="0" w:line="128" w:lineRule="exact"/>
        <w:rPr>
          <w:sz w:val="20"/>
          <w:szCs w:val="20"/>
          <w:color w:val="auto"/>
        </w:rPr>
      </w:pPr>
    </w:p>
    <w:p>
      <w:pPr>
        <w:ind w:right="240" w:firstLine="432"/>
        <w:spacing w:after="0" w:line="248" w:lineRule="auto"/>
        <w:rPr>
          <w:sz w:val="20"/>
          <w:szCs w:val="20"/>
          <w:color w:val="auto"/>
        </w:rPr>
      </w:pPr>
      <w:r>
        <w:rPr>
          <w:rFonts w:ascii="Times New Roman" w:cs="Times New Roman" w:eastAsia="Times New Roman" w:hAnsi="Times New Roman"/>
          <w:sz w:val="12"/>
          <w:szCs w:val="12"/>
          <w:u w:val="single" w:color="auto"/>
          <w:color w:val="auto"/>
        </w:rPr>
        <w:t>No Dissenters’ Rights</w:t>
      </w:r>
      <w:r>
        <w:rPr>
          <w:rFonts w:ascii="Times New Roman" w:cs="Times New Roman" w:eastAsia="Times New Roman" w:hAnsi="Times New Roman"/>
          <w:sz w:val="12"/>
          <w:szCs w:val="12"/>
          <w:color w:val="auto"/>
        </w:rPr>
        <w:t>. Under the DGCL, stockholders will not be entitled to dissenters’ rights with respect to the proposed amendment to the Certificate of Incorporation to effect the Reverse Split, and we do not intend to independently provide stockholders with any such right.</w:t>
      </w:r>
    </w:p>
    <w:p>
      <w:pPr>
        <w:spacing w:after="0" w:line="138" w:lineRule="exact"/>
        <w:rPr>
          <w:sz w:val="20"/>
          <w:szCs w:val="20"/>
          <w:color w:val="auto"/>
        </w:rPr>
      </w:pPr>
    </w:p>
    <w:p>
      <w:pPr>
        <w:ind w:right="60" w:firstLine="432"/>
        <w:spacing w:after="0" w:line="244" w:lineRule="auto"/>
        <w:rPr>
          <w:sz w:val="20"/>
          <w:szCs w:val="20"/>
          <w:color w:val="auto"/>
        </w:rPr>
      </w:pPr>
      <w:r>
        <w:rPr>
          <w:rFonts w:ascii="Times New Roman" w:cs="Times New Roman" w:eastAsia="Times New Roman" w:hAnsi="Times New Roman"/>
          <w:sz w:val="12"/>
          <w:szCs w:val="12"/>
          <w:u w:val="single" w:color="auto"/>
          <w:color w:val="auto"/>
        </w:rPr>
        <w:t>Certain U.S. Federal Income Tax Considerations</w:t>
      </w:r>
      <w:r>
        <w:rPr>
          <w:rFonts w:ascii="Times New Roman" w:cs="Times New Roman" w:eastAsia="Times New Roman" w:hAnsi="Times New Roman"/>
          <w:sz w:val="12"/>
          <w:szCs w:val="12"/>
          <w:color w:val="auto"/>
        </w:rPr>
        <w:t>. The following discussion is a general summary of certain U.S. federal income tax considerations related to the Reverse Split that may be relevant to holders of Common Stock that hold such Common Stock as a capital asset for U.S. federal income tax purposes (generally, property held for investment). This summary is based upon the provisions of the Code, final and temporary Treasury Regulations promulgated thereunder, administrative rulings and judicial decisions as of the date hereof, all of which may change, possibly with retroactive effect, resulting in U.S. federal income tax consequences that may differ from those discussed below.</w:t>
      </w:r>
    </w:p>
    <w:p>
      <w:pPr>
        <w:spacing w:after="0" w:line="141"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2"/>
          <w:szCs w:val="12"/>
          <w:color w:val="auto"/>
        </w:rPr>
        <w:t>This discussion applies only to holders that are U.S. holders (as defined below) and does not address all aspects of U.S. federal income taxation that may be relevant to such holders in light of their particular circumstances or to holders that may be subject to special tax rules, including: (1) holders subject to an alternative minimum tax; (2) banks, insurance companies, or other financial institutions; (3) tax-exempt organizations; (4) dealers in securities or commodities; (5) regulated investment companies or real estate investment trusts; (6) partnerships (or other flow-through entities for U.S. federal income tax purposes) and their partners (or owners); (7) traders in securities that elect to use a mark-to-market method of accounting for their securities holdings; (8) U.S. holders (as defined below) whose “functional currency” is not the U.S. dollar; (9) persons holding Common Stock as a position in a hedging transaction, “straddle,” “conversion transaction,” “constructive sale,” or other integrated transaction; (10) persons who acquire shares of Common Stock in connection with employment or other performance of services; or (11) expatriates or former long-term residents of the United States. If a partnership (including any entity or arrangement classified as a partnership for U.S. federal income tax purposes) or other pass-through entity or arrangement holds shares of Common Stock, the tax treatment of a holder that is a partner 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color w:val="auto"/>
        </w:rPr>
        <w:t>the partnership or beneficial owner of the pass-through entity generally will depend upon the status of the partner or owner and the activities of the partnership, entity or arrangement.</w:t>
      </w:r>
    </w:p>
    <w:p>
      <w:pPr>
        <w:spacing w:after="0" w:line="159" w:lineRule="exact"/>
        <w:rPr>
          <w:sz w:val="20"/>
          <w:szCs w:val="20"/>
          <w:color w:val="auto"/>
        </w:rPr>
      </w:pPr>
    </w:p>
    <w:p>
      <w:pPr>
        <w:ind w:firstLine="432"/>
        <w:spacing w:after="0" w:line="249" w:lineRule="auto"/>
        <w:rPr>
          <w:sz w:val="20"/>
          <w:szCs w:val="20"/>
          <w:color w:val="auto"/>
        </w:rPr>
      </w:pPr>
      <w:r>
        <w:rPr>
          <w:rFonts w:ascii="Times New Roman" w:cs="Times New Roman" w:eastAsia="Times New Roman" w:hAnsi="Times New Roman"/>
          <w:sz w:val="12"/>
          <w:szCs w:val="12"/>
          <w:color w:val="auto"/>
        </w:rPr>
        <w:t>We have not sought, and will not seek, an opinion of counsel or a ruling from the Internal Revenue Service (“IRS”) regarding the U.S. federal income tax consequences of the Reverse Split and there can be no assurance that the IRS will not challenge the statements and conclusions set forth below or a court would not sustain any such challenge. The following summary does not address any U.S. state or local or any foreign tax consequences, any estate, gift or other non-U.S. federal income tax consequences, or the Medicare tax on net investment income.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EACH HOLDER OF COMMON STOCK SHOULD CONSULT SUCH HOLDER’S TAX ADVISOR WITH RESPECT TO THE PARTICULAR TAX CONSEQUENCES OF THE REVERSE SPLIT TO SUCH HOLDER.</w:t>
      </w:r>
    </w:p>
    <w:p>
      <w:pPr>
        <w:spacing w:after="0" w:line="159"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12"/>
          <w:szCs w:val="12"/>
          <w:color w:val="auto"/>
        </w:rPr>
        <w:t>For purposes of the discussion below, a “U.S. holder” is a beneficial owner of shares of Common Stock that for U.S. federal income tax purposes is: (1) an individual citizen or resident of the United States; (2) a corporation (including any entity taxable as a corporation for U.S. federal income tax purposes) created or organized in or under the laws of the United States, any state or political subdivision thereof; (3) an estate the income of which is subject to U.S. federal income taxation regardless of its source; or (4)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143" w:lineRule="exact"/>
        <w:rPr>
          <w:sz w:val="20"/>
          <w:szCs w:val="20"/>
          <w:color w:val="auto"/>
        </w:rPr>
      </w:pPr>
    </w:p>
    <w:p>
      <w:pPr>
        <w:ind w:firstLine="432"/>
        <w:spacing w:after="0"/>
        <w:rPr>
          <w:sz w:val="20"/>
          <w:szCs w:val="20"/>
          <w:color w:val="auto"/>
        </w:rPr>
      </w:pPr>
      <w:r>
        <w:rPr>
          <w:rFonts w:ascii="Times New Roman" w:cs="Times New Roman" w:eastAsia="Times New Roman" w:hAnsi="Times New Roman"/>
          <w:sz w:val="12"/>
          <w:szCs w:val="12"/>
          <w:color w:val="auto"/>
        </w:rPr>
        <w:t>The Reverse Split is intended to be treated as a “recapitalization,” within the meaning of Section 368(a)(1)(E) of the Code, for U.S. federal income tax purposes. Assuming the Reverse Split is so treated, a U.S. holder generally should not recognize gain or loss upon the Reverse Split, except with respect to cash received in lieu of a fractional share of Common Stock, as discussed below. A U.S. holder’s aggregate tax basis in the shares of Common Stock received pursuant to the Reverse Split should equal the aggregate tax basis of the shares of Common Stock surrendered (excluding any portion of such basis that is allocated to any fractional share of Common Stock), and such U.S. holder’s holding period in the shares of Common Stock received should include the holding period in the shares of Common Stock surrendered. Treasury Regulations promulgated under the Code provide detailed rules for allocating the tax basis and holding period of the shares of Common Stock surrendered to the shares of Common Stock received pursuant to the Reverse Split. Holders of shares of Common Stock acquired on different dates and at different prices should consult their tax advisors regarding the allocation of the tax basis and holding period of such shares.</w:t>
      </w:r>
    </w:p>
    <w:p>
      <w:pPr>
        <w:spacing w:after="0" w:line="144" w:lineRule="exact"/>
        <w:rPr>
          <w:sz w:val="20"/>
          <w:szCs w:val="20"/>
          <w:color w:val="auto"/>
        </w:rPr>
      </w:pPr>
    </w:p>
    <w:p>
      <w:pPr>
        <w:jc w:val="both"/>
        <w:ind w:right="120" w:firstLine="432"/>
        <w:spacing w:after="0" w:line="249" w:lineRule="auto"/>
        <w:rPr>
          <w:sz w:val="20"/>
          <w:szCs w:val="20"/>
          <w:color w:val="auto"/>
        </w:rPr>
      </w:pPr>
      <w:r>
        <w:rPr>
          <w:rFonts w:ascii="Times New Roman" w:cs="Times New Roman" w:eastAsia="Times New Roman" w:hAnsi="Times New Roman"/>
          <w:sz w:val="12"/>
          <w:szCs w:val="12"/>
          <w:color w:val="auto"/>
        </w:rPr>
        <w:t>A U.S. holder that receives cash in lieu of a fractional share of Common Stock pursuant to the Reverse Split should recognize capital gain or loss in an amount equal to the difference between the amount of cash received and the U.S. holder’s tax basis in the shares of Common Stock surrendered that is allocated to such fractional share. Such capital gain or loss should be long-term capital gain or loss if the U.S. holder’s holding period for Common Stock surrendered exceeds one year at the effective time of the Reverse Split.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Not Obtaining Required Vote for Approval of the Charter Amendment Proposal</w:t>
      </w:r>
    </w:p>
    <w:p>
      <w:pPr>
        <w:spacing w:after="0" w:line="163" w:lineRule="exact"/>
        <w:rPr>
          <w:sz w:val="20"/>
          <w:szCs w:val="20"/>
          <w:color w:val="auto"/>
        </w:rPr>
      </w:pPr>
    </w:p>
    <w:p>
      <w:pPr>
        <w:ind w:right="40" w:firstLine="432"/>
        <w:spacing w:after="0" w:line="238" w:lineRule="auto"/>
        <w:rPr>
          <w:sz w:val="20"/>
          <w:szCs w:val="20"/>
          <w:color w:val="auto"/>
        </w:rPr>
      </w:pPr>
      <w:r>
        <w:rPr>
          <w:rFonts w:ascii="Times New Roman" w:cs="Times New Roman" w:eastAsia="Times New Roman" w:hAnsi="Times New Roman"/>
          <w:sz w:val="12"/>
          <w:szCs w:val="12"/>
          <w:color w:val="auto"/>
        </w:rPr>
        <w:t>The Restructuring Transaction is conditioned upon the approval of the Restructuring Transaction Proposals, including the Charter Amendment Proposal. Accordingly, if the Charter Amendment Proposal is not approved, we will be unable to complete the Restructuring Transaction. If we are unable to complete the Restructuring Transaction on the terms currently contemplated, the Company will be required or compelled to pursue alternative in-court restructuring initiatives to preserve value, which would have a material and adverse impact on stockholders and likely result in no recovery to stockholders. These alternatives involve significant uncertainties, potential delays, costs and other risks, and there can be no assurance that any of these alternatives will be available on acceptable terms, or at all, in the current market environment or in the foreseeable future. See “</w:t>
      </w:r>
      <w:r>
        <w:rPr>
          <w:rFonts w:ascii="Times New Roman" w:cs="Times New Roman" w:eastAsia="Times New Roman" w:hAnsi="Times New Roman"/>
          <w:sz w:val="12"/>
          <w:szCs w:val="12"/>
          <w:i w:val="1"/>
          <w:iCs w:val="1"/>
          <w:color w:val="auto"/>
        </w:rPr>
        <w:t>Risk Factors—Our ability to continue as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going concern is dependent upon our ability to complete the Restructuring Transaction and delay capital expenditures</w:t>
      </w:r>
      <w:r>
        <w:rPr>
          <w:rFonts w:ascii="Times New Roman" w:cs="Times New Roman" w:eastAsia="Times New Roman" w:hAnsi="Times New Roman"/>
          <w:sz w:val="12"/>
          <w:szCs w:val="12"/>
          <w:color w:val="auto"/>
        </w:rPr>
        <w:t>.”</w:t>
      </w:r>
    </w:p>
    <w:p>
      <w:pPr>
        <w:spacing w:after="0" w:line="144" w:lineRule="exact"/>
        <w:rPr>
          <w:sz w:val="20"/>
          <w:szCs w:val="20"/>
          <w:color w:val="auto"/>
        </w:rPr>
      </w:pPr>
    </w:p>
    <w:p>
      <w:pPr>
        <w:ind w:right="100" w:firstLine="432"/>
        <w:spacing w:after="0" w:line="249" w:lineRule="auto"/>
        <w:rPr>
          <w:sz w:val="20"/>
          <w:szCs w:val="20"/>
          <w:color w:val="auto"/>
        </w:rPr>
      </w:pPr>
      <w:r>
        <w:rPr>
          <w:rFonts w:ascii="Times New Roman" w:cs="Times New Roman" w:eastAsia="Times New Roman" w:hAnsi="Times New Roman"/>
          <w:sz w:val="12"/>
          <w:szCs w:val="12"/>
          <w:color w:val="auto"/>
        </w:rPr>
        <w:t>Additionally, if the Reverse Split is not approved as part of the Charter Amendment Proposal, there is a possibility that our Common Stock could be delisted from the Nasdaq Global Select Market if the minimum bid price of our securities does not satisfy Nasdaq listing requirements, and it is possible we will not realize the other benefits described above of having higher priced securities. If we are unable to regain compliance and our Common Stock is subsequently delisted, it could significantly and negatively affect our ability to obtain debt or equity financing in order to support our continuing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63" w:lineRule="exact"/>
        <w:rPr>
          <w:sz w:val="20"/>
          <w:szCs w:val="20"/>
          <w:color w:val="auto"/>
        </w:rPr>
      </w:pPr>
    </w:p>
    <w:p>
      <w:pPr>
        <w:ind w:right="80" w:firstLine="432"/>
        <w:spacing w:after="0" w:line="264" w:lineRule="auto"/>
        <w:rPr>
          <w:sz w:val="20"/>
          <w:szCs w:val="20"/>
          <w:color w:val="auto"/>
        </w:rPr>
      </w:pPr>
      <w:r>
        <w:rPr>
          <w:rFonts w:ascii="Times New Roman" w:cs="Times New Roman" w:eastAsia="Times New Roman" w:hAnsi="Times New Roman"/>
          <w:sz w:val="12"/>
          <w:szCs w:val="12"/>
          <w:color w:val="auto"/>
        </w:rPr>
        <w:t>Approval of the Charter Amendment Proposal requires the affirmative vote of a majority of the total votes that may be cast in the election of directors by holders of all issued and outstanding shares of the Company entitled to vote. Abstentions and broker non-votes, if any, will have the same effect as a vote “AGAINST” the Charter Amendment Proposal.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approval of the Charter Amendment Proposal.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2" w:right="319" w:bottom="1440" w:gutter="0" w:footer="0" w:header="0"/>
        </w:sectPr>
      </w:pPr>
    </w:p>
    <w:bookmarkStart w:id="81" w:name="page82"/>
    <w:bookmarkEnd w:id="81"/>
    <w:p>
      <w:pPr>
        <w:ind w:left="5360"/>
        <w:spacing w:after="0"/>
        <w:rPr>
          <w:sz w:val="20"/>
          <w:szCs w:val="20"/>
          <w:color w:val="auto"/>
        </w:rPr>
      </w:pPr>
      <w:r>
        <w:rPr>
          <w:rFonts w:ascii="Times New Roman" w:cs="Times New Roman" w:eastAsia="Times New Roman" w:hAnsi="Times New Roman"/>
          <w:sz w:val="12"/>
          <w:szCs w:val="12"/>
          <w:b w:val="1"/>
          <w:bCs w:val="1"/>
          <w:color w:val="auto"/>
        </w:rPr>
        <w:t>PROPOSAL NO. 4</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THE STOCK ISSUANCE PROPOSAL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 for Request for Stockholder Approval</w:t>
      </w:r>
    </w:p>
    <w:p>
      <w:pPr>
        <w:spacing w:after="0" w:line="163" w:lineRule="exact"/>
        <w:rPr>
          <w:sz w:val="20"/>
          <w:szCs w:val="20"/>
          <w:color w:val="auto"/>
        </w:rPr>
      </w:pPr>
    </w:p>
    <w:p>
      <w:pPr>
        <w:ind w:right="60" w:firstLine="432"/>
        <w:spacing w:after="0" w:line="244" w:lineRule="auto"/>
        <w:rPr>
          <w:sz w:val="20"/>
          <w:szCs w:val="20"/>
          <w:color w:val="auto"/>
        </w:rPr>
      </w:pPr>
      <w:r>
        <w:rPr>
          <w:rFonts w:ascii="Times New Roman" w:cs="Times New Roman" w:eastAsia="Times New Roman" w:hAnsi="Times New Roman"/>
          <w:sz w:val="12"/>
          <w:szCs w:val="12"/>
          <w:color w:val="auto"/>
        </w:rPr>
        <w:t>As a result of our Common Stock being listed for trading on Nasdaq, issuances of our Common Stock are subject to the Nasdaq Listing Rules, including Nasdaq Listing Rule 5635. Pursuant to Nasdaq Listing Rule 5635(d), stockholder approval is required prior to the issuance of securities in a transaction, other than a public offering, involving the sale, issuance or potential issuance by the Company of Common Stock (or securities convertible into or exercisable for Common Stock), which equals 20% or more of the Common Stock or 20% or more of the voting power outstanding before the issuance, at a price below than the lesser of: (i) the closing price immediately preceding the signing of the binding agreement or (ii) the average closing price of the Common Stock for the five trading days immediately preceding the signing of the binding agreement for the transaction.</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part of the Proposed CoreCo Equity Issuances, and assuming the approval of Proposal 5, the Company will:</w:t>
      </w:r>
    </w:p>
    <w:p>
      <w:pPr>
        <w:spacing w:after="0" w:line="159" w:lineRule="exact"/>
        <w:rPr>
          <w:sz w:val="20"/>
          <w:szCs w:val="20"/>
          <w:color w:val="auto"/>
        </w:rPr>
      </w:pPr>
    </w:p>
    <w:p>
      <w:pPr>
        <w:ind w:firstLine="424"/>
        <w:spacing w:after="0" w:line="264" w:lineRule="auto"/>
        <w:tabs>
          <w:tab w:leader="none" w:pos="685"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to certain of the Supporting Creditors a number of shares of Common Stock as is sufficient for such Supporting Creditors to hold 65% of the Common Stock outstanding as of the Restructuring Effective Date (before giving effect to the NFE MIP or any conversion of the CoreCo Convertible Preferred Stock);</w:t>
      </w:r>
    </w:p>
    <w:p>
      <w:pPr>
        <w:spacing w:after="0" w:line="128" w:lineRule="exact"/>
        <w:rPr>
          <w:rFonts w:ascii="Times New Roman" w:cs="Times New Roman" w:eastAsia="Times New Roman" w:hAnsi="Times New Roman"/>
          <w:sz w:val="12"/>
          <w:szCs w:val="12"/>
          <w:color w:val="auto"/>
        </w:rPr>
      </w:pPr>
    </w:p>
    <w:p>
      <w:pPr>
        <w:ind w:left="680" w:hanging="256"/>
        <w:spacing w:after="0"/>
        <w:tabs>
          <w:tab w:leader="none" w:pos="6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 the issuance of a number of shares of Common Stock under the Amended and Restated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purposes of the NFE MIP equal to 10% of the Common Stock outstanding as of the Restructuring Effective Date (giving effect to the issuances described in (a) and (b)); and</w:t>
      </w:r>
    </w:p>
    <w:p>
      <w:pPr>
        <w:spacing w:after="0" w:line="138" w:lineRule="exact"/>
        <w:rPr>
          <w:sz w:val="20"/>
          <w:szCs w:val="20"/>
          <w:color w:val="auto"/>
        </w:rPr>
      </w:pPr>
    </w:p>
    <w:p>
      <w:pPr>
        <w:ind w:right="120" w:firstLine="424"/>
        <w:spacing w:after="0" w:line="249" w:lineRule="auto"/>
        <w:tabs>
          <w:tab w:leader="none" w:pos="685"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issue to certain of the Supporting Creditors shares of CoreCo Convertible Preferred Stock and (ii) authorize the issuance under the Amended and Restated Incentive Plan (for purposes of the NFE MIP) shares of CoreCo Convertible Preferred Stock, which together mandatorily convert after three years into a number of shares of Common Stock representing 87% of the Common Stock outstanding as of the Restructuring Effective Date (giving effect to the issuances described in (a)-(c)).</w:t>
      </w:r>
    </w:p>
    <w:p>
      <w:pPr>
        <w:spacing w:after="0" w:line="138" w:lineRule="exact"/>
        <w:rPr>
          <w:sz w:val="20"/>
          <w:szCs w:val="20"/>
          <w:color w:val="auto"/>
        </w:rPr>
      </w:pPr>
    </w:p>
    <w:p>
      <w:pPr>
        <w:ind w:right="240" w:firstLine="432"/>
        <w:spacing w:after="0" w:line="264" w:lineRule="auto"/>
        <w:rPr>
          <w:sz w:val="20"/>
          <w:szCs w:val="20"/>
          <w:color w:val="auto"/>
        </w:rPr>
      </w:pPr>
      <w:r>
        <w:rPr>
          <w:rFonts w:ascii="Times New Roman" w:cs="Times New Roman" w:eastAsia="Times New Roman" w:hAnsi="Times New Roman"/>
          <w:sz w:val="12"/>
          <w:szCs w:val="12"/>
          <w:color w:val="auto"/>
        </w:rPr>
        <w:t>The Proposed CoreCo Equity Issuances represent a dilution to existing holders of Common Stock of approximately 96%. Consequently, we are seeking stockholder approval pursuant to Nasdaq Listing Rule 5635(d) of the Proposed CoreCo Equity Issuances in connection with the Restructuring Transaction.</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a more detailed description of the Proposed CoreCo Equity Issuances and the dilution to existing stockholders, see "Background of the Restructuring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Preemptive Rights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stockholders do not have a preemptive right to purchase or subscribe for any part of any new or additional issuance of our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Not Obtaining Required Vote for Approval of the Stock Issuance Proposal</w:t>
      </w:r>
    </w:p>
    <w:p>
      <w:pPr>
        <w:spacing w:after="0" w:line="163" w:lineRule="exact"/>
        <w:rPr>
          <w:sz w:val="20"/>
          <w:szCs w:val="20"/>
          <w:color w:val="auto"/>
        </w:rPr>
      </w:pPr>
    </w:p>
    <w:p>
      <w:pPr>
        <w:ind w:right="60" w:firstLine="432"/>
        <w:spacing w:after="0" w:line="244" w:lineRule="auto"/>
        <w:rPr>
          <w:sz w:val="20"/>
          <w:szCs w:val="20"/>
          <w:color w:val="auto"/>
        </w:rPr>
      </w:pPr>
      <w:r>
        <w:rPr>
          <w:rFonts w:ascii="Times New Roman" w:cs="Times New Roman" w:eastAsia="Times New Roman" w:hAnsi="Times New Roman"/>
          <w:sz w:val="12"/>
          <w:szCs w:val="12"/>
          <w:color w:val="auto"/>
        </w:rPr>
        <w:t>The Restructuring Transaction is conditioned upon the approval of each of the Restructuring Transaction Proposals, including the Stock Issuance Proposal. If we are unable to complete the Restructuring Transaction on the terms currently contemplated, the Company will be required or compelled to pursue alternative in-court restructuring initiatives to preserve value, which would have a material and adverse impact on stockholders and likely result in no recovery to stockholders. These alternatives involve significant uncertainties, potential delays, costs and other risks, and there can be no assurance that any of these alternatives will be available on acceptable terms, or at all, in the current market environment or in the foreseeable future. See “</w:t>
      </w:r>
      <w:r>
        <w:rPr>
          <w:rFonts w:ascii="Times New Roman" w:cs="Times New Roman" w:eastAsia="Times New Roman" w:hAnsi="Times New Roman"/>
          <w:sz w:val="12"/>
          <w:szCs w:val="12"/>
          <w:i w:val="1"/>
          <w:iCs w:val="1"/>
          <w:color w:val="auto"/>
        </w:rPr>
        <w:t>Risk Factors—Our ability to continue as a going concern is dependent upon our ability to complete the Restructuring Transaction and delay capital expenditures</w:t>
      </w:r>
      <w:r>
        <w:rPr>
          <w:rFonts w:ascii="Times New Roman" w:cs="Times New Roman" w:eastAsia="Times New Roman" w:hAnsi="Times New Roman"/>
          <w:sz w:val="12"/>
          <w:szCs w:val="12"/>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63" w:lineRule="exact"/>
        <w:rPr>
          <w:sz w:val="20"/>
          <w:szCs w:val="20"/>
          <w:color w:val="auto"/>
        </w:rPr>
      </w:pPr>
    </w:p>
    <w:p>
      <w:pPr>
        <w:ind w:right="200" w:firstLine="432"/>
        <w:spacing w:after="0" w:line="264" w:lineRule="auto"/>
        <w:rPr>
          <w:sz w:val="20"/>
          <w:szCs w:val="20"/>
          <w:color w:val="auto"/>
        </w:rPr>
      </w:pPr>
      <w:r>
        <w:rPr>
          <w:rFonts w:ascii="Times New Roman" w:cs="Times New Roman" w:eastAsia="Times New Roman" w:hAnsi="Times New Roman"/>
          <w:sz w:val="12"/>
          <w:szCs w:val="12"/>
          <w:color w:val="auto"/>
        </w:rPr>
        <w:t>Approval of the Stock Issuance Proposal requires the affirmative vote of the holders of a majority in voting power of the votes cast by holders of Common Stock present in person or represented by proxy at the meeting and entitled to vote thereon. Abstentions and broker non-votes, if any, will have no effect on the vote on the Stock Issuance Proposal.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approval of the Stock Issuance Proposal.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NO. 5</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THE INCENTIVE PLAN PROPOSAL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Reason for Request for Stockholder Approval</w:t>
      </w:r>
    </w:p>
    <w:p>
      <w:pPr>
        <w:spacing w:after="0" w:line="154"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 xml:space="preserve">We are asking our stockholders to approve the amendment and restatement of the Incentive Plan (as amended and restated, the “Amended and Restated Incentive Plan”), attached to this Proxy Statement as </w:t>
      </w:r>
      <w:r>
        <w:rPr>
          <w:rFonts w:ascii="Times New Roman" w:cs="Times New Roman" w:eastAsia="Times New Roman" w:hAnsi="Times New Roman"/>
          <w:sz w:val="12"/>
          <w:szCs w:val="12"/>
          <w:u w:val="single" w:color="auto"/>
          <w:color w:val="auto"/>
        </w:rPr>
        <w:t>Annex C</w:t>
      </w:r>
      <w:r>
        <w:rPr>
          <w:rFonts w:ascii="Times New Roman" w:cs="Times New Roman" w:eastAsia="Times New Roman" w:hAnsi="Times New Roman"/>
          <w:sz w:val="12"/>
          <w:szCs w:val="12"/>
          <w:color w:val="auto"/>
        </w:rPr>
        <w:t>. The Amended and Restated Incentive Plan was adopted by our Board on May 6, 2026, subject to stockholder approval of the Amended and Restated Incentive Plan. If this Incentive Plan Proposal and the other Transaction Proposals are approved by our stockholders, the Amended and Restated Incentive Plan will become effective as of the Restructuring Effective Date. As of April 30, 2026, the closing price of a share of our Common Stock on NASDAQ was $0.69.</w:t>
      </w:r>
    </w:p>
    <w:p>
      <w:pPr>
        <w:spacing w:after="0" w:line="119" w:lineRule="exact"/>
        <w:rPr>
          <w:sz w:val="20"/>
          <w:szCs w:val="20"/>
          <w:color w:val="auto"/>
        </w:rPr>
      </w:pPr>
    </w:p>
    <w:p>
      <w:pPr>
        <w:ind w:firstLine="240"/>
        <w:spacing w:after="0" w:line="251" w:lineRule="auto"/>
        <w:rPr>
          <w:sz w:val="20"/>
          <w:szCs w:val="20"/>
          <w:color w:val="auto"/>
        </w:rPr>
      </w:pPr>
      <w:r>
        <w:rPr>
          <w:rFonts w:ascii="Times New Roman" w:cs="Times New Roman" w:eastAsia="Times New Roman" w:hAnsi="Times New Roman"/>
          <w:sz w:val="12"/>
          <w:szCs w:val="12"/>
          <w:color w:val="auto"/>
        </w:rPr>
        <w:t>The proposed Amended and Restated Incentive Plan would, among other things, (i) remove the evergreen provision and include a fixed maximum aggregate number of shares of Common Stock to be reserved for issuance equal to 10% of the total number of shares of Common Stock outstanding as of the Restructuring Effective Date (in addition to the number of shares of Common Stock subject to outstanding equity awards granted under the Incentive Plan as of the Restructuring Effective Date, which, as of April 30, 2026 was 49,587 shares of Common Stock) (the “New Common Stock Share Reserve”), (ii) provide for a new reserve of shares of CoreCo Convertible Preferred Stock for issuance thereunder equal to 7% of the total number of CoreCo Convertible Preferred Stock outstanding as of the Restructuring Effective Date (together with the New Common Stock Reserve, the “New Share Reserve”), (iii) extend the term of the Amended and Restated Incentive Plan to the tenth anniversary of the Restructuring Effective Date and (iv) certain other updates, including a revised definition of change in control. As of April 30, 2026, awards covering a total of 49,587 shares of Common Stock were subject to outstanding awards under the Incentive Plan and 28,356,107 shares of Common Stock remained available for future grants under the Incentive Plan.</w:t>
      </w:r>
    </w:p>
    <w:p>
      <w:pPr>
        <w:spacing w:after="0" w:line="1" w:lineRule="exact"/>
        <w:rPr>
          <w:sz w:val="20"/>
          <w:szCs w:val="20"/>
          <w:color w:val="auto"/>
        </w:rPr>
      </w:pPr>
    </w:p>
    <w:p>
      <w:pPr>
        <w:ind w:firstLine="240"/>
        <w:spacing w:after="0" w:line="234" w:lineRule="auto"/>
        <w:rPr>
          <w:sz w:val="20"/>
          <w:szCs w:val="20"/>
          <w:color w:val="auto"/>
        </w:rPr>
      </w:pPr>
      <w:r>
        <w:rPr>
          <w:rFonts w:ascii="Times New Roman" w:cs="Times New Roman" w:eastAsia="Times New Roman" w:hAnsi="Times New Roman"/>
          <w:sz w:val="12"/>
          <w:szCs w:val="12"/>
          <w:color w:val="auto"/>
        </w:rPr>
        <w:t>The New Share Reserve under the Amended and Restated Incentive Plan has been reviewed and approved by our Board. In the process, the Board determined that the existing number of shares available for issuance under the Incentive Plan was insufficient to meet our needs to provide long-term incentive grants on an ongoing and regular basis to motivate, reward and retain key employees who the Board believes will be important in creating stockholder value. The New Share Reserve will enable us to continue our policy of equity ownership by employees and directors as an incentive to contribute to our continued success and allows to grant awards under the NFE MIP, as described above in this Proxy Statement. We are asking our stockholders to approve the Amended and Restated Incentive Plan because we believe the availability of an adequate reserve of shares under the Incentive Plan is an integral part of our compensation program, as well as our continued growth and success. If the Amended and Restated Incentive Plan is not approved, we believe the foregoing goals will be adversely affected. In addition, the shares of CoreCo Convertible Preferred Stock and Common Stock issued pursuant to the Transactions will substantially increase the Company’s outstanding share count. The Amended and Restated Incentive Plan will help maintain alignment between the reserved shares and total shares outstanding, ensuring the Company can remain competitive in recruiting and retaining key personnel following any such issuance.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Historical Annual Share Usage</w:t>
      </w:r>
    </w:p>
    <w:p>
      <w:pPr>
        <w:spacing w:after="0" w:line="154" w:lineRule="exact"/>
        <w:rPr>
          <w:sz w:val="20"/>
          <w:szCs w:val="20"/>
          <w:color w:val="auto"/>
        </w:rPr>
      </w:pPr>
    </w:p>
    <w:p>
      <w:pPr>
        <w:ind w:right="100" w:firstLine="240"/>
        <w:spacing w:after="0" w:line="279" w:lineRule="auto"/>
        <w:rPr>
          <w:sz w:val="20"/>
          <w:szCs w:val="20"/>
          <w:color w:val="auto"/>
        </w:rPr>
      </w:pPr>
      <w:r>
        <w:rPr>
          <w:rFonts w:ascii="Times New Roman" w:cs="Times New Roman" w:eastAsia="Times New Roman" w:hAnsi="Times New Roman"/>
          <w:sz w:val="12"/>
          <w:szCs w:val="12"/>
          <w:color w:val="auto"/>
        </w:rPr>
        <w:t>While equity-based awards and incentives are an important part of our short and long-term incentive compensation program, we are mindful of our responsibility to our stockholders to exercise judgment in granting equity-based awards.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Overhang</w:t>
            </w:r>
          </w:p>
        </w:tc>
        <w:tc>
          <w:tcPr>
            <w:tcW w:w="3580" w:type="dxa"/>
            <w:vAlign w:val="bottom"/>
          </w:tcPr>
          <w:p>
            <w:pPr>
              <w:spacing w:after="0"/>
              <w:rPr>
                <w:sz w:val="13"/>
                <w:szCs w:val="13"/>
                <w:color w:val="auto"/>
              </w:rPr>
            </w:pPr>
          </w:p>
        </w:tc>
      </w:tr>
      <w:tr>
        <w:trPr>
          <w:trHeight w:val="288"/>
        </w:trPr>
        <w:tc>
          <w:tcPr>
            <w:tcW w:w="76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following table sets forth information about the Incentive Plan as of April 30, 2026:</w:t>
            </w:r>
          </w:p>
        </w:tc>
        <w:tc>
          <w:tcPr>
            <w:tcW w:w="3580" w:type="dxa"/>
            <w:vAlign w:val="bottom"/>
          </w:tcPr>
          <w:p>
            <w:pPr>
              <w:spacing w:after="0"/>
              <w:rPr>
                <w:sz w:val="24"/>
                <w:szCs w:val="24"/>
                <w:color w:val="auto"/>
              </w:rPr>
            </w:pPr>
          </w:p>
        </w:tc>
      </w:tr>
      <w:tr>
        <w:trPr>
          <w:trHeight w:val="180"/>
        </w:trPr>
        <w:tc>
          <w:tcPr>
            <w:tcW w:w="764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Number of full-value awards (restricted stock units (RSUs)) outstanding</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49,587</w:t>
            </w:r>
          </w:p>
        </w:tc>
      </w:tr>
      <w:tr>
        <w:trPr>
          <w:trHeight w:val="163"/>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Number of stock options outstanding</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7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exercise price of outstanding stock options.</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r>
      <w:tr>
        <w:trPr>
          <w:trHeight w:val="163"/>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remaining term of outstanding stock options (in years)</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r>
      <w:tr>
        <w:trPr>
          <w:trHeight w:val="17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Number of shares available for future issuance under the Incentive Plan</w:t>
            </w:r>
            <w:r>
              <w:rPr>
                <w:rFonts w:ascii="Times New Roman" w:cs="Times New Roman" w:eastAsia="Times New Roman" w:hAnsi="Times New Roman"/>
                <w:sz w:val="15"/>
                <w:szCs w:val="15"/>
                <w:color w:val="auto"/>
                <w:vertAlign w:val="superscript"/>
              </w:rPr>
              <w:t>(2)</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28,356,107</w:t>
            </w:r>
          </w:p>
        </w:tc>
      </w:tr>
      <w:tr>
        <w:trPr>
          <w:trHeight w:val="155"/>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Shares of Common Stock outstanding as of April 30, 2026</w:t>
            </w:r>
          </w:p>
        </w:tc>
        <w:tc>
          <w:tcPr>
            <w:tcW w:w="3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285,634,650</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Reflects shares of our Common Stock remaining available for issuance under the Incentive Plan as of April 30, 2026.</w:t>
      </w:r>
    </w:p>
    <w:p>
      <w:pPr>
        <w:spacing w:after="0" w:line="1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aggregate shares shown in the table above represent a fully diluted overhang of approximately 10%, which we refer to in this Proxy Statement as the “overhang percentage.”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43" w:right="339" w:bottom="1440" w:gutter="0" w:footer="0" w:header="0"/>
        </w:sectPr>
      </w:pPr>
    </w:p>
    <w:bookmarkStart w:id="83" w:name="page84"/>
    <w:bookmarkEnd w:id="83"/>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The New Share Reserve consisting of: (i) 10% of the total number of shares of Common Stock outstanding as of the Restructuring Effective Date (which, for these purposes, we assume will equal 90,677,667 shares of Common Stock), plus the number of shares of Common Stock subject to outstanding equity awards granted under the Incentive Plan as of the Restructuring Effective Date, which as of April 30, 2026 was 49,587 shares of Common Stock and (ii) 7% of the total number of CoreCo Convertible Preferred Stock outstanding as of the Restructuring Effective Date (which, for these purposes, we assume will equal 424,789,992 shares of Common Stock, assuming such shares of CoreCo Convertible Preferred Stock convert into shares of our Common Stock on a one for one basis), proposed to be added pursuant to the Amended and Restated Incentive Plan would result in an overhang percentage of approximately 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Share Usage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88"/>
        </w:trPr>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The annual share usage, or burn rate, under the Incentive Plan for the last three fiscal years was as follows: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2"/>
        </w:trPr>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Average</w:t>
            </w:r>
          </w:p>
        </w:tc>
      </w:tr>
      <w:tr>
        <w:trPr>
          <w:trHeight w:val="16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 - Stock Options Granted During the Fiscal Year</w:t>
            </w:r>
          </w:p>
        </w:tc>
        <w:tc>
          <w:tcPr>
            <w:tcW w:w="8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 – Full-Value Awards (RSUs) Granted During the Fiscal Year</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1,417,682</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2,786,112</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37,924</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1,413,906</w:t>
            </w:r>
          </w:p>
        </w:tc>
      </w:tr>
      <w:tr>
        <w:trPr>
          <w:trHeight w:val="179"/>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 – Full-Value Awards (PSUs) Vested During the Fiscal Year</w:t>
            </w:r>
            <w:r>
              <w:rPr>
                <w:rFonts w:ascii="Times New Roman" w:cs="Times New Roman" w:eastAsia="Times New Roman" w:hAnsi="Times New Roman"/>
                <w:sz w:val="15"/>
                <w:szCs w:val="15"/>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681,204</w:t>
            </w: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227,068</w:t>
            </w:r>
          </w:p>
        </w:tc>
      </w:tr>
      <w:tr>
        <w:trPr>
          <w:trHeight w:val="163"/>
        </w:trPr>
        <w:tc>
          <w:tcPr>
            <w:tcW w:w="5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D—Basic Weighted Average Shares of Common Stock Outstanding</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278,474,487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217,578,487</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205,942,837</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233,998,604</w:t>
            </w:r>
          </w:p>
        </w:tc>
      </w:tr>
      <w:tr>
        <w:trPr>
          <w:trHeight w:val="179"/>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Burn Rate (A + B + C) /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0.51 %</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1.28 %</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0.35 %</w:t>
            </w: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0.70 %</w:t>
            </w:r>
          </w:p>
        </w:tc>
      </w:tr>
    </w:tbl>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 PSUs were granted and vested under the Incentive Plan in each of the last three fiscal years as follows:</w:t>
            </w:r>
          </w:p>
        </w:tc>
        <w:tc>
          <w:tcPr>
            <w:tcW w:w="3040" w:type="dxa"/>
            <w:vAlign w:val="bottom"/>
          </w:tcPr>
          <w:p>
            <w:pPr>
              <w:spacing w:after="0"/>
              <w:rPr>
                <w:sz w:val="13"/>
                <w:szCs w:val="13"/>
                <w:color w:val="auto"/>
              </w:rPr>
            </w:pPr>
          </w:p>
        </w:tc>
      </w:tr>
      <w:tr>
        <w:trPr>
          <w:trHeight w:val="342"/>
        </w:trPr>
        <w:tc>
          <w:tcPr>
            <w:tcW w:w="200" w:type="dxa"/>
            <w:vAlign w:val="bottom"/>
          </w:tcPr>
          <w:p>
            <w:pPr>
              <w:spacing w:after="0"/>
              <w:rPr>
                <w:sz w:val="24"/>
                <w:szCs w:val="24"/>
                <w:color w:val="auto"/>
              </w:rPr>
            </w:pPr>
          </w:p>
        </w:tc>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PSUs</w:t>
            </w:r>
          </w:p>
        </w:tc>
        <w:tc>
          <w:tcPr>
            <w:tcW w:w="30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Number of Units</w:t>
            </w:r>
          </w:p>
        </w:tc>
      </w:tr>
      <w:tr>
        <w:trPr>
          <w:trHeight w:val="169"/>
        </w:trPr>
        <w:tc>
          <w:tcPr>
            <w:tcW w:w="200" w:type="dxa"/>
            <w:vAlign w:val="bottom"/>
          </w:tcPr>
          <w:p>
            <w:pPr>
              <w:spacing w:after="0"/>
              <w:rPr>
                <w:sz w:val="14"/>
                <w:szCs w:val="14"/>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Non-Vested at December 31, 2022</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1,423,277</w:t>
            </w:r>
          </w:p>
        </w:tc>
      </w:tr>
      <w:tr>
        <w:trPr>
          <w:trHeight w:val="163"/>
        </w:trPr>
        <w:tc>
          <w:tcPr>
            <w:tcW w:w="200" w:type="dxa"/>
            <w:vAlign w:val="bottom"/>
          </w:tcPr>
          <w:p>
            <w:pPr>
              <w:spacing w:after="0"/>
              <w:rPr>
                <w:sz w:val="14"/>
                <w:szCs w:val="14"/>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Granted</w:t>
            </w:r>
          </w:p>
        </w:tc>
        <w:tc>
          <w:tcPr>
            <w:tcW w:w="3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200" w:type="dxa"/>
            <w:vAlign w:val="bottom"/>
          </w:tcPr>
          <w:p>
            <w:pPr>
              <w:spacing w:after="0"/>
              <w:rPr>
                <w:sz w:val="15"/>
                <w:szCs w:val="15"/>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Vested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(681,204)</w:t>
            </w:r>
          </w:p>
        </w:tc>
      </w:tr>
      <w:tr>
        <w:trPr>
          <w:trHeight w:val="163"/>
        </w:trPr>
        <w:tc>
          <w:tcPr>
            <w:tcW w:w="200" w:type="dxa"/>
            <w:vAlign w:val="bottom"/>
          </w:tcPr>
          <w:p>
            <w:pPr>
              <w:spacing w:after="0"/>
              <w:rPr>
                <w:sz w:val="14"/>
                <w:szCs w:val="14"/>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Forfeited</w:t>
            </w:r>
          </w:p>
        </w:tc>
        <w:tc>
          <w:tcPr>
            <w:tcW w:w="3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(742,073)</w:t>
            </w:r>
          </w:p>
        </w:tc>
      </w:tr>
      <w:tr>
        <w:trPr>
          <w:trHeight w:val="179"/>
        </w:trPr>
        <w:tc>
          <w:tcPr>
            <w:tcW w:w="200" w:type="dxa"/>
            <w:vAlign w:val="bottom"/>
          </w:tcPr>
          <w:p>
            <w:pPr>
              <w:spacing w:after="0"/>
              <w:rPr>
                <w:sz w:val="15"/>
                <w:szCs w:val="15"/>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Non-Vested at December 31, 2023</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87"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In determining the New Share Reserve, we took into account a variety of factors, including the need to adequately and appropriately incentivize our officers, employees, non-employee directors, independent contractors and consultants and to ensure that the interests of those individuals continue to be closely aligned with the interests of our stockholders more generally.</w:t>
      </w:r>
    </w:p>
    <w:p>
      <w:pPr>
        <w:spacing w:after="0" w:line="111"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While the Company intends to issue awards under the Amended and Restated Incentive Plan in the future to eligible recipients as a recruiting and retention tool, specific parameters have not been established under the Amended and Restated Incentive Plan regarding future grants to eligible recipients. The Compensation Committee will determine the specific criteria surrounding awards under the Amended and Restated Incentive Plan. See below under “Material Features of the Amended and Restated Incentive Plan” for a summary of the material features of the Amended and Restated Incentive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Material Features of the Amended and Restated Incentive Plan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 xml:space="preserve">The following is a summary of the material features of the Amended and Restated Incentive Plan. This summary is qualified in its entirety by the full text of the Amended and Restated Incentive Plan. A copy of the Incentive Plan is publicly-filed as an exhibit to the Company’s Post-Effective Amendment No. 1 to Form S-8 Registration Statement filed with the SEC on August 7, 2020, and a copy of the Amended and Restated Incentive Plan is included as </w:t>
      </w:r>
      <w:r>
        <w:rPr>
          <w:rFonts w:ascii="Times New Roman" w:cs="Times New Roman" w:eastAsia="Times New Roman" w:hAnsi="Times New Roman"/>
          <w:sz w:val="12"/>
          <w:szCs w:val="12"/>
          <w:u w:val="single" w:color="auto"/>
          <w:color w:val="auto"/>
        </w:rPr>
        <w:t>Annex C</w:t>
      </w:r>
      <w:r>
        <w:rPr>
          <w:rFonts w:ascii="Times New Roman" w:cs="Times New Roman" w:eastAsia="Times New Roman" w:hAnsi="Times New Roman"/>
          <w:sz w:val="12"/>
          <w:szCs w:val="12"/>
          <w:color w:val="auto"/>
        </w:rPr>
        <w:t xml:space="preserve"> to this Proxy Statement.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Purpose</w:t>
      </w:r>
    </w:p>
    <w:p>
      <w:pPr>
        <w:spacing w:after="0" w:line="150"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The purposes of the Amended and Restated Incentive Plan are to provide an additional incentive to selected officers, employees, non-employee directors, independent contractors, and consultants of the Company or its affiliates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u w:val="single" w:color="auto"/>
          <w:color w:val="auto"/>
        </w:rPr>
        <w:t>Eligible Participants</w:t>
      </w:r>
    </w:p>
    <w:p>
      <w:pPr>
        <w:spacing w:after="0" w:line="150"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Awards under the Amended and Restated Incentive Plan may be granted to any officer, employee, non-employee director, independent contractor or consultant of the Company or any of its affiliates. All employees (including officers and directors who are employees) of the Company and its affiliates and non-employee directors of the Company and consultants engaged by the Company or its affiliates who are natural persons who render certain bona fide services are eligible to participate in the Amended and Restated Incentive Plan at the discretion of the Administrator (as defined in the Amended and Restated Incentive Plan). As of April 30, 2026, approximately 1,300 employees and seven non-employee directors would be eligible to participate in the Amended and Restated Incentive under its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Administration</w:t>
      </w:r>
    </w:p>
    <w:p>
      <w:pPr>
        <w:spacing w:after="0" w:line="150" w:lineRule="exact"/>
        <w:rPr>
          <w:sz w:val="20"/>
          <w:szCs w:val="20"/>
          <w:color w:val="auto"/>
        </w:rPr>
      </w:pPr>
    </w:p>
    <w:p>
      <w:pPr>
        <w:jc w:val="both"/>
        <w:ind w:firstLine="216"/>
        <w:spacing w:after="0" w:line="300" w:lineRule="auto"/>
        <w:rPr>
          <w:sz w:val="20"/>
          <w:szCs w:val="20"/>
          <w:color w:val="auto"/>
        </w:rPr>
      </w:pPr>
      <w:r>
        <w:rPr>
          <w:rFonts w:ascii="Times New Roman" w:cs="Times New Roman" w:eastAsia="Times New Roman" w:hAnsi="Times New Roman"/>
          <w:sz w:val="11"/>
          <w:szCs w:val="11"/>
          <w:color w:val="auto"/>
        </w:rPr>
        <w:t>The Administrator (as defined in the Amended and Restated Incentive Plan) administers the Amended and Restated Incentive Plan and has the power and authority to select participants who may be granted awards, to determine the terms and conditions of awards, to construe and interpret the terms and provisions of the Amended and Restated Incentive Plan and any award issued under the plan (and any award agreement relating thereto), to adopt, alter and repeal such administrative rules, guidelines and practices governing the Amended and Restated Incentive Plan, and to make all other determinations necessary or advisable for the administration of the Amended and Restated Incentive Plan.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Amendment And Termination</w:t>
      </w:r>
    </w:p>
    <w:p>
      <w:pPr>
        <w:spacing w:after="0" w:line="150" w:lineRule="exact"/>
        <w:rPr>
          <w:sz w:val="20"/>
          <w:szCs w:val="20"/>
          <w:color w:val="auto"/>
        </w:rPr>
      </w:pPr>
    </w:p>
    <w:p>
      <w:pPr>
        <w:ind w:right="360" w:firstLine="216"/>
        <w:spacing w:after="0" w:line="265" w:lineRule="auto"/>
        <w:rPr>
          <w:sz w:val="20"/>
          <w:szCs w:val="20"/>
          <w:color w:val="auto"/>
        </w:rPr>
      </w:pPr>
      <w:r>
        <w:rPr>
          <w:rFonts w:ascii="Times New Roman" w:cs="Times New Roman" w:eastAsia="Times New Roman" w:hAnsi="Times New Roman"/>
          <w:sz w:val="12"/>
          <w:szCs w:val="12"/>
          <w:color w:val="auto"/>
        </w:rPr>
        <w:t>The Amended and Restated Incentive Plan provides the Board with authority to amend, alter or terminate the Amended and Restated Incentive Plan, but generally such action may not impair the rights of any participant with respect to outstanding awards without the participant’s consent. The Administrator may amend an award, prospectively or retroactively, but generally such amendment may not impair the rights of any participant without the participant’s consent. Stockholder approval of any such action will be obtained if required to comply with applicable law or the rules of the stock exchange on which the shares are traded.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Shares Available for Issuance</w:t>
      </w:r>
    </w:p>
    <w:p>
      <w:pPr>
        <w:spacing w:after="0" w:line="150"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Subject to adjustment as provided in the Amended and Restated Incentive Plan, the maximum number of shares reserved for issuance under the Amended and Restated Incentive Plan will be comprised of (i) 10% of the total number of shares of Common Stock outstanding as of the Restructuring Effective Date shares of Common Stock plus the number of shares of Common Stock underlying equity awards that are outstanding under the Incentive Plan as of the effective date of the Amended and Restated Incentive Plan, which as of April 30, 2026 was 49,587 shares of Common Stock, and (ii) 7% of the total number of shares of CoreCo Convertible Preferred Stock outstanding as of the Restructuring Effective Date.</w:t>
      </w:r>
    </w:p>
    <w:p>
      <w:pPr>
        <w:spacing w:after="0" w:line="12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Shares subject to an award under the Amended and Restated Incentive Plan that remain unissued upon the cancellation, termination or expiration of the award will again become available for grant under the Amended and Restated Incentive Plan. Additionally, shares that are exchanged by a participant or withheld by us as full or partial payment in connection with any award under the Amended and Restated Incentive Plan, as well as any shares exchanged by a participant or withheld by us to satisfy the tax withholding obligations related to any award, will also be available for subsequent awards under the Amended and Restated Incentive Plan. To the extent an award is paid or settled in cash, the number of shares previously subject to the award will again be available for grants pursuant to the Amended and Restated Incentive Plan. To the extent that an award can only be settled in cash, such award will not be counted against the total number of shares available for grant under the Amended and Restated Incentive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Type of Awards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Administrator has the discretion to award stock options, share appreciation rights, restricted stock, restricted stock units, other share-based awards, share bonuses and cash awards.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Options</w:t>
      </w:r>
    </w:p>
    <w:p>
      <w:pPr>
        <w:spacing w:after="0" w:line="15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 stock option is the right to acquire shares of Common Stock at a fixed exercise price for a fixed period of time. Options granted under the Amended and Restated Incentive Plan may be in the form of non-qualified options or “incentive stock options” within the meaning of Section 422 of the Internal Revenue Code (the “Code”), as set forth in the applicable individual option award agreement. The exercise price of all options granted under the Amended and Restated Incentive Plan will be determined by the Administrator, but in no event may the exercise price be less than 100% of the fair market value of the related shares on the date of grant. In addition, the exercise price of an incentive stock option must be at least 110% of fair market value if (on the grant date) the participant owns stock</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85" w:name="page86"/>
    <w:bookmarkEnd w:id="85"/>
    <w:p>
      <w:pPr>
        <w:ind w:right="180"/>
        <w:spacing w:after="0" w:line="260" w:lineRule="auto"/>
        <w:rPr>
          <w:sz w:val="20"/>
          <w:szCs w:val="20"/>
          <w:color w:val="auto"/>
        </w:rPr>
      </w:pPr>
      <w:r>
        <w:rPr>
          <w:rFonts w:ascii="Times New Roman" w:cs="Times New Roman" w:eastAsia="Times New Roman" w:hAnsi="Times New Roman"/>
          <w:sz w:val="12"/>
          <w:szCs w:val="12"/>
          <w:color w:val="auto"/>
        </w:rPr>
        <w:t>possessing more than 10% of the total combined voting power of all classes of stock of the Company or any of its subsidiaries. The aggregate fair market value of the shares (determined on the grant date) covered by incentive stock options which first become exercisable by any participant during any calendar year also may not exceed $100,000. The maximum term of all options granted under the Amended and Restated Incentive Plan will be determined by the Administrator, but may not exceed ten years. Each option will vest and become exercisable (including in the event of the optionee’s termination of employment or service) at such time and subject to such terms and conditions as determined by the Administrator in the applicable individual option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Share Appreciation Rights</w:t>
      </w:r>
    </w:p>
    <w:p>
      <w:pPr>
        <w:spacing w:after="0" w:line="152"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Stock appreciation rights, or SARs, may be granted under the Amended and Restated Incentive Plan either alone or in conjunction with all or part of any option granted under the Amended and Restated Incentive Plan. A free-standing SAR entitles its holder to receive, at the time of exercise, an amount per share of Common Stock equal to the excess of the fair market value (at the date of exercise) of a share of Common Stock over the base price of the free-standing SAR. A SAR granted in conjunction with all or part of an option under the Amended and Restated Incentive Plan entitles its holder to receive, at the time of exercise of the SAR and surrender of the related option, an amount per share equal to the excess of the fair market value (at the date of exercise) of a share over the exercise price of the related option. Each SAR will be granted with a base price that is not less than 100% of the fair market value of the related share of Common Stock on the date of grant. The maximum term of all SARs will be determined by the Administrator, but may not exceed ten years. The Administrator may determine to settle the exercise of a SAR in shares of Common Stock, cash, or any combination thereof.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Restricted Shares</w:t>
      </w:r>
    </w:p>
    <w:p>
      <w:pPr>
        <w:spacing w:after="0" w:line="152" w:lineRule="exact"/>
        <w:rPr>
          <w:sz w:val="20"/>
          <w:szCs w:val="20"/>
          <w:color w:val="auto"/>
        </w:rPr>
      </w:pPr>
    </w:p>
    <w:p>
      <w:pPr>
        <w:ind w:right="180" w:firstLine="216"/>
        <w:spacing w:after="0" w:line="256" w:lineRule="auto"/>
        <w:rPr>
          <w:sz w:val="20"/>
          <w:szCs w:val="20"/>
          <w:color w:val="auto"/>
        </w:rPr>
      </w:pPr>
      <w:r>
        <w:rPr>
          <w:rFonts w:ascii="Times New Roman" w:cs="Times New Roman" w:eastAsia="Times New Roman" w:hAnsi="Times New Roman"/>
          <w:sz w:val="12"/>
          <w:szCs w:val="12"/>
          <w:color w:val="auto"/>
        </w:rPr>
        <w:t>Awards of restricted shares are shares that vest in accordance with the terms and conditions established by the Administrator. The Administrator determines the number of shares of restricted stock granted to any participant. In determining whether an award of restricted shares should be made, and/or the period of restriction for any such award, the Administrator may impose whatever conditions it determines to be appropriate. A holder of restricted shares will have full voting rights, unless determined otherwise by the Administrator. A holder of restricted shares also generally will be entitled to receive all dividends paid with respect to the restricted shares (whether in cash or property) unless the Administrator provides otherwise, provided that such dividends will be held by the Company until the underlying restricted shares vest (and will be forfeited if the underlying restricted shares are forfeited) and be paid or distributed to the participant as soon as practicable after vesting. The rights of participants granted restricted shares upon termination of employment or service with the Company and all of its affiliates for any reason during the restricted period will be set forth in individual award 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Restricted Share Units</w:t>
      </w:r>
    </w:p>
    <w:p>
      <w:pPr>
        <w:spacing w:after="0" w:line="152"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Restricted share units represent a right to receive shares at a future date determined in accordance with the participant’s award agreement. In determining whether an award of restricted share units should be made, and/or the vesting schedule for any such award, the Administrator may impose whatever conditions to vesting it determines to be appropriate, including, without limitation, performance goals. Restricted shares units may be settled in cash, shares or in a combination of both.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Share-Based Awards</w:t>
      </w:r>
    </w:p>
    <w:p>
      <w:pPr>
        <w:spacing w:after="0" w:line="15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Other forms of awards valued in whole or in part by reference to, or otherwise based on, shares, including, but not limited to, dividend equivalents, may be granted either alone or in addition to other awards (other than in connection with options or SARs). Dividends or dividend equivalents awarded under the Amended and Restated Incentive Plan may be paid or distributed when accrued, or may be subject to the same restrictions, conditions and risks of forfeiture as the underlying awards and only become payable if (and to the extent) the underlying awards vest.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Share Bonuses; Cash Awards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Administrator may grant bonuses payable in fully vested shares and awards that are payable solely in cash, with such terms as determined by the Administrator, including performance-based vesting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 in Control</w:t>
      </w:r>
    </w:p>
    <w:p>
      <w:pPr>
        <w:spacing w:after="0" w:line="150"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Unless otherwise determined by the Administrator prior to a change in control or evidenced in an award agreement, in the event that a change in control occurs and the participant’s employment or service is terminated by the Company, its successor or an Affiliate thereof without cause or by the participant for good reason (if applicable) on or after the effective date of the change in control but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86" w:name="page87"/>
    <w:bookmarkEnd w:id="86"/>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prior to twelve (12) months following the change in control, then: (i) any unvested or unexercisable portion of any award carrying a right to exercise will become fully vested and exercisable and (ii) the restrictions, deferral limitations, payment conditions and forfeiture conditions applicable to an award granted under the Amended and Restated Incentive Plan will lapse and such awards will be deemed fully vested and any performance conditions will be deemed to be fully achieved.</w:t>
      </w:r>
    </w:p>
    <w:p>
      <w:pPr>
        <w:spacing w:after="0" w:line="119"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Under the Amended and Restated Incentive Plan, a change in control means the occurrence of any of the following events: (i) any person or group of persons is or becomes the beneficial owner of Company securities (not including any securities acquired directly from the Company or its affiliates) representing 50% or more of the combined voting power of the Company’s then outstanding securities, excluding any person who becomes such a beneficial owner in a transaction described in clause (A) of paragraph (ii); (ii) there is consummated a merger or consolidation of the Company or any direct or indirect subsidiary with any other entity, other than (A) a merger or consolidation (1) which results in the Company’s voting securities outstanding immediately prior to such merger or consolidation continuing to represent (either by remaining outstanding or by being converted into voting securities of the surviving entity or any parent thereof) more than 50% of the combined voting power of the securities of the Company or such surviving entity or any parent entity outstanding immediately after such merger or consolidation and (2) immediately following which the individuals who comprise the Board immediately prior to such transaction constitute at least a majority of the board of directors of the Company, the entity surviving such merger or consolidation or, if the Company or the entity surviving such merger or consolidation is then a Subsidiary, the ultimate parent entity, or (B) a merger or consolidation effected to implement a recapitalization of the Company (or similar transaction) in which no person is or becomes the beneficial owner of the Company’s securities (not including any securities acquired directly from the Company or its affiliates) representing 50% or more of the combined voting power of the Company’s then outstanding securities or (iii) the stockholders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50% of the combined voting power of the voting securities of which are owned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entity. For each award that constitutes deferred compensation under Section 409A of the Code, and to the extent required to avoid accelerated taxation and/or tax penalties under Section 409A of the Code, a change in control will be deemed to have occurred under the plan with respect to such award only if a change in the ownership or effective control of the Company or a change in ownership of a substantial portion of the assets of the Company will also be deemed to have occurred under Section 409A of the Code.</w:t>
      </w:r>
    </w:p>
    <w:p>
      <w:pPr>
        <w:spacing w:after="0" w:line="131"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 xml:space="preserve">Under the current Incentive Plan, a change in control is means an event or series of events after which Fortress Equity Partners (A) LP, New Fortress Energy Holdings LLC and their respective affiliates (“Fortress Entities”) collectively directly or indirectly legally or beneficially own less than 40% of the voting shares (or other voting equity interests)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change in control will not be deemed to occur upon the occurrence of either of the following events: (i) an acquisition, merger, continuation into another jurisdiction or other business combination involving the Company, including the sale of all or substantially all of the assets of the Company (each, a “</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 if one or more Fortress Entities collectively (x) directly or indirectly legally or beneficially own at least 30% of the voting shares (or other voting equity interests) of the Company or the surviving/acquiring entity, as the case may be, and (y) continue to be the largest shareholder (or other holder of equity) of the Company or the surviving/acquiring entity, as the case may be, following such Business Combination; and a change in control will not result after any such Business Combination so long as (but only so long as) the conditions set forth in clause (x) and clause (y) continue to be satisfied; or (ii) (x) upon an initial public offering of the voting shares or other equity interests of the Company or any direct or indirect parent of the Company (without regard to the percentage of voting shares or other equity interests of the Company or such other entity directly or indirectly legally or beneficially owned by the Fortress Entities immediately after such offering) or (y) without limiting clause (x), if at any time following such initial public offering, one or more Fortress Entities collectively directly or indirectly legally or beneficially own at least 30% of the voting shares (or other voting equity interests) of the Company or such direct or indirect parent and are the largest shareholder (or other holder of equity) of the Company or such direct or indirect parent. For each award that constitutes deferred compensation under Section 409A of the Code, and to the extent required to avoid accelerated taxation and/or tax penalties under Section 409A of the Code, a change in control will be deemed to have occurred under the plan with respect to such award only if a change in the ownership or effective control of the Company or a change in ownership of a substantial portion of the assets of the Company will also be deemed to have occurred under Section 409A of the Code.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Changes in Capitalization</w:t>
      </w:r>
    </w:p>
    <w:p>
      <w:pPr>
        <w:spacing w:after="0" w:line="150"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In the event of a merger, consolidation, reclassification, recapitalization, spin-off, spin-out, repurchase, reorganization, corporate transaction or event, special or extraordinary dividend or other extraordinary distribution (whether in the form of shares, cash or other property), share split, reverse share split, subdivision or consolidation, combination, exchange of shares, or other change in corporate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87" w:name="page88"/>
    <w:bookmarkEnd w:id="87"/>
    <w:p>
      <w:pPr>
        <w:ind w:right="20"/>
        <w:spacing w:after="0" w:line="255" w:lineRule="auto"/>
        <w:rPr>
          <w:sz w:val="20"/>
          <w:szCs w:val="20"/>
          <w:color w:val="auto"/>
        </w:rPr>
      </w:pPr>
      <w:r>
        <w:rPr>
          <w:rFonts w:ascii="Times New Roman" w:cs="Times New Roman" w:eastAsia="Times New Roman" w:hAnsi="Times New Roman"/>
          <w:sz w:val="12"/>
          <w:szCs w:val="12"/>
          <w:color w:val="auto"/>
        </w:rPr>
        <w:t>structure or sale or disposition of assets affecting the Company’s shares, the Company or any award, an equitable substitution or proportionate adjustment shall be made, at the sole discretion of the Administrator, in (i) the aggregate number of our shares reserved for issuance under the Amended and Restated Incentive Plan, (ii) the kind and number of securities subject to, and the exercise price or base price of, any outstanding options and SARs granted under the Amended and Restated Incentive Plan, (iii) the kind, number and purchase price of the shares, or the amount of cash or amount or type of property, subject to outstanding awards granted under the Amended and Restated Incentive Plan, or (iv) the performance goals and periods applicable to award granted under the Amended and Restated Incentive Plan. Equitable substitutions or adjustments other than those listed above may also be made as determined by the Administrator. In addition, the Administrator may cancel all outstanding awards for the payment of cash or in-kind consideration having an aggregate fair market value equal to the excess of the fair market value of the shares, cash or other property covered by such awards over the aggregate exercise price or base price, if any, of such awards, but if the exercise price or base price of any outstanding award is equal to or greater than the fair market value of our shares, cash or other property covered by such award, the Board may cancel the award without the payment of any consideration to the participant.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Transferability</w:t>
      </w:r>
    </w:p>
    <w:p>
      <w:pPr>
        <w:spacing w:after="0" w:line="15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Unless determined otherwise by the Administrator, an award may not be sold, pledged, assigned, mortgaged, hypothecated, transferred, charged, pledged, encumbered, gifted or otherwise disposed in any manner until the award is fully vested and/or exercisable in accordance with the Amended and Restated Incentive Plan or the applicable award agreement, and any option or share appreciation right may be exercised, during the lifetime of the participant, only by the participant or, during any period during which the participant is under a legal disability, by the participant’s guardian or legal representative.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Clawback and Other Policies</w:t>
      </w:r>
    </w:p>
    <w:p>
      <w:pPr>
        <w:spacing w:after="0" w:line="150"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All awards granted under the Amended and Restated Incentive Plan will be subject to any incentive compensation clawback or recoupment policy of the Company currently in effect or as may be adopted by the Company. All awards granted under the Amended and Restated Incentive Plan are subject to any other applicable Company policy, such as insider trading policies.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Plan Term</w:t>
      </w:r>
    </w:p>
    <w:p>
      <w:pPr>
        <w:spacing w:after="0" w:line="150"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No award may be granted under the Amended and Restated Incentive Plan on or after the tenth anniversary of the Restructuring Effective Date, but awards granted before that time may extend beyond that date in accordance with their terms. If stockholders vote to approve the Amended and Restated Incentive Plan, the current term of the Incentive Plan will be extended for another ten years and the Amended and Restated Incentive Plan will continue in effect until the tenth anniversary of the Restructuring Effective Date. If our stockholders do not vote to approve the Amended and Restated Incentive Plan, the current term of the Incentive Plan will expire on January 31, 2029.</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 Federal Income Tax Consequences</w:t>
      </w:r>
    </w:p>
    <w:p>
      <w:pPr>
        <w:spacing w:after="0" w:line="154"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The following is a summary of certain United States federal income tax consequences of awards under the Amended and Restated Incentive Plan. It does not purport to be a complete description of all applicable rules, and those rules (including those summarized here) are subject to change.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Options</w:t>
      </w:r>
    </w:p>
    <w:p>
      <w:pPr>
        <w:spacing w:after="0" w:line="15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An optionee generally will not recognize taxable income upon the grant of a nonqualified stock option. Rather, at the time of exercise of the option, the optionee will recognize ordinary income for income tax purposes in an amount equal to the excess, if any, of the fair market value of the shares of Common Stock purchased over the exercise price. We generally will be entitled to a tax deduction at such time and in the same amount, if any, the optionee recognizes as ordinary income. The optionee’s tax basis in any shares of Common Stock received upon exercise of an option will be the fair market value of the shares of Common Stock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optionee) depending upon the length of time such shares were held by the optionee.</w:t>
      </w:r>
    </w:p>
    <w:p>
      <w:pPr>
        <w:spacing w:after="0" w:line="125"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Incentive stock options are eligible for favorable federal income tax treatment if certain requirements are satisfied. An incentive stock option must have an option price that is not less than the fair market value of the stock at the time the option is granted, and must be exercisable within ten years from the date of grant. An employee granted an incentive stock option generally does not realize compensation income for federal income tax purposes upon the grant of the option. At the time of exercise of an incentive stock option, no compensation income is realized by the optionee other than tax preference income for purposes of the federal alternative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88" w:name="page89"/>
    <w:bookmarkEnd w:id="88"/>
    <w:p>
      <w:pPr>
        <w:jc w:val="both"/>
        <w:ind w:right="60"/>
        <w:spacing w:after="0" w:line="260" w:lineRule="auto"/>
        <w:rPr>
          <w:sz w:val="20"/>
          <w:szCs w:val="20"/>
          <w:color w:val="auto"/>
        </w:rPr>
      </w:pPr>
      <w:r>
        <w:rPr>
          <w:rFonts w:ascii="Times New Roman" w:cs="Times New Roman" w:eastAsia="Times New Roman" w:hAnsi="Times New Roman"/>
          <w:sz w:val="12"/>
          <w:szCs w:val="12"/>
          <w:color w:val="auto"/>
        </w:rPr>
        <w:t>minimum tax on individual income. If the shares of Common Stock acquired on exercise of an incentive stock option are held for at least two years after grant of the option and one year after exercise, the excess of the amount realized on the sale over the exercise price will be taxed as capital gain. If the shares of Common Stock acquired on exercise of an incentive stock option are disposed of within less than two years after grant or one year of exercise, the optionee will realize taxable compensation income equal to the excess of the fair market value of the shares on the date of exercise or the date of sale, whichever is less, over the exercise price, and any additional amount realized will be taxed as capital gain.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Share Appreciation Rights</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 participant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shares of Common Stock received. We generally will be entitled to a tax deduction at such time and in the same amount, if any, the participant recognizes as ordinary income. The participant’s tax basis in any share of Common Stock received upon exercise of a SAR will be the fair market value of the share of Common Stock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Restricted Stock</w:t>
      </w:r>
    </w:p>
    <w:p>
      <w:pPr>
        <w:spacing w:after="0" w:line="150"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A participant generally will not be taxed upon the grant of restricted stock, but rather will recognize ordinary income in an amount equal to the fair market value of the shares at the time the shares are no longer subject to a “substantial risk of forfeiture” (within the meaning of the Code). We generally will be entitled to a deduction at the time when, and in the amount,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that accrue on the restricted stock before the restrictions lapse will be taxable to the participant as additional compensation (and not as dividend income) when paid on the vesting date of the underlying restricted shares. Under Section 83(b) of the Code, a participant may elect to recognize ordinary income at the time the shares of restricted stock are awarded in an amount equal to their fair market value at that time, notwithstanding the fact such shares of restricted stock are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their award, and the participant’s holding period for capital gains purposes will begin at that time. We generally will be entitled to a tax deduction at the time when, and to the extent, ordinary income is recognized by such participant.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Restricted Stock Units</w:t>
      </w:r>
    </w:p>
    <w:p>
      <w:pPr>
        <w:spacing w:after="0" w:line="150"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In general, the grant of restricted stock units (including performance stock units) will not result in income for the participant or in a tax deduction for us. Upon the settlement of such an award in cash or shares, the participant will recognize ordinary income equal to the aggregate value of the payment received, and we generally will be entitled to a tax deduction at the same time and in the same amount.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Other-Share Based Awards, Share Bonuses and Cash Awards</w:t>
      </w:r>
    </w:p>
    <w:p>
      <w:pPr>
        <w:spacing w:after="0" w:line="150" w:lineRule="exact"/>
        <w:rPr>
          <w:sz w:val="20"/>
          <w:szCs w:val="20"/>
          <w:color w:val="auto"/>
        </w:rPr>
      </w:pPr>
    </w:p>
    <w:p>
      <w:pPr>
        <w:jc w:val="both"/>
        <w:ind w:right="60" w:firstLine="216"/>
        <w:spacing w:after="0" w:line="327" w:lineRule="auto"/>
        <w:rPr>
          <w:sz w:val="20"/>
          <w:szCs w:val="20"/>
          <w:color w:val="auto"/>
        </w:rPr>
      </w:pPr>
      <w:r>
        <w:rPr>
          <w:rFonts w:ascii="Times New Roman" w:cs="Times New Roman" w:eastAsia="Times New Roman" w:hAnsi="Times New Roman"/>
          <w:sz w:val="11"/>
          <w:szCs w:val="11"/>
          <w:color w:val="auto"/>
        </w:rPr>
        <w:t>With respect to other awards granted under the Amended and Restated Incentive Plan, including performance-based awards and share bonuses, generally when the participant receives payment with respect to an award, the amount of cash and/or the fair market value of any shares of our common stock or other property received will be ordinary income to the participant, and we generally will be entitled to a tax deduction at the same time and in the same amount.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with the SEC</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intend to file with the SEC a registration statement on Form S-8 covering the shares reserved for issuance under the Amended and Restated Incentive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Plan Benefits Table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89" w:name="page90"/>
    <w:bookmarkEnd w:id="89"/>
    <w:p>
      <w:pPr>
        <w:ind w:left="8" w:right="360" w:firstLine="216"/>
        <w:spacing w:after="0" w:line="279" w:lineRule="auto"/>
        <w:rPr>
          <w:sz w:val="20"/>
          <w:szCs w:val="20"/>
          <w:color w:val="auto"/>
        </w:rPr>
      </w:pPr>
      <w:r>
        <w:rPr>
          <w:rFonts w:ascii="Times New Roman" w:cs="Times New Roman" w:eastAsia="Times New Roman" w:hAnsi="Times New Roman"/>
          <w:sz w:val="12"/>
          <w:szCs w:val="12"/>
          <w:color w:val="auto"/>
        </w:rPr>
        <w:t>No awards made under the current Incentive Plan were granted subject to stockholder approval of this Proposal 5. Future awards to be made under the Amended and Restated Incentive Plan are subject to the discretion of the Administrator, and accordingly, are not currently determinable.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Additional Plan Information</w:t>
      </w:r>
    </w:p>
    <w:p>
      <w:pPr>
        <w:spacing w:after="0" w:line="154" w:lineRule="exact"/>
        <w:rPr>
          <w:sz w:val="20"/>
          <w:szCs w:val="20"/>
          <w:color w:val="auto"/>
        </w:rPr>
      </w:pPr>
    </w:p>
    <w:p>
      <w:pPr>
        <w:ind w:left="8" w:right="40" w:firstLine="216"/>
        <w:spacing w:after="0" w:line="279" w:lineRule="auto"/>
        <w:rPr>
          <w:sz w:val="20"/>
          <w:szCs w:val="20"/>
          <w:color w:val="auto"/>
        </w:rPr>
      </w:pPr>
      <w:r>
        <w:rPr>
          <w:rFonts w:ascii="Times New Roman" w:cs="Times New Roman" w:eastAsia="Times New Roman" w:hAnsi="Times New Roman"/>
          <w:sz w:val="12"/>
          <w:szCs w:val="12"/>
          <w:color w:val="auto"/>
        </w:rPr>
        <w:t>The outstanding aggregate number of shares subject to equity awards under the Incentive Plan since its inception through April 30, 2026, is set forth in the table below. There are currently no outstanding options under the Incentive Plan.</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6100" w:type="dxa"/>
            <w:vAlign w:val="bottom"/>
            <w:tcBorders>
              <w:top w:val="single" w:sz="8" w:color="auto"/>
            </w:tcBorders>
          </w:tcPr>
          <w:p>
            <w:pPr>
              <w:spacing w:after="0"/>
              <w:rPr>
                <w:sz w:val="11"/>
                <w:szCs w:val="11"/>
                <w:color w:val="auto"/>
              </w:rPr>
            </w:pPr>
          </w:p>
        </w:tc>
        <w:tc>
          <w:tcPr>
            <w:tcW w:w="3640" w:type="dxa"/>
            <w:vAlign w:val="bottom"/>
            <w:tcBorders>
              <w:top w:val="single" w:sz="8" w:color="auto"/>
            </w:tcBorders>
          </w:tcPr>
          <w:p>
            <w:pPr>
              <w:jc w:val="right"/>
              <w:ind w:right="60"/>
              <w:spacing w:after="0" w:line="137" w:lineRule="exact"/>
              <w:rPr>
                <w:sz w:val="20"/>
                <w:szCs w:val="20"/>
                <w:color w:val="auto"/>
              </w:rPr>
            </w:pPr>
            <w:r>
              <w:rPr>
                <w:rFonts w:ascii="Times New Roman" w:cs="Times New Roman" w:eastAsia="Times New Roman" w:hAnsi="Times New Roman"/>
                <w:sz w:val="12"/>
                <w:szCs w:val="12"/>
                <w:b w:val="1"/>
                <w:bCs w:val="1"/>
                <w:color w:val="auto"/>
              </w:rPr>
              <w:t>Number of Shares Subject to Other</w:t>
            </w:r>
          </w:p>
        </w:tc>
        <w:tc>
          <w:tcPr>
            <w:tcW w:w="1380" w:type="dxa"/>
            <w:vAlign w:val="bottom"/>
            <w:tcBorders>
              <w:top w:val="single" w:sz="8" w:color="auto"/>
            </w:tcBorders>
          </w:tcPr>
          <w:p>
            <w:pPr>
              <w:jc w:val="right"/>
              <w:ind w:right="60"/>
              <w:spacing w:after="0" w:line="137" w:lineRule="exact"/>
              <w:rPr>
                <w:sz w:val="20"/>
                <w:szCs w:val="20"/>
                <w:color w:val="auto"/>
              </w:rPr>
            </w:pPr>
            <w:r>
              <w:rPr>
                <w:rFonts w:ascii="Times New Roman" w:cs="Times New Roman" w:eastAsia="Times New Roman" w:hAnsi="Times New Roman"/>
                <w:sz w:val="12"/>
                <w:szCs w:val="12"/>
                <w:b w:val="1"/>
                <w:bCs w:val="1"/>
                <w:color w:val="auto"/>
              </w:rPr>
              <w:t>Market Value of Shares</w:t>
            </w:r>
          </w:p>
        </w:tc>
      </w:tr>
      <w:tr>
        <w:trPr>
          <w:trHeight w:val="178"/>
        </w:trPr>
        <w:tc>
          <w:tcPr>
            <w:tcW w:w="610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2"/>
                <w:szCs w:val="12"/>
                <w:b w:val="1"/>
                <w:bCs w:val="1"/>
                <w:color w:val="auto"/>
              </w:rPr>
              <w:t>Name and Position</w:t>
            </w:r>
          </w:p>
        </w:tc>
        <w:tc>
          <w:tcPr>
            <w:tcW w:w="36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 xml:space="preserve">Stock Awards </w:t>
            </w:r>
            <w:r>
              <w:rPr>
                <w:rFonts w:ascii="Times New Roman" w:cs="Times New Roman" w:eastAsia="Times New Roman" w:hAnsi="Times New Roman"/>
                <w:sz w:val="15"/>
                <w:szCs w:val="15"/>
                <w:b w:val="1"/>
                <w:bCs w:val="1"/>
                <w:color w:val="auto"/>
                <w:vertAlign w:val="superscript"/>
              </w:rPr>
              <w:t>(1)</w:t>
            </w:r>
          </w:p>
        </w:tc>
        <w:tc>
          <w:tcPr>
            <w:tcW w:w="1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8"/>
              </w:rPr>
              <w:t xml:space="preserve">Subject to Awards </w:t>
            </w:r>
            <w:r>
              <w:rPr>
                <w:rFonts w:ascii="Times New Roman" w:cs="Times New Roman" w:eastAsia="Times New Roman" w:hAnsi="Times New Roman"/>
                <w:sz w:val="15"/>
                <w:szCs w:val="15"/>
                <w:b w:val="1"/>
                <w:bCs w:val="1"/>
                <w:color w:val="auto"/>
                <w:w w:val="98"/>
                <w:vertAlign w:val="superscript"/>
              </w:rPr>
              <w:t>(2)</w:t>
            </w:r>
            <w:r>
              <w:rPr>
                <w:rFonts w:ascii="Times New Roman" w:cs="Times New Roman" w:eastAsia="Times New Roman" w:hAnsi="Times New Roman"/>
                <w:sz w:val="12"/>
                <w:szCs w:val="12"/>
                <w:b w:val="1"/>
                <w:bCs w:val="1"/>
                <w:color w:val="auto"/>
                <w:w w:val="98"/>
              </w:rPr>
              <w:t xml:space="preserve"> ($)</w:t>
            </w:r>
          </w:p>
        </w:tc>
      </w:tr>
      <w:tr>
        <w:trPr>
          <w:trHeight w:val="120"/>
        </w:trPr>
        <w:tc>
          <w:tcPr>
            <w:tcW w:w="6100" w:type="dxa"/>
            <w:vAlign w:val="bottom"/>
          </w:tcPr>
          <w:p>
            <w:pPr>
              <w:ind w:left="120"/>
              <w:spacing w:after="0" w:line="120" w:lineRule="exact"/>
              <w:rPr>
                <w:sz w:val="20"/>
                <w:szCs w:val="20"/>
                <w:color w:val="auto"/>
              </w:rPr>
            </w:pPr>
            <w:r>
              <w:rPr>
                <w:rFonts w:ascii="Times New Roman" w:cs="Times New Roman" w:eastAsia="Times New Roman" w:hAnsi="Times New Roman"/>
                <w:sz w:val="12"/>
                <w:szCs w:val="12"/>
                <w:color w:val="auto"/>
              </w:rPr>
              <w:t>Wesley R. Edens</w:t>
            </w:r>
          </w:p>
        </w:tc>
        <w:tc>
          <w:tcPr>
            <w:tcW w:w="364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0</w:t>
            </w:r>
          </w:p>
        </w:tc>
        <w:tc>
          <w:tcPr>
            <w:tcW w:w="138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auto"/>
              </w:rPr>
              <w:t>0</w:t>
            </w:r>
          </w:p>
        </w:tc>
      </w:tr>
      <w:tr>
        <w:trPr>
          <w:trHeight w:val="166"/>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3640" w:type="dxa"/>
            <w:vAlign w:val="bottom"/>
            <w:tcBorders>
              <w:bottom w:val="single" w:sz="8" w:color="A6A6A6"/>
            </w:tcBorders>
          </w:tcPr>
          <w:p>
            <w:pPr>
              <w:spacing w:after="0"/>
              <w:rPr>
                <w:sz w:val="14"/>
                <w:szCs w:val="14"/>
                <w:color w:val="auto"/>
              </w:rPr>
            </w:pPr>
          </w:p>
        </w:tc>
        <w:tc>
          <w:tcPr>
            <w:tcW w:w="1380" w:type="dxa"/>
            <w:vAlign w:val="bottom"/>
            <w:tcBorders>
              <w:bottom w:val="single" w:sz="8" w:color="A6A6A6"/>
            </w:tcBorders>
          </w:tcPr>
          <w:p>
            <w:pPr>
              <w:spacing w:after="0"/>
              <w:rPr>
                <w:sz w:val="14"/>
                <w:szCs w:val="14"/>
                <w:color w:val="auto"/>
              </w:rPr>
            </w:pPr>
          </w:p>
        </w:tc>
      </w:tr>
      <w:tr>
        <w:trPr>
          <w:trHeight w:val="129"/>
        </w:trPr>
        <w:tc>
          <w:tcPr>
            <w:tcW w:w="610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2"/>
                <w:szCs w:val="12"/>
                <w:color w:val="auto"/>
              </w:rPr>
              <w:t>Christopher S. Guinta</w:t>
            </w:r>
          </w:p>
        </w:tc>
        <w:tc>
          <w:tcPr>
            <w:tcW w:w="3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1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r>
      <w:tr>
        <w:trPr>
          <w:trHeight w:val="166"/>
        </w:trPr>
        <w:tc>
          <w:tcPr>
            <w:tcW w:w="6100" w:type="dxa"/>
            <w:vAlign w:val="bottom"/>
            <w:tcBorders>
              <w:bottom w:val="single" w:sz="8" w:color="A6A6A6"/>
            </w:tcBorders>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3640" w:type="dxa"/>
            <w:vAlign w:val="bottom"/>
            <w:tcBorders>
              <w:bottom w:val="single" w:sz="8" w:color="A6A6A6"/>
            </w:tcBorders>
            <w:shd w:val="clear" w:color="auto" w:fill="CCEEFF"/>
          </w:tcPr>
          <w:p>
            <w:pPr>
              <w:spacing w:after="0"/>
              <w:rPr>
                <w:sz w:val="14"/>
                <w:szCs w:val="14"/>
                <w:color w:val="auto"/>
              </w:rPr>
            </w:pPr>
          </w:p>
        </w:tc>
        <w:tc>
          <w:tcPr>
            <w:tcW w:w="1380" w:type="dxa"/>
            <w:vAlign w:val="bottom"/>
            <w:tcBorders>
              <w:bottom w:val="single" w:sz="8" w:color="A6A6A6"/>
            </w:tcBorders>
            <w:shd w:val="clear" w:color="auto" w:fill="CCEEFF"/>
          </w:tcPr>
          <w:p>
            <w:pPr>
              <w:spacing w:after="0"/>
              <w:rPr>
                <w:sz w:val="14"/>
                <w:szCs w:val="14"/>
                <w:color w:val="auto"/>
              </w:rPr>
            </w:pPr>
          </w:p>
        </w:tc>
      </w:tr>
      <w:tr>
        <w:trPr>
          <w:trHeight w:val="129"/>
        </w:trPr>
        <w:tc>
          <w:tcPr>
            <w:tcW w:w="610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Michael Lowe</w:t>
            </w:r>
          </w:p>
        </w:tc>
        <w:tc>
          <w:tcPr>
            <w:tcW w:w="3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c>
          <w:tcPr>
            <w:tcW w:w="13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w:t>
            </w:r>
          </w:p>
        </w:tc>
      </w:tr>
      <w:tr>
        <w:trPr>
          <w:trHeight w:val="166"/>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i w:val="1"/>
                <w:iCs w:val="1"/>
                <w:color w:val="auto"/>
              </w:rPr>
              <w:t>Chief Accounting Officer</w:t>
            </w:r>
          </w:p>
        </w:tc>
        <w:tc>
          <w:tcPr>
            <w:tcW w:w="3640" w:type="dxa"/>
            <w:vAlign w:val="bottom"/>
            <w:tcBorders>
              <w:bottom w:val="single" w:sz="8" w:color="A6A6A6"/>
            </w:tcBorders>
          </w:tcPr>
          <w:p>
            <w:pPr>
              <w:spacing w:after="0"/>
              <w:rPr>
                <w:sz w:val="14"/>
                <w:szCs w:val="14"/>
                <w:color w:val="auto"/>
              </w:rPr>
            </w:pPr>
          </w:p>
        </w:tc>
        <w:tc>
          <w:tcPr>
            <w:tcW w:w="1380" w:type="dxa"/>
            <w:vAlign w:val="bottom"/>
            <w:tcBorders>
              <w:bottom w:val="single" w:sz="8" w:color="A6A6A6"/>
            </w:tcBorders>
          </w:tcPr>
          <w:p>
            <w:pPr>
              <w:spacing w:after="0"/>
              <w:rPr>
                <w:sz w:val="14"/>
                <w:szCs w:val="14"/>
                <w:color w:val="auto"/>
              </w:rPr>
            </w:pPr>
          </w:p>
        </w:tc>
      </w:tr>
      <w:tr>
        <w:trPr>
          <w:trHeight w:val="161"/>
        </w:trPr>
        <w:tc>
          <w:tcPr>
            <w:tcW w:w="6100" w:type="dxa"/>
            <w:vAlign w:val="bottom"/>
            <w:tcBorders>
              <w:bottom w:val="single" w:sz="8" w:color="A6A6A6"/>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All current executive officers as a group</w:t>
            </w:r>
          </w:p>
        </w:tc>
        <w:tc>
          <w:tcPr>
            <w:tcW w:w="364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color w:val="auto"/>
              </w:rPr>
              <w:t>All current directors who are not executive officers as a group</w:t>
            </w:r>
          </w:p>
        </w:tc>
        <w:tc>
          <w:tcPr>
            <w:tcW w:w="3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All nominees for election as a director as a group</w:t>
            </w:r>
          </w:p>
        </w:tc>
        <w:tc>
          <w:tcPr>
            <w:tcW w:w="364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color w:val="auto"/>
              </w:rPr>
              <w:t>Each associate of any such directors, executive officers or nominees</w:t>
            </w:r>
          </w:p>
        </w:tc>
        <w:tc>
          <w:tcPr>
            <w:tcW w:w="3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Each other person who received or is to receive 5% of such options, warrants or rights</w:t>
            </w:r>
          </w:p>
        </w:tc>
        <w:tc>
          <w:tcPr>
            <w:tcW w:w="364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1380" w:type="dxa"/>
            <w:vAlign w:val="bottom"/>
            <w:tcBorders>
              <w:bottom w:val="single" w:sz="8" w:color="A6A6A6"/>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w:t>
            </w:r>
          </w:p>
        </w:tc>
      </w:tr>
      <w:tr>
        <w:trPr>
          <w:trHeight w:val="160"/>
        </w:trPr>
        <w:tc>
          <w:tcPr>
            <w:tcW w:w="61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color w:val="auto"/>
              </w:rPr>
              <w:t>All employees, including all current officers who are not executive officers, as a group</w:t>
            </w:r>
          </w:p>
        </w:tc>
        <w:tc>
          <w:tcPr>
            <w:tcW w:w="364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49,587</w:t>
            </w:r>
          </w:p>
        </w:tc>
        <w:tc>
          <w:tcPr>
            <w:tcW w:w="1380" w:type="dxa"/>
            <w:vAlign w:val="bottom"/>
            <w:tcBorders>
              <w:bottom w:val="single" w:sz="8" w:color="A6A6A6"/>
            </w:tcBorders>
          </w:tcPr>
          <w:p>
            <w:pPr>
              <w:jc w:val="right"/>
              <w:spacing w:after="0"/>
              <w:rPr>
                <w:sz w:val="20"/>
                <w:szCs w:val="20"/>
                <w:color w:val="auto"/>
              </w:rPr>
            </w:pPr>
            <w:r>
              <w:rPr>
                <w:rFonts w:ascii="Times New Roman" w:cs="Times New Roman" w:eastAsia="Times New Roman" w:hAnsi="Times New Roman"/>
                <w:sz w:val="12"/>
                <w:szCs w:val="12"/>
                <w:color w:val="auto"/>
              </w:rPr>
              <w:t>34,215</w:t>
            </w:r>
          </w:p>
        </w:tc>
      </w:tr>
    </w:tbl>
    <w:p>
      <w:pPr>
        <w:spacing w:after="0" w:line="25" w:lineRule="exact"/>
        <w:rPr>
          <w:sz w:val="20"/>
          <w:szCs w:val="20"/>
          <w:color w:val="auto"/>
        </w:rPr>
      </w:pPr>
    </w:p>
    <w:p>
      <w:pPr>
        <w:ind w:left="128" w:hanging="128"/>
        <w:spacing w:after="0"/>
        <w:tabs>
          <w:tab w:leader="none" w:pos="128" w:val="left"/>
        </w:tabs>
        <w:numPr>
          <w:ilvl w:val="0"/>
          <w:numId w:val="6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shares issuable pursuant to outstanding RSUs under the Incentive Plan.</w:t>
      </w:r>
    </w:p>
    <w:p>
      <w:pPr>
        <w:ind w:left="128" w:hanging="128"/>
        <w:spacing w:after="0" w:line="236" w:lineRule="auto"/>
        <w:tabs>
          <w:tab w:leader="none" w:pos="128" w:val="left"/>
        </w:tabs>
        <w:numPr>
          <w:ilvl w:val="0"/>
          <w:numId w:val="6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calculated based on $0.69, the closing price of the Company’s common stock, as reported on NASDAQ on April 30, 2026.</w:t>
      </w:r>
    </w:p>
    <w:p>
      <w:pPr>
        <w:spacing w:after="0" w:line="2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Securities Authorized for Issuance under Equity Compensation Plans</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13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Equity Compensation Plan Table below presents information regarding securities authorized for issuance under our equity compensation plans as of December 31, 2025.</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40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vMerge w:val="restart"/>
          </w:tcPr>
          <w:p>
            <w:pPr>
              <w:jc w:val="center"/>
              <w:ind w:left="1120"/>
              <w:spacing w:after="0"/>
              <w:rPr>
                <w:sz w:val="20"/>
                <w:szCs w:val="20"/>
                <w:color w:val="auto"/>
              </w:rPr>
            </w:pPr>
            <w:r>
              <w:rPr>
                <w:rFonts w:ascii="Times New Roman" w:cs="Times New Roman" w:eastAsia="Times New Roman" w:hAnsi="Times New Roman"/>
                <w:sz w:val="12"/>
                <w:szCs w:val="12"/>
                <w:b w:val="1"/>
                <w:bCs w:val="1"/>
                <w:color w:val="auto"/>
                <w:w w:val="99"/>
              </w:rPr>
              <w:t>Number of Securities to Be</w:t>
            </w:r>
          </w:p>
        </w:tc>
        <w:tc>
          <w:tcPr>
            <w:tcW w:w="16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 Securities Remaining</w:t>
            </w: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88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8"/>
              </w:rPr>
              <w:t>Available for Future Issuance under</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920" w:type="dxa"/>
            <w:vAlign w:val="bottom"/>
          </w:tcPr>
          <w:p>
            <w:pPr>
              <w:jc w:val="center"/>
              <w:ind w:left="1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Issued upon Exercise of</w:t>
            </w:r>
          </w:p>
        </w:tc>
        <w:tc>
          <w:tcPr>
            <w:tcW w:w="1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Weighted-Average Exercise</w:t>
            </w: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Equity Compensation Plans</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920" w:type="dxa"/>
            <w:vAlign w:val="bottom"/>
          </w:tcPr>
          <w:p>
            <w:pPr>
              <w:jc w:val="center"/>
              <w:ind w:left="1140"/>
              <w:spacing w:after="0" w:line="135" w:lineRule="exact"/>
              <w:rPr>
                <w:sz w:val="20"/>
                <w:szCs w:val="20"/>
                <w:color w:val="auto"/>
              </w:rPr>
            </w:pPr>
            <w:r>
              <w:rPr>
                <w:rFonts w:ascii="Times New Roman" w:cs="Times New Roman" w:eastAsia="Times New Roman" w:hAnsi="Times New Roman"/>
                <w:sz w:val="12"/>
                <w:szCs w:val="12"/>
                <w:b w:val="1"/>
                <w:bCs w:val="1"/>
                <w:color w:val="auto"/>
              </w:rPr>
              <w:t>Outstanding Options, Warrants</w:t>
            </w:r>
          </w:p>
        </w:tc>
        <w:tc>
          <w:tcPr>
            <w:tcW w:w="1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Price of Outstanding Options,</w:t>
            </w: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(Excluding Securities Reflected in</w:t>
            </w:r>
          </w:p>
        </w:tc>
        <w:tc>
          <w:tcPr>
            <w:tcW w:w="0" w:type="dxa"/>
            <w:vAlign w:val="bottom"/>
          </w:tcPr>
          <w:p>
            <w:pPr>
              <w:spacing w:after="0"/>
              <w:rPr>
                <w:sz w:val="1"/>
                <w:szCs w:val="1"/>
                <w:color w:val="auto"/>
              </w:rPr>
            </w:pPr>
          </w:p>
        </w:tc>
      </w:tr>
      <w:tr>
        <w:trPr>
          <w:trHeight w:val="147"/>
        </w:trPr>
        <w:tc>
          <w:tcPr>
            <w:tcW w:w="4400" w:type="dxa"/>
            <w:vAlign w:val="bottom"/>
          </w:tcPr>
          <w:p>
            <w:pPr>
              <w:spacing w:after="0"/>
              <w:rPr>
                <w:sz w:val="12"/>
                <w:szCs w:val="12"/>
                <w:color w:val="auto"/>
              </w:rPr>
            </w:pPr>
          </w:p>
        </w:tc>
        <w:tc>
          <w:tcPr>
            <w:tcW w:w="2920" w:type="dxa"/>
            <w:vAlign w:val="bottom"/>
          </w:tcPr>
          <w:p>
            <w:pPr>
              <w:jc w:val="center"/>
              <w:ind w:left="1140"/>
              <w:spacing w:after="0" w:line="147" w:lineRule="exact"/>
              <w:rPr>
                <w:sz w:val="20"/>
                <w:szCs w:val="20"/>
                <w:color w:val="auto"/>
              </w:rPr>
            </w:pPr>
            <w:r>
              <w:rPr>
                <w:rFonts w:ascii="Times New Roman" w:cs="Times New Roman" w:eastAsia="Times New Roman" w:hAnsi="Times New Roman"/>
                <w:sz w:val="12"/>
                <w:szCs w:val="12"/>
                <w:b w:val="1"/>
                <w:bCs w:val="1"/>
                <w:color w:val="auto"/>
                <w:w w:val="96"/>
              </w:rPr>
              <w:t xml:space="preserve">and Rights </w:t>
            </w:r>
            <w:r>
              <w:rPr>
                <w:rFonts w:ascii="Times New Roman" w:cs="Times New Roman" w:eastAsia="Times New Roman" w:hAnsi="Times New Roman"/>
                <w:sz w:val="15"/>
                <w:szCs w:val="15"/>
                <w:b w:val="1"/>
                <w:bCs w:val="1"/>
                <w:color w:val="auto"/>
                <w:w w:val="96"/>
                <w:vertAlign w:val="superscript"/>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Warrants and Rights</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First Column of this Table)</w:t>
            </w:r>
          </w:p>
        </w:tc>
        <w:tc>
          <w:tcPr>
            <w:tcW w:w="0" w:type="dxa"/>
            <w:vAlign w:val="bottom"/>
          </w:tcPr>
          <w:p>
            <w:pPr>
              <w:spacing w:after="0"/>
              <w:rPr>
                <w:sz w:val="1"/>
                <w:szCs w:val="1"/>
                <w:color w:val="auto"/>
              </w:rPr>
            </w:pPr>
          </w:p>
        </w:tc>
      </w:tr>
      <w:tr>
        <w:trPr>
          <w:trHeight w:val="168"/>
        </w:trPr>
        <w:tc>
          <w:tcPr>
            <w:tcW w:w="4400" w:type="dxa"/>
            <w:vAlign w:val="bottom"/>
            <w:tcBorders>
              <w:bottom w:val="single" w:sz="8" w:color="012169"/>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2920" w:type="dxa"/>
            <w:vAlign w:val="bottom"/>
            <w:tcBorders>
              <w:bottom w:val="single" w:sz="8" w:color="012169"/>
            </w:tcBorders>
          </w:tcPr>
          <w:p>
            <w:pPr>
              <w:jc w:val="center"/>
              <w:ind w:left="112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1660" w:type="dxa"/>
            <w:vAlign w:val="bottom"/>
            <w:tcBorders>
              <w:bottom w:val="single" w:sz="8" w:color="012169"/>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(b)</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w:t>
            </w:r>
          </w:p>
        </w:tc>
        <w:tc>
          <w:tcPr>
            <w:tcW w:w="0" w:type="dxa"/>
            <w:vAlign w:val="bottom"/>
          </w:tcPr>
          <w:p>
            <w:pPr>
              <w:spacing w:after="0"/>
              <w:rPr>
                <w:sz w:val="1"/>
                <w:szCs w:val="1"/>
                <w:color w:val="auto"/>
              </w:rPr>
            </w:pPr>
          </w:p>
        </w:tc>
      </w:tr>
      <w:tr>
        <w:trPr>
          <w:trHeight w:val="163"/>
        </w:trPr>
        <w:tc>
          <w:tcPr>
            <w:tcW w:w="44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Equity Compensation Plans Approved by Stockholders</w:t>
            </w:r>
          </w:p>
        </w:tc>
        <w:tc>
          <w:tcPr>
            <w:tcW w:w="2920" w:type="dxa"/>
            <w:vAlign w:val="bottom"/>
            <w:tcBorders>
              <w:bottom w:val="single" w:sz="8" w:color="A6A6A6"/>
            </w:tcBorders>
          </w:tcPr>
          <w:p>
            <w:pPr>
              <w:spacing w:after="0"/>
              <w:rPr>
                <w:sz w:val="14"/>
                <w:szCs w:val="14"/>
                <w:color w:val="auto"/>
              </w:rPr>
            </w:pPr>
          </w:p>
        </w:tc>
        <w:tc>
          <w:tcPr>
            <w:tcW w:w="1660" w:type="dxa"/>
            <w:vAlign w:val="bottom"/>
            <w:tcBorders>
              <w:bottom w:val="single" w:sz="8" w:color="A6A6A6"/>
            </w:tcBorders>
          </w:tcPr>
          <w:p>
            <w:pPr>
              <w:spacing w:after="0"/>
              <w:rPr>
                <w:sz w:val="14"/>
                <w:szCs w:val="14"/>
                <w:color w:val="auto"/>
              </w:rPr>
            </w:pPr>
          </w:p>
        </w:tc>
        <w:tc>
          <w:tcPr>
            <w:tcW w:w="1880" w:type="dxa"/>
            <w:vAlign w:val="bottom"/>
            <w:tcBorders>
              <w:bottom w:val="single" w:sz="8" w:color="A6A6A6"/>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00" w:type="dxa"/>
            <w:vAlign w:val="bottom"/>
            <w:tcBorders>
              <w:bottom w:val="single" w:sz="8" w:color="A6A6A6"/>
            </w:tcBorders>
            <w:shd w:val="clear" w:color="auto" w:fill="CCEEFF"/>
          </w:tcPr>
          <w:p>
            <w:pPr>
              <w:ind w:left="280"/>
              <w:spacing w:after="0" w:line="167" w:lineRule="exact"/>
              <w:rPr>
                <w:sz w:val="20"/>
                <w:szCs w:val="20"/>
                <w:color w:val="auto"/>
              </w:rPr>
            </w:pPr>
            <w:r>
              <w:rPr>
                <w:rFonts w:ascii="Times New Roman" w:cs="Times New Roman" w:eastAsia="Times New Roman" w:hAnsi="Times New Roman"/>
                <w:sz w:val="12"/>
                <w:szCs w:val="12"/>
                <w:color w:val="auto"/>
              </w:rPr>
              <w:t>New Fortress Energy Inc. 2019 Omnibus Incentive Plan</w:t>
            </w:r>
            <w:r>
              <w:rPr>
                <w:rFonts w:ascii="Times New Roman" w:cs="Times New Roman" w:eastAsia="Times New Roman" w:hAnsi="Times New Roman"/>
                <w:sz w:val="15"/>
                <w:szCs w:val="15"/>
                <w:color w:val="auto"/>
                <w:vertAlign w:val="superscript"/>
              </w:rPr>
              <w:t>(2)</w:t>
            </w:r>
          </w:p>
        </w:tc>
        <w:tc>
          <w:tcPr>
            <w:tcW w:w="2920" w:type="dxa"/>
            <w:vAlign w:val="bottom"/>
            <w:tcBorders>
              <w:bottom w:val="single" w:sz="8" w:color="A6A6A6"/>
            </w:tcBorders>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rPr>
              <w:t>273,674</w:t>
            </w:r>
          </w:p>
        </w:tc>
        <w:tc>
          <w:tcPr>
            <w:tcW w:w="1660" w:type="dxa"/>
            <w:vAlign w:val="bottom"/>
            <w:tcBorders>
              <w:bottom w:val="single" w:sz="8" w:color="A6A6A6"/>
            </w:tcBorders>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880" w:type="dxa"/>
            <w:vAlign w:val="bottom"/>
            <w:tcBorders>
              <w:bottom w:val="single" w:sz="8" w:color="A6A6A6"/>
            </w:tcBorders>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26,062,071</w:t>
            </w:r>
          </w:p>
        </w:tc>
        <w:tc>
          <w:tcPr>
            <w:tcW w:w="0" w:type="dxa"/>
            <w:vAlign w:val="bottom"/>
          </w:tcPr>
          <w:p>
            <w:pPr>
              <w:spacing w:after="0"/>
              <w:rPr>
                <w:sz w:val="1"/>
                <w:szCs w:val="1"/>
                <w:color w:val="auto"/>
              </w:rPr>
            </w:pPr>
          </w:p>
        </w:tc>
      </w:tr>
      <w:tr>
        <w:trPr>
          <w:trHeight w:val="154"/>
        </w:trPr>
        <w:tc>
          <w:tcPr>
            <w:tcW w:w="4400" w:type="dxa"/>
            <w:vAlign w:val="bottom"/>
            <w:tcBorders>
              <w:bottom w:val="single" w:sz="8" w:color="A6A6A6"/>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Equity Compensation Plans Not Approved by Stockholders</w:t>
            </w:r>
          </w:p>
        </w:tc>
        <w:tc>
          <w:tcPr>
            <w:tcW w:w="2920" w:type="dxa"/>
            <w:vAlign w:val="bottom"/>
            <w:tcBorders>
              <w:bottom w:val="single" w:sz="8" w:color="A6A6A6"/>
            </w:tcBorders>
          </w:tcPr>
          <w:p>
            <w:pPr>
              <w:jc w:val="center"/>
              <w:ind w:left="1140"/>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tcBorders>
              <w:bottom w:val="single" w:sz="8" w:color="A6A6A6"/>
            </w:tcBorders>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880" w:type="dxa"/>
            <w:vAlign w:val="bottom"/>
            <w:tcBorders>
              <w:bottom w:val="single" w:sz="8" w:color="A6A6A6"/>
            </w:tcBorders>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40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920" w:type="dxa"/>
            <w:vAlign w:val="bottom"/>
            <w:tcBorders>
              <w:bottom w:val="single" w:sz="8" w:color="auto"/>
            </w:tcBorders>
            <w:shd w:val="clear" w:color="auto" w:fill="D9D9D9"/>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rPr>
              <w:t>273,674</w:t>
            </w:r>
          </w:p>
        </w:tc>
        <w:tc>
          <w:tcPr>
            <w:tcW w:w="1660" w:type="dxa"/>
            <w:vAlign w:val="bottom"/>
            <w:tcBorders>
              <w:bottom w:val="single" w:sz="8" w:color="auto"/>
            </w:tcBorders>
            <w:shd w:val="clear" w:color="auto" w:fill="D9D9D9"/>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880" w:type="dxa"/>
            <w:vAlign w:val="bottom"/>
            <w:tcBorders>
              <w:bottom w:val="single" w:sz="8" w:color="auto"/>
            </w:tcBorders>
            <w:shd w:val="clear" w:color="auto" w:fill="D9D9D9"/>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26,062,071</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28" w:hanging="128"/>
        <w:spacing w:after="0"/>
        <w:tabs>
          <w:tab w:leader="none" w:pos="128" w:val="left"/>
        </w:tabs>
        <w:numPr>
          <w:ilvl w:val="0"/>
          <w:numId w:val="6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shares subject to outstanding equity awards under the Incentive Plan for which shares had not yet been delivered as of December 31, 2025.</w:t>
      </w:r>
    </w:p>
    <w:p>
      <w:pPr>
        <w:ind w:left="128" w:hanging="128"/>
        <w:spacing w:after="0"/>
        <w:tabs>
          <w:tab w:leader="none" w:pos="128" w:val="left"/>
        </w:tabs>
        <w:numPr>
          <w:ilvl w:val="0"/>
          <w:numId w:val="6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Incentive Plan provides that 16,705,882 shares of Common Stock are reserved and available for issuance under the Incentive Plan, as increased on the first day of each fiscal year beginning in calendar year 2020 by a number of shares of Common Stock equal to the excess of 10% of the</w:t>
      </w:r>
    </w:p>
    <w:p>
      <w:pPr>
        <w:spacing w:after="0" w:line="16" w:lineRule="exact"/>
        <w:rPr>
          <w:sz w:val="20"/>
          <w:szCs w:val="20"/>
          <w:color w:val="auto"/>
        </w:rPr>
      </w:pPr>
    </w:p>
    <w:p>
      <w:pPr>
        <w:ind w:left="8"/>
        <w:spacing w:after="0" w:line="231" w:lineRule="auto"/>
        <w:rPr>
          <w:sz w:val="20"/>
          <w:szCs w:val="20"/>
          <w:color w:val="auto"/>
        </w:rPr>
      </w:pPr>
      <w:r>
        <w:rPr>
          <w:rFonts w:ascii="Times New Roman" w:cs="Times New Roman" w:eastAsia="Times New Roman" w:hAnsi="Times New Roman"/>
          <w:sz w:val="10"/>
          <w:szCs w:val="10"/>
          <w:color w:val="auto"/>
        </w:rPr>
        <w:t>aggregate number of outstanding shares of Common Stock on the last day of the immediately preceding fiscal year, over the number of shares of Common Stock reserved and available for issuance under the Incentive Plan as of the last day of the immediately preceding fiscal year. The shares of Class A Common Stock reserved and available for issuance under the Incentive Plan increased by 7,041,727 shares on the first day of 2025.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5"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b w:val="1"/>
          <w:bCs w:val="1"/>
          <w:color w:val="auto"/>
        </w:rPr>
        <w:t>Effect of Not Obtaining Required Vote for Approval of the Incentive Plan Proposal</w:t>
      </w:r>
    </w:p>
    <w:p>
      <w:pPr>
        <w:spacing w:after="0" w:line="136"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Restructuring Transaction is conditioned upon the approval of each of the Restructuring Transaction Proposals, including the Incentive Plan Proposal. If we are unable to complete the Restructuring Transactions on the terms currently contemplated, the Company will be required or compelled to pursue alternative in-court restructuring initiatives to preserve value, which would have a material and adverse impact on stockholders and likely result in no recovery to stockholders. These alternatives involve significant uncertainties, potential delays, costs and other risks, and there can be no assurance that any of these alternatives will be available on acceptable terms, or at all, in the current market environment or in the foreseeable future. See “</w:t>
      </w:r>
      <w:r>
        <w:rPr>
          <w:rFonts w:ascii="Times New Roman" w:cs="Times New Roman" w:eastAsia="Times New Roman" w:hAnsi="Times New Roman"/>
          <w:sz w:val="12"/>
          <w:szCs w:val="12"/>
          <w:i w:val="1"/>
          <w:iCs w:val="1"/>
          <w:color w:val="auto"/>
        </w:rPr>
        <w:t>Risk Factors—Our ability to continue as a going concern is dependent upon our ability to complete the Restructuring Transaction and delay capital expenditures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Approval of the Incentive Plan Proposal requires the affirmative vote of the holders of a majority in voting power of the votes cast by holders of Common Stock present in person or represented by proxy at the meeting and entitled to vote thereon. Abstentions and broker non-votes, if any, will have no effect on the vote on the Incentive Plan Proposal.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The Board of Directors recommends that you vote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xml:space="preserve"> approval of the Incentive Plan Proposal.</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548" w:right="3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29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In addition to the other information included in this Proxy Statement, you should read and carefully consider the following risks before deciding how to vote on the Proposals to be considered and voted upon at the Annual Meeting. In addition, you should read and consider the risks associated with the businesses of the Company found in the Company’s Annual Report on Form 10-K for the year ended December 31, 2025, particularly under the caption “Risk Factors,” as may be updated by any of the Company’s subsequent Form 10-Qs, all of which are filed with the SEC. See “Cautionary Note Regarding Forward-Looking Statements” and “Additional Information.” As used herein, “Common Stock” refers to the Company’s Class A Common Stock prior to the consummation of the Restructuring Transaction and CoreCo’s Class A Common Stock after the consummation of the Restructuring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Restructuring Transaction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risks and uncertainties associated with the Restructuring Transaction, the Restructuring Plans and the RSA.</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On March 17, 2026, we entered into a RSA with certain of our key creditors, which contemplates a comprehensive restructuring of our principal funded debt obligations. The Company intends to implement the Restructuring Transaction through UK court-sanctioned Restructuring Plans promoted by two indirect subsidiaries, with recognition sought in the U.S. under chapter 15 of the Bankruptcy Code, which will bind all lenders and noteholders and release the Company and all guarantors from obligations under the relevant debt instruments. For additional detail on the RSA, the Restructuring Plans and the Restructuring Transaction, see “General Information—Background of the Restructuring Transaction Proposals.”</w:t>
      </w:r>
    </w:p>
    <w:p>
      <w:pPr>
        <w:spacing w:after="0" w:line="12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successful implementation of the RSA, the Restructuring Plans and the Restructuring Transaction is critical to our ability to continue as a going concern and is subject to numerous conditions, milestones, and approvals, including the consent of various creditor groups, certain stockholder approvals and approval by the High Court of Justice in England and Wales (the “High Court”). and U.S. Bankruptcy Court, and regulatory authorities. Failure to satisfy or obtain waivers for these conditions or to meet required milestones could result in the termination of the RSA, loss of creditor support, or inability to consummate the Restructuring Transaction as contemplated. There can be no assurance that the Restructuring Transaction will be completed on the terms described, on the anticipated timeline, or at all. Failure to consummate the Restructuring Transaction would result in the Company being required or compelled to pursue alternative in-court restructuring initiatives to preserve value, which would have a material adverse effect on our business, financial condition, results of operations, and the value of our securities and likely result in no recovery to stockholders.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are subject to additional risks in connection with the Restructuring Transaction, the Restructuring Plans and the RSA, including the following:</w:t>
      </w:r>
    </w:p>
    <w:p>
      <w:pPr>
        <w:spacing w:after="0" w:line="168" w:lineRule="exact"/>
        <w:rPr>
          <w:sz w:val="20"/>
          <w:szCs w:val="20"/>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the High Court’s approval of the Restructuring Plans and recognition of the Restructuring Plans in the United States pursuant to chapter 15 of the U.S. Bankruptcy Code;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comply with the milestones set forth in the RSA; the costs of the Restructuring Transaction and related fees;</w:t>
      </w:r>
    </w:p>
    <w:p>
      <w:pPr>
        <w:spacing w:after="0" w:line="6" w:lineRule="exact"/>
        <w:rPr>
          <w:rFonts w:ascii="Times New Roman" w:cs="Times New Roman" w:eastAsia="Times New Roman" w:hAnsi="Times New Roman"/>
          <w:sz w:val="12"/>
          <w:szCs w:val="12"/>
          <w:color w:val="auto"/>
        </w:rPr>
      </w:pPr>
    </w:p>
    <w:p>
      <w:pPr>
        <w:ind w:left="420" w:right="240" w:hanging="212"/>
        <w:spacing w:after="0" w:line="250" w:lineRule="auto"/>
        <w:tabs>
          <w:tab w:leader="none" w:pos="417"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process of implementing the Restructuring Transaction may divert management’s attention and resources, result in increased costs, and adversely affect our relationships with customers, suppliers, employees, and other stakeholders;</w:t>
      </w:r>
    </w:p>
    <w:p>
      <w:pPr>
        <w:ind w:left="420" w:right="100" w:hanging="212"/>
        <w:spacing w:after="0" w:line="250" w:lineRule="auto"/>
        <w:tabs>
          <w:tab w:leader="none" w:pos="417"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implementation of the Restructuring Transaction is expected to result in significant dilution to existing holders of our Common Stock and existing stockholders will exercise even less influence over management than they currently have;</w:t>
      </w: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our Common Stock may be highly volatile or decline as a result of the Restructuring Transaction;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delisting of our Common Stock by Nasdaq as a consequence of the Restructuring Transaction;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our relationships with our other creditors, employees, customers, vendors, suppliers and other third parties;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contracts that are critical to our operations;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execute competitive contracts with third parties;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motivate, and retain key employees;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our current management team;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actions and decisions of our stockholders, creditors and other third parties who have interests in the Restructuring Transaction and the RSA that may be inconsistent with our plans.</w:t>
      </w:r>
    </w:p>
    <w:p>
      <w:pPr>
        <w:spacing w:after="0" w:line="301"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Because of the risks and uncertainties associated with the Restructuring Transaction, we may not be able to predict or quantify the ultimate impact the Restructuring Transaction may have on our business, cash flows, liquidity, financial condition, and results of operations, nor can we accurately predict the ultimate impact the Restructuring Transaction may have on our corporate or capital structure.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48"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continue as a going concern is dependent upon our ability to complete the Restructuring Transaction and delay capital expenditures.</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1"/>
          <w:szCs w:val="11"/>
          <w:color w:val="auto"/>
        </w:rPr>
        <w:t>As described in Note 2 to the notes to our consolidated financial statements included in our Annual Report on Form 10-K for the year ended December 31, 2025, management has concluded that our current liquidity and forecasted cash flows from operations are not probable to be sufficient to support, in full, obligations as they become due over the next twelve-month period, and there is substantial doubt as to the Company’s ability to continue as a going concern. If the Restructuring Transaction is not consummated as contemplated, the Company will be required or compelled to pursue alternative in-court restructuring initiatives to preserve value, which would have a material and adverse impact on stockholders and likely result in no recovery to stockholders. The process of implementing the Restructuring Transaction and the associated Restructuring Plans is subject to significant risks and uncertainties, including the need for sanction by the High Court, recognition in the United States under chapter 15 of the U.S. Bankruptcy Code, and approval of several stockholder proposals. See “—We are subject to risks and uncertainties associated with the Restructuring Transaction, the Restructuring Plans and the RSA.” There is no assurance that these approvals will be obtained on the anticipated timeline or at all. The Company and its creditors must also negotiate and finalize definitive documentation, and any failure to reach agreement or to satisfy the process milestones could result in termination of the RSA, after which creditors may pursue enforcement actions that could accelerate the Company’s financial distress. In addition, volatility in financial markets, changes in interest rates, or adverse economic developments could impact the Company’s ability to raise additional capital or refinance obligations, even during the restructuring process. The Company must also meet a consolidated minimum liquidity threshold at closing, and if this threshold is not met, it may be required to raise additional capital under tight time constraints, which may not be possible on acceptable terms.</w:t>
      </w:r>
    </w:p>
    <w:p>
      <w:pPr>
        <w:spacing w:after="0" w:line="117"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Even if the Restructuring Transaction is completed, the Company will continue to face substantial risks. Its future performance will depend on its ability to execute its revised business plan, which may be subject to operational, regulatory, and market risks, and it may require additional funding in the future to support operations, capital expenditures, or growth initiatives. There is no assurance that such funding will be available on favorable terms, or at all. The new debt and equity instruments issued in the restructuring may impose significant restrictions on the Company’s operations, including limitations on incurring additional indebtedness, asset sales, and distributions. The restructuring will result in significant dilution to existing equity holders, and the value of new equity securities may be volatile and subject to further decline. In addition to the Restructuring Transaction and the separation of BrazilCo, the Company continues to actively consider and evaluate further opportunistic strategies that seek to optimize the value of CoreCo’s portfolio, while providing additional liquidity and cash flow to the remaining CoreCo business. These strategies may include the sale of certain CoreCo assets, capital raising transactions or other strategic transactions. However, there are inherent uncertainties regarding the ability of CoreCo to effect any such transactions, and substantial risks relating to the ability of CoreCo to realize the anticipated benefits of pursuing one or more of these strategies. As such, even if the Restructuring Transaction is completed, substantial risks will remain that could adversely affect the Company’s financial condition, results of operations, and events of default under the Company's debt agreements, and management has concluded that there is substantial doubt as to the Company's ability to continue as a going concern.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the RSA is terminated, our ability to consummate the Restructuring Plans may be materially and adversely affected.</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RSA contains a number of termination events, upon the occurrence of which certain parties to the RSA may terminate the agreement. If the RSA is terminated as to all parties thereto, each of the parties will be released from its obligations in accordance with the terms of the RSA. Such termination may result in the loss of support for the Restructuring Plans by the parties to the RSA, which could adversely affect our ability to confirm and consummate the Restructuring Plans. If the Restructuring Plans are not consummated, there can be no assurance that any new plan would be as favorable to holders of claims against the Company as contemplated by the RSA.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Effectiveness of the Restructuring Plans requires the approval of the Restructuring Plan creditors.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Part 26A of the UK Companies Act 2006, in order for:</w:t>
      </w:r>
    </w:p>
    <w:p>
      <w:pPr>
        <w:spacing w:after="0" w:line="168" w:lineRule="exact"/>
        <w:rPr>
          <w:sz w:val="20"/>
          <w:szCs w:val="20"/>
          <w:color w:val="auto"/>
        </w:rPr>
      </w:pPr>
    </w:p>
    <w:p>
      <w:pPr>
        <w:ind w:left="420" w:right="100" w:hanging="212"/>
        <w:spacing w:after="0" w:line="260" w:lineRule="auto"/>
        <w:tabs>
          <w:tab w:leader="none" w:pos="417"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CoreCo Plan to become legally binding on NFE Global and the creditors subject to the CoreCo Plan, either (a) a majority representing 75% in value of each class of CoreCo Plan creditors present and voting at the meeting ordered to be summoned by the High Court votes in favor of the CoreCo Plan; or (b) a majority representing 75% in value of at least one class of CoreCo Plan creditors votes in favor of the CoreCo Plan and the High Court is satisfied that (i) that class would receive a payment and/or have a genuine economic interest in NFE Global in the relevant alternative, and (ii) each dissenting class would be no worse off under the CoreCo Plan than in the relevant alternative;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93" w:name="page94"/>
    <w:bookmarkEnd w:id="93"/>
    <w:p>
      <w:pPr>
        <w:ind w:left="420" w:right="240" w:hanging="212"/>
        <w:spacing w:after="0" w:line="279" w:lineRule="auto"/>
        <w:tabs>
          <w:tab w:leader="none" w:pos="417"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BrazilCo Plan to become legally binding on NFE Brazil Newco and the creditors subject to the BrazilCo Plan, a majority representing 75% in value of the class of BrazilCo Plan Creditors votes in favor of the BrazilCo Plan, (the “BrazilCo Plan Requisite Approval”).</w:t>
      </w:r>
    </w:p>
    <w:p>
      <w:pPr>
        <w:spacing w:after="0" w:line="111"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In order for the Restructuring Plans to become effective, the Restructuring Plans must then be sanctioned by an order of the High Court, and an official copy of the order must be delivered to the Registrar of Companies in England and Wales for registration. The Restructuring Plans are conditional upon each other.</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If the Restructuring Plans become effective (i) the CoreCo Plan creditors will be bound by the terms of the CoreCo Plan, and (ii) the BrazilCo Plan creditors will be bound by the terms of the BrazilCo Plan, in both cases from the effective date of the Restructuring Plans.</w:t>
      </w:r>
    </w:p>
    <w:p>
      <w:pPr>
        <w:spacing w:after="0" w:line="111"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Although creditors that are party to the RSA are expected to vote in favor of the Restructuring Plans, in the event that the RSA was terminated in accordance with its terms, any Restructuring Plan creditor that was party to the RSA would cease to be bound by its obligation to support the Restructuring Plans.</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If the BrazilCo Plan Requisite Approval is not obtained, the Restructuring Plans will not become effective and the Restructuring Transaction will not be implemented. Even if the CoreCo Plan creditors approve the CoreCo Plan and the BrazilCo Plan creditors approve the BrazilCo Plan, the Restructuring Plans may be objected to and may not be completed.</w:t>
      </w:r>
    </w:p>
    <w:p>
      <w:pPr>
        <w:spacing w:after="0" w:line="111"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If the CoreCo Plan is approved at the creditor meetings for the CoreCo Plan and the BrazilCo Plan is approved at the creditor meeting for the BrazilCo Plan, it is possible for a person with an interest in the relevant Restructuring Plans (whether a Restructuring Plan creditor or otherwise) to lodge objections to the relevant Restructuring Plans with the High Court, and, if such objections have been lodged, to attend or be represented at the Restructuring Plans sanction hearing to make representations that the relevant Restructuring Plans should not be approved and/or to appeal against the granting of the sanction order. Therefore, there can be no assurance that objections will not be made at or before the sanction hearing, or that an appeal will not be made against the grant of the sanction order and that any such objections or appeal will not delay or possibly prevent the Restructuring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Effectiveness of the Restructuring Plans requires the sanction of the High Court.</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In order for the Restructuring Plans to become effective, they must receive the sanction of the High Court. The High Court will not sanction the Restructuring Plans unless it is satisfied that the correct procedures have been followed, the proposed arrangements are fair and that there are no other reasons why the Restructuring Plans should not be approved. There can be no assurance that the High Court will determine that the Restructuring Plans are fair or that the High Court will not conclude that there are other reasons why the Restructuring Plans should not be sanctioned. If the High Court does not exercise its discretion to sanction the Restructuring Plans, or sanctions either Restructuring Plans subject to conditions or amendments which: (i) the Company deems unacceptable; or (ii) would have (directly or indirectly) a material adverse effect on the interests of any Restructuring Plan creditor and such conditions or amendments are not approved by the Restructuring Plan creditors, the Restructuring Plans will not become effective and the Restructuring Transaction will not be implemented.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Availability of the Section 3(a)(10) exemption depends on High Court sanction of the Restructuring Plans.</w:t>
      </w:r>
    </w:p>
    <w:p>
      <w:pPr>
        <w:spacing w:after="0" w:line="154"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securities to be issued in the Restructuring Transaction are expected to be issued in reliance on the exemption from registration under the Securities Act provided by Section 3(a)(10). If the High Court does not sanction the Restructuring Plans, the Section 3(a)(10) exemption will not be available for those issuances.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of the Company’s contracts may contain termination clauses which could be triggered by the Restructuring Plans.</w:t>
      </w:r>
    </w:p>
    <w:p>
      <w:pPr>
        <w:spacing w:after="0" w:line="154"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The Company may be party to certain contracts that contain termination provisions which may be triggered by the Restructuring Plans. Certain of these material contracts might also be terminable as a result of insolvency-related events. There can be no assurance that the Company has identified all contracts material to its business with termination clauses that may be triggered by the Restructuring Plans or insolvency-related events. If the Company triggers such a termination clause in any of its material contracts (or in a number of contracts that, when looked at together, are material to its business) and a consent or waiver is not obtained from the relevant counterparty, such counterparty may terminate or threaten to terminate the contract, which could have a material adverse effect on the Company’s business, operating results, financial condition or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Restructuring Plans may not be recognized or enforced in the United States or Mexico.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94" w:name="page95"/>
    <w:bookmarkEnd w:id="94"/>
    <w:p>
      <w:pPr>
        <w:ind w:firstLine="216"/>
        <w:spacing w:after="0" w:line="260" w:lineRule="auto"/>
        <w:rPr>
          <w:sz w:val="20"/>
          <w:szCs w:val="20"/>
          <w:color w:val="auto"/>
        </w:rPr>
      </w:pPr>
      <w:r>
        <w:rPr>
          <w:rFonts w:ascii="Times New Roman" w:cs="Times New Roman" w:eastAsia="Times New Roman" w:hAnsi="Times New Roman"/>
          <w:sz w:val="12"/>
          <w:szCs w:val="12"/>
          <w:color w:val="auto"/>
        </w:rPr>
        <w:t>It is contemplated that the PlanCos will seek recognition of the Restructuring Plans under Chapter 15 of the U.S. Bankruptcy Code. However, there is a possibility that the U.S. Bankruptcy Court will not recognize the Restructuring Plans under Chapter 15 of the U.S. Bankruptcy Code. Notwithstanding the view expressed in the foreign expert opinion obtained by the PlanCos, if the U.S. Bankruptcy Court declines to issue the U.S. Chapter 15 recognition order, the Restructuring Plans may not be recognized or be enforceable against a Restructuring Plan creditor in the United States. In these circumstances, the Restructuring Plan creditors would not be prevented from trying to enforce their rights in the applicable courts, as they otherwise would be if the U.S. Chapter 15 recognition order were granted.</w:t>
      </w:r>
    </w:p>
    <w:p>
      <w:pPr>
        <w:spacing w:after="0" w:line="12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The PlanCos intend to obtain a foreign expert opinion that the Restructuring Plans will be recognized in Mexico. Notwithstanding the view expressed in the foreign expert opinion, the Restructuring Plans may not be recognized or be enforceable against a Restructuring Plan creditor in Mexico. In these circumstances, the Restructuring Plan creditors would not be prevented from trying to enforce their rights in the applicable courts.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Ongoing events of default subject to forbearance could result in the acceleration of substantially all of our indebtedness.</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are currently in default under the New 2029 Notes, Revolving Credit Agreement, the Term Loan A Credit Agreement, the Term Loan B Credit Agreement, the 2026 Notes, the 2029 Notes and certain intercompany debt. Such defaults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applicable lenders or holders could accelerate the outstanding indebtedness under each of the foregoing debt instruments.</w:t>
      </w:r>
    </w:p>
    <w:p>
      <w:pPr>
        <w:spacing w:after="0" w:line="122" w:lineRule="exact"/>
        <w:rPr>
          <w:sz w:val="20"/>
          <w:szCs w:val="20"/>
          <w:color w:val="auto"/>
        </w:rPr>
      </w:pPr>
    </w:p>
    <w:p>
      <w:pPr>
        <w:jc w:val="both"/>
        <w:ind w:right="40" w:firstLine="216"/>
        <w:spacing w:after="0" w:line="260" w:lineRule="auto"/>
        <w:rPr>
          <w:sz w:val="20"/>
          <w:szCs w:val="20"/>
          <w:color w:val="auto"/>
        </w:rPr>
      </w:pPr>
      <w:r>
        <w:rPr>
          <w:rFonts w:ascii="Times New Roman" w:cs="Times New Roman" w:eastAsia="Times New Roman" w:hAnsi="Times New Roman"/>
          <w:sz w:val="12"/>
          <w:szCs w:val="12"/>
          <w:color w:val="auto"/>
        </w:rPr>
        <w:t>In addition, in March 2026, the Company entered into a forbearance agreement pursuant to which the lenders under the Letter of Credit Facility agreed not to exercise any remedies, subject to certain conditions, and to refrain from exercising remedies with respect to certain defaults until September 15, 2026. If the forbearance agreement is terminated, the lenders thereunder could accelerate the outstanding indebtedness. There can be no assurance that the lenders will agree to extend the forbearance period, waive existing or future defaults, or otherwise continue to refrain from exercising remedies. If the forbearance arrangement is terminated or not extended or if the Restructuring Transaction is not completed, the lenders could accelerate the outstanding indebtedness under the Letter of Credit Facility.</w:t>
      </w:r>
    </w:p>
    <w:p>
      <w:pPr>
        <w:spacing w:after="0" w:line="122"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If our indebtedness under any of the foregoing facilities or agreements were accelerated, we would not have sufficient liquidity to repay such amounts, and we may be forced to seek additional waivers, amendments, or alternative restructuring transactions, including potentially commencing formal insolvency proceedings. Any of these outcomes could materially and adversely affect our business, financial condition, and results of operations</w:t>
      </w:r>
    </w:p>
    <w:p>
      <w:pPr>
        <w:spacing w:after="0" w:line="10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separation of the Company into two independent entities as part of the Restructuring Transaction may result in operational, financial, tax and other risks, and there can be no assurance that the anticipated benefits of the separation will be realized.</w:t>
      </w:r>
    </w:p>
    <w:p>
      <w:pPr>
        <w:spacing w:after="0" w:line="107"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If consummated, the Restructuring Transaction will result in a substantial reduction of the Company’s indebtedness, as well as the divestiture in full of BrazilCo, which holds the Company’s Brazil business. The loss of the Brazil business will materially reduce the Company’s asset base, revenue streams, and geographic diversification. As disclosed, the Brazil business includes major facilities such as the Barcarena Facility, the Barcarena Power Plant, and the PortoCem Power Plant, all of which are either operational or in advanced stages of development and are expected to generate substantial revenues under long-term contracts. Upon completion of the Restructuring Transaction, the Company will no longer own or consolidate the results of these businesses, which will have a material effect on our consolidated results of operations and financial condition. The planned separation, including the transfer of equity interests in certain subsidiaries to creditors or third parties, introduces significant operational, financial, and legal uncertainties. The divestiture of a core business may disrupt ongoing operations, result in the loss of key personnel, customers, or suppliers associated with the Brazil business, and require substantial management attention and resources to manage the transition. The Company may also face challenges in reallocating resources, restructuring remaining operations, and maintaining relationships with stakeholders who may perceive the Company as less diversified or less stable following the loss of a major business segment. There is no assurance that the separation will achieve its intended benefits, and the Company may face challenges in executing the separation efficiently or in a manner that preserves value for stakeholders. In addition, the Company may be exposed to additional risks related to the allocation of liabilities, potential disputes with creditors or counterparties, and the need to comply with regulatory and contractual obligations arising from the separation.</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incurred, and may in the future incur, a significant amount of debt. The agreements governing our significant indebtedness place restrictions on us and our subsidiaries, reducing operational and financing flexibility and creating default risks.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95" w:name="page96"/>
    <w:bookmarkEnd w:id="95"/>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On an ongoing basis, we engage with lenders and other financial institutions in an effort to improve our liquidity and capital resources. As of December 31, 2025, we had approximately $8.3 billion aggregate principal amount of indebtedness outstanding on a consolidated basis (which does not include any unconsolidated debt). The terms and conditions of our indebtedness, including the 2026 Legacy Notes Indenture, the 2029 Legacy Notes Indenture, certain intercompany credit agreements and existing credit agreements include restrictive covenants that may limit our ability to operate our business, to incur or refinance our debt, pay dividends or make distributions or make certain other restricted payments, create liens on our or our subsidiaries’ assets, sell or otherwise dispose of assets,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w:t>
      </w:r>
    </w:p>
    <w:p>
      <w:pPr>
        <w:spacing w:after="0" w:line="125"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Amendments and forbearances in connection with our Revolving Credit Agreement, Letter of Credit Facility, Term Loan B Credit Agreement, Term Loan A Credit Agreement, the 2029 New Notes Indenture and the Intercompany Credit Agreements have terms and conditions that impose additional restrictive covenants that further limit our ability to operate our business, to incur or refinance our debt, pay dividends or make distributions or make certain other restricted payments, create liens on our or our subsidiaries’ assets, sell or otherwise dispose of assets or engage in certain transactions.</w:t>
      </w:r>
    </w:p>
    <w:p>
      <w:pPr>
        <w:spacing w:after="0" w:line="119"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The Company did not make certain interest and principal payments that were due during the fiscal quarters ended December 31, 2025 and March 31, 2026 under the 2029 New Notes, Term Loan A Credit Agreement, Term Loan B Credit Agreement, the Revolving Credit Agreement and the EB-5 Loan Agreement, resulting in events of default under these debt agreements. Additionally, the Company did not make interest and principal payments due in the fiscal quarter ended March 31, 2026 on the 2026 Legacy Notes and the 2029 Legacy Notes, which will result in events of default under each series of notes if not cured within 30 days. The defaults under the 2029 New Notes, Term Loan A Credit Agreement, Term Loan B Credit Agreement and the Revolving Credit Agreement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lenders and noteholders have the right to accelerate the outstanding principal balance and all other amounts owing under the 2029 New Notes, the Term Loan A Credit Agreement, Term Loan B Credit Agreement, the Revolving Credit Agreement and other loan documents. If the lenders and noteholders exercise such right, substantially all of the Company’s other outstanding debt would become payable on demand. In addition, the administrative agent under the Revolving Credit Agreement has the ability to exercise remedies on the collateral.</w:t>
      </w:r>
    </w:p>
    <w:p>
      <w:pPr>
        <w:spacing w:after="0" w:line="12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On March 17, 2026, we entered into a RSA with certain of our key creditors, which contemplates a comprehensive restructuring of our principal funded debt obligations. There can be no assurance that the Restructuring Transaction will be completed on the terms described, on the anticipated timeline, or at all. See “—Our ability to continue as a going concern is dependent upon our ability to complete the Restructuring Transaction and delay capital expenditures” and “—We are subject to risks and uncertainties associated with the Restructuring Transaction, the Restructuring Plans and the RSA.” The failure to consummate the Restructuring Transaction as contemplated by the RSA, or the occurrence of additional events of default or cross-acceleration, would result in the Company being required or compelled to pursue alternative in-court restructuring initiatives to preserve value, which would have a material and adverse impact on stockholders and likely result in no recovery to stockholders.</w:t>
      </w:r>
    </w:p>
    <w:p>
      <w:pPr>
        <w:spacing w:after="0" w:line="125"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Additionally, our Existing Credit Agreements and the intercompany loan agreements securing, directly or indirectly, the 2029 New Notes require proceeds of certain asset sales be used to pay down existing indebtedness, which may further limit our ability to operate our business and finance future operations and capital needs.</w:t>
      </w:r>
    </w:p>
    <w:p>
      <w:pPr>
        <w:spacing w:after="0" w:line="111"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Our ability to service our existing and any future debt will depend on our performance and operations, which is subject to factors that are beyond our control and compliance with covenants in the agreements governing such debt. We may be unable to maintain a level of cash flows from operating activities sufficient to permit us to fund our day-to-day operations or to pay the principal, premium, if any, and interest on our indebtedness. 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If we cannot make scheduled payments on our debt, we will be in default and, as a result, lenders under and holders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We may also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b w:val="1"/>
          <w:bCs w:val="1"/>
          <w:i w:val="1"/>
          <w:iCs w:val="1"/>
          <w:color w:val="auto"/>
        </w:rPr>
        <w:t>Despite our substantial level of indebtedness, we and our subsidiaries will be permitted to incur additional indebtedness in the future. This could further exacerbate the risks associated with our substantial indebtedness.</w:t>
      </w:r>
    </w:p>
    <w:p>
      <w:pPr>
        <w:spacing w:after="0" w:line="1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In addition, as our existing indebtedness matures, we may need to refinance that indebtedness with new indebtedness that may have a higher interest rate, which will increase our fixed costs. In accordance with the Restructuring Transaction, the Company will incur up to an aggregate amount of (i) $475 million of new term loans and $35 million (after giving effect to any original issue discount) of new term loans as a capital raise, each under the New CoreCo Credit Agreement and (ii) $400 million of new term loans under the FLNG 2 Credit Facility.</w:t>
      </w:r>
    </w:p>
    <w:p>
      <w:pPr>
        <w:spacing w:after="0" w:line="119"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Although the instruments governing our indebtedness contain restrictions on the incurrence of additional indebtedness, these restrictions are subject to a number of qualifications and exceptions and the indebtedness incurred in compliance with these restrictions could be substantial. If we incur additional debt and other obligations, the risks associated with our substantial leverage and the ability to service such debt would increase, which could have a material adverse effect on our business, results of operation and financial condition. For example, the 2029 New Notes issued pursuant to the 2029 New Notes Indenture, issued in part to refinance our 6.750% Senior Secured Notes due 2025 (the “2025 Notes”), 2026 Legacy Notes and 2029 Legacy Notes, and in part to provide additional liquidity to the business, bear interest at a rate of 12.000% per annum, representing a significant increase in our annual interest expense, while also increasing our total aggregate principal amount of indebtedness outstanding.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Common Stock may decline in the future as a result of the Restructuring Transaction, including owing to the substantial dilution thereof in the Proposed CoreCo Equity Issuances.</w:t>
      </w:r>
    </w:p>
    <w:p>
      <w:pPr>
        <w:spacing w:after="0" w:line="154"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As part of the Restructuring Transaction contemplated by the RSA, certain creditors a substantial number of shares of Common Stock and of newly issued CoreCo Convertible Preferred Stock. On the Restructuring Effective Date, the Company will issue to certain existing lenders and noteholders shares of Common Stock representing 65% of the outstanding Common Stock as of the Restructuring Effective Date (giving effect to such issuance, but before giving effect to the NFE MIP or any conversion of the CoreCo Convertible Preferred Stock). If Proposal 5 is approved, the Company will also reserve for issuance under the NFE MIP a number of shares equal to 10% of the Common Stock outstanding as of the Restructuring Effective Date (giving effect to the issuance of the Common Stock on the Restructuring Effective Date and pursuant to the NFE MIP, but before giving effect to any conversion of the CoreCo Convertible Preferred Stock). Additionally, on the Restructuring Effective Date, the Company will (i) issue to certain creditors CoreCo Convertible Preferred Stock and (ii) reserve for issuance under the NFE MIP shares of CoreCo Convertible Preferred Stock, which together mandatorily converts after three years into a number of shares of Common Stock representing 87% of the Common Stock outstanding as of the Restructuring Effective Date (giving effect to the issuance and reservation of shares of Common Stock described above and the conversion in full of the CoreCo Convertible Preferred Stock.</w:t>
      </w:r>
    </w:p>
    <w:p>
      <w:pPr>
        <w:spacing w:after="0" w:line="126"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Holders of CoreCo Convertible Preferred Stock will vote on an as-converted basis with the Common Stock during the first three years. These Proposed CoreCo Equity Issuances represent a dilution to holders of Common Stock of approximately 96%. See "Background of the Restructuring Transactions—Dilutive Effects of the Restructuring Transaction."</w:t>
      </w:r>
    </w:p>
    <w:p>
      <w:pPr>
        <w:spacing w:after="0" w:line="111"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holders of these newly issued shares may (subject to any contractual limitations, if applicable) seek to sell their shares. Other stockholders may also seek to sell shares held by them following, or in anticipation of, the completion of the Restructuring Transaction. Sales of substantial amounts of Common Stock in the public market, or the perception that these sales could occur, coupled with the increase in the outstanding number of shares of Common Stock relative to shares outstanding as of the date of this Proxy Statement, could cause the market price of our Common Stock to decline.</w:t>
      </w:r>
    </w:p>
    <w:p>
      <w:pPr>
        <w:spacing w:after="0" w:line="11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Acquisitions by third parties of the Company’s stock, including pursuant to the Proposed CoreCo Equity Issuances, may limit the Company’s ability to use some or all of its net operating loss carryforwards, capital loss carryforwards and disallowed business interest expense carryforwards in the future.</w:t>
      </w:r>
    </w:p>
    <w:p>
      <w:pPr>
        <w:spacing w:after="0" w:line="107"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2025, the Company had net operating loss carryforwards for U.S. federal income tax purposes of approximately $328 million. The Company also had disallowed business interest expense carryforwards of approximately $729 million. The Company did not have capital loss carryforwards but may recognize substantial capital losses in connection with the Restructuring.</w:t>
      </w:r>
    </w:p>
    <w:p>
      <w:pPr>
        <w:spacing w:after="0" w:line="111"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Under Section 382 and Section 383 of the Code, a corporation that undergoes an “ownership change” may be subject to limitations on its ability to utilize its pre-change net operating loss carryforwards, capital loss carryforwards, disallowed business interest expense carryforwards and certain other tax attributes to offset future taxable income. In general, an ownership change occurs if the aggregate stock ownership of certain stockholders (generally 5% stockholders, applying certain look-through and aggregation rules) increases by more than 50% over such stockholders’ lowest percentage ownership during the testing period (generally three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97" w:name="page98"/>
    <w:bookmarkEnd w:id="97"/>
    <w:p>
      <w:pPr>
        <w:spacing w:after="0" w:line="255" w:lineRule="auto"/>
        <w:rPr>
          <w:sz w:val="20"/>
          <w:szCs w:val="20"/>
          <w:color w:val="auto"/>
        </w:rPr>
      </w:pPr>
      <w:r>
        <w:rPr>
          <w:rFonts w:ascii="Times New Roman" w:cs="Times New Roman" w:eastAsia="Times New Roman" w:hAnsi="Times New Roman"/>
          <w:sz w:val="12"/>
          <w:szCs w:val="12"/>
          <w:color w:val="auto"/>
        </w:rPr>
        <w:t>years). It is expected that the Proposed CoreCo Equity Issuances will cause an ownership change, and it is possible that other acquisitions of the Company’s stock will cause an ownership change or increase the likelihood that the Company may undergo an ownership change for purposes of Section 382 and Section 383 of the Code in the future. In addition, the issuance of equity of the Company in exchange for the Company’s indebtedness pursuant to the Transactions, together with certain other Transactions, is expected to result in the realization by the Company of cancellation of indebtedness income, which, to the extent excluded from income for U.S. federal income tax purposes, could also or further limit the Company’s ability to utilize certain of its tax attributes. Limitations imposed on the Company’s ability to utilize net operating loss carryforwards, capital loss carryforwards, disallowed business interest expense carryforwards and other tax attributes could cause U.S. federal income taxes to be paid earlier than such taxes would be paid if such limitations were not in effect and could cause certain of such net operating loss carryforwards or capital loss carryforwards to expire unused, in each case reducing or eliminating the benefit of such net operating loss carryforwards, capital loss carryforwards, disallowed business interest expense carryforwards and other tax attributes,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Common Stock</w:t>
      </w:r>
    </w:p>
    <w:p>
      <w:pPr>
        <w:spacing w:after="0" w:line="1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market price and trading volume of our Common Stock has in the past and may continue to be volatile, which has subjected and may in the future subject us to securities class action litigation and could result in rapid and substantial losses for our stockholders.</w:t>
      </w:r>
    </w:p>
    <w:p>
      <w:pPr>
        <w:spacing w:after="0" w:line="107"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market price of our Common Stock has in the past and may continue to be highly volatile and could be subject to wide fluctuations. In addition, the trading volume in our Common Stock may fluctuate and cause significant price variations to occur. If the market price of our Common Stock declines significantly, you may be unable to resell your shares at or above your purchase price, if at all. The market price of our Common Stock may fluctuate or decline significantly in the future. Some of the factors that could negatively affect our share price or result in fluctuations in the price or trading volume of our Common Stock include:</w:t>
      </w:r>
    </w:p>
    <w:p>
      <w:pPr>
        <w:spacing w:after="0" w:line="137" w:lineRule="exact"/>
        <w:rPr>
          <w:sz w:val="20"/>
          <w:szCs w:val="20"/>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shift in our investor base;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quarterly or annual earnings, or those of other comparable companies; actual or anticipated fluctuations in our operating results;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accounting standards, policies, guidance, interpretations or principles; announcements by us or our competitors of significant investments, acquisitions or dispositions;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of securities analysts to cover our Common Stock;</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earnings estimates by securities analysts or our ability to meet those estimates;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operating and share price performance of other comparable companies;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overall market fluctuations;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conditions;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in the markets and market sectors in which we participate.</w:t>
      </w:r>
    </w:p>
    <w:p>
      <w:pPr>
        <w:spacing w:after="0" w:line="139"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Stock markets in the United States have experienced extreme price and volume fluctuations. Market fluctuations, as well as general political and economic conditions such as acts of terrorism, prolonged economic uncertainty, changing trade policies and tariffs, and the related uncertainty thereof, including the imposition of and enforceability of new or additional tariffs, trade wars, barriers or restrictions, or threats of such actions, the potential for worsening economic conditions, economic downturn, a recession or interest rate or currency rate fluctuations, could adversely affect the market price of our Common Stock.</w:t>
      </w:r>
    </w:p>
    <w:p>
      <w:pPr>
        <w:spacing w:after="0" w:line="119"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In addition, the completion of the Restructuring Transaction will result in significant dilution to existing holders of our Common Stock. Upon consummation of the Restructuring Transaction, all shares of our Common Stock outstanding immediately prior to the Restructuring Transaction will represent only 35% of the outstanding Common Stock of the Company, with the remaining 65% being held by creditors and other stakeholders following the restructuring. Furthermore, the mandatory conversion of the CoreCo Convertible Preferred Stock into Common Stock on the third anniversary of the Restructuring Effective Date into a number of shares of Common Stock representing 87% of the fully diluted Common Stock outstanding as of the closing of the Restructuring Transaction (after giving effect to the shares of the Company’s Common Stock to be issued on the Restructuring Effective Date and shares authorized under the Incentive Plan), will result in the issuance of additional shares, further diluting the ownership interests of existing stockholders. The potential for future issuances of Common Stock upon conversion of preferred equity or in connection with incentive plans may also increase the number of shares outstanding and place downward pressure on the market price of our Common Stock.</w:t>
      </w:r>
    </w:p>
    <w:p>
      <w:pPr>
        <w:spacing w:after="0" w:line="125"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the past, securities class action litigation has often been brought against companies following periods of volatility in the market price of their securities. We are currently subject to a putative securities class action complaint relating to a drop in our share price 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98" w:name="page99"/>
    <w:bookmarkEnd w:id="98"/>
    <w:p>
      <w:pPr>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Prior to the consummation of the Restructuring Transaction, a small number of our original investors have the ability to direct the voting of a significant amount of our Common Stock, and their interests may conflict with those of our other stockholders.</w:t>
      </w:r>
    </w:p>
    <w:p>
      <w:pPr>
        <w:spacing w:after="0" w:line="107"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As of December 31, 2025, affiliates of certain entities controlled by Wesley R. Edens, Randal A. Nardone and affiliates of Fortress Investment Group LLC (“Founder Entities”) owned an aggregate of approximately 92,530,509 shares of Common Stock, representing approximately 32.8% of our voting power, and affiliates of Energy Transition Holdings LLC, party to the Shareholders’ Agreement, own an aggregate of approximately 25,559,846 shares of our Common Stock, representing approximately 9.0% of the voting power of our Common Stock. The beneficial ownership of almost 50% of our voting stock means affiliates of the Founder Entities and Energy Transition Holdings LLC are able to have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Common Stock.</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Given this concentrated ownership, the affiliates of the Founder Entities and Energy Transition Holdings LLC would have significant influence over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Common Stock, to the extent investors perceive a disadvantage in owning securities of a company with a significant stockholder.</w:t>
      </w:r>
    </w:p>
    <w:p>
      <w:pPr>
        <w:spacing w:after="0" w:line="122"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Common Stock.</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Future sales and issuances of our Common Stock, securities convertible or exchangeable into our Common Stock or rights to purchase our Common Stock could result in additional dilution of the percentage ownership of our stockholders and may cause our share price to fall.</w:t>
      </w:r>
    </w:p>
    <w:p>
      <w:pPr>
        <w:spacing w:after="0" w:line="107"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To raise capital, we may sell substantial amounts of Common Stock or securities convertible into or exchangeable for Common Stock. These future issuances of Common Stock or Common Stock-related securities to purchase Common Stock, together with the exercise of outstanding restricted stock units and any additional shares issued in connection with other transactions, if any, may result in material dilution to our investors. Such sales may also result in material dilution to our existing stockholders, and new investors could gain rights, preferences and privileges senior to those of holders of our Common Stock. In particular, the completion of the Restructuring Transaction, and the consummation of the Proposed CoreCo Equity Issuances contemplated thereby, will result in dilution to existing holders of Common Stock of up to 96%. These holders may seek to sell their shares. Other stockholders may also seek to sell shares held by them following, or in anticipation of, the completion of the Restructuring Transaction. Sales of substantial amounts of Common Stock in the public market, or the perception that these sales could occur, coupled with the increase in the outstanding number of shares of Common Stock, could cause the market price of our Common Stock to decline.</w:t>
      </w:r>
    </w:p>
    <w:p>
      <w:pPr>
        <w:spacing w:after="0" w:line="1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Certificate of Incorporation and By-Laws, as well as Delaware law, contain provisions that could discourage acquisition bids or merger proposals, which may adversely affect the market price of our Common Stock and could deprive our investors of the opportunity to receive a premium for their Common Stock.</w:t>
      </w:r>
    </w:p>
    <w:p>
      <w:pPr>
        <w:spacing w:after="0" w:line="107"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99" w:name="page100"/>
    <w:bookmarkEnd w:id="99"/>
    <w:p>
      <w:pPr>
        <w:ind w:left="428" w:hanging="212"/>
        <w:spacing w:after="0"/>
        <w:tabs>
          <w:tab w:leader="none" w:pos="428"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dividing our Board of Directors into three classes of directors, with each class serving staggered three-year terms;</w:t>
      </w:r>
    </w:p>
    <w:p>
      <w:pPr>
        <w:spacing w:after="0" w:line="16" w:lineRule="exact"/>
        <w:rPr>
          <w:rFonts w:ascii="Times New Roman" w:cs="Times New Roman" w:eastAsia="Times New Roman" w:hAnsi="Times New Roman"/>
          <w:sz w:val="12"/>
          <w:szCs w:val="12"/>
          <w:color w:val="auto"/>
        </w:rPr>
      </w:pPr>
    </w:p>
    <w:p>
      <w:pPr>
        <w:ind w:left="428" w:right="140" w:hanging="212"/>
        <w:spacing w:after="0" w:line="250" w:lineRule="auto"/>
        <w:tabs>
          <w:tab w:leader="none" w:pos="425"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ind w:left="428" w:right="440" w:hanging="212"/>
        <w:spacing w:after="0" w:line="250" w:lineRule="auto"/>
        <w:tabs>
          <w:tab w:leader="none" w:pos="425"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ind w:left="428" w:hanging="212"/>
        <w:spacing w:after="0"/>
        <w:tabs>
          <w:tab w:leader="none" w:pos="428"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prohibiting cumulative voting in the election of directors; and</w:t>
      </w:r>
    </w:p>
    <w:p>
      <w:pPr>
        <w:spacing w:after="0" w:line="6" w:lineRule="exact"/>
        <w:rPr>
          <w:rFonts w:ascii="Times New Roman" w:cs="Times New Roman" w:eastAsia="Times New Roman" w:hAnsi="Times New Roman"/>
          <w:sz w:val="12"/>
          <w:szCs w:val="12"/>
          <w:color w:val="auto"/>
        </w:rPr>
      </w:pPr>
    </w:p>
    <w:p>
      <w:pPr>
        <w:ind w:left="428" w:right="100" w:hanging="212"/>
        <w:spacing w:after="0" w:line="260" w:lineRule="auto"/>
        <w:tabs>
          <w:tab w:leader="none" w:pos="425"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advance notice provisions for stockholder proposals and nominations for elections to the Board of Directors to be acted upon at meetings of the stockholders; and providing that the Board of Directors is expressly authorized to adopt, or to alter or repeal certain provisions of our organizational documents to the extent permitted by law.</w:t>
      </w:r>
    </w:p>
    <w:p>
      <w:pPr>
        <w:spacing w:after="0" w:line="122" w:lineRule="exact"/>
        <w:rPr>
          <w:sz w:val="20"/>
          <w:szCs w:val="20"/>
          <w:color w:val="auto"/>
        </w:rPr>
      </w:pPr>
    </w:p>
    <w:p>
      <w:pPr>
        <w:ind w:left="8" w:right="100" w:firstLine="216"/>
        <w:spacing w:after="0" w:line="256" w:lineRule="auto"/>
        <w:rPr>
          <w:sz w:val="20"/>
          <w:szCs w:val="20"/>
          <w:color w:val="auto"/>
        </w:rPr>
      </w:pPr>
      <w:r>
        <w:rPr>
          <w:rFonts w:ascii="Times New Roman" w:cs="Times New Roman" w:eastAsia="Times New Roman" w:hAnsi="Times New Roman"/>
          <w:sz w:val="12"/>
          <w:szCs w:val="12"/>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25" w:lineRule="exact"/>
        <w:rPr>
          <w:sz w:val="20"/>
          <w:szCs w:val="20"/>
          <w:color w:val="auto"/>
        </w:rPr>
      </w:pPr>
    </w:p>
    <w:p>
      <w:pPr>
        <w:ind w:left="8" w:right="220" w:firstLine="216"/>
        <w:spacing w:after="0" w:line="279" w:lineRule="auto"/>
        <w:rPr>
          <w:sz w:val="20"/>
          <w:szCs w:val="20"/>
          <w:color w:val="auto"/>
        </w:rPr>
      </w:pPr>
      <w:r>
        <w:rPr>
          <w:rFonts w:ascii="Times New Roman" w:cs="Times New Roman" w:eastAsia="Times New Roman" w:hAnsi="Times New Roman"/>
          <w:sz w:val="12"/>
          <w:szCs w:val="12"/>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Our By-Laws provide that, unless we consent in writing to the selection of an alternative forum, the Court of Chancery of the State of Delaware is, to the fullest extent permitted by applicable law, the sole and exclusive forum for</w:t>
      </w:r>
    </w:p>
    <w:p>
      <w:pPr>
        <w:spacing w:after="0" w:line="17" w:lineRule="exact"/>
        <w:rPr>
          <w:sz w:val="20"/>
          <w:szCs w:val="20"/>
          <w:color w:val="auto"/>
        </w:rPr>
      </w:pPr>
    </w:p>
    <w:p>
      <w:pPr>
        <w:ind w:left="8" w:hanging="8"/>
        <w:spacing w:after="0" w:line="252" w:lineRule="auto"/>
        <w:tabs>
          <w:tab w:leader="none" w:pos="151"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The declaration and payment of dividends to holders of our Common Stock is at the discretion of our Board of Directors and we do not expect to pay dividends for the foreseeable future.</w:t>
      </w:r>
    </w:p>
    <w:p>
      <w:pPr>
        <w:spacing w:after="0" w:line="154" w:lineRule="exact"/>
        <w:rPr>
          <w:sz w:val="20"/>
          <w:szCs w:val="20"/>
          <w:color w:val="auto"/>
        </w:rPr>
      </w:pPr>
    </w:p>
    <w:p>
      <w:pPr>
        <w:ind w:left="8" w:right="80" w:firstLine="216"/>
        <w:spacing w:after="0" w:line="257" w:lineRule="auto"/>
        <w:rPr>
          <w:sz w:val="20"/>
          <w:szCs w:val="20"/>
          <w:color w:val="auto"/>
        </w:rPr>
      </w:pPr>
      <w:r>
        <w:rPr>
          <w:rFonts w:ascii="Times New Roman" w:cs="Times New Roman" w:eastAsia="Times New Roman" w:hAnsi="Times New Roman"/>
          <w:sz w:val="12"/>
          <w:szCs w:val="12"/>
          <w:color w:val="auto"/>
        </w:rPr>
        <w:t>We do not expect to pay dividends for the foreseeable future. Any future declaration and payment of dividends to holders of our Common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spacing w:after="0" w:line="125" w:lineRule="exact"/>
        <w:rPr>
          <w:sz w:val="20"/>
          <w:szCs w:val="20"/>
          <w:color w:val="auto"/>
        </w:rPr>
      </w:pPr>
    </w:p>
    <w:p>
      <w:pPr>
        <w:ind w:left="8" w:right="60" w:firstLine="216"/>
        <w:spacing w:after="0" w:line="279" w:lineRule="auto"/>
        <w:rPr>
          <w:sz w:val="20"/>
          <w:szCs w:val="20"/>
          <w:color w:val="auto"/>
        </w:rPr>
      </w:pPr>
      <w:r>
        <w:rPr>
          <w:rFonts w:ascii="Times New Roman" w:cs="Times New Roman" w:eastAsia="Times New Roman" w:hAnsi="Times New Roman"/>
          <w:sz w:val="12"/>
          <w:szCs w:val="12"/>
          <w:color w:val="auto"/>
        </w:rPr>
        <w:t>The incurrence or issuance of debt which ranks senior to our Common Stock upon our liquidation and future issuances of equity or equity-related securities, which would dilute the holdings of our existing stockholders and may be senior to our Common Stock for the purposes of making distributions, periodically or upon liquidation, may negatively affect the market price of our Common Stock.</w:t>
      </w:r>
    </w:p>
    <w:p>
      <w:pPr>
        <w:spacing w:after="0" w:line="200" w:lineRule="exact"/>
        <w:rPr>
          <w:sz w:val="20"/>
          <w:szCs w:val="20"/>
          <w:color w:val="auto"/>
        </w:rPr>
      </w:pPr>
    </w:p>
    <w:p>
      <w:pPr>
        <w:spacing w:after="0" w:line="23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61" w:right="319" w:bottom="1440" w:gutter="0" w:footer="0" w:header="0"/>
        </w:sectPr>
      </w:pPr>
    </w:p>
    <w:bookmarkStart w:id="100" w:name="page101"/>
    <w:bookmarkEnd w:id="100"/>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We have incurred and may in the future incur or issue debt or issue equity or equity-related securities to finance our operations, acquisitions or investments. Any future incurrence or issuance of debt would increase our interest cost and could adversely affect our results of operations and cash flows. We are not required to offer any additional equity securities to existing stockholders on a preemptive basis. Therefore, additional issuances of Common Stock, whether directly, through convertible securities, or exchangeable securities (including limited partnership interests in our operating partnership), warrants or options, will dilute the holdings of our existing stockholders and such issuances, or the perception of such issuances, may reduce the market price of our Common Stock. Any preferred stock issued by us would likely have a preference on distribution payments, periodically or upon liquidation, which could eliminate or otherwise limit our ability to make distributions to stockholders. Because our decision to incur or issue additional debt or equity or equity-related securities in the future will depend on market conditions and other factors beyond our control, we cannot predict or estimate the amount, timing, nature or success of our future capital raising efforts. Thus, stockholders bear the risk that our future incurrence or issuance of debt or issuance of equity or equity-related securities will adversely affect the market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or issuances of our Common Stock could adversely affect the market price of our Common Stock.</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Sales of substantial amounts of our Common Stock in the public market, or the perception that such sales might occur, including in connection with the Proposed CoreCo Equity Issuances in the Restructuring Transaction, could adversely affect the market price of our Common Stock. The issuance of our Common Stock in connection with property, portfolio or business acquisitions or the exercise of outstanding options or otherwise could also have an adverse effect on the market price of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active, liquid and orderly trading market for our Common Stock may not be maintained and the price of our Common Stock may fluctuate significantly.</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An active, liquid and orderly trading market for our Common Stock may not be maintained. Active, liquid and orderly trading markets usually result in less price volatility and more efficiency in carrying out investors’ purchase and sale orders. The market price of our Common Stock could vary significantly as a result of a number of factors, some of which are beyond our control. In the event of a drop in the market price of our Common Stock, you could lose a substantial part or all of your investment in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maintain the listing of our Common Stock on the Nasdaq stock market or another national securities exchange.</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Although our Common Stock is listed on Nasdaq, we must meet certain financial and liquidity criteria to maintain such listing. As previously disclosed, on May 1, 2026, we received written notice (the “Notice”) from the Listing Qualifications Department of Nasdaq notifying us that, based on the closing bid price of our Common Stock for the last 30 consecutive trading days, we no longer comply with the requirement to maintain a minimum bid price of $1.00 per share for a period of 30 consecutive trading days for continued listing on Nasdaq, as set forth in Nasdaq Listing Rule 5450(a)(1) and Nasdaq Listing Rule 5810(c)(3)(A) (the "Minimum Bid Price Requirement"). The Notice has no immediate effect on the continued listing status of our Common Stock on Nasdaq.</w:t>
      </w:r>
    </w:p>
    <w:p>
      <w:pPr>
        <w:spacing w:after="0" w:line="122"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Pursuant to the Nasdaq Listing Rules, we have been provided an initial compliance period of 180 calendar days to regain compliance with the Minimum Bid Price Requirement. To regain compliance, the closing bid price of our Common Stock must be at least $1.00 per share for a minimum of 10 consecutive trading days prior to October 28, 2026, and we must otherwise satisfy Nasdaq’s requirements for continued listing. If we do not regain compliance within the compliance period(s), including any extensions that may be granted by Nasdaq, the Common Stock will be subject to delisting. Our Common Stock may also be suspended or delisted if we violate Nasdaq’s listing requirements, or if we fail to meet other Nasdaq’s listing standards, or if our Board of Directors determines that the cost of maintaining our listing on a national securities exchange outweighs the benefits of such listing.</w:t>
      </w:r>
    </w:p>
    <w:p>
      <w:pPr>
        <w:spacing w:after="0" w:line="12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Although we are taking definitive steps to regain compliance with the applicable rules, including seeking stockholder approval for the implementation of the Reverse Split (see "Proposal No. 3 Charter Amendment Proposal— Reason for Request for Stockholder Approval—Reverse Split"), there can be no assurance that we will be successful in our effort to regain compliance with the Nasdaq listing rules.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22"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Restructuring Transaction, we will be issuing a significant number of new securities, including CoreCo Convertible Preferred Stock and additional shares of Common Stock, and will be effecting a corporate separation and other material changes to our capital structure. The consummation of the Restructuring Transaction is conditioned upon, among other things, stockholder approval of amendments to our Certificate of Incorporation to increase the number of authorized shares of Common Stock and to authorize a Reverse Split, as well as approval for the potential issuance of Common Stock exceeding 20% of the current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01" w:name="page102"/>
    <w:bookmarkEnd w:id="101"/>
    <w:p>
      <w:pPr>
        <w:ind w:right="320"/>
        <w:spacing w:after="0" w:line="279" w:lineRule="auto"/>
        <w:rPr>
          <w:sz w:val="20"/>
          <w:szCs w:val="20"/>
          <w:color w:val="auto"/>
        </w:rPr>
      </w:pPr>
      <w:r>
        <w:rPr>
          <w:rFonts w:ascii="Times New Roman" w:cs="Times New Roman" w:eastAsia="Times New Roman" w:hAnsi="Times New Roman"/>
          <w:sz w:val="12"/>
          <w:szCs w:val="12"/>
          <w:color w:val="auto"/>
        </w:rPr>
        <w:t>outstanding shares to comply with Nasdaq rules. If we are unable to obtain the necessary stockholder approvals or fail to comply with Nasdaq’s continued listing requirements as a result of the Restructuring Transaction, including requirements related to minimum market capitalization, public float, or other corporate governance standards, our Common Stock could be subject to delisting.</w:t>
      </w:r>
    </w:p>
    <w:p>
      <w:pPr>
        <w:spacing w:after="0" w:line="111"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Furthermore, the significant dilution of existing holders of our Common Stock and the potential for further dilution upon conversion of preferred equity or in connection with future incentive plans may adversely affect the market price and trading volume of our Common Stock, increasing the risk that we may not satisfy Nasdaq’s listing standards. If our Common Stock is delisted as a result of the Restructuring Transaction or any related factors, it could materially and adversely affect the liquidity, market price, and value of your investment, and could significantly impair our ability to access the capital markets.</w:t>
      </w:r>
    </w:p>
    <w:p>
      <w:pPr>
        <w:spacing w:after="0" w:line="1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cannot assure you that the proposed Reverse Split will increase the price of the Common Stock and have the desired effect of maintaining compliance with Nasdaq’s Bid Price Rule or other continued listing standards of Nasdaq.</w:t>
      </w:r>
    </w:p>
    <w:p>
      <w:pPr>
        <w:spacing w:after="0" w:line="107"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If the Reverse Split is implemented, the Board of Directors expects that it will increase the market price of the Common Stock so that we are able to maintain compliance with the Nasdaq’s Bid Price Rule. However, the effect of the Reverse Split upon the market price of the Common Stock cannot be predicted with any certainty. It is possible that (i) the per share price of the Common Stock after the Reverse Split will not rise in proportion to the reduction in the number of shares of the Common Stock outstanding resulting from the Reverse Split, (ii) the market price per post-Reverse Split share may not exceed or remain in excess of the $1.00 minimum bid price for a sustained period of time, or (iii) the Reverse Split may not result in a per share price that would attract brokers and investors who do not trade in lower priced stocks. Even if the Reverse Split is implemented, the market price of the Common Stock may decrease due to factors unrelated to the Reverse Split. In any case, the market price of the Common Stock will be based on other factors which may be unrelated to the number of shares outstanding, including our future performance. If the Reverse Split is consummated and the trading price of the Common Stock declines, the percentage decline as an absolute number and as a percentage of our overall market capitalization may be greater than would occur in the absence of the Reverse Split. Even if the market price per post-Reverse Split share of the Common Stock remains in excess of $1.00 per share, we may be delisted due to a failure to meet other continued listing requirements, including Nasdaq requirements related to the minimum stockholders’ equity, minimum number of shares that must be in the public float and the minimum market value of the public float.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proposed Reverse Split may decrease the liquidity of the Common Stock.</w:t>
      </w:r>
    </w:p>
    <w:p>
      <w:pPr>
        <w:spacing w:after="0" w:line="154"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liquidity of the Common Stock may be harmed by the proposed Reverse Split given the reduced number of shares of Common Stock that would be outstanding after the Reverse Split, particularly if the stock price does not increase as a result of the Reverse Split.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Reverse Split could make it harder to comply with certain Nasdaq listing requirements.</w:t>
      </w:r>
    </w:p>
    <w:p>
      <w:pPr>
        <w:spacing w:after="0" w:line="154"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Following the effectiveness of any Reverse Split approved by the stockholders, current stockholders will hold fewer shares of the Common Stock, with such number of shares dependent on the specific ratio for the Reverse Split. For example, a “round-lot” stockholder owning an aggregate of 500 shares of the Common Stock prior to the Reverse Split would hold 10 shares of the Common Stock following the Reverse Split. This could ultimately lead to fewer round lot holders and jeopardize the Company’s ability to comply with Nasdaq’s listing requirements regarding round lot holders.</w:t>
      </w:r>
    </w:p>
    <w:p>
      <w:pPr>
        <w:spacing w:after="0" w:line="1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Because the number of authorized shares of our Common Stock will not be reduced proportionately, the Reverse Split will increase the Board of Directors’ ability to issue authorized and unissued shares without further stockholder action and could make a takeover proposal more difficult.</w:t>
      </w:r>
    </w:p>
    <w:p>
      <w:pPr>
        <w:spacing w:after="0" w:line="107"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Because the number of authorized shares of our Common Stock will not be reduced proportionately, the Reverse Split will increase the Board of Directors’ ability to issue authorized and unissued shares without further stockholder action. Without taking into account the impact of the proposed Reverse Split, we already have a substantial number of authorized but unissued shares of stock, the issuance of which would be dilutive to our existing stockholders and may cause a decline in the trading price of the Common Stock. With respect to authorized but unissued and unreserved shares, we could also use such shares to oppose a hostile takeover attempt or delay or prevent changes in control or changes in or removal of management. Other than the foregoing and as part of the Restructuring Transactions, there are no existing plans, arrangements or understandings relating to the issuance of any of the authorized, but unissued and unreserved shares, whether available as a result of the proposed Reverse Split or otherwise.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Common Stock will rank junior to the preferred equity interests issued as part of the Proposed Equity Issuances.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02" w:name="page103"/>
    <w:bookmarkEnd w:id="102"/>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Our Common Stock will rank junior to the CoreCo Convertible Preferred Stock with respect to the payment of dividends, and to the CoreCo Convertible Preferred Stock and the FLNG 2 Preferred Interests with respect to amounts payable in the event of liquidation, winding-up or dissolution of CoreCo and FLNG 2, respectively. This means that, unless accumulated dividends have been paid or set aside for payment on all our outstanding CoreCo Convertible Preferred Stock through the most recently completed dividend period, no dividends may be declared or paid on our Common Stock subject to limited exceptions. Likewise, in the event of the voluntary or involuntary liquidation, winding-up or dissolution of CoreCo or FLNG 2, no distribution of assets may be made to holders of our Common Stock until we have paid to holders of the CoreCo Convertible Preferred Stock and the FLNG 2 Preferred Interests, as applicable, a liquidation preference equal to $1,000 per share, plus accumulated and unpaid dividends, as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Ownership of the CoreCo Convertible Preferred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Holders will bear the risk of a decline in the market price of our Common Stock between the issue date of the CoreCo Convertible Preferred Stock and the Mandatory Conversion Date.</w:t>
      </w:r>
    </w:p>
    <w:p>
      <w:pPr>
        <w:spacing w:after="0" w:line="154"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 xml:space="preserve">The number of shares of our Common Stock that a holder will receive upon mandatory conversion of the CoreCo Convertible Preferred Stock is fixed (subject to customary anti-dilution adjustments). If the share price of our Common Stock is less than the quotient of $1,000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the Conversion Rate on the Mandatory Conversion Date, holders of CoreCo Convertible Preferred Stock will effectively be paying more for shares of Common Stock than the market price on the Mandatory Conversion Date and receive fewer shares of our Common Stock than if the Conversion Rate depended on the market price of our Common Stock on the Mandatory Conversion Date. Accordingly, a holder will bear the risk of a decline in the market price of our Common Stock. Any such decline could be substantial.</w:t>
      </w:r>
    </w:p>
    <w:p>
      <w:pPr>
        <w:spacing w:after="0" w:line="11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Sales or issuances of our Common Stock in the public market, or the perception that these sales or issuances may occur, or the conversion or redemption of the CoreCo Convertible Preferred Stock, could affect the market price of the CoreCo Convertible Preferred Stock.</w:t>
      </w:r>
    </w:p>
    <w:p>
      <w:pPr>
        <w:spacing w:after="0" w:line="10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 xml:space="preserve">Sales or issuances of substantial amounts of our Common Stock or other securities convertible or exchangeable into shares of our Common Stock, including securities issued in connection with the Restructuring Transaction, in the public market or the conversion or redemption of the CoreCo Convertible Preferred Stock, could cause the market price of the CoreCo Convertible Preferred Stock or our Common Stock to decline. See </w:t>
      </w:r>
      <w:r>
        <w:rPr>
          <w:rFonts w:ascii="Times New Roman" w:cs="Times New Roman" w:eastAsia="Times New Roman" w:hAnsi="Times New Roman"/>
          <w:sz w:val="12"/>
          <w:szCs w:val="12"/>
          <w:i w:val="1"/>
          <w:iCs w:val="1"/>
          <w:color w:val="auto"/>
        </w:rPr>
        <w:t>"—Risks Related to our Common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Stock—Future sales and issuances of our Common Stock, securities convertible or exchangeable into our Common Stock or rights to purchase our Common Stock could result in additional dilution of the percentage ownership of our stockholders and may cause our share price to fall.</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i w:val="1"/>
          <w:iCs w:val="1"/>
          <w:color w:val="auto"/>
        </w:rPr>
        <w:t xml:space="preserve"> "—Risks Related to our Common Stock—Sales or issuances of our Common Stock could adversely affect the market price of our Common Stock</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Regulatory actions may adversely affect the trading price and liquidity of the CoreCo Convertible Preferred Stock.</w:t>
      </w:r>
    </w:p>
    <w:p>
      <w:pPr>
        <w:spacing w:after="0" w:line="154"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Owners of the CoreCo Convertible Preferred Stock who employ, or seek to employ, a convertible arbitrage strategy with respect to the CoreCo Convertible Preferred Stock may be adversely impacted by regulatory developments that may limit or restrict such a strategy. The SEC and other regulatory and self-regulatory authorities have implemented various rules and may adopt additional rules in the future that restrict and otherwise regulate short selling and over-the-counter swaps and security-based swaps, which restrictions and regulations may adversely affect the ability of investors in, or potential purchasers of, the CoreCo Convertible Preferred Stock to conduct a convertible arbitrage strategy with respect to the CoreCo Convertible Preferred Stock. This could, in turn, adversely affect the trading price and liquidity of the CoreCo Convertible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Liquidation Preference may not adequately compensate a holder for the loss as a result of early conversion upon a Liquidation Event.</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If a Liquidation Event occurs prior to the Mandatory Conversion Date (subject to the rights of certain creditors of CoreCo), holders of CoreCo Convertible Preferred Stock will be entitled to receive payment of the Liquidation Preference, plus accrued and unpaid dividends not otherwise included in the Liquidation Preference. The Liquidation Preference will be determined as described in “Background of the Restructuring Transaction Proposals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Summary of the CoreCo Convertible Preferred Stock</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Liquidation Preference.” Payment of the Liquidation Preference may not fully compensate holders for any loss suffered in connection with a Liquidation Event. In addition, the agreements governing any of our and existing or future indebtedness may limit our ability to pay cash to holders upon a Liquidation Event unless we can repay or refinance the amounts outstanding under such agreements.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Conversion Rate of the CoreCo Convertible Preferred Stock is fixed and may not be adjusted for all dilutive events that may adversely affect the market price of the CoreCo Convertible Preferred Stock or the Common Stock issuable upon conversion of the CoreCo Convertible Preferred Stock.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03" w:name="page104"/>
    <w:bookmarkEnd w:id="103"/>
    <w:p>
      <w:pPr>
        <w:ind w:firstLine="216"/>
        <w:spacing w:after="0" w:line="253" w:lineRule="auto"/>
        <w:rPr>
          <w:sz w:val="20"/>
          <w:szCs w:val="20"/>
          <w:color w:val="auto"/>
        </w:rPr>
      </w:pPr>
      <w:r>
        <w:rPr>
          <w:rFonts w:ascii="Times New Roman" w:cs="Times New Roman" w:eastAsia="Times New Roman" w:hAnsi="Times New Roman"/>
          <w:sz w:val="12"/>
          <w:szCs w:val="12"/>
          <w:color w:val="auto"/>
        </w:rPr>
        <w:t>The Conversion Rate of the CoreCo Convertible Preferred Stock is subject to adjustment only for the issuance of certain stock dividends on our Common Stock, subdivisions or combinations of our Common Stock or the issuance of certain equity interests as described under “Background of the Restructuring Transaction Proposals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Summary of the CoreCo Convertible Preferred Stock</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Conversion Rate Adjustments.” Subject to certain requirements, the Company may also voluntarily increase the Conversion Rate if such increase is in the Company’s best interest or to avoids or diminishes any income tax imposed on holders of our Common Stock or rights to purchase Common Stock as a result of any dividend or distribution of shares of Common Stock or any similar event as described under “Background of the Restructuring Transaction Proposals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Summary of the CoreCo Convertible Preferred Stock</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Conversion Rate Adjustments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Voluntary Conversion Rate Increases.” However, other events, such as employee and director grants that are settled in Common Stock and option grants or offerings of our Common Stock or securities convertible into shares of our Common Stock (other than those set forth in “Background of the Restructuring Transaction Proposals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Summary of the CoreCo Convertible Preferred Stock</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Conversion Rate Adjustments”) for cash or in connection with acquisitions, or third-party tender or exchange offers, which may adversely affect the market price of our Common Stock, may not result in any adjustment. Further, if any of these other events adversely affects the market price of our Common Stock, it may also adversely affect the market price of the CoreCo Convertible Preferred Stock. In addition, the terms of the CoreCo Convertible Preferred Stock do not restrict our ability to offer Common Stock or securities convertible into Common Stock in the future or to engage in other transactions that could dilute our Common Stock. We have no obligation to consider the specific interests of the holders of the CoreCo Convertible Preferred Stock in engaging in any such offering or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Holders of the CoreCo Convertible Preferred Stock may be adversely affected upon the issuance of a new series of preferred stock ranking senior or equally with the CoreCo Convertible Preferred Stock.</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Our Certificate of Incorporation authorizes our Board, without the approval of our stockholders, to issue up to 200,000,000 shares of our preferred stock (including the CoreCo Convertible Preferred Stock), subject to limitations prescribed by applicable law, rules and regulations and the provisions of our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With the consent of at least two-thirds in voting power of the outstanding shares of the CoreCo Convertible Preferred Stock, these additional series of preferred stock may be on parity with or senior to, the CoreCo Convertible Preferred Stock, which may reduce its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CoreCo Convertible Preferred Stock will rank junior to all of our and our subsidiaries’ consolidated liabilities and shares of capital stock, and may rank junior to future classes or series of our capital stock.</w:t>
      </w:r>
    </w:p>
    <w:p>
      <w:pPr>
        <w:spacing w:after="0" w:line="154"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In the event of a bankruptcy, liquidation, dissolution or winding-up, our assets will be available to pay obligations on the CoreCo Convertible Preferred Stock only after all of our consolidated liabilities have been paid. In addition, the CoreCo Convertible Preferred Stock will rank (i) structurally junior to all existing and future liabilities and shares of capital stock of our subsidiaries, including the FLNG 2 Preferred and FLNG 2 Term Loans and (ii) junior to each class or series of our capital stock established after the issue date the terms of which expressly provide that such class or series will rank senior to the CoreCo Convertible Preferred Stock with respect to dividends and distributions of assets upon liquidation, dissolution or winding up of the Company or certain other events. Holders rights to participate in the assets of our subsidiaries upon any bankruptcy, liquidation, dissolution or winding up of any subsidiary will rank junior to the prior claims of that subsidiary’s creditors. In the event of a bankruptcy, liquidation, dissolution or winding-up, there may not be sufficient assets remaining, after paying our and our subsidiaries’ liabilities, to pay amounts due on any or all of the CoreCo Convertible Preferred Stock then outstanding. As of December 31, 2025, we had approximately $8.4 billion aggregate principal amount of indebtedness outstanding on a consolidated basis (which does not include any unconsolidated debt).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do not expect to pay cash dividends on the CoreCo Convertible Preferred Stock for the foreseeable future.</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We do not expect to pay dividends for the foreseeable future. Any future declaration and payment of dividends to holders of the CoreCo Convertible Preferred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spacing w:after="0" w:line="12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Holders may be subject to tax upon an adjustment to the Conversion Rate of the CoreCo Convertible Preferred Stock or upon a distribution paid in shares of our Common Stock even though holders do not receive a corresponding cash distribution.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04" w:name="page105"/>
    <w:bookmarkEnd w:id="104"/>
    <w:p>
      <w:pPr>
        <w:ind w:firstLine="216"/>
        <w:spacing w:after="0" w:line="257" w:lineRule="auto"/>
        <w:rPr>
          <w:sz w:val="20"/>
          <w:szCs w:val="20"/>
          <w:color w:val="auto"/>
        </w:rPr>
      </w:pPr>
      <w:r>
        <w:rPr>
          <w:rFonts w:ascii="Times New Roman" w:cs="Times New Roman" w:eastAsia="Times New Roman" w:hAnsi="Times New Roman"/>
          <w:sz w:val="12"/>
          <w:szCs w:val="12"/>
          <w:color w:val="auto"/>
        </w:rPr>
        <w:t>The Conversion Rate of the CoreCo Convertible Preferred Stock is subject to anti-dilution adjustment in certain circumstances. If and to the extent that certain adjustments to the Conversion Rate increase the proportionate interest of a holder in our assets or earnings and profits, such holder may be treated as having received a deemed distribution includable in income as a dividend without a corresponding receipt of any cash or property. In addition, we may make distributions to holders of the CoreCo Convertible Preferred Stock that are paid in shares of our Common Stock, and any such distribution is expected to be taxable for U.S. federal income tax purposes in the same manner as a cash distribution of the same amount. In these circumstances and possibly others, a holder of CoreCo Convertible Preferred Stock may be subject to tax even though it has received no cash with which to pay that tax, thus giving rise to an out-of-pocket expense.</w:t>
      </w:r>
    </w:p>
    <w:p>
      <w:pPr>
        <w:spacing w:after="0" w:line="125"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If you are a non-U.S. holder, any of these deemed dividends or distributions made in common stock generally will be subject to U.S. federal withholding tax (currently at a 30% rate, or such lower rate as may be specified by an applicable treaty), which may be withheld from cash, shares of our Common Stock, or sales proceeds otherwise payable to you by the applicable withholding agent.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active trading market for the CoreCo Convertible Preferred Stock does not exist and may not develop.</w:t>
      </w:r>
    </w:p>
    <w:p>
      <w:pPr>
        <w:spacing w:after="0" w:line="154"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The CoreCo Convertible Preferred Stock is a new issue of securities with no established trading market. The liquidity of the trading market in the CoreCo Convertible Preferred Stock, and the market price quoted for the CoreCo Convertible Preferred Stock, may be adversely affected by changes in the overall market for this type of security and by changes in our financial performance or prospects or in the prospects for companies in our industry generally. While we intend to apply to list the CoreCo Convertible Preferred Stock on Nasdaq, if an active trading market does not develop or is not maintained, the market price and liquidity of the CoreCo Convertible Preferred Stock may be adversely affected. In that case, holders may not be able to sell their CoreCo Convertible Preferred Stock at a particular time or they may not be able to sell their CoreCo Convertible Preferred Stock at a favorable price. In addition, as shares of the CoreCo Convertible Preferred Stock are converted or redeemed, the liquidity of the CoreCo Convertible Preferred Stock that remains outstanding may decrease.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and trading volume of our Common Stock may be volatile, which will directly affect the market price for the CoreCo Convertible Preferred Stock.</w:t>
      </w:r>
    </w:p>
    <w:p>
      <w:pPr>
        <w:spacing w:after="0" w:line="15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The market price of our Common Stock may be highly volatile and could be subject to wide fluctuations. See “</w:t>
      </w:r>
      <w:r>
        <w:rPr>
          <w:rFonts w:ascii="Times New Roman" w:cs="Times New Roman" w:eastAsia="Times New Roman" w:hAnsi="Times New Roman"/>
          <w:sz w:val="12"/>
          <w:szCs w:val="12"/>
          <w:i w:val="1"/>
          <w:iCs w:val="1"/>
          <w:color w:val="auto"/>
        </w:rPr>
        <w:t>Risks Related to our Common Stock—The market price and trading volume of our Common Stock has in the past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may continue to be volatile, which could result in rapid and substantial losses for our stockholders</w:t>
      </w:r>
      <w:r>
        <w:rPr>
          <w:rFonts w:ascii="Times New Roman" w:cs="Times New Roman" w:eastAsia="Times New Roman" w:hAnsi="Times New Roman"/>
          <w:sz w:val="12"/>
          <w:szCs w:val="12"/>
          <w:color w:val="auto"/>
        </w:rPr>
        <w:t>.” We expect that, generally, the market price of our Common Stock will significantly affect the market price of the CoreCo Convertible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Preferred Stock. This may result in greater volatility in the market price of the CoreCo Convertible Preferred Stock than would be expected for nonconvertible preferred stock. In addition, we expect that the market price of the CoreCo Convertible Preferred Stock will be influenced by yield and interest rates in the capital markets, the time remaining to the CoreCo Conversion Date, our creditworthiness and the occurrence of certain events affecting us that do not require an adjustment to the Conversion Rate. Fluctuations in yield rates in particular may give rise to arbitrage opportunities based upon changes in the relative values of the CoreCo Convertible Preferred Stock and our Common Stock. Any such arbitrage could, in turn, affect the market prices of our Common Stock and the CoreCo Convertible Preferred Stock. The market price of our Common Stock could also be affected by possible sales of our Common Stock by investors who view the CoreCo Convertible Preferred Stock as a more attractive means of equity participation in us and by hedging or arbitrage trading activity that we expect to develop involving our Common Stock. This trading activity could, in turn, affect the market price of the CoreCo Convertible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FLNG 2 Preferred Equity</w:t>
      </w:r>
    </w:p>
    <w:p>
      <w:pPr>
        <w:spacing w:after="0" w:line="15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1"/>
          <w:szCs w:val="11"/>
          <w:b w:val="1"/>
          <w:bCs w:val="1"/>
          <w:i w:val="1"/>
          <w:iCs w:val="1"/>
          <w:color w:val="auto"/>
        </w:rPr>
        <w:t>The FLNG 2 Preferred Interests represent perpetual equity interests in FLNG 2 Co, and holders of FLNG 2 Preferred Interests should not expect FLNG 2 Co to redeem any FLNG 2 Preferred Interests on any particular date.</w:t>
      </w:r>
    </w:p>
    <w:p>
      <w:pPr>
        <w:spacing w:after="0" w:line="166"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FLNG 2 Preferred Interests are a perpetual equity securities. This means that they have no maturity or mandatory redemption date and are not redeemable at the option of holders. The FLNG 2 Preferred Equity may be redeemed by FLNG 2 at its option at any time and from time to time, in whole or in part, at a redemption price equal to $1,000 per Preferred Interest (unless holders of at least the majority interest in the FLNG 2 Preferred agree to a lesser amount). Any decision FLNG 2 Co may make at any time to redeem the FLNG 2 Preferred Interests will be determined by FLNG 2 in its sole discretion and depend upon, among other things, an evaluation of its capital position, the composition of its shareholders’ equity, its outstanding indebtedness and general market conditions at that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FLNG 2 Preferred Interests will rank junior to all of FLNG 2 Co and its subsidiaries’ liabilities.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05" w:name="page106"/>
    <w:bookmarkEnd w:id="105"/>
    <w:p>
      <w:pPr>
        <w:ind w:firstLine="216"/>
        <w:spacing w:after="0" w:line="257" w:lineRule="auto"/>
        <w:rPr>
          <w:sz w:val="20"/>
          <w:szCs w:val="20"/>
          <w:color w:val="auto"/>
        </w:rPr>
      </w:pPr>
      <w:r>
        <w:rPr>
          <w:rFonts w:ascii="Times New Roman" w:cs="Times New Roman" w:eastAsia="Times New Roman" w:hAnsi="Times New Roman"/>
          <w:sz w:val="12"/>
          <w:szCs w:val="12"/>
          <w:color w:val="auto"/>
        </w:rPr>
        <w:t>In the event of a bankruptcy, liquidation, dissolution or winding-up, the assets of FLNG 2 Co will be available to pay obligations on the FLNG 2 Preferred Interests only after all of FLNG 2 Co’s liabilities have been paid. In addition, the FLNG 2 Preferred Interests will rank structurally junior to all existing and future liabilities of FLNG 2’s subsidiaries. Holders of FLNG 2 Preferred Interests right to participate in the assets of FLNG 2 Co's subsidiaries upon any bankruptcy, liquidation, dissolution or winding up of any subsidiary will rank junior to the prior claims of that subsidiary’s creditors. In the event of a bankruptcy, liquidation, dissolution or winding-up, there may not be sufficient assets remaining, after paying FLNG 2 Co and its subsidiaries’ liabilities, to pay amounts due on any or all of the FLNG 2 Preferred Interests then outstanding. After the consummation of the Restructuring Transaction, FLNG 2 Co expects to have $400 million in indebtedness under the FLNG 2 Term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FLNG 2 Co does not expect to pay cash distributions on the FLNG 2 Preferred Interests for the foreseeable future.</w:t>
      </w:r>
    </w:p>
    <w:p>
      <w:pPr>
        <w:spacing w:after="0" w:line="154"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FLNG 2 Co does not expect to pay distributions for the foreseeable future. Any future declaration and payment of distributions to holders of the FLNG 2 Preferred Interests will be at the discretion of FLNG 2 in accordance with applicable law and significant restrictions imposed by its debt and operational agreements, and after taking into account various factors, including actual results of operations, liquidity and financial condition, net cash provided by operating activities, restrictions imposed by applicable law, restrictions imposed by FLNG 2 Co's debt agreements, including the FLNG 2 Term Loans, its taxable income, its operating expenses and other factors FLNG 2 Co deems relevant.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 active trading market for the FLNG 2 Preferred Interests does not exist and may not develop.</w:t>
      </w:r>
    </w:p>
    <w:p>
      <w:pPr>
        <w:spacing w:after="0" w:line="154"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The FLNG 2 Preferred Interests represent a new issue of securities with no established trading market. The liquidity of the trading market in the FLNG 2 Preferred Interests, and the market price quoted for the FLNG 2 Preferred Interests, may be adversely affected by changes in the overall market for this type of security and by changes in FLNG 2 Co's financial performance or prospects or in the prospects for companies in our industry generally. FLNG 2 Co does not intend to apply to list the FLNG 2 Preferred Interests on any securities exchange. If an active trading market does not develop or is not maintained, the market price and liquidity of the FLNG 2 Preferred Interests may be adversely affected. In that case holders may not be able to sell their FLNG 2 Preferred Interests at a particular time or they may not be able to sell their FLNG 2 Preferred Interests at a favorable price. In addition, as the FLNG 2 Preferred Interests are redeemed, the liquidity of the FLNG 2 Preferred that remains outstanding may decrease.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terms of the FLNG 2 Preferred Interests do not limit FLNG 2 Co's ability to incur indebtedness or other liabilities.</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terms of the FLNG 2 Preferred Interests will not limit FLNG 2 Co’s ability to incur indebtedness or other liabilities. As a result, FLNG 2 Co and its subsidiaries may incur indebtedness or other liabilities that will rank senior to the FLNG 2 Preferred Interests. The incurrence of indebtedness or other liabilities that will rank senior to the FLNG 2 Preferred Interests may reduce the amount available for distributions and the amount recoverable by holders of the FLNG 2 Preferred Interests in the event of FLNG 2 Co’s liquidation, dissolution or winding-up.</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06" w:name="page107"/>
    <w:bookmarkEnd w:id="106"/>
    <w:p>
      <w:pPr>
        <w:ind w:left="3720"/>
        <w:spacing w:after="0"/>
        <w:rPr>
          <w:sz w:val="20"/>
          <w:szCs w:val="20"/>
          <w:color w:val="auto"/>
        </w:rPr>
      </w:pPr>
      <w:r>
        <w:rPr>
          <w:rFonts w:ascii="Times New Roman" w:cs="Times New Roman" w:eastAsia="Times New Roman" w:hAnsi="Times New Roman"/>
          <w:sz w:val="12"/>
          <w:szCs w:val="12"/>
          <w:b w:val="1"/>
          <w:bCs w:val="1"/>
          <w:color w:val="auto"/>
        </w:rPr>
        <w:t>ADVANCE NOTICE FOR STOCKHOLDER NOMINATIONS AND PROPOSALS</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b w:val="1"/>
          <w:bCs w:val="1"/>
          <w:color w:val="auto"/>
        </w:rPr>
        <w:t>FOR 2027 ANNUAL MEETING</w:t>
      </w:r>
    </w:p>
    <w:p>
      <w:pPr>
        <w:spacing w:after="0" w:line="13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Proposals received from stockholders are given careful consideration by the Company in accordance with Rule 14a-8 under the Exchange Act. Stockholder proposals are eligible for consideration for inclusion in the Proxy Statement for the 2027 annual meeting of stockholders if they are received by the Company no later than December 31, 2026. However, if the 2027 annual meeting date is advanced or delayed by more than 30 days from the anniversary of this year’s meeting, to be timely a proposal by the stockholders must be received no later than a reasonable time before the Company begins to print and send its proxy materials. In addition, all proposals will need to comply with Rule 14a-8, which lists the requirements for inclusion of stockholder proposals in company-sponsored proxy materials. Any proposal should be directed to the attention of the Company’s Secretary at 111 W. 19th Street, 8th Floor, New York, New York 10011.</w:t>
      </w:r>
    </w:p>
    <w:p>
      <w:pPr>
        <w:spacing w:after="0" w:line="125"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In order for a stockholder proposal, including proposals regarding director nominees, submitted outside of Rule 14a-8 to be considered at any annual meeting of stockholders, our Bylaws require that such proposal be made by an eligible stockholder who has delivered a timely notice to the Secretary of the Company at our principal executive offices and otherwise meets the information and procedural requirements prescribed by our Bylaws. Subject to certain exceptions, in order for a proposal relating to business to be conducted at our 2027 annual meeting of stockholders to be “timely” under the Bylaws, it must be received by the Secretary of the Company at our principal executive office no earlier than December 31, 2026 and no later than January 30, 2027. However, if the 2027 meeting is called for on a date that is more than 30 days before or after June 17, 2027, for a stockholder’s notice to be timely, it must be received no later than the close of business on the 10th day following the day on which public disclosure of the date of the annual meeting is first made by the Company. All director nominations and stockholder proposals, other than stockholder proposals made pursuant to Rule 14a-8, must comply with the requirements of our Bylaws, or they may be excluded from consideration at the meeting. In addition to satisfying the foregoing requirements, stockholders who intend to solicit proxies in support of director nominees other than the Company’s nominees must provide notice that sets forth the information required by Rule 14a-19 under the Exchange Act by June 17, 2027.</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154"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The Board of Directors knows of no other business to be brought before the Annual Meeting. If any other matters properly come before the Annual Meeting, the proxies will be voted on such matters in accordance with the judgment of the persons named as proxies therein, or their substitutes, present and acting at the meeting.</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 person is authorized to give any information or to make any representation not contained in this Proxy Statement, and, if given or made, such information or representation should not be relied upon as having been authorized.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delivery of this Proxy Statement shall not, under any circumstances, imply that there has not been any change in the information set forth herein since the date of the Proxy Statement.</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 person is authorized to give any information or to make any representation not contained in this Proxy Statement, and, if given or made, such information or representation should not be relied upon as having been authorized.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delivery of this Proxy Statement shall not, under any circumstances, imply that there has not been any change in the information set forth herein since the date of the Proxy Statement.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2"/>
          <w:szCs w:val="12"/>
          <w:b w:val="1"/>
          <w:bCs w:val="1"/>
          <w:color w:val="auto"/>
        </w:rPr>
        <w:t>ADDITIONAL INFORMATION</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 xml:space="preserve">We file annual, quarterly and current reports, Proxy Statements and other information with the SEC, which are available to the public from commercial document retrieval services and on the website maintained by the SEC at www.sec.gov. </w:t>
      </w:r>
      <w:r>
        <w:rPr>
          <w:rFonts w:ascii="Times New Roman" w:cs="Times New Roman" w:eastAsia="Times New Roman" w:hAnsi="Times New Roman"/>
          <w:sz w:val="12"/>
          <w:szCs w:val="12"/>
          <w:b w:val="1"/>
          <w:bCs w:val="1"/>
          <w:color w:val="auto"/>
        </w:rPr>
        <w:t>In addition, our SEC filings are available, free of charge, on our website: www.newfortressenergy.com.</w:t>
      </w:r>
      <w:r>
        <w:rPr>
          <w:rFonts w:ascii="Times New Roman" w:cs="Times New Roman" w:eastAsia="Times New Roman" w:hAnsi="Times New Roman"/>
          <w:sz w:val="12"/>
          <w:szCs w:val="12"/>
          <w:color w:val="auto"/>
        </w:rPr>
        <w:t xml:space="preserve"> Such information will also be furnished upon written request to New Fortress Energy Inc., 111 W. 19th Street, 8th Floor, New York, New York 10011, Attention: Investor Relations.</w:t>
      </w:r>
    </w:p>
    <w:p>
      <w:pPr>
        <w:spacing w:after="0" w:line="119"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The SEC has adopted rules that permit companies and Intermediaries, such as brokers, to satisfy delivery requirements for proxy materials, including the annual report, Proxy Statement and Internet Notice, if applicable, with respect to two or more stockholders sharing the same address by delivering a single set of proxy materials addressed to those stockholders. This process, which is commonly referred to as “householding,” potentially provides extra convenience for stockholders and cost savings for companies. The Company and some brokers household proxy materials, delivering a single set of proxy materials to multiple stockholders sharing an address unless contrary instructions have been received from the affected stockholders.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set of proxy materials, please notify your broker if your shares are held in a brokerage account or the Company if you hold registered shares. You can notify the Company by sending a written request to New Fortress Energy Inc. 111 W. 19th Street, 8th Floor, New York, New York 10011, Attention: Investor Relations or by contacting Investor Relations at ir@newfortressenergy.com, and we will deliver promptly a separate set of proxy materials.</w:t>
      </w:r>
    </w:p>
    <w:p>
      <w:pPr>
        <w:spacing w:after="0" w:line="126"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Instead of receiving future copies of our proxy materials by mail, you can elect to receive an email that will provide electronic links to these documents. Opting to receive your proxy materials online will save the cost of producing and mailing documents to your home or business, will give you an electronic link to the proxy voting site and also will help preserve environmental resources.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Stockholders of Record</w:t>
      </w:r>
      <w:r>
        <w:rPr>
          <w:rFonts w:ascii="Times New Roman" w:cs="Times New Roman" w:eastAsia="Times New Roman" w:hAnsi="Times New Roman"/>
          <w:sz w:val="12"/>
          <w:szCs w:val="12"/>
          <w:color w:val="auto"/>
        </w:rPr>
        <w:t>. If you vote on the Internet at www.proxyvote.com, simply follow the prompts for enrolling in the electronic proxy delivery service.</w:t>
      </w:r>
    </w:p>
    <w:p>
      <w:pPr>
        <w:spacing w:after="0" w:line="150" w:lineRule="exact"/>
        <w:rPr>
          <w:sz w:val="20"/>
          <w:szCs w:val="20"/>
          <w:color w:val="auto"/>
        </w:rPr>
      </w:pPr>
    </w:p>
    <w:p>
      <w:pPr>
        <w:ind w:right="3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Street Name Holders</w:t>
      </w:r>
      <w:r>
        <w:rPr>
          <w:rFonts w:ascii="Times New Roman" w:cs="Times New Roman" w:eastAsia="Times New Roman" w:hAnsi="Times New Roman"/>
          <w:sz w:val="12"/>
          <w:szCs w:val="12"/>
          <w:color w:val="auto"/>
        </w:rPr>
        <w:t>. If you hold your shares in a bank or brokerage account, you also may have the opportunity to receive the proxy materials electronically. Please check the information provided in the proxy materials you</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receive from your bank or broker regarding the availability of this service.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Your election to receive proxy materials by email will remain in effect until you terminate it.</w:t>
      </w:r>
    </w:p>
    <w:p>
      <w:pPr>
        <w:spacing w:after="0" w:line="1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 Kevin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10795</wp:posOffset>
            </wp:positionV>
            <wp:extent cx="302895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28950" cy="5715"/>
                    </a:xfrm>
                    <a:prstGeom prst="rect">
                      <a:avLst/>
                    </a:prstGeom>
                    <a:noFill/>
                  </pic:spPr>
                </pic:pic>
              </a:graphicData>
            </a:graphic>
          </wp:anchor>
        </w:drawing>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Kevin F. Sullivan</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i w:val="1"/>
          <w:iCs w:val="1"/>
          <w:color w:val="auto"/>
        </w:rPr>
        <w:t>Secretary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2"/>
          <w:szCs w:val="12"/>
          <w:u w:val="single" w:color="auto"/>
          <w:color w:val="auto"/>
        </w:rPr>
        <w:t>CONFIDENTIAL</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BY-LAWS</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6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Effective [</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892175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0"/>
          </w:cols>
          <w:pgMar w:left="1440" w:top="129" w:right="299" w:bottom="144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4"/>
          <w:szCs w:val="14"/>
          <w:color w:val="auto"/>
        </w:rPr>
        <w:t>TABLE OF CONTENTS</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auto"/>
        </w:rPr>
        <w:t>Page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5"/>
              </w:rPr>
              <w:t>Section 1.1</w:t>
            </w:r>
          </w:p>
        </w:tc>
        <w:tc>
          <w:tcPr>
            <w:tcW w:w="80" w:type="dxa"/>
            <w:vAlign w:val="bottom"/>
          </w:tcPr>
          <w:p>
            <w:pPr>
              <w:spacing w:after="0"/>
              <w:rPr>
                <w:sz w:val="13"/>
                <w:szCs w:val="13"/>
                <w:color w:val="auto"/>
              </w:rPr>
            </w:pPr>
          </w:p>
        </w:tc>
        <w:tc>
          <w:tcPr>
            <w:tcW w:w="11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0563C1"/>
              </w:rPr>
              <w:t>Registered Office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5"/>
              </w:rPr>
              <w:t>Section 1.2</w:t>
            </w:r>
          </w:p>
        </w:tc>
        <w:tc>
          <w:tcPr>
            <w:tcW w:w="80" w:type="dxa"/>
            <w:vAlign w:val="bottom"/>
          </w:tcPr>
          <w:p>
            <w:pPr>
              <w:spacing w:after="0"/>
              <w:rPr>
                <w:sz w:val="13"/>
                <w:szCs w:val="13"/>
                <w:color w:val="auto"/>
              </w:rPr>
            </w:pPr>
          </w:p>
        </w:tc>
        <w:tc>
          <w:tcPr>
            <w:tcW w:w="980" w:type="dxa"/>
            <w:vAlign w:val="bottom"/>
            <w:gridSpan w:val="9"/>
          </w:tcPr>
          <w:p>
            <w:pPr>
              <w:ind w:left="80"/>
              <w:spacing w:after="0"/>
              <w:rPr>
                <w:sz w:val="20"/>
                <w:szCs w:val="20"/>
                <w:color w:val="auto"/>
              </w:rPr>
            </w:pPr>
            <w:r>
              <w:rPr>
                <w:rFonts w:ascii="Times New Roman" w:cs="Times New Roman" w:eastAsia="Times New Roman" w:hAnsi="Times New Roman"/>
                <w:sz w:val="14"/>
                <w:szCs w:val="14"/>
                <w:color w:val="0563C1"/>
              </w:rPr>
              <w:t>Other Offices</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95"/>
        </w:trPr>
        <w:tc>
          <w:tcPr>
            <w:tcW w:w="64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0563C1"/>
              </w:rPr>
              <w:t>ARTICLE II</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22"/>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7"/>
          </w:tcPr>
          <w:p>
            <w:pPr>
              <w:jc w:val="center"/>
              <w:ind w:left="788"/>
              <w:spacing w:after="0"/>
              <w:rPr>
                <w:sz w:val="20"/>
                <w:szCs w:val="20"/>
                <w:color w:val="auto"/>
              </w:rPr>
            </w:pPr>
            <w:r>
              <w:rPr>
                <w:rFonts w:ascii="Times New Roman" w:cs="Times New Roman" w:eastAsia="Times New Roman" w:hAnsi="Times New Roman"/>
                <w:sz w:val="14"/>
                <w:szCs w:val="14"/>
                <w:color w:val="0563C1"/>
              </w:rPr>
              <w:t>MEETINGS OF STOCKHOLDERS</w:t>
            </w: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5"/>
              </w:rPr>
              <w:t>Section 2.1</w:t>
            </w:r>
          </w:p>
        </w:tc>
        <w:tc>
          <w:tcPr>
            <w:tcW w:w="80" w:type="dxa"/>
            <w:vAlign w:val="bottom"/>
          </w:tcPr>
          <w:p>
            <w:pPr>
              <w:spacing w:after="0"/>
              <w:rPr>
                <w:sz w:val="24"/>
                <w:szCs w:val="24"/>
                <w:color w:val="auto"/>
              </w:rPr>
            </w:pPr>
          </w:p>
        </w:tc>
        <w:tc>
          <w:tcPr>
            <w:tcW w:w="11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0563C1"/>
              </w:rPr>
              <w:t>Place of Meetings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7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60" w:type="dxa"/>
            <w:vAlign w:val="bottom"/>
            <w:tcBorders>
              <w:top w:val="single" w:sz="8" w:color="0563C1"/>
            </w:tcBorders>
          </w:tcPr>
          <w:p>
            <w:pPr>
              <w:spacing w:after="0"/>
              <w:rPr>
                <w:sz w:val="24"/>
                <w:szCs w:val="24"/>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2.2</w:t>
            </w:r>
          </w:p>
        </w:tc>
        <w:tc>
          <w:tcPr>
            <w:tcW w:w="80" w:type="dxa"/>
            <w:vAlign w:val="bottom"/>
          </w:tcPr>
          <w:p>
            <w:pPr>
              <w:spacing w:after="0"/>
              <w:rPr>
                <w:sz w:val="13"/>
                <w:szCs w:val="13"/>
                <w:color w:val="auto"/>
              </w:rPr>
            </w:pPr>
          </w:p>
        </w:tc>
        <w:tc>
          <w:tcPr>
            <w:tcW w:w="1400" w:type="dxa"/>
            <w:vAlign w:val="bottom"/>
            <w:gridSpan w:val="14"/>
          </w:tcPr>
          <w:p>
            <w:pPr>
              <w:ind w:left="80"/>
              <w:spacing w:after="0" w:line="151" w:lineRule="exact"/>
              <w:rPr>
                <w:sz w:val="20"/>
                <w:szCs w:val="20"/>
                <w:color w:val="auto"/>
              </w:rPr>
            </w:pPr>
            <w:r>
              <w:rPr>
                <w:rFonts w:ascii="Times New Roman" w:cs="Times New Roman" w:eastAsia="Times New Roman" w:hAnsi="Times New Roman"/>
                <w:sz w:val="14"/>
                <w:szCs w:val="14"/>
                <w:color w:val="0563C1"/>
              </w:rPr>
              <w:t>Stockholder Actions</w:t>
            </w:r>
          </w:p>
        </w:tc>
        <w:tc>
          <w:tcPr>
            <w:tcW w:w="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5"/>
              </w:rPr>
              <w:t>Section 2.3</w:t>
            </w:r>
          </w:p>
        </w:tc>
        <w:tc>
          <w:tcPr>
            <w:tcW w:w="80" w:type="dxa"/>
            <w:vAlign w:val="bottom"/>
          </w:tcPr>
          <w:p>
            <w:pPr>
              <w:spacing w:after="0"/>
              <w:rPr>
                <w:sz w:val="13"/>
                <w:szCs w:val="13"/>
                <w:color w:val="auto"/>
              </w:rPr>
            </w:pPr>
          </w:p>
        </w:tc>
        <w:tc>
          <w:tcPr>
            <w:tcW w:w="11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0563C1"/>
              </w:rPr>
              <w:t>Annual Meetings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2.4</w:t>
            </w:r>
          </w:p>
        </w:tc>
        <w:tc>
          <w:tcPr>
            <w:tcW w:w="80" w:type="dxa"/>
            <w:vAlign w:val="bottom"/>
          </w:tcPr>
          <w:p>
            <w:pPr>
              <w:spacing w:after="0"/>
              <w:rPr>
                <w:sz w:val="13"/>
                <w:szCs w:val="13"/>
                <w:color w:val="auto"/>
              </w:rPr>
            </w:pPr>
          </w:p>
        </w:tc>
        <w:tc>
          <w:tcPr>
            <w:tcW w:w="1160" w:type="dxa"/>
            <w:vAlign w:val="bottom"/>
            <w:gridSpan w:val="11"/>
          </w:tcPr>
          <w:p>
            <w:pPr>
              <w:ind w:left="80"/>
              <w:spacing w:after="0" w:line="151" w:lineRule="exact"/>
              <w:rPr>
                <w:sz w:val="20"/>
                <w:szCs w:val="20"/>
                <w:color w:val="auto"/>
              </w:rPr>
            </w:pPr>
            <w:r>
              <w:rPr>
                <w:rFonts w:ascii="Times New Roman" w:cs="Times New Roman" w:eastAsia="Times New Roman" w:hAnsi="Times New Roman"/>
                <w:sz w:val="14"/>
                <w:szCs w:val="14"/>
                <w:color w:val="0563C1"/>
              </w:rPr>
              <w:t>Special Meetings</w:t>
            </w:r>
          </w:p>
        </w:tc>
        <w:tc>
          <w:tcPr>
            <w:tcW w:w="20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2.5</w:t>
            </w:r>
          </w:p>
        </w:tc>
        <w:tc>
          <w:tcPr>
            <w:tcW w:w="80" w:type="dxa"/>
            <w:vAlign w:val="bottom"/>
          </w:tcPr>
          <w:p>
            <w:pPr>
              <w:spacing w:after="0"/>
              <w:rPr>
                <w:sz w:val="13"/>
                <w:szCs w:val="13"/>
                <w:color w:val="auto"/>
              </w:rPr>
            </w:pPr>
          </w:p>
        </w:tc>
        <w:tc>
          <w:tcPr>
            <w:tcW w:w="700" w:type="dxa"/>
            <w:vAlign w:val="bottom"/>
            <w:gridSpan w:val="4"/>
          </w:tcPr>
          <w:p>
            <w:pPr>
              <w:ind w:left="80"/>
              <w:spacing w:after="0" w:line="151" w:lineRule="exact"/>
              <w:rPr>
                <w:sz w:val="20"/>
                <w:szCs w:val="20"/>
                <w:color w:val="auto"/>
              </w:rPr>
            </w:pPr>
            <w:r>
              <w:rPr>
                <w:rFonts w:ascii="Times New Roman" w:cs="Times New Roman" w:eastAsia="Times New Roman" w:hAnsi="Times New Roman"/>
                <w:sz w:val="14"/>
                <w:szCs w:val="14"/>
                <w:color w:val="0563C1"/>
              </w:rPr>
              <w:t xml:space="preserve">Notice  </w:t>
            </w:r>
            <w:r>
              <w:rPr>
                <w:rFonts w:ascii="Times New Roman" w:cs="Times New Roman" w:eastAsia="Times New Roman" w:hAnsi="Times New Roman"/>
                <w:sz w:val="14"/>
                <w:szCs w:val="14"/>
                <w:color w:val="000000"/>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2.6</w:t>
            </w:r>
          </w:p>
        </w:tc>
        <w:tc>
          <w:tcPr>
            <w:tcW w:w="80" w:type="dxa"/>
            <w:vAlign w:val="bottom"/>
          </w:tcPr>
          <w:p>
            <w:pPr>
              <w:spacing w:after="0"/>
              <w:rPr>
                <w:sz w:val="13"/>
                <w:szCs w:val="13"/>
                <w:color w:val="auto"/>
              </w:rPr>
            </w:pPr>
          </w:p>
        </w:tc>
        <w:tc>
          <w:tcPr>
            <w:tcW w:w="2280" w:type="dxa"/>
            <w:vAlign w:val="bottom"/>
            <w:gridSpan w:val="22"/>
          </w:tcPr>
          <w:p>
            <w:pPr>
              <w:ind w:left="80"/>
              <w:spacing w:after="0" w:line="151" w:lineRule="exact"/>
              <w:rPr>
                <w:sz w:val="20"/>
                <w:szCs w:val="20"/>
                <w:color w:val="auto"/>
              </w:rPr>
            </w:pPr>
            <w:r>
              <w:rPr>
                <w:rFonts w:ascii="Times New Roman" w:cs="Times New Roman" w:eastAsia="Times New Roman" w:hAnsi="Times New Roman"/>
                <w:sz w:val="14"/>
                <w:szCs w:val="14"/>
                <w:color w:val="0563C1"/>
              </w:rPr>
              <w:t xml:space="preserve">Adjournments and Postponements  </w:t>
            </w:r>
            <w:r>
              <w:rPr>
                <w:rFonts w:ascii="Times New Roman" w:cs="Times New Roman" w:eastAsia="Times New Roman" w:hAnsi="Times New Roman"/>
                <w:sz w:val="14"/>
                <w:szCs w:val="14"/>
                <w:color w:val="000000"/>
              </w:rPr>
              <w:t>3</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2.7</w:t>
            </w:r>
          </w:p>
        </w:tc>
        <w:tc>
          <w:tcPr>
            <w:tcW w:w="80" w:type="dxa"/>
            <w:vAlign w:val="bottom"/>
          </w:tcPr>
          <w:p>
            <w:pPr>
              <w:spacing w:after="0"/>
              <w:rPr>
                <w:sz w:val="13"/>
                <w:szCs w:val="13"/>
                <w:color w:val="auto"/>
              </w:rPr>
            </w:pPr>
          </w:p>
        </w:tc>
        <w:tc>
          <w:tcPr>
            <w:tcW w:w="700" w:type="dxa"/>
            <w:vAlign w:val="bottom"/>
            <w:gridSpan w:val="4"/>
          </w:tcPr>
          <w:p>
            <w:pPr>
              <w:ind w:left="80"/>
              <w:spacing w:after="0" w:line="151" w:lineRule="exact"/>
              <w:rPr>
                <w:sz w:val="20"/>
                <w:szCs w:val="20"/>
                <w:color w:val="auto"/>
              </w:rPr>
            </w:pPr>
            <w:r>
              <w:rPr>
                <w:rFonts w:ascii="Times New Roman" w:cs="Times New Roman" w:eastAsia="Times New Roman" w:hAnsi="Times New Roman"/>
                <w:sz w:val="14"/>
                <w:szCs w:val="14"/>
                <w:color w:val="0563C1"/>
              </w:rPr>
              <w:t>Quorum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2.8</w:t>
            </w:r>
          </w:p>
        </w:tc>
        <w:tc>
          <w:tcPr>
            <w:tcW w:w="80" w:type="dxa"/>
            <w:vAlign w:val="bottom"/>
          </w:tcPr>
          <w:p>
            <w:pPr>
              <w:spacing w:after="0"/>
              <w:rPr>
                <w:sz w:val="13"/>
                <w:szCs w:val="13"/>
                <w:color w:val="auto"/>
              </w:rPr>
            </w:pPr>
          </w:p>
        </w:tc>
        <w:tc>
          <w:tcPr>
            <w:tcW w:w="1500" w:type="dxa"/>
            <w:vAlign w:val="bottom"/>
            <w:gridSpan w:val="17"/>
          </w:tcPr>
          <w:p>
            <w:pPr>
              <w:ind w:left="80"/>
              <w:spacing w:after="0" w:line="151" w:lineRule="exact"/>
              <w:rPr>
                <w:sz w:val="20"/>
                <w:szCs w:val="20"/>
                <w:color w:val="auto"/>
              </w:rPr>
            </w:pPr>
            <w:r>
              <w:rPr>
                <w:rFonts w:ascii="Times New Roman" w:cs="Times New Roman" w:eastAsia="Times New Roman" w:hAnsi="Times New Roman"/>
                <w:sz w:val="14"/>
                <w:szCs w:val="14"/>
                <w:color w:val="0563C1"/>
              </w:rPr>
              <w:t>Voting and Other Rights</w:t>
            </w:r>
          </w:p>
        </w:tc>
        <w:tc>
          <w:tcPr>
            <w:tcW w:w="560" w:type="dxa"/>
            <w:vAlign w:val="bottom"/>
            <w:gridSpan w:val="2"/>
          </w:tcPr>
          <w:p>
            <w:pPr>
              <w:jc w:val="right"/>
              <w:ind w:right="360"/>
              <w:spacing w:after="0" w:line="151"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5"/>
              </w:rPr>
              <w:t>Section 2.9</w:t>
            </w:r>
          </w:p>
        </w:tc>
        <w:tc>
          <w:tcPr>
            <w:tcW w:w="80" w:type="dxa"/>
            <w:vAlign w:val="bottom"/>
          </w:tcPr>
          <w:p>
            <w:pPr>
              <w:spacing w:after="0"/>
              <w:rPr>
                <w:sz w:val="13"/>
                <w:szCs w:val="13"/>
                <w:color w:val="auto"/>
              </w:rPr>
            </w:pPr>
          </w:p>
        </w:tc>
        <w:tc>
          <w:tcPr>
            <w:tcW w:w="11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0563C1"/>
                <w:w w:val="96"/>
              </w:rPr>
              <w:t>Proxies and Voting</w:t>
            </w:r>
          </w:p>
        </w:tc>
        <w:tc>
          <w:tcPr>
            <w:tcW w:w="2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w w:val="85"/>
              </w:rPr>
              <w:t>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2.10</w:t>
            </w:r>
          </w:p>
        </w:tc>
        <w:tc>
          <w:tcPr>
            <w:tcW w:w="160" w:type="dxa"/>
            <w:vAlign w:val="bottom"/>
          </w:tcPr>
          <w:p>
            <w:pPr>
              <w:spacing w:after="0"/>
              <w:rPr>
                <w:sz w:val="13"/>
                <w:szCs w:val="13"/>
                <w:color w:val="auto"/>
              </w:rPr>
            </w:pPr>
          </w:p>
        </w:tc>
        <w:tc>
          <w:tcPr>
            <w:tcW w:w="2620" w:type="dxa"/>
            <w:vAlign w:val="bottom"/>
            <w:gridSpan w:val="26"/>
          </w:tcPr>
          <w:p>
            <w:pPr>
              <w:spacing w:after="0" w:line="151" w:lineRule="exact"/>
              <w:rPr>
                <w:sz w:val="20"/>
                <w:szCs w:val="20"/>
                <w:color w:val="auto"/>
              </w:rPr>
            </w:pPr>
            <w:r>
              <w:rPr>
                <w:rFonts w:ascii="Times New Roman" w:cs="Times New Roman" w:eastAsia="Times New Roman" w:hAnsi="Times New Roman"/>
                <w:sz w:val="14"/>
                <w:szCs w:val="14"/>
                <w:color w:val="0563C1"/>
              </w:rPr>
              <w:t>Consent of Stockholders in Lieu of Meeting</w:t>
            </w:r>
          </w:p>
        </w:tc>
        <w:tc>
          <w:tcPr>
            <w:tcW w:w="22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4</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2.11</w:t>
            </w:r>
          </w:p>
        </w:tc>
        <w:tc>
          <w:tcPr>
            <w:tcW w:w="160" w:type="dxa"/>
            <w:vAlign w:val="bottom"/>
          </w:tcPr>
          <w:p>
            <w:pPr>
              <w:spacing w:after="0"/>
              <w:rPr>
                <w:sz w:val="13"/>
                <w:szCs w:val="13"/>
                <w:color w:val="auto"/>
              </w:rPr>
            </w:pPr>
          </w:p>
        </w:tc>
        <w:tc>
          <w:tcPr>
            <w:tcW w:w="2120" w:type="dxa"/>
            <w:vAlign w:val="bottom"/>
            <w:gridSpan w:val="21"/>
          </w:tcPr>
          <w:p>
            <w:pPr>
              <w:spacing w:after="0" w:line="151" w:lineRule="exact"/>
              <w:rPr>
                <w:sz w:val="20"/>
                <w:szCs w:val="20"/>
                <w:color w:val="auto"/>
              </w:rPr>
            </w:pPr>
            <w:r>
              <w:rPr>
                <w:rFonts w:ascii="Times New Roman" w:cs="Times New Roman" w:eastAsia="Times New Roman" w:hAnsi="Times New Roman"/>
                <w:sz w:val="14"/>
                <w:szCs w:val="14"/>
                <w:color w:val="0563C1"/>
              </w:rPr>
              <w:t>List of Stockholders Entitled to Vote</w:t>
            </w:r>
          </w:p>
        </w:tc>
        <w:tc>
          <w:tcPr>
            <w:tcW w:w="220" w:type="dxa"/>
            <w:vAlign w:val="bottom"/>
            <w:gridSpan w:val="3"/>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2.12</w:t>
            </w:r>
          </w:p>
        </w:tc>
        <w:tc>
          <w:tcPr>
            <w:tcW w:w="160" w:type="dxa"/>
            <w:vAlign w:val="bottom"/>
          </w:tcPr>
          <w:p>
            <w:pPr>
              <w:spacing w:after="0"/>
              <w:rPr>
                <w:sz w:val="13"/>
                <w:szCs w:val="13"/>
                <w:color w:val="auto"/>
              </w:rPr>
            </w:pPr>
          </w:p>
        </w:tc>
        <w:tc>
          <w:tcPr>
            <w:tcW w:w="820" w:type="dxa"/>
            <w:vAlign w:val="bottom"/>
            <w:gridSpan w:val="8"/>
          </w:tcPr>
          <w:p>
            <w:pPr>
              <w:spacing w:after="0" w:line="151" w:lineRule="exact"/>
              <w:rPr>
                <w:sz w:val="20"/>
                <w:szCs w:val="20"/>
                <w:color w:val="auto"/>
              </w:rPr>
            </w:pPr>
            <w:r>
              <w:rPr>
                <w:rFonts w:ascii="Times New Roman" w:cs="Times New Roman" w:eastAsia="Times New Roman" w:hAnsi="Times New Roman"/>
                <w:sz w:val="14"/>
                <w:szCs w:val="14"/>
                <w:color w:val="0563C1"/>
              </w:rPr>
              <w:t>Record Date</w:t>
            </w:r>
          </w:p>
        </w:tc>
        <w:tc>
          <w:tcPr>
            <w:tcW w:w="1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72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2.13</w:t>
            </w:r>
          </w:p>
        </w:tc>
        <w:tc>
          <w:tcPr>
            <w:tcW w:w="160" w:type="dxa"/>
            <w:vAlign w:val="bottom"/>
          </w:tcPr>
          <w:p>
            <w:pPr>
              <w:spacing w:after="0"/>
              <w:rPr>
                <w:sz w:val="13"/>
                <w:szCs w:val="13"/>
                <w:color w:val="auto"/>
              </w:rPr>
            </w:pPr>
          </w:p>
        </w:tc>
        <w:tc>
          <w:tcPr>
            <w:tcW w:w="820" w:type="dxa"/>
            <w:vAlign w:val="bottom"/>
            <w:gridSpan w:val="8"/>
          </w:tcPr>
          <w:p>
            <w:pPr>
              <w:spacing w:after="0" w:line="151" w:lineRule="exact"/>
              <w:rPr>
                <w:sz w:val="20"/>
                <w:szCs w:val="20"/>
                <w:color w:val="auto"/>
              </w:rPr>
            </w:pPr>
            <w:r>
              <w:rPr>
                <w:rFonts w:ascii="Times New Roman" w:cs="Times New Roman" w:eastAsia="Times New Roman" w:hAnsi="Times New Roman"/>
                <w:sz w:val="14"/>
                <w:szCs w:val="14"/>
                <w:color w:val="0563C1"/>
              </w:rPr>
              <w:t>Stock Ledger</w:t>
            </w:r>
          </w:p>
        </w:tc>
        <w:tc>
          <w:tcPr>
            <w:tcW w:w="18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0563C1"/>
                <w:w w:val="99"/>
              </w:rPr>
              <w:t>Section 2.14</w:t>
            </w:r>
          </w:p>
        </w:tc>
        <w:tc>
          <w:tcPr>
            <w:tcW w:w="160" w:type="dxa"/>
            <w:vAlign w:val="bottom"/>
          </w:tcPr>
          <w:p>
            <w:pPr>
              <w:spacing w:after="0"/>
              <w:rPr>
                <w:sz w:val="13"/>
                <w:szCs w:val="13"/>
                <w:color w:val="auto"/>
              </w:rPr>
            </w:pPr>
          </w:p>
        </w:tc>
        <w:tc>
          <w:tcPr>
            <w:tcW w:w="1240" w:type="dxa"/>
            <w:vAlign w:val="bottom"/>
            <w:gridSpan w:val="13"/>
          </w:tcPr>
          <w:p>
            <w:pPr>
              <w:spacing w:after="0"/>
              <w:rPr>
                <w:sz w:val="20"/>
                <w:szCs w:val="20"/>
                <w:color w:val="auto"/>
              </w:rPr>
            </w:pPr>
            <w:r>
              <w:rPr>
                <w:rFonts w:ascii="Times New Roman" w:cs="Times New Roman" w:eastAsia="Times New Roman" w:hAnsi="Times New Roman"/>
                <w:sz w:val="14"/>
                <w:szCs w:val="14"/>
                <w:color w:val="0563C1"/>
              </w:rPr>
              <w:t>Conduct of Meetings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w w:val="85"/>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2.15</w:t>
            </w:r>
          </w:p>
        </w:tc>
        <w:tc>
          <w:tcPr>
            <w:tcW w:w="160" w:type="dxa"/>
            <w:vAlign w:val="bottom"/>
          </w:tcPr>
          <w:p>
            <w:pPr>
              <w:spacing w:after="0"/>
              <w:rPr>
                <w:sz w:val="13"/>
                <w:szCs w:val="13"/>
                <w:color w:val="auto"/>
              </w:rPr>
            </w:pPr>
          </w:p>
        </w:tc>
        <w:tc>
          <w:tcPr>
            <w:tcW w:w="1340" w:type="dxa"/>
            <w:vAlign w:val="bottom"/>
            <w:gridSpan w:val="16"/>
          </w:tcPr>
          <w:p>
            <w:pPr>
              <w:spacing w:after="0" w:line="151" w:lineRule="exact"/>
              <w:rPr>
                <w:sz w:val="20"/>
                <w:szCs w:val="20"/>
                <w:color w:val="auto"/>
              </w:rPr>
            </w:pPr>
            <w:r>
              <w:rPr>
                <w:rFonts w:ascii="Times New Roman" w:cs="Times New Roman" w:eastAsia="Times New Roman" w:hAnsi="Times New Roman"/>
                <w:sz w:val="14"/>
                <w:szCs w:val="14"/>
                <w:color w:val="0563C1"/>
              </w:rPr>
              <w:t>Inspectors of Election</w:t>
            </w:r>
          </w:p>
        </w:tc>
        <w:tc>
          <w:tcPr>
            <w:tcW w:w="560" w:type="dxa"/>
            <w:vAlign w:val="bottom"/>
            <w:gridSpan w:val="2"/>
          </w:tcPr>
          <w:p>
            <w:pPr>
              <w:jc w:val="right"/>
              <w:ind w:right="420"/>
              <w:spacing w:after="0" w:line="151"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72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2.16</w:t>
            </w:r>
          </w:p>
        </w:tc>
        <w:tc>
          <w:tcPr>
            <w:tcW w:w="160" w:type="dxa"/>
            <w:vAlign w:val="bottom"/>
          </w:tcPr>
          <w:p>
            <w:pPr>
              <w:spacing w:after="0"/>
              <w:rPr>
                <w:sz w:val="13"/>
                <w:szCs w:val="13"/>
                <w:color w:val="auto"/>
              </w:rPr>
            </w:pPr>
          </w:p>
        </w:tc>
        <w:tc>
          <w:tcPr>
            <w:tcW w:w="2120" w:type="dxa"/>
            <w:vAlign w:val="bottom"/>
            <w:gridSpan w:val="21"/>
          </w:tcPr>
          <w:p>
            <w:pPr>
              <w:spacing w:after="0" w:line="151" w:lineRule="exact"/>
              <w:rPr>
                <w:sz w:val="20"/>
                <w:szCs w:val="20"/>
                <w:color w:val="auto"/>
              </w:rPr>
            </w:pPr>
            <w:r>
              <w:rPr>
                <w:rFonts w:ascii="Times New Roman" w:cs="Times New Roman" w:eastAsia="Times New Roman" w:hAnsi="Times New Roman"/>
                <w:sz w:val="14"/>
                <w:szCs w:val="14"/>
                <w:color w:val="0563C1"/>
              </w:rPr>
              <w:t xml:space="preserve">Nomination of Directors  </w:t>
            </w:r>
            <w:r>
              <w:rPr>
                <w:rFonts w:ascii="Times New Roman" w:cs="Times New Roman" w:eastAsia="Times New Roman" w:hAnsi="Times New Roman"/>
                <w:sz w:val="14"/>
                <w:szCs w:val="14"/>
                <w:color w:val="000000"/>
              </w:rPr>
              <w:t>6</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72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00" w:type="dxa"/>
            <w:vAlign w:val="bottom"/>
            <w:tcBorders>
              <w:left w:val="single" w:sz="8" w:color="0563C1"/>
            </w:tcBorders>
            <w:gridSpan w:val="6"/>
            <w:shd w:val="clear" w:color="auto" w:fill="0563C1"/>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2.17</w:t>
            </w:r>
          </w:p>
        </w:tc>
        <w:tc>
          <w:tcPr>
            <w:tcW w:w="160" w:type="dxa"/>
            <w:vAlign w:val="bottom"/>
          </w:tcPr>
          <w:p>
            <w:pPr>
              <w:spacing w:after="0"/>
              <w:rPr>
                <w:sz w:val="13"/>
                <w:szCs w:val="13"/>
                <w:color w:val="auto"/>
              </w:rPr>
            </w:pPr>
          </w:p>
        </w:tc>
        <w:tc>
          <w:tcPr>
            <w:tcW w:w="5820" w:type="dxa"/>
            <w:vAlign w:val="bottom"/>
            <w:gridSpan w:val="34"/>
          </w:tcPr>
          <w:p>
            <w:pPr>
              <w:spacing w:after="0" w:line="151" w:lineRule="exact"/>
              <w:rPr>
                <w:sz w:val="20"/>
                <w:szCs w:val="20"/>
                <w:color w:val="auto"/>
              </w:rPr>
            </w:pPr>
            <w:r>
              <w:rPr>
                <w:rFonts w:ascii="Times New Roman" w:cs="Times New Roman" w:eastAsia="Times New Roman" w:hAnsi="Times New Roman"/>
                <w:sz w:val="14"/>
                <w:szCs w:val="14"/>
                <w:color w:val="0563C1"/>
              </w:rPr>
              <w:t xml:space="preserve">Notice of Stockholder Business and Nominations  </w:t>
            </w:r>
            <w:r>
              <w:rPr>
                <w:rFonts w:ascii="Times New Roman" w:cs="Times New Roman" w:eastAsia="Times New Roman" w:hAnsi="Times New Roman"/>
                <w:sz w:val="14"/>
                <w:szCs w:val="14"/>
                <w:color w:val="000000"/>
              </w:rPr>
              <w:t>6</w:t>
            </w:r>
          </w:p>
        </w:tc>
      </w:tr>
      <w:tr>
        <w:trPr>
          <w:trHeight w:val="295"/>
        </w:trPr>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0563C1"/>
            </w:tcBorders>
            <w:gridSpan w:val="3"/>
          </w:tcPr>
          <w:p>
            <w:pPr>
              <w:jc w:val="center"/>
              <w:spacing w:after="0"/>
              <w:rPr>
                <w:sz w:val="20"/>
                <w:szCs w:val="20"/>
                <w:color w:val="auto"/>
              </w:rPr>
            </w:pPr>
            <w:r>
              <w:rPr>
                <w:rFonts w:ascii="Times New Roman" w:cs="Times New Roman" w:eastAsia="Times New Roman" w:hAnsi="Times New Roman"/>
                <w:sz w:val="14"/>
                <w:szCs w:val="14"/>
                <w:color w:val="0563C1"/>
              </w:rPr>
              <w:t>ARTICLE III</w:t>
            </w:r>
          </w:p>
        </w:tc>
        <w:tc>
          <w:tcPr>
            <w:tcW w:w="66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color w:val="0563C1"/>
              </w:rPr>
              <w:t>DIRECTORS</w:t>
            </w: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5"/>
              </w:rPr>
              <w:t>Section 3.1</w:t>
            </w:r>
          </w:p>
        </w:tc>
        <w:tc>
          <w:tcPr>
            <w:tcW w:w="80" w:type="dxa"/>
            <w:vAlign w:val="bottom"/>
          </w:tcPr>
          <w:p>
            <w:pPr>
              <w:spacing w:after="0"/>
              <w:rPr>
                <w:sz w:val="24"/>
                <w:szCs w:val="24"/>
                <w:color w:val="auto"/>
              </w:rPr>
            </w:pPr>
          </w:p>
        </w:tc>
        <w:tc>
          <w:tcPr>
            <w:tcW w:w="11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0563C1"/>
                <w:w w:val="99"/>
              </w:rPr>
              <w:t>Duties and Powers</w:t>
            </w:r>
          </w:p>
        </w:tc>
        <w:tc>
          <w:tcPr>
            <w:tcW w:w="32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7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3.2</w:t>
            </w:r>
          </w:p>
        </w:tc>
        <w:tc>
          <w:tcPr>
            <w:tcW w:w="80" w:type="dxa"/>
            <w:vAlign w:val="bottom"/>
          </w:tcPr>
          <w:p>
            <w:pPr>
              <w:spacing w:after="0"/>
              <w:rPr>
                <w:sz w:val="13"/>
                <w:szCs w:val="13"/>
                <w:color w:val="auto"/>
              </w:rPr>
            </w:pPr>
          </w:p>
        </w:tc>
        <w:tc>
          <w:tcPr>
            <w:tcW w:w="700" w:type="dxa"/>
            <w:vAlign w:val="bottom"/>
            <w:gridSpan w:val="4"/>
          </w:tcPr>
          <w:p>
            <w:pPr>
              <w:ind w:left="80"/>
              <w:spacing w:after="0" w:line="151" w:lineRule="exact"/>
              <w:rPr>
                <w:sz w:val="20"/>
                <w:szCs w:val="20"/>
                <w:color w:val="auto"/>
              </w:rPr>
            </w:pPr>
            <w:r>
              <w:rPr>
                <w:rFonts w:ascii="Times New Roman" w:cs="Times New Roman" w:eastAsia="Times New Roman" w:hAnsi="Times New Roman"/>
                <w:sz w:val="14"/>
                <w:szCs w:val="14"/>
                <w:color w:val="0563C1"/>
              </w:rPr>
              <w:t>Meetings</w:t>
            </w:r>
          </w:p>
        </w:tc>
        <w:tc>
          <w:tcPr>
            <w:tcW w:w="18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3.3</w:t>
            </w:r>
          </w:p>
        </w:tc>
        <w:tc>
          <w:tcPr>
            <w:tcW w:w="80" w:type="dxa"/>
            <w:vAlign w:val="bottom"/>
          </w:tcPr>
          <w:p>
            <w:pPr>
              <w:spacing w:after="0"/>
              <w:rPr>
                <w:sz w:val="13"/>
                <w:szCs w:val="13"/>
                <w:color w:val="auto"/>
              </w:rPr>
            </w:pPr>
          </w:p>
        </w:tc>
        <w:tc>
          <w:tcPr>
            <w:tcW w:w="980" w:type="dxa"/>
            <w:vAlign w:val="bottom"/>
            <w:gridSpan w:val="9"/>
          </w:tcPr>
          <w:p>
            <w:pPr>
              <w:ind w:left="80"/>
              <w:spacing w:after="0" w:line="151" w:lineRule="exact"/>
              <w:rPr>
                <w:sz w:val="20"/>
                <w:szCs w:val="20"/>
                <w:color w:val="auto"/>
              </w:rPr>
            </w:pPr>
            <w:r>
              <w:rPr>
                <w:rFonts w:ascii="Times New Roman" w:cs="Times New Roman" w:eastAsia="Times New Roman" w:hAnsi="Times New Roman"/>
                <w:sz w:val="14"/>
                <w:szCs w:val="14"/>
                <w:color w:val="0563C1"/>
              </w:rPr>
              <w:t>Organization</w:t>
            </w:r>
          </w:p>
        </w:tc>
        <w:tc>
          <w:tcPr>
            <w:tcW w:w="1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9"/>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620" w:type="dxa"/>
            <w:vAlign w:val="bottom"/>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3.4</w:t>
            </w:r>
          </w:p>
        </w:tc>
        <w:tc>
          <w:tcPr>
            <w:tcW w:w="80" w:type="dxa"/>
            <w:vAlign w:val="bottom"/>
          </w:tcPr>
          <w:p>
            <w:pPr>
              <w:spacing w:after="0"/>
              <w:rPr>
                <w:sz w:val="13"/>
                <w:szCs w:val="13"/>
                <w:color w:val="auto"/>
              </w:rPr>
            </w:pPr>
          </w:p>
        </w:tc>
        <w:tc>
          <w:tcPr>
            <w:tcW w:w="2280" w:type="dxa"/>
            <w:vAlign w:val="bottom"/>
            <w:gridSpan w:val="22"/>
          </w:tcPr>
          <w:p>
            <w:pPr>
              <w:ind w:left="80"/>
              <w:spacing w:after="0" w:line="151" w:lineRule="exact"/>
              <w:rPr>
                <w:sz w:val="20"/>
                <w:szCs w:val="20"/>
                <w:color w:val="auto"/>
              </w:rPr>
            </w:pPr>
            <w:r>
              <w:rPr>
                <w:rFonts w:ascii="Times New Roman" w:cs="Times New Roman" w:eastAsia="Times New Roman" w:hAnsi="Times New Roman"/>
                <w:sz w:val="14"/>
                <w:szCs w:val="14"/>
                <w:color w:val="0563C1"/>
              </w:rPr>
              <w:t>Chairman of the Board of Directors</w:t>
            </w:r>
          </w:p>
        </w:tc>
        <w:tc>
          <w:tcPr>
            <w:tcW w:w="16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w w:val="85"/>
              </w:rPr>
              <w:t>13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620" w:type="dxa"/>
            <w:vAlign w:val="bottom"/>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300" w:type="dxa"/>
            <w:vAlign w:val="bottom"/>
            <w:gridSpan w:val="4"/>
            <w:shd w:val="clear" w:color="auto" w:fill="0563C1"/>
          </w:tcPr>
          <w:p>
            <w:pPr>
              <w:spacing w:after="0" w:line="20" w:lineRule="exact"/>
              <w:rPr>
                <w:sz w:val="1"/>
                <w:szCs w:val="1"/>
                <w:color w:val="auto"/>
              </w:rPr>
            </w:pPr>
          </w:p>
        </w:tc>
        <w:tc>
          <w:tcPr>
            <w:tcW w:w="880" w:type="dxa"/>
            <w:vAlign w:val="bottom"/>
            <w:tcBorders>
              <w:left w:val="single" w:sz="8" w:color="0563C1"/>
            </w:tcBorders>
            <w:gridSpan w:val="8"/>
            <w:shd w:val="clear" w:color="auto" w:fill="0563C1"/>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3.5</w:t>
            </w:r>
          </w:p>
        </w:tc>
        <w:tc>
          <w:tcPr>
            <w:tcW w:w="80" w:type="dxa"/>
            <w:vAlign w:val="bottom"/>
          </w:tcPr>
          <w:p>
            <w:pPr>
              <w:spacing w:after="0"/>
              <w:rPr>
                <w:sz w:val="13"/>
                <w:szCs w:val="13"/>
                <w:color w:val="auto"/>
              </w:rPr>
            </w:pPr>
          </w:p>
        </w:tc>
        <w:tc>
          <w:tcPr>
            <w:tcW w:w="2500" w:type="dxa"/>
            <w:vAlign w:val="bottom"/>
            <w:gridSpan w:val="25"/>
          </w:tcPr>
          <w:p>
            <w:pPr>
              <w:ind w:left="80"/>
              <w:spacing w:after="0" w:line="151" w:lineRule="exact"/>
              <w:rPr>
                <w:sz w:val="20"/>
                <w:szCs w:val="20"/>
                <w:color w:val="auto"/>
              </w:rPr>
            </w:pPr>
            <w:r>
              <w:rPr>
                <w:rFonts w:ascii="Times New Roman" w:cs="Times New Roman" w:eastAsia="Times New Roman" w:hAnsi="Times New Roman"/>
                <w:sz w:val="14"/>
                <w:szCs w:val="14"/>
                <w:color w:val="0563C1"/>
              </w:rPr>
              <w:t>Resignations and Removals of Directors</w:t>
            </w:r>
          </w:p>
        </w:tc>
        <w:tc>
          <w:tcPr>
            <w:tcW w:w="1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5"/>
              </w:rPr>
              <w:t>Section 3.6</w:t>
            </w:r>
          </w:p>
        </w:tc>
        <w:tc>
          <w:tcPr>
            <w:tcW w:w="80" w:type="dxa"/>
            <w:vAlign w:val="bottom"/>
          </w:tcPr>
          <w:p>
            <w:pPr>
              <w:spacing w:after="0"/>
              <w:rPr>
                <w:sz w:val="13"/>
                <w:szCs w:val="13"/>
                <w:color w:val="auto"/>
              </w:rPr>
            </w:pP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0563C1"/>
              </w:rPr>
              <w:t>Quorum</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3.7</w:t>
            </w:r>
          </w:p>
        </w:tc>
        <w:tc>
          <w:tcPr>
            <w:tcW w:w="80" w:type="dxa"/>
            <w:vAlign w:val="bottom"/>
          </w:tcPr>
          <w:p>
            <w:pPr>
              <w:spacing w:after="0"/>
              <w:rPr>
                <w:sz w:val="13"/>
                <w:szCs w:val="13"/>
                <w:color w:val="auto"/>
              </w:rPr>
            </w:pPr>
          </w:p>
        </w:tc>
        <w:tc>
          <w:tcPr>
            <w:tcW w:w="2500" w:type="dxa"/>
            <w:vAlign w:val="bottom"/>
            <w:gridSpan w:val="25"/>
          </w:tcPr>
          <w:p>
            <w:pPr>
              <w:ind w:left="80"/>
              <w:spacing w:after="0" w:line="151" w:lineRule="exact"/>
              <w:rPr>
                <w:sz w:val="20"/>
                <w:szCs w:val="20"/>
                <w:color w:val="auto"/>
              </w:rPr>
            </w:pPr>
            <w:r>
              <w:rPr>
                <w:rFonts w:ascii="Times New Roman" w:cs="Times New Roman" w:eastAsia="Times New Roman" w:hAnsi="Times New Roman"/>
                <w:sz w:val="14"/>
                <w:szCs w:val="14"/>
                <w:color w:val="0563C1"/>
              </w:rPr>
              <w:t>Actions of the Board by Written Consent</w:t>
            </w:r>
          </w:p>
        </w:tc>
        <w:tc>
          <w:tcPr>
            <w:tcW w:w="28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620" w:type="dxa"/>
            <w:vAlign w:val="bottom"/>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300" w:type="dxa"/>
            <w:vAlign w:val="bottom"/>
            <w:gridSpan w:val="4"/>
            <w:shd w:val="clear" w:color="auto" w:fill="0563C1"/>
          </w:tcPr>
          <w:p>
            <w:pPr>
              <w:spacing w:after="0" w:line="20" w:lineRule="exact"/>
              <w:rPr>
                <w:sz w:val="1"/>
                <w:szCs w:val="1"/>
                <w:color w:val="auto"/>
              </w:rPr>
            </w:pPr>
          </w:p>
        </w:tc>
        <w:tc>
          <w:tcPr>
            <w:tcW w:w="1180" w:type="dxa"/>
            <w:vAlign w:val="bottom"/>
            <w:tcBorders>
              <w:left w:val="single" w:sz="8" w:color="0563C1"/>
            </w:tcBorders>
            <w:gridSpan w:val="12"/>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3.8</w:t>
            </w:r>
          </w:p>
        </w:tc>
        <w:tc>
          <w:tcPr>
            <w:tcW w:w="80" w:type="dxa"/>
            <w:vAlign w:val="bottom"/>
          </w:tcPr>
          <w:p>
            <w:pPr>
              <w:spacing w:after="0"/>
              <w:rPr>
                <w:sz w:val="13"/>
                <w:szCs w:val="13"/>
                <w:color w:val="auto"/>
              </w:rPr>
            </w:pPr>
          </w:p>
        </w:tc>
        <w:tc>
          <w:tcPr>
            <w:tcW w:w="2780" w:type="dxa"/>
            <w:vAlign w:val="bottom"/>
            <w:gridSpan w:val="27"/>
          </w:tcPr>
          <w:p>
            <w:pPr>
              <w:ind w:left="80"/>
              <w:spacing w:after="0" w:line="151" w:lineRule="exact"/>
              <w:rPr>
                <w:sz w:val="20"/>
                <w:szCs w:val="20"/>
                <w:color w:val="auto"/>
              </w:rPr>
            </w:pPr>
            <w:r>
              <w:rPr>
                <w:rFonts w:ascii="Times New Roman" w:cs="Times New Roman" w:eastAsia="Times New Roman" w:hAnsi="Times New Roman"/>
                <w:sz w:val="14"/>
                <w:szCs w:val="14"/>
                <w:color w:val="0563C1"/>
              </w:rPr>
              <w:t>Meetings by Means of Conference Telephone</w:t>
            </w:r>
          </w:p>
        </w:tc>
        <w:tc>
          <w:tcPr>
            <w:tcW w:w="22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w w:val="99"/>
              </w:rPr>
              <w:t>15</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620" w:type="dxa"/>
            <w:vAlign w:val="bottom"/>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3"/>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3.9</w:t>
            </w:r>
          </w:p>
        </w:tc>
        <w:tc>
          <w:tcPr>
            <w:tcW w:w="80" w:type="dxa"/>
            <w:vAlign w:val="bottom"/>
          </w:tcPr>
          <w:p>
            <w:pPr>
              <w:spacing w:after="0"/>
              <w:rPr>
                <w:sz w:val="13"/>
                <w:szCs w:val="13"/>
                <w:color w:val="auto"/>
              </w:rPr>
            </w:pPr>
          </w:p>
        </w:tc>
        <w:tc>
          <w:tcPr>
            <w:tcW w:w="1160" w:type="dxa"/>
            <w:vAlign w:val="bottom"/>
            <w:gridSpan w:val="11"/>
          </w:tcPr>
          <w:p>
            <w:pPr>
              <w:ind w:left="80"/>
              <w:spacing w:after="0" w:line="151" w:lineRule="exact"/>
              <w:rPr>
                <w:sz w:val="20"/>
                <w:szCs w:val="20"/>
                <w:color w:val="auto"/>
              </w:rPr>
            </w:pPr>
            <w:r>
              <w:rPr>
                <w:rFonts w:ascii="Times New Roman" w:cs="Times New Roman" w:eastAsia="Times New Roman" w:hAnsi="Times New Roman"/>
                <w:sz w:val="14"/>
                <w:szCs w:val="14"/>
                <w:color w:val="0563C1"/>
              </w:rPr>
              <w:t xml:space="preserve">Committees  </w:t>
            </w:r>
            <w:r>
              <w:rPr>
                <w:rFonts w:ascii="Times New Roman" w:cs="Times New Roman" w:eastAsia="Times New Roman" w:hAnsi="Times New Roman"/>
                <w:sz w:val="14"/>
                <w:szCs w:val="14"/>
                <w:color w:val="000000"/>
              </w:rPr>
              <w:t>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620" w:type="dxa"/>
            <w:vAlign w:val="bottom"/>
            <w:gridSpan w:val="4"/>
            <w:shd w:val="clear" w:color="auto" w:fill="0563C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3.10</w:t>
            </w:r>
          </w:p>
        </w:tc>
        <w:tc>
          <w:tcPr>
            <w:tcW w:w="160" w:type="dxa"/>
            <w:vAlign w:val="bottom"/>
          </w:tcPr>
          <w:p>
            <w:pPr>
              <w:spacing w:after="0"/>
              <w:rPr>
                <w:sz w:val="13"/>
                <w:szCs w:val="13"/>
                <w:color w:val="auto"/>
              </w:rPr>
            </w:pPr>
          </w:p>
        </w:tc>
        <w:tc>
          <w:tcPr>
            <w:tcW w:w="820" w:type="dxa"/>
            <w:vAlign w:val="bottom"/>
            <w:gridSpan w:val="8"/>
          </w:tcPr>
          <w:p>
            <w:pPr>
              <w:spacing w:after="0" w:line="151" w:lineRule="exact"/>
              <w:rPr>
                <w:sz w:val="20"/>
                <w:szCs w:val="20"/>
                <w:color w:val="auto"/>
              </w:rPr>
            </w:pPr>
            <w:r>
              <w:rPr>
                <w:rFonts w:ascii="Times New Roman" w:cs="Times New Roman" w:eastAsia="Times New Roman" w:hAnsi="Times New Roman"/>
                <w:sz w:val="14"/>
                <w:szCs w:val="14"/>
                <w:color w:val="0563C1"/>
              </w:rPr>
              <w:t>Remuneration</w:t>
            </w:r>
          </w:p>
        </w:tc>
        <w:tc>
          <w:tcPr>
            <w:tcW w:w="28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72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7"/>
            <w:shd w:val="clear" w:color="auto" w:fill="0563C1"/>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0"/>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0563C1"/>
                <w:w w:val="99"/>
              </w:rPr>
              <w:t>Section 3.11</w:t>
            </w:r>
          </w:p>
        </w:tc>
        <w:tc>
          <w:tcPr>
            <w:tcW w:w="160" w:type="dxa"/>
            <w:vAlign w:val="bottom"/>
          </w:tcPr>
          <w:p>
            <w:pPr>
              <w:spacing w:after="0"/>
              <w:rPr>
                <w:sz w:val="13"/>
                <w:szCs w:val="13"/>
                <w:color w:val="auto"/>
              </w:rPr>
            </w:pPr>
          </w:p>
        </w:tc>
        <w:tc>
          <w:tcPr>
            <w:tcW w:w="1240" w:type="dxa"/>
            <w:vAlign w:val="bottom"/>
            <w:gridSpan w:val="13"/>
          </w:tcPr>
          <w:p>
            <w:pPr>
              <w:spacing w:after="0"/>
              <w:rPr>
                <w:sz w:val="20"/>
                <w:szCs w:val="20"/>
                <w:color w:val="auto"/>
              </w:rPr>
            </w:pPr>
            <w:r>
              <w:rPr>
                <w:rFonts w:ascii="Times New Roman" w:cs="Times New Roman" w:eastAsia="Times New Roman" w:hAnsi="Times New Roman"/>
                <w:sz w:val="14"/>
                <w:szCs w:val="14"/>
                <w:color w:val="0563C1"/>
              </w:rPr>
              <w:t>Interested Directors</w:t>
            </w:r>
          </w:p>
        </w:tc>
        <w:tc>
          <w:tcPr>
            <w:tcW w:w="6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110" w:name="page111"/>
    <w:bookmarkEnd w:id="110"/>
    <w:p>
      <w:pPr>
        <w:jc w:val="center"/>
        <w:ind w:right="-1120"/>
        <w:spacing w:after="0"/>
        <w:rPr>
          <w:sz w:val="20"/>
          <w:szCs w:val="20"/>
          <w:color w:val="auto"/>
        </w:rPr>
      </w:pPr>
      <w:r>
        <w:rPr>
          <w:rFonts w:ascii="Times New Roman" w:cs="Times New Roman" w:eastAsia="Times New Roman" w:hAnsi="Times New Roman"/>
          <w:sz w:val="14"/>
          <w:szCs w:val="14"/>
          <w:u w:val="single" w:color="auto"/>
          <w:color w:val="0563C1"/>
        </w:rPr>
        <w:t>ARTICLE IV</w:t>
      </w:r>
    </w:p>
    <w:p>
      <w:pPr>
        <w:spacing w:after="0" w:line="1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u w:val="single" w:color="auto"/>
          <w:color w:val="0563C1"/>
        </w:rPr>
        <w:t>OFFICERS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8"/>
              </w:rPr>
              <w:t>Section 4.1</w:t>
            </w: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0563C1"/>
              </w:rPr>
              <w:t>General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8"/>
              </w:rPr>
              <w:t>Section 4.2</w:t>
            </w:r>
          </w:p>
        </w:tc>
        <w:tc>
          <w:tcPr>
            <w:tcW w:w="1660" w:type="dxa"/>
            <w:vAlign w:val="bottom"/>
            <w:gridSpan w:val="13"/>
          </w:tcPr>
          <w:p>
            <w:pPr>
              <w:ind w:left="160"/>
              <w:spacing w:after="0"/>
              <w:rPr>
                <w:sz w:val="20"/>
                <w:szCs w:val="20"/>
                <w:color w:val="auto"/>
              </w:rPr>
            </w:pPr>
            <w:r>
              <w:rPr>
                <w:rFonts w:ascii="Times New Roman" w:cs="Times New Roman" w:eastAsia="Times New Roman" w:hAnsi="Times New Roman"/>
                <w:sz w:val="14"/>
                <w:szCs w:val="14"/>
                <w:color w:val="0563C1"/>
              </w:rPr>
              <w:t>Resignation and Removal</w:t>
            </w:r>
          </w:p>
        </w:tc>
        <w:tc>
          <w:tcPr>
            <w:tcW w:w="4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4.3</w:t>
            </w:r>
          </w:p>
        </w:tc>
        <w:tc>
          <w:tcPr>
            <w:tcW w:w="5780" w:type="dxa"/>
            <w:vAlign w:val="bottom"/>
            <w:gridSpan w:val="30"/>
          </w:tcPr>
          <w:p>
            <w:pPr>
              <w:ind w:left="160"/>
              <w:spacing w:after="0" w:line="151" w:lineRule="exact"/>
              <w:rPr>
                <w:sz w:val="20"/>
                <w:szCs w:val="20"/>
                <w:color w:val="auto"/>
              </w:rPr>
            </w:pPr>
            <w:r>
              <w:rPr>
                <w:rFonts w:ascii="Times New Roman" w:cs="Times New Roman" w:eastAsia="Times New Roman" w:hAnsi="Times New Roman"/>
                <w:sz w:val="14"/>
                <w:szCs w:val="14"/>
                <w:color w:val="0563C1"/>
              </w:rPr>
              <w:t xml:space="preserve">Voting Securities Owned by the Corporation  </w:t>
            </w:r>
            <w:r>
              <w:rPr>
                <w:rFonts w:ascii="Times New Roman" w:cs="Times New Roman" w:eastAsia="Times New Roman" w:hAnsi="Times New Roman"/>
                <w:sz w:val="14"/>
                <w:szCs w:val="14"/>
                <w:color w:val="000000"/>
              </w:rPr>
              <w:t>17</w:t>
            </w: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4.4</w:t>
            </w:r>
          </w:p>
        </w:tc>
        <w:tc>
          <w:tcPr>
            <w:tcW w:w="1660" w:type="dxa"/>
            <w:vAlign w:val="bottom"/>
            <w:gridSpan w:val="13"/>
          </w:tcPr>
          <w:p>
            <w:pPr>
              <w:ind w:left="160"/>
              <w:spacing w:after="0" w:line="151" w:lineRule="exact"/>
              <w:rPr>
                <w:sz w:val="20"/>
                <w:szCs w:val="20"/>
                <w:color w:val="auto"/>
              </w:rPr>
            </w:pPr>
            <w:r>
              <w:rPr>
                <w:rFonts w:ascii="Times New Roman" w:cs="Times New Roman" w:eastAsia="Times New Roman" w:hAnsi="Times New Roman"/>
                <w:sz w:val="14"/>
                <w:szCs w:val="14"/>
                <w:color w:val="0563C1"/>
              </w:rPr>
              <w:t>Chief Executive Officer</w:t>
            </w:r>
          </w:p>
        </w:tc>
        <w:tc>
          <w:tcPr>
            <w:tcW w:w="2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17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4.5</w:t>
            </w:r>
          </w:p>
        </w:tc>
        <w:tc>
          <w:tcPr>
            <w:tcW w:w="1120" w:type="dxa"/>
            <w:vAlign w:val="bottom"/>
            <w:gridSpan w:val="7"/>
          </w:tcPr>
          <w:p>
            <w:pPr>
              <w:ind w:left="160"/>
              <w:spacing w:after="0" w:line="151" w:lineRule="exact"/>
              <w:rPr>
                <w:sz w:val="20"/>
                <w:szCs w:val="20"/>
                <w:color w:val="auto"/>
              </w:rPr>
            </w:pPr>
            <w:r>
              <w:rPr>
                <w:rFonts w:ascii="Times New Roman" w:cs="Times New Roman" w:eastAsia="Times New Roman" w:hAnsi="Times New Roman"/>
                <w:sz w:val="14"/>
                <w:szCs w:val="14"/>
                <w:color w:val="0563C1"/>
              </w:rPr>
              <w:t>Senior Officers</w:t>
            </w:r>
          </w:p>
        </w:tc>
        <w:tc>
          <w:tcPr>
            <w:tcW w:w="2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4.6</w:t>
            </w:r>
          </w:p>
        </w:tc>
        <w:tc>
          <w:tcPr>
            <w:tcW w:w="2200" w:type="dxa"/>
            <w:vAlign w:val="bottom"/>
            <w:gridSpan w:val="17"/>
          </w:tcPr>
          <w:p>
            <w:pPr>
              <w:ind w:left="160"/>
              <w:spacing w:after="0" w:line="151" w:lineRule="exact"/>
              <w:rPr>
                <w:sz w:val="20"/>
                <w:szCs w:val="20"/>
                <w:color w:val="auto"/>
              </w:rPr>
            </w:pPr>
            <w:r>
              <w:rPr>
                <w:rFonts w:ascii="Times New Roman" w:cs="Times New Roman" w:eastAsia="Times New Roman" w:hAnsi="Times New Roman"/>
                <w:sz w:val="14"/>
                <w:szCs w:val="14"/>
                <w:color w:val="0563C1"/>
              </w:rPr>
              <w:t>Treasurer and Assistant Treasurer</w:t>
            </w:r>
          </w:p>
        </w:tc>
        <w:tc>
          <w:tcPr>
            <w:tcW w:w="520" w:type="dxa"/>
            <w:vAlign w:val="bottom"/>
          </w:tcPr>
          <w:p>
            <w:pPr>
              <w:jc w:val="right"/>
              <w:ind w:right="268"/>
              <w:spacing w:after="0" w:line="151" w:lineRule="exact"/>
              <w:rPr>
                <w:sz w:val="20"/>
                <w:szCs w:val="20"/>
                <w:color w:val="auto"/>
              </w:rPr>
            </w:pPr>
            <w:r>
              <w:rPr>
                <w:rFonts w:ascii="Times New Roman" w:cs="Times New Roman" w:eastAsia="Times New Roman" w:hAnsi="Times New Roman"/>
                <w:sz w:val="14"/>
                <w:szCs w:val="14"/>
                <w:color w:val="auto"/>
              </w:rPr>
              <w:t>18</w:t>
            </w: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8"/>
              </w:rPr>
              <w:t>Section 4.7</w:t>
            </w:r>
          </w:p>
        </w:tc>
        <w:tc>
          <w:tcPr>
            <w:tcW w:w="2200" w:type="dxa"/>
            <w:vAlign w:val="bottom"/>
            <w:gridSpan w:val="17"/>
          </w:tcPr>
          <w:p>
            <w:pPr>
              <w:ind w:left="160"/>
              <w:spacing w:after="0"/>
              <w:rPr>
                <w:sz w:val="20"/>
                <w:szCs w:val="20"/>
                <w:color w:val="auto"/>
              </w:rPr>
            </w:pPr>
            <w:r>
              <w:rPr>
                <w:rFonts w:ascii="Times New Roman" w:cs="Times New Roman" w:eastAsia="Times New Roman" w:hAnsi="Times New Roman"/>
                <w:sz w:val="14"/>
                <w:szCs w:val="14"/>
                <w:color w:val="0563C1"/>
              </w:rPr>
              <w:t>Secretary and Assistant Secretary</w:t>
            </w:r>
          </w:p>
        </w:tc>
        <w:tc>
          <w:tcPr>
            <w:tcW w:w="5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18</w:t>
            </w: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4.8</w:t>
            </w:r>
          </w:p>
        </w:tc>
        <w:tc>
          <w:tcPr>
            <w:tcW w:w="1120" w:type="dxa"/>
            <w:vAlign w:val="bottom"/>
            <w:gridSpan w:val="7"/>
          </w:tcPr>
          <w:p>
            <w:pPr>
              <w:ind w:left="160"/>
              <w:spacing w:after="0" w:line="151" w:lineRule="exact"/>
              <w:rPr>
                <w:sz w:val="20"/>
                <w:szCs w:val="20"/>
                <w:color w:val="auto"/>
              </w:rPr>
            </w:pPr>
            <w:r>
              <w:rPr>
                <w:rFonts w:ascii="Times New Roman" w:cs="Times New Roman" w:eastAsia="Times New Roman" w:hAnsi="Times New Roman"/>
                <w:sz w:val="14"/>
                <w:szCs w:val="14"/>
                <w:color w:val="0563C1"/>
              </w:rPr>
              <w:t>Other Officers</w:t>
            </w:r>
          </w:p>
        </w:tc>
        <w:tc>
          <w:tcPr>
            <w:tcW w:w="2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w w:val="99"/>
              </w:rPr>
              <w:t>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95"/>
        </w:trPr>
        <w:tc>
          <w:tcPr>
            <w:tcW w:w="6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9"/>
          </w:tcPr>
          <w:p>
            <w:pPr>
              <w:jc w:val="center"/>
              <w:ind w:right="380"/>
              <w:spacing w:after="0"/>
              <w:rPr>
                <w:sz w:val="20"/>
                <w:szCs w:val="20"/>
                <w:color w:val="auto"/>
              </w:rPr>
            </w:pPr>
            <w:r>
              <w:rPr>
                <w:rFonts w:ascii="Times New Roman" w:cs="Times New Roman" w:eastAsia="Times New Roman" w:hAnsi="Times New Roman"/>
                <w:sz w:val="14"/>
                <w:szCs w:val="14"/>
                <w:color w:val="0563C1"/>
              </w:rPr>
              <w:t>ARTICLE V</w:t>
            </w:r>
          </w:p>
        </w:tc>
      </w:tr>
      <w:tr>
        <w:trPr>
          <w:trHeight w:val="322"/>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80" w:type="dxa"/>
            <w:vAlign w:val="bottom"/>
            <w:tcBorders>
              <w:top w:val="single" w:sz="8" w:color="0563C1"/>
            </w:tcBorders>
            <w:gridSpan w:val="4"/>
          </w:tcPr>
          <w:p>
            <w:pPr>
              <w:jc w:val="center"/>
              <w:ind w:right="80"/>
              <w:spacing w:after="0"/>
              <w:rPr>
                <w:sz w:val="20"/>
                <w:szCs w:val="20"/>
                <w:color w:val="auto"/>
              </w:rPr>
            </w:pPr>
            <w:r>
              <w:rPr>
                <w:rFonts w:ascii="Times New Roman" w:cs="Times New Roman" w:eastAsia="Times New Roman" w:hAnsi="Times New Roman"/>
                <w:sz w:val="14"/>
                <w:szCs w:val="14"/>
                <w:color w:val="0563C1"/>
              </w:rPr>
              <w:t>STOCK</w:t>
            </w:r>
          </w:p>
        </w:tc>
        <w:tc>
          <w:tcPr>
            <w:tcW w:w="400" w:type="dxa"/>
            <w:vAlign w:val="bottom"/>
            <w:gridSpan w:val="3"/>
          </w:tcPr>
          <w:p>
            <w:pPr>
              <w:spacing w:after="0"/>
              <w:rPr>
                <w:sz w:val="24"/>
                <w:szCs w:val="24"/>
                <w:color w:val="auto"/>
              </w:rPr>
            </w:pP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8"/>
              </w:rPr>
              <w:t>Section 5.1</w:t>
            </w:r>
          </w:p>
        </w:tc>
        <w:tc>
          <w:tcPr>
            <w:tcW w:w="90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0563C1"/>
              </w:rPr>
              <w:t>Certificates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5.2</w:t>
            </w:r>
          </w:p>
        </w:tc>
        <w:tc>
          <w:tcPr>
            <w:tcW w:w="900" w:type="dxa"/>
            <w:vAlign w:val="bottom"/>
            <w:gridSpan w:val="5"/>
          </w:tcPr>
          <w:p>
            <w:pPr>
              <w:ind w:left="160"/>
              <w:spacing w:after="0" w:line="151" w:lineRule="exact"/>
              <w:rPr>
                <w:sz w:val="20"/>
                <w:szCs w:val="20"/>
                <w:color w:val="auto"/>
              </w:rPr>
            </w:pPr>
            <w:r>
              <w:rPr>
                <w:rFonts w:ascii="Times New Roman" w:cs="Times New Roman" w:eastAsia="Times New Roman" w:hAnsi="Times New Roman"/>
                <w:sz w:val="14"/>
                <w:szCs w:val="14"/>
                <w:color w:val="0563C1"/>
              </w:rPr>
              <w:t>Signatures</w:t>
            </w:r>
          </w:p>
        </w:tc>
        <w:tc>
          <w:tcPr>
            <w:tcW w:w="1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8"/>
              </w:rPr>
              <w:t>Section 5.3</w:t>
            </w:r>
          </w:p>
        </w:tc>
        <w:tc>
          <w:tcPr>
            <w:tcW w:w="2200" w:type="dxa"/>
            <w:vAlign w:val="bottom"/>
            <w:gridSpan w:val="17"/>
          </w:tcPr>
          <w:p>
            <w:pPr>
              <w:ind w:left="160"/>
              <w:spacing w:after="0"/>
              <w:rPr>
                <w:sz w:val="20"/>
                <w:szCs w:val="20"/>
                <w:color w:val="auto"/>
              </w:rPr>
            </w:pPr>
            <w:r>
              <w:rPr>
                <w:rFonts w:ascii="Times New Roman" w:cs="Times New Roman" w:eastAsia="Times New Roman" w:hAnsi="Times New Roman"/>
                <w:sz w:val="14"/>
                <w:szCs w:val="14"/>
                <w:color w:val="0563C1"/>
              </w:rPr>
              <w:t xml:space="preserve">Lost or Mutilated Certificates  </w:t>
            </w:r>
            <w:r>
              <w:rPr>
                <w:rFonts w:ascii="Times New Roman" w:cs="Times New Roman" w:eastAsia="Times New Roman" w:hAnsi="Times New Roman"/>
                <w:sz w:val="14"/>
                <w:szCs w:val="14"/>
                <w:color w:val="000000"/>
              </w:rPr>
              <w:t>20</w:t>
            </w: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5.4</w:t>
            </w:r>
          </w:p>
        </w:tc>
        <w:tc>
          <w:tcPr>
            <w:tcW w:w="1340" w:type="dxa"/>
            <w:vAlign w:val="bottom"/>
            <w:gridSpan w:val="9"/>
          </w:tcPr>
          <w:p>
            <w:pPr>
              <w:ind w:left="160"/>
              <w:spacing w:after="0" w:line="151" w:lineRule="exact"/>
              <w:rPr>
                <w:sz w:val="20"/>
                <w:szCs w:val="20"/>
                <w:color w:val="auto"/>
              </w:rPr>
            </w:pPr>
            <w:r>
              <w:rPr>
                <w:rFonts w:ascii="Times New Roman" w:cs="Times New Roman" w:eastAsia="Times New Roman" w:hAnsi="Times New Roman"/>
                <w:sz w:val="14"/>
                <w:szCs w:val="14"/>
                <w:color w:val="0563C1"/>
              </w:rPr>
              <w:t>Transfer of Shares</w:t>
            </w:r>
          </w:p>
        </w:tc>
        <w:tc>
          <w:tcPr>
            <w:tcW w:w="1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5.5</w:t>
            </w:r>
          </w:p>
        </w:tc>
        <w:tc>
          <w:tcPr>
            <w:tcW w:w="1700" w:type="dxa"/>
            <w:vAlign w:val="bottom"/>
            <w:gridSpan w:val="14"/>
          </w:tcPr>
          <w:p>
            <w:pPr>
              <w:ind w:left="160"/>
              <w:spacing w:after="0" w:line="151" w:lineRule="exact"/>
              <w:rPr>
                <w:sz w:val="20"/>
                <w:szCs w:val="20"/>
                <w:color w:val="auto"/>
              </w:rPr>
            </w:pPr>
            <w:r>
              <w:rPr>
                <w:rFonts w:ascii="Times New Roman" w:cs="Times New Roman" w:eastAsia="Times New Roman" w:hAnsi="Times New Roman"/>
                <w:sz w:val="14"/>
                <w:szCs w:val="14"/>
                <w:color w:val="0563C1"/>
                <w:w w:val="99"/>
              </w:rPr>
              <w:t>Settlement of Transactions</w:t>
            </w:r>
          </w:p>
        </w:tc>
        <w:tc>
          <w:tcPr>
            <w:tcW w:w="40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5.6</w:t>
            </w:r>
          </w:p>
        </w:tc>
        <w:tc>
          <w:tcPr>
            <w:tcW w:w="2200" w:type="dxa"/>
            <w:vAlign w:val="bottom"/>
            <w:gridSpan w:val="17"/>
          </w:tcPr>
          <w:p>
            <w:pPr>
              <w:ind w:left="160"/>
              <w:spacing w:after="0" w:line="151" w:lineRule="exact"/>
              <w:rPr>
                <w:sz w:val="20"/>
                <w:szCs w:val="20"/>
                <w:color w:val="auto"/>
              </w:rPr>
            </w:pPr>
            <w:r>
              <w:rPr>
                <w:rFonts w:ascii="Times New Roman" w:cs="Times New Roman" w:eastAsia="Times New Roman" w:hAnsi="Times New Roman"/>
                <w:sz w:val="14"/>
                <w:szCs w:val="14"/>
                <w:color w:val="0563C1"/>
              </w:rPr>
              <w:t xml:space="preserve">Dividend Record Date  </w:t>
            </w:r>
            <w:r>
              <w:rPr>
                <w:rFonts w:ascii="Times New Roman" w:cs="Times New Roman" w:eastAsia="Times New Roman" w:hAnsi="Times New Roman"/>
                <w:sz w:val="14"/>
                <w:szCs w:val="14"/>
                <w:color w:val="000000"/>
              </w:rPr>
              <w:t>20</w:t>
            </w: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5.7</w:t>
            </w:r>
          </w:p>
        </w:tc>
        <w:tc>
          <w:tcPr>
            <w:tcW w:w="1120" w:type="dxa"/>
            <w:vAlign w:val="bottom"/>
            <w:gridSpan w:val="7"/>
          </w:tcPr>
          <w:p>
            <w:pPr>
              <w:ind w:left="160"/>
              <w:spacing w:after="0" w:line="151" w:lineRule="exact"/>
              <w:rPr>
                <w:sz w:val="20"/>
                <w:szCs w:val="20"/>
                <w:color w:val="auto"/>
              </w:rPr>
            </w:pPr>
            <w:r>
              <w:rPr>
                <w:rFonts w:ascii="Times New Roman" w:cs="Times New Roman" w:eastAsia="Times New Roman" w:hAnsi="Times New Roman"/>
                <w:sz w:val="14"/>
                <w:szCs w:val="14"/>
                <w:color w:val="0563C1"/>
              </w:rPr>
              <w:t>Record Owners</w:t>
            </w:r>
          </w:p>
        </w:tc>
        <w:tc>
          <w:tcPr>
            <w:tcW w:w="2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8"/>
              </w:rPr>
              <w:t>Section 5.8</w:t>
            </w:r>
          </w:p>
        </w:tc>
        <w:tc>
          <w:tcPr>
            <w:tcW w:w="1660" w:type="dxa"/>
            <w:vAlign w:val="bottom"/>
            <w:gridSpan w:val="13"/>
          </w:tcPr>
          <w:p>
            <w:pPr>
              <w:ind w:left="160"/>
              <w:spacing w:after="0"/>
              <w:rPr>
                <w:sz w:val="20"/>
                <w:szCs w:val="20"/>
                <w:color w:val="auto"/>
              </w:rPr>
            </w:pPr>
            <w:r>
              <w:rPr>
                <w:rFonts w:ascii="Times New Roman" w:cs="Times New Roman" w:eastAsia="Times New Roman" w:hAnsi="Times New Roman"/>
                <w:sz w:val="14"/>
                <w:szCs w:val="14"/>
                <w:color w:val="0563C1"/>
              </w:rPr>
              <w:t>Splits and Combinations</w:t>
            </w:r>
          </w:p>
        </w:tc>
        <w:tc>
          <w:tcPr>
            <w:tcW w:w="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95"/>
        </w:trPr>
        <w:tc>
          <w:tcPr>
            <w:tcW w:w="6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0563C1"/>
            </w:tcBorders>
            <w:gridSpan w:val="7"/>
          </w:tcPr>
          <w:p>
            <w:pPr>
              <w:jc w:val="center"/>
              <w:spacing w:after="0"/>
              <w:rPr>
                <w:sz w:val="20"/>
                <w:szCs w:val="20"/>
                <w:color w:val="auto"/>
              </w:rPr>
            </w:pPr>
            <w:r>
              <w:rPr>
                <w:rFonts w:ascii="Times New Roman" w:cs="Times New Roman" w:eastAsia="Times New Roman" w:hAnsi="Times New Roman"/>
                <w:sz w:val="14"/>
                <w:szCs w:val="14"/>
                <w:color w:val="0563C1"/>
              </w:rPr>
              <w:t>ARTICLE VI</w:t>
            </w:r>
          </w:p>
        </w:tc>
        <w:tc>
          <w:tcPr>
            <w:tcW w:w="380" w:type="dxa"/>
            <w:vAlign w:val="bottom"/>
            <w:gridSpan w:val="2"/>
          </w:tcPr>
          <w:p>
            <w:pPr>
              <w:spacing w:after="0"/>
              <w:rPr>
                <w:sz w:val="24"/>
                <w:szCs w:val="24"/>
                <w:color w:val="auto"/>
              </w:rPr>
            </w:pPr>
          </w:p>
        </w:tc>
      </w:tr>
      <w:tr>
        <w:trPr>
          <w:trHeight w:val="322"/>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color w:val="0563C1"/>
              </w:rPr>
              <w:t>NOTICES</w:t>
            </w: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8"/>
              </w:rPr>
              <w:t>Section 6.1</w:t>
            </w: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0563C1"/>
              </w:rPr>
              <w:t>Notices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6.2</w:t>
            </w:r>
          </w:p>
        </w:tc>
        <w:tc>
          <w:tcPr>
            <w:tcW w:w="1340" w:type="dxa"/>
            <w:vAlign w:val="bottom"/>
            <w:gridSpan w:val="9"/>
          </w:tcPr>
          <w:p>
            <w:pPr>
              <w:ind w:left="160"/>
              <w:spacing w:after="0" w:line="151" w:lineRule="exact"/>
              <w:rPr>
                <w:sz w:val="20"/>
                <w:szCs w:val="20"/>
                <w:color w:val="auto"/>
              </w:rPr>
            </w:pPr>
            <w:r>
              <w:rPr>
                <w:rFonts w:ascii="Times New Roman" w:cs="Times New Roman" w:eastAsia="Times New Roman" w:hAnsi="Times New Roman"/>
                <w:sz w:val="14"/>
                <w:szCs w:val="14"/>
                <w:color w:val="0563C1"/>
              </w:rPr>
              <w:t>Waivers of Notice</w:t>
            </w:r>
          </w:p>
        </w:tc>
        <w:tc>
          <w:tcPr>
            <w:tcW w:w="1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304"/>
        </w:trPr>
        <w:tc>
          <w:tcPr>
            <w:tcW w:w="6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10"/>
          </w:tcPr>
          <w:p>
            <w:pPr>
              <w:jc w:val="center"/>
              <w:ind w:right="360"/>
              <w:spacing w:after="0"/>
              <w:rPr>
                <w:sz w:val="20"/>
                <w:szCs w:val="20"/>
                <w:color w:val="auto"/>
              </w:rPr>
            </w:pPr>
            <w:r>
              <w:rPr>
                <w:rFonts w:ascii="Times New Roman" w:cs="Times New Roman" w:eastAsia="Times New Roman" w:hAnsi="Times New Roman"/>
                <w:sz w:val="14"/>
                <w:szCs w:val="14"/>
                <w:color w:val="0563C1"/>
              </w:rPr>
              <w:t>ARTICLE VII</w:t>
            </w: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9"/>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22"/>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Borders>
              <w:bottom w:val="single" w:sz="8" w:color="0563C1"/>
            </w:tcBorders>
            <w:gridSpan w:val="11"/>
          </w:tcPr>
          <w:p>
            <w:pPr>
              <w:jc w:val="center"/>
              <w:spacing w:after="0"/>
              <w:rPr>
                <w:sz w:val="20"/>
                <w:szCs w:val="20"/>
                <w:color w:val="auto"/>
              </w:rPr>
            </w:pPr>
            <w:r>
              <w:rPr>
                <w:rFonts w:ascii="Times New Roman" w:cs="Times New Roman" w:eastAsia="Times New Roman" w:hAnsi="Times New Roman"/>
                <w:sz w:val="14"/>
                <w:szCs w:val="14"/>
                <w:color w:val="0563C1"/>
              </w:rPr>
              <w:t>GENERAL PROVISIONS</w:t>
            </w:r>
          </w:p>
        </w:tc>
      </w:tr>
      <w:tr>
        <w:trPr>
          <w:trHeight w:val="29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8"/>
              </w:rPr>
              <w:t>Section 7.1</w:t>
            </w:r>
          </w:p>
        </w:tc>
        <w:tc>
          <w:tcPr>
            <w:tcW w:w="112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0563C1"/>
              </w:rPr>
              <w:t>Disbursements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7.2</w:t>
            </w:r>
          </w:p>
        </w:tc>
        <w:tc>
          <w:tcPr>
            <w:tcW w:w="900" w:type="dxa"/>
            <w:vAlign w:val="bottom"/>
            <w:gridSpan w:val="5"/>
          </w:tcPr>
          <w:p>
            <w:pPr>
              <w:ind w:left="160"/>
              <w:spacing w:after="0" w:line="151" w:lineRule="exact"/>
              <w:rPr>
                <w:sz w:val="20"/>
                <w:szCs w:val="20"/>
                <w:color w:val="auto"/>
              </w:rPr>
            </w:pPr>
            <w:r>
              <w:rPr>
                <w:rFonts w:ascii="Times New Roman" w:cs="Times New Roman" w:eastAsia="Times New Roman" w:hAnsi="Times New Roman"/>
                <w:sz w:val="14"/>
                <w:szCs w:val="14"/>
                <w:color w:val="0563C1"/>
              </w:rPr>
              <w:t>Fiscal Year</w:t>
            </w:r>
          </w:p>
        </w:tc>
        <w:tc>
          <w:tcPr>
            <w:tcW w:w="2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7.3</w:t>
            </w:r>
          </w:p>
        </w:tc>
        <w:tc>
          <w:tcPr>
            <w:tcW w:w="1120" w:type="dxa"/>
            <w:vAlign w:val="bottom"/>
            <w:gridSpan w:val="7"/>
          </w:tcPr>
          <w:p>
            <w:pPr>
              <w:ind w:left="160"/>
              <w:spacing w:after="0" w:line="151" w:lineRule="exact"/>
              <w:rPr>
                <w:sz w:val="20"/>
                <w:szCs w:val="20"/>
                <w:color w:val="auto"/>
              </w:rPr>
            </w:pPr>
            <w:r>
              <w:rPr>
                <w:rFonts w:ascii="Times New Roman" w:cs="Times New Roman" w:eastAsia="Times New Roman" w:hAnsi="Times New Roman"/>
                <w:sz w:val="14"/>
                <w:szCs w:val="14"/>
                <w:color w:val="0563C1"/>
              </w:rPr>
              <w:t>Corporate Seal</w:t>
            </w:r>
          </w:p>
        </w:tc>
        <w:tc>
          <w:tcPr>
            <w:tcW w:w="22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7.4</w:t>
            </w:r>
          </w:p>
        </w:tc>
        <w:tc>
          <w:tcPr>
            <w:tcW w:w="1700" w:type="dxa"/>
            <w:vAlign w:val="bottom"/>
            <w:gridSpan w:val="14"/>
          </w:tcPr>
          <w:p>
            <w:pPr>
              <w:ind w:left="160"/>
              <w:spacing w:after="0" w:line="151" w:lineRule="exact"/>
              <w:rPr>
                <w:sz w:val="20"/>
                <w:szCs w:val="20"/>
                <w:color w:val="auto"/>
              </w:rPr>
            </w:pPr>
            <w:r>
              <w:rPr>
                <w:rFonts w:ascii="Times New Roman" w:cs="Times New Roman" w:eastAsia="Times New Roman" w:hAnsi="Times New Roman"/>
                <w:sz w:val="14"/>
                <w:szCs w:val="14"/>
                <w:color w:val="0563C1"/>
                <w:w w:val="98"/>
              </w:rPr>
              <w:t>Title to Corporation Assets</w:t>
            </w:r>
          </w:p>
        </w:tc>
        <w:tc>
          <w:tcPr>
            <w:tcW w:w="4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320" w:type="dxa"/>
            <w:vAlign w:val="bottom"/>
            <w:tcBorders>
              <w:right w:val="single" w:sz="8" w:color="0563C1"/>
            </w:tcBorders>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8"/>
              </w:rPr>
              <w:t>Section 7.5</w:t>
            </w:r>
          </w:p>
        </w:tc>
        <w:tc>
          <w:tcPr>
            <w:tcW w:w="90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0563C1"/>
                <w:w w:val="99"/>
              </w:rPr>
              <w:t>Construction</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7.6</w:t>
            </w:r>
          </w:p>
        </w:tc>
        <w:tc>
          <w:tcPr>
            <w:tcW w:w="900" w:type="dxa"/>
            <w:vAlign w:val="bottom"/>
            <w:gridSpan w:val="5"/>
          </w:tcPr>
          <w:p>
            <w:pPr>
              <w:ind w:left="160"/>
              <w:spacing w:after="0" w:line="151" w:lineRule="exact"/>
              <w:rPr>
                <w:sz w:val="20"/>
                <w:szCs w:val="20"/>
                <w:color w:val="auto"/>
              </w:rPr>
            </w:pPr>
            <w:r>
              <w:rPr>
                <w:rFonts w:ascii="Times New Roman" w:cs="Times New Roman" w:eastAsia="Times New Roman" w:hAnsi="Times New Roman"/>
                <w:sz w:val="14"/>
                <w:szCs w:val="14"/>
                <w:color w:val="0563C1"/>
              </w:rPr>
              <w:t>Formation</w:t>
            </w:r>
          </w:p>
        </w:tc>
        <w:tc>
          <w:tcPr>
            <w:tcW w:w="1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7.7</w:t>
            </w:r>
          </w:p>
        </w:tc>
        <w:tc>
          <w:tcPr>
            <w:tcW w:w="1660" w:type="dxa"/>
            <w:vAlign w:val="bottom"/>
            <w:gridSpan w:val="13"/>
          </w:tcPr>
          <w:p>
            <w:pPr>
              <w:ind w:left="160"/>
              <w:spacing w:after="0" w:line="151" w:lineRule="exact"/>
              <w:rPr>
                <w:sz w:val="20"/>
                <w:szCs w:val="20"/>
                <w:color w:val="auto"/>
              </w:rPr>
            </w:pPr>
            <w:r>
              <w:rPr>
                <w:rFonts w:ascii="Times New Roman" w:cs="Times New Roman" w:eastAsia="Times New Roman" w:hAnsi="Times New Roman"/>
                <w:sz w:val="14"/>
                <w:szCs w:val="14"/>
                <w:color w:val="0563C1"/>
              </w:rPr>
              <w:t>Records and Accounting</w:t>
            </w:r>
          </w:p>
        </w:tc>
        <w:tc>
          <w:tcPr>
            <w:tcW w:w="40" w:type="dxa"/>
            <w:vAlign w:val="bottom"/>
          </w:tcPr>
          <w:p>
            <w:pPr>
              <w:spacing w:after="0"/>
              <w:rPr>
                <w:sz w:val="13"/>
                <w:szCs w:val="13"/>
                <w:color w:val="auto"/>
              </w:rPr>
            </w:pPr>
          </w:p>
        </w:tc>
        <w:tc>
          <w:tcPr>
            <w:tcW w:w="400" w:type="dxa"/>
            <w:vAlign w:val="bottom"/>
            <w:gridSpan w:val="2"/>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7.8</w:t>
            </w:r>
          </w:p>
        </w:tc>
        <w:tc>
          <w:tcPr>
            <w:tcW w:w="680" w:type="dxa"/>
            <w:vAlign w:val="bottom"/>
            <w:gridSpan w:val="3"/>
          </w:tcPr>
          <w:p>
            <w:pPr>
              <w:ind w:left="160"/>
              <w:spacing w:after="0" w:line="151" w:lineRule="exact"/>
              <w:rPr>
                <w:sz w:val="20"/>
                <w:szCs w:val="20"/>
                <w:color w:val="auto"/>
              </w:rPr>
            </w:pPr>
            <w:r>
              <w:rPr>
                <w:rFonts w:ascii="Times New Roman" w:cs="Times New Roman" w:eastAsia="Times New Roman" w:hAnsi="Times New Roman"/>
                <w:sz w:val="14"/>
                <w:szCs w:val="14"/>
                <w:color w:val="0563C1"/>
              </w:rPr>
              <w:t>Reports</w:t>
            </w:r>
          </w:p>
        </w:tc>
        <w:tc>
          <w:tcPr>
            <w:tcW w:w="2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8"/>
              </w:rPr>
              <w:t>Section 7.9</w:t>
            </w:r>
          </w:p>
        </w:tc>
        <w:tc>
          <w:tcPr>
            <w:tcW w:w="1660" w:type="dxa"/>
            <w:vAlign w:val="bottom"/>
            <w:gridSpan w:val="13"/>
          </w:tcPr>
          <w:p>
            <w:pPr>
              <w:ind w:left="160"/>
              <w:spacing w:after="0" w:line="151" w:lineRule="exact"/>
              <w:rPr>
                <w:sz w:val="20"/>
                <w:szCs w:val="20"/>
                <w:color w:val="auto"/>
              </w:rPr>
            </w:pPr>
            <w:r>
              <w:rPr>
                <w:rFonts w:ascii="Times New Roman" w:cs="Times New Roman" w:eastAsia="Times New Roman" w:hAnsi="Times New Roman"/>
                <w:sz w:val="14"/>
                <w:szCs w:val="14"/>
                <w:color w:val="0563C1"/>
              </w:rPr>
              <w:t>Invalidity of Provisions</w:t>
            </w:r>
          </w:p>
        </w:tc>
        <w:tc>
          <w:tcPr>
            <w:tcW w:w="2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24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50800</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138"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0563C1"/>
                <w:w w:val="99"/>
              </w:rPr>
              <w:t>Section 7.10</w:t>
            </w:r>
          </w:p>
        </w:tc>
        <w:tc>
          <w:tcPr>
            <w:tcW w:w="160" w:type="dxa"/>
            <w:vAlign w:val="bottom"/>
          </w:tcPr>
          <w:p>
            <w:pPr>
              <w:spacing w:after="0"/>
              <w:rPr>
                <w:sz w:val="13"/>
                <w:szCs w:val="13"/>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4"/>
                <w:szCs w:val="14"/>
                <w:color w:val="0563C1"/>
              </w:rPr>
              <w:t xml:space="preserve">Definitions  </w:t>
            </w:r>
            <w:r>
              <w:rPr>
                <w:rFonts w:ascii="Times New Roman" w:cs="Times New Roman" w:eastAsia="Times New Roman" w:hAnsi="Times New Roman"/>
                <w:sz w:val="14"/>
                <w:szCs w:val="14"/>
                <w:color w:val="000000"/>
              </w:rPr>
              <w:t>24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95"/>
        </w:trPr>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7"/>
          </w:tcPr>
          <w:p>
            <w:pPr>
              <w:jc w:val="center"/>
              <w:ind w:right="1300"/>
              <w:spacing w:after="0"/>
              <w:rPr>
                <w:sz w:val="20"/>
                <w:szCs w:val="20"/>
                <w:color w:val="auto"/>
              </w:rPr>
            </w:pPr>
            <w:r>
              <w:rPr>
                <w:rFonts w:ascii="Times New Roman" w:cs="Times New Roman" w:eastAsia="Times New Roman" w:hAnsi="Times New Roman"/>
                <w:sz w:val="14"/>
                <w:szCs w:val="14"/>
                <w:color w:val="0563C1"/>
                <w:w w:val="92"/>
              </w:rPr>
              <w:t>ARTICLE VIII</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563C1"/>
            </w:tcBorders>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22"/>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gridSpan w:val="9"/>
          </w:tcPr>
          <w:p>
            <w:pPr>
              <w:jc w:val="center"/>
              <w:ind w:right="1100"/>
              <w:spacing w:after="0"/>
              <w:rPr>
                <w:sz w:val="20"/>
                <w:szCs w:val="20"/>
                <w:color w:val="auto"/>
              </w:rPr>
            </w:pPr>
            <w:r>
              <w:rPr>
                <w:rFonts w:ascii="Times New Roman" w:cs="Times New Roman" w:eastAsia="Times New Roman" w:hAnsi="Times New Roman"/>
                <w:sz w:val="14"/>
                <w:szCs w:val="14"/>
                <w:color w:val="0563C1"/>
              </w:rPr>
              <w:t>INDEMNIFICATION</w:t>
            </w: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5"/>
              </w:rPr>
              <w:t>Section 8.1</w:t>
            </w:r>
          </w:p>
        </w:tc>
        <w:tc>
          <w:tcPr>
            <w:tcW w:w="80" w:type="dxa"/>
            <w:vAlign w:val="bottom"/>
          </w:tcPr>
          <w:p>
            <w:pPr>
              <w:spacing w:after="0"/>
              <w:rPr>
                <w:sz w:val="24"/>
                <w:szCs w:val="24"/>
                <w:color w:val="auto"/>
              </w:rPr>
            </w:pPr>
          </w:p>
        </w:tc>
        <w:tc>
          <w:tcPr>
            <w:tcW w:w="6660" w:type="dxa"/>
            <w:vAlign w:val="bottom"/>
            <w:gridSpan w:val="30"/>
          </w:tcPr>
          <w:p>
            <w:pPr>
              <w:ind w:left="80"/>
              <w:spacing w:after="0"/>
              <w:rPr>
                <w:sz w:val="20"/>
                <w:szCs w:val="20"/>
                <w:color w:val="auto"/>
              </w:rPr>
            </w:pPr>
            <w:r>
              <w:rPr>
                <w:rFonts w:ascii="Times New Roman" w:cs="Times New Roman" w:eastAsia="Times New Roman" w:hAnsi="Times New Roman"/>
                <w:sz w:val="14"/>
                <w:szCs w:val="14"/>
                <w:color w:val="0563C1"/>
              </w:rPr>
              <w:t xml:space="preserve">Power to Indemnify in Actions, Suits or Proceedings other than Those by or in the Right of the Corporation  </w:t>
            </w:r>
            <w:r>
              <w:rPr>
                <w:rFonts w:ascii="Times New Roman" w:cs="Times New Roman" w:eastAsia="Times New Roman" w:hAnsi="Times New Roman"/>
                <w:sz w:val="14"/>
                <w:szCs w:val="14"/>
                <w:color w:val="000000"/>
              </w:rPr>
              <w:t>26</w:t>
            </w: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8.2</w:t>
            </w:r>
          </w:p>
        </w:tc>
        <w:tc>
          <w:tcPr>
            <w:tcW w:w="80" w:type="dxa"/>
            <w:vAlign w:val="bottom"/>
          </w:tcPr>
          <w:p>
            <w:pPr>
              <w:spacing w:after="0"/>
              <w:rPr>
                <w:sz w:val="13"/>
                <w:szCs w:val="13"/>
                <w:color w:val="auto"/>
              </w:rPr>
            </w:pPr>
          </w:p>
        </w:tc>
        <w:tc>
          <w:tcPr>
            <w:tcW w:w="6660" w:type="dxa"/>
            <w:vAlign w:val="bottom"/>
            <w:gridSpan w:val="30"/>
          </w:tcPr>
          <w:p>
            <w:pPr>
              <w:ind w:left="80"/>
              <w:spacing w:after="0" w:line="151" w:lineRule="exact"/>
              <w:rPr>
                <w:sz w:val="20"/>
                <w:szCs w:val="20"/>
                <w:color w:val="auto"/>
              </w:rPr>
            </w:pPr>
            <w:r>
              <w:rPr>
                <w:rFonts w:ascii="Times New Roman" w:cs="Times New Roman" w:eastAsia="Times New Roman" w:hAnsi="Times New Roman"/>
                <w:sz w:val="14"/>
                <w:szCs w:val="14"/>
                <w:color w:val="0563C1"/>
              </w:rPr>
              <w:t xml:space="preserve">Power to Indemnify in Actions, Suits or Proceedings by or in the Right of the Corporation  </w:t>
            </w:r>
            <w:r>
              <w:rPr>
                <w:rFonts w:ascii="Times New Roman" w:cs="Times New Roman" w:eastAsia="Times New Roman" w:hAnsi="Times New Roman"/>
                <w:sz w:val="14"/>
                <w:szCs w:val="14"/>
                <w:color w:val="000000"/>
              </w:rPr>
              <w:t>27</w:t>
            </w: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8.3</w:t>
            </w:r>
          </w:p>
        </w:tc>
        <w:tc>
          <w:tcPr>
            <w:tcW w:w="80" w:type="dxa"/>
            <w:vAlign w:val="bottom"/>
          </w:tcPr>
          <w:p>
            <w:pPr>
              <w:spacing w:after="0"/>
              <w:rPr>
                <w:sz w:val="13"/>
                <w:szCs w:val="13"/>
                <w:color w:val="auto"/>
              </w:rPr>
            </w:pPr>
          </w:p>
        </w:tc>
        <w:tc>
          <w:tcPr>
            <w:tcW w:w="2680" w:type="dxa"/>
            <w:vAlign w:val="bottom"/>
            <w:gridSpan w:val="14"/>
          </w:tcPr>
          <w:p>
            <w:pPr>
              <w:ind w:left="80"/>
              <w:spacing w:after="0" w:line="151" w:lineRule="exact"/>
              <w:rPr>
                <w:sz w:val="20"/>
                <w:szCs w:val="20"/>
                <w:color w:val="auto"/>
              </w:rPr>
            </w:pPr>
            <w:r>
              <w:rPr>
                <w:rFonts w:ascii="Times New Roman" w:cs="Times New Roman" w:eastAsia="Times New Roman" w:hAnsi="Times New Roman"/>
                <w:sz w:val="14"/>
                <w:szCs w:val="14"/>
                <w:color w:val="0563C1"/>
              </w:rPr>
              <w:t xml:space="preserve">Authorization of Indemnification  </w:t>
            </w:r>
            <w:r>
              <w:rPr>
                <w:rFonts w:ascii="Times New Roman" w:cs="Times New Roman" w:eastAsia="Times New Roman" w:hAnsi="Times New Roman"/>
                <w:sz w:val="14"/>
                <w:szCs w:val="14"/>
                <w:color w:val="000000"/>
              </w:rPr>
              <w:t>27</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58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8.4</w:t>
            </w:r>
          </w:p>
        </w:tc>
        <w:tc>
          <w:tcPr>
            <w:tcW w:w="80" w:type="dxa"/>
            <w:vAlign w:val="bottom"/>
          </w:tcPr>
          <w:p>
            <w:pPr>
              <w:spacing w:after="0"/>
              <w:rPr>
                <w:sz w:val="13"/>
                <w:szCs w:val="13"/>
                <w:color w:val="auto"/>
              </w:rPr>
            </w:pPr>
          </w:p>
        </w:tc>
        <w:tc>
          <w:tcPr>
            <w:tcW w:w="1280" w:type="dxa"/>
            <w:vAlign w:val="bottom"/>
            <w:gridSpan w:val="6"/>
          </w:tcPr>
          <w:p>
            <w:pPr>
              <w:ind w:left="80"/>
              <w:spacing w:after="0" w:line="151" w:lineRule="exact"/>
              <w:rPr>
                <w:sz w:val="20"/>
                <w:szCs w:val="20"/>
                <w:color w:val="auto"/>
              </w:rPr>
            </w:pPr>
            <w:r>
              <w:rPr>
                <w:rFonts w:ascii="Times New Roman" w:cs="Times New Roman" w:eastAsia="Times New Roman" w:hAnsi="Times New Roman"/>
                <w:sz w:val="14"/>
                <w:szCs w:val="14"/>
                <w:color w:val="0563C1"/>
              </w:rPr>
              <w:t>Good Faith Defined</w:t>
            </w:r>
          </w:p>
        </w:tc>
        <w:tc>
          <w:tcPr>
            <w:tcW w:w="360" w:type="dxa"/>
            <w:vAlign w:val="bottom"/>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580" w:type="dxa"/>
            <w:vAlign w:val="bottom"/>
            <w:tcBorders>
              <w:left w:val="single" w:sz="8" w:color="0563C1"/>
            </w:tcBorders>
            <w:gridSpan w:val="3"/>
            <w:shd w:val="clear" w:color="auto" w:fill="0563C1"/>
          </w:tcPr>
          <w:p>
            <w:pPr>
              <w:spacing w:after="0" w:line="20" w:lineRule="exact"/>
              <w:rPr>
                <w:sz w:val="1"/>
                <w:szCs w:val="1"/>
                <w:color w:val="auto"/>
              </w:rPr>
            </w:pPr>
          </w:p>
        </w:tc>
        <w:tc>
          <w:tcPr>
            <w:tcW w:w="460" w:type="dxa"/>
            <w:vAlign w:val="bottom"/>
            <w:tcBorders>
              <w:left w:val="single" w:sz="8" w:color="0563C1"/>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8.5</w:t>
            </w:r>
          </w:p>
        </w:tc>
        <w:tc>
          <w:tcPr>
            <w:tcW w:w="80" w:type="dxa"/>
            <w:vAlign w:val="bottom"/>
          </w:tcPr>
          <w:p>
            <w:pPr>
              <w:spacing w:after="0"/>
              <w:rPr>
                <w:sz w:val="13"/>
                <w:szCs w:val="13"/>
                <w:color w:val="auto"/>
              </w:rPr>
            </w:pPr>
          </w:p>
        </w:tc>
        <w:tc>
          <w:tcPr>
            <w:tcW w:w="1740" w:type="dxa"/>
            <w:vAlign w:val="bottom"/>
            <w:gridSpan w:val="8"/>
          </w:tcPr>
          <w:p>
            <w:pPr>
              <w:ind w:left="80"/>
              <w:spacing w:after="0" w:line="151" w:lineRule="exact"/>
              <w:rPr>
                <w:sz w:val="20"/>
                <w:szCs w:val="20"/>
                <w:color w:val="auto"/>
              </w:rPr>
            </w:pPr>
            <w:r>
              <w:rPr>
                <w:rFonts w:ascii="Times New Roman" w:cs="Times New Roman" w:eastAsia="Times New Roman" w:hAnsi="Times New Roman"/>
                <w:sz w:val="14"/>
                <w:szCs w:val="14"/>
                <w:color w:val="0563C1"/>
              </w:rPr>
              <w:t>Indemnification by a Court</w:t>
            </w:r>
          </w:p>
        </w:tc>
        <w:tc>
          <w:tcPr>
            <w:tcW w:w="260" w:type="dxa"/>
            <w:vAlign w:val="bottom"/>
            <w:gridSpan w:val="3"/>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28</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6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0563C1"/>
                <w:w w:val="95"/>
              </w:rPr>
              <w:t>Section 8.6</w:t>
            </w:r>
          </w:p>
        </w:tc>
        <w:tc>
          <w:tcPr>
            <w:tcW w:w="80" w:type="dxa"/>
            <w:vAlign w:val="bottom"/>
          </w:tcPr>
          <w:p>
            <w:pPr>
              <w:spacing w:after="0"/>
              <w:rPr>
                <w:sz w:val="13"/>
                <w:szCs w:val="13"/>
                <w:color w:val="auto"/>
              </w:rPr>
            </w:pPr>
          </w:p>
        </w:tc>
        <w:tc>
          <w:tcPr>
            <w:tcW w:w="200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0563C1"/>
              </w:rPr>
              <w:t>Expenses Payable in Advance</w:t>
            </w:r>
          </w:p>
        </w:tc>
        <w:tc>
          <w:tcPr>
            <w:tcW w:w="600" w:type="dxa"/>
            <w:vAlign w:val="bottom"/>
          </w:tcPr>
          <w:p>
            <w:pPr>
              <w:jc w:val="right"/>
              <w:ind w:right="433"/>
              <w:spacing w:after="0"/>
              <w:rPr>
                <w:sz w:val="20"/>
                <w:szCs w:val="20"/>
                <w:color w:val="auto"/>
              </w:rPr>
            </w:pPr>
            <w:r>
              <w:rPr>
                <w:rFonts w:ascii="Times New Roman" w:cs="Times New Roman" w:eastAsia="Times New Roman" w:hAnsi="Times New Roman"/>
                <w:sz w:val="11"/>
                <w:szCs w:val="11"/>
                <w:color w:val="auto"/>
                <w:w w:val="72"/>
              </w:rPr>
              <w:t>28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8.7</w:t>
            </w:r>
          </w:p>
        </w:tc>
        <w:tc>
          <w:tcPr>
            <w:tcW w:w="80" w:type="dxa"/>
            <w:vAlign w:val="bottom"/>
          </w:tcPr>
          <w:p>
            <w:pPr>
              <w:spacing w:after="0"/>
              <w:rPr>
                <w:sz w:val="13"/>
                <w:szCs w:val="13"/>
                <w:color w:val="auto"/>
              </w:rPr>
            </w:pPr>
          </w:p>
        </w:tc>
        <w:tc>
          <w:tcPr>
            <w:tcW w:w="6660" w:type="dxa"/>
            <w:vAlign w:val="bottom"/>
            <w:gridSpan w:val="30"/>
          </w:tcPr>
          <w:p>
            <w:pPr>
              <w:ind w:left="80"/>
              <w:spacing w:after="0" w:line="151" w:lineRule="exact"/>
              <w:rPr>
                <w:sz w:val="20"/>
                <w:szCs w:val="20"/>
                <w:color w:val="auto"/>
              </w:rPr>
            </w:pPr>
            <w:r>
              <w:rPr>
                <w:rFonts w:ascii="Times New Roman" w:cs="Times New Roman" w:eastAsia="Times New Roman" w:hAnsi="Times New Roman"/>
                <w:sz w:val="14"/>
                <w:szCs w:val="14"/>
                <w:color w:val="0563C1"/>
              </w:rPr>
              <w:t xml:space="preserve">Nonexclusivity of Indemnification and Advancement of Expenses  </w:t>
            </w:r>
            <w:r>
              <w:rPr>
                <w:rFonts w:ascii="Times New Roman" w:cs="Times New Roman" w:eastAsia="Times New Roman" w:hAnsi="Times New Roman"/>
                <w:sz w:val="14"/>
                <w:szCs w:val="14"/>
                <w:color w:val="000000"/>
              </w:rPr>
              <w:t>28</w:t>
            </w: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8.8</w:t>
            </w:r>
          </w:p>
        </w:tc>
        <w:tc>
          <w:tcPr>
            <w:tcW w:w="80" w:type="dxa"/>
            <w:vAlign w:val="bottom"/>
          </w:tcPr>
          <w:p>
            <w:pPr>
              <w:spacing w:after="0"/>
              <w:rPr>
                <w:sz w:val="13"/>
                <w:szCs w:val="13"/>
                <w:color w:val="auto"/>
              </w:rPr>
            </w:pPr>
          </w:p>
        </w:tc>
        <w:tc>
          <w:tcPr>
            <w:tcW w:w="70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4"/>
                <w:szCs w:val="14"/>
                <w:color w:val="0563C1"/>
              </w:rPr>
              <w:t>Insurance</w:t>
            </w:r>
          </w:p>
        </w:tc>
        <w:tc>
          <w:tcPr>
            <w:tcW w:w="480" w:type="dxa"/>
            <w:vAlign w:val="bottom"/>
            <w:gridSpan w:val="2"/>
          </w:tcPr>
          <w:p>
            <w:pPr>
              <w:jc w:val="right"/>
              <w:ind w:right="260"/>
              <w:spacing w:after="0" w:line="151"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580" w:type="dxa"/>
            <w:vAlign w:val="bottom"/>
            <w:tcBorders>
              <w:left w:val="single" w:sz="8" w:color="0563C1"/>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0563C1"/>
                <w:w w:val="95"/>
              </w:rPr>
              <w:t>Section 8.9</w:t>
            </w:r>
          </w:p>
        </w:tc>
        <w:tc>
          <w:tcPr>
            <w:tcW w:w="80" w:type="dxa"/>
            <w:vAlign w:val="bottom"/>
          </w:tcPr>
          <w:p>
            <w:pPr>
              <w:spacing w:after="0"/>
              <w:rPr>
                <w:sz w:val="13"/>
                <w:szCs w:val="13"/>
                <w:color w:val="auto"/>
              </w:rPr>
            </w:pPr>
          </w:p>
        </w:tc>
        <w:tc>
          <w:tcPr>
            <w:tcW w:w="1280" w:type="dxa"/>
            <w:vAlign w:val="bottom"/>
            <w:gridSpan w:val="6"/>
          </w:tcPr>
          <w:p>
            <w:pPr>
              <w:ind w:left="80"/>
              <w:spacing w:after="0" w:line="151" w:lineRule="exact"/>
              <w:rPr>
                <w:sz w:val="20"/>
                <w:szCs w:val="20"/>
                <w:color w:val="auto"/>
              </w:rPr>
            </w:pPr>
            <w:r>
              <w:rPr>
                <w:rFonts w:ascii="Times New Roman" w:cs="Times New Roman" w:eastAsia="Times New Roman" w:hAnsi="Times New Roman"/>
                <w:sz w:val="14"/>
                <w:szCs w:val="14"/>
                <w:color w:val="0563C1"/>
              </w:rPr>
              <w:t>Certain Definitions</w:t>
            </w:r>
          </w:p>
        </w:tc>
        <w:tc>
          <w:tcPr>
            <w:tcW w:w="360" w:type="dxa"/>
            <w:vAlign w:val="bottom"/>
          </w:tcPr>
          <w:p>
            <w:pPr>
              <w:jc w:val="right"/>
              <w:ind w:right="88"/>
              <w:spacing w:after="0" w:line="151"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580" w:type="dxa"/>
            <w:vAlign w:val="bottom"/>
            <w:tcBorders>
              <w:left w:val="single" w:sz="8" w:color="0563C1"/>
            </w:tcBorders>
            <w:gridSpan w:val="3"/>
            <w:shd w:val="clear" w:color="auto" w:fill="0563C1"/>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8.10</w:t>
            </w:r>
          </w:p>
        </w:tc>
        <w:tc>
          <w:tcPr>
            <w:tcW w:w="160" w:type="dxa"/>
            <w:vAlign w:val="bottom"/>
          </w:tcPr>
          <w:p>
            <w:pPr>
              <w:spacing w:after="0"/>
              <w:rPr>
                <w:sz w:val="13"/>
                <w:szCs w:val="13"/>
                <w:color w:val="auto"/>
              </w:rPr>
            </w:pPr>
          </w:p>
        </w:tc>
        <w:tc>
          <w:tcPr>
            <w:tcW w:w="3540" w:type="dxa"/>
            <w:vAlign w:val="bottom"/>
            <w:gridSpan w:val="18"/>
          </w:tcPr>
          <w:p>
            <w:pPr>
              <w:spacing w:after="0" w:line="151" w:lineRule="exact"/>
              <w:rPr>
                <w:sz w:val="20"/>
                <w:szCs w:val="20"/>
                <w:color w:val="auto"/>
              </w:rPr>
            </w:pPr>
            <w:r>
              <w:rPr>
                <w:rFonts w:ascii="Times New Roman" w:cs="Times New Roman" w:eastAsia="Times New Roman" w:hAnsi="Times New Roman"/>
                <w:sz w:val="14"/>
                <w:szCs w:val="14"/>
                <w:color w:val="0563C1"/>
              </w:rPr>
              <w:t>Survival of Indemnification and Advancement of Expenses</w:t>
            </w:r>
          </w:p>
        </w:tc>
        <w:tc>
          <w:tcPr>
            <w:tcW w:w="1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29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40" w:type="dxa"/>
            <w:vAlign w:val="bottom"/>
            <w:tcBorders>
              <w:left w:val="single" w:sz="8" w:color="0563C1"/>
            </w:tcBorders>
            <w:gridSpan w:val="5"/>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8.11</w:t>
            </w:r>
          </w:p>
        </w:tc>
        <w:tc>
          <w:tcPr>
            <w:tcW w:w="160" w:type="dxa"/>
            <w:vAlign w:val="bottom"/>
          </w:tcPr>
          <w:p>
            <w:pPr>
              <w:spacing w:after="0"/>
              <w:rPr>
                <w:sz w:val="13"/>
                <w:szCs w:val="13"/>
                <w:color w:val="auto"/>
              </w:rPr>
            </w:pPr>
          </w:p>
        </w:tc>
        <w:tc>
          <w:tcPr>
            <w:tcW w:w="1840" w:type="dxa"/>
            <w:vAlign w:val="bottom"/>
            <w:gridSpan w:val="10"/>
          </w:tcPr>
          <w:p>
            <w:pPr>
              <w:spacing w:after="0" w:line="151" w:lineRule="exact"/>
              <w:rPr>
                <w:sz w:val="20"/>
                <w:szCs w:val="20"/>
                <w:color w:val="auto"/>
              </w:rPr>
            </w:pPr>
            <w:r>
              <w:rPr>
                <w:rFonts w:ascii="Times New Roman" w:cs="Times New Roman" w:eastAsia="Times New Roman" w:hAnsi="Times New Roman"/>
                <w:sz w:val="14"/>
                <w:szCs w:val="14"/>
                <w:color w:val="0563C1"/>
              </w:rPr>
              <w:t>Limitation on Indemnification</w:t>
            </w:r>
          </w:p>
        </w:tc>
        <w:tc>
          <w:tcPr>
            <w:tcW w:w="600" w:type="dxa"/>
            <w:vAlign w:val="bottom"/>
          </w:tcPr>
          <w:p>
            <w:pPr>
              <w:jc w:val="right"/>
              <w:ind w:right="353"/>
              <w:spacing w:after="0" w:line="151"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60" w:type="dxa"/>
            <w:vAlign w:val="bottom"/>
            <w:tcBorders>
              <w:right w:val="single" w:sz="8" w:color="0563C1"/>
            </w:tcBorders>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40" w:type="dxa"/>
            <w:vAlign w:val="bottom"/>
            <w:tcBorders>
              <w:left w:val="single" w:sz="8" w:color="0563C1"/>
            </w:tcBorders>
            <w:gridSpan w:val="5"/>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760" w:type="dxa"/>
            <w:vAlign w:val="bottom"/>
            <w:tcBorders>
              <w:left w:val="single" w:sz="8" w:color="0563C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60"/>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0563C1"/>
                <w:w w:val="99"/>
              </w:rPr>
              <w:t>Section 8.12</w:t>
            </w:r>
          </w:p>
        </w:tc>
        <w:tc>
          <w:tcPr>
            <w:tcW w:w="160" w:type="dxa"/>
            <w:vAlign w:val="bottom"/>
          </w:tcPr>
          <w:p>
            <w:pPr>
              <w:spacing w:after="0"/>
              <w:rPr>
                <w:sz w:val="13"/>
                <w:szCs w:val="13"/>
                <w:color w:val="auto"/>
              </w:rPr>
            </w:pPr>
          </w:p>
        </w:tc>
        <w:tc>
          <w:tcPr>
            <w:tcW w:w="2520" w:type="dxa"/>
            <w:vAlign w:val="bottom"/>
            <w:gridSpan w:val="13"/>
          </w:tcPr>
          <w:p>
            <w:pPr>
              <w:spacing w:after="0"/>
              <w:rPr>
                <w:sz w:val="20"/>
                <w:szCs w:val="20"/>
                <w:color w:val="auto"/>
              </w:rPr>
            </w:pPr>
            <w:r>
              <w:rPr>
                <w:rFonts w:ascii="Times New Roman" w:cs="Times New Roman" w:eastAsia="Times New Roman" w:hAnsi="Times New Roman"/>
                <w:sz w:val="14"/>
                <w:szCs w:val="14"/>
                <w:color w:val="0563C1"/>
              </w:rPr>
              <w:t>Indemnification of Employees and Agents</w:t>
            </w:r>
          </w:p>
        </w:tc>
        <w:tc>
          <w:tcPr>
            <w:tcW w:w="5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40" w:type="dxa"/>
            <w:vAlign w:val="bottom"/>
            <w:tcBorders>
              <w:left w:val="single" w:sz="8" w:color="0563C1"/>
            </w:tcBorders>
            <w:gridSpan w:val="5"/>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760" w:type="dxa"/>
            <w:vAlign w:val="bottom"/>
            <w:tcBorders>
              <w:left w:val="single" w:sz="8" w:color="0563C1"/>
            </w:tcBorders>
            <w:gridSpan w:val="2"/>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8.13</w:t>
            </w:r>
          </w:p>
        </w:tc>
        <w:tc>
          <w:tcPr>
            <w:tcW w:w="160" w:type="dxa"/>
            <w:vAlign w:val="bottom"/>
          </w:tcPr>
          <w:p>
            <w:pPr>
              <w:spacing w:after="0"/>
              <w:rPr>
                <w:sz w:val="13"/>
                <w:szCs w:val="13"/>
                <w:color w:val="auto"/>
              </w:rPr>
            </w:pPr>
          </w:p>
        </w:tc>
        <w:tc>
          <w:tcPr>
            <w:tcW w:w="6500" w:type="dxa"/>
            <w:vAlign w:val="bottom"/>
            <w:gridSpan w:val="29"/>
          </w:tcPr>
          <w:p>
            <w:pPr>
              <w:spacing w:after="0" w:line="151" w:lineRule="exact"/>
              <w:rPr>
                <w:sz w:val="20"/>
                <w:szCs w:val="20"/>
                <w:color w:val="auto"/>
              </w:rPr>
            </w:pPr>
            <w:r>
              <w:rPr>
                <w:rFonts w:ascii="Times New Roman" w:cs="Times New Roman" w:eastAsia="Times New Roman" w:hAnsi="Times New Roman"/>
                <w:sz w:val="14"/>
                <w:szCs w:val="14"/>
                <w:color w:val="0563C1"/>
              </w:rPr>
              <w:t xml:space="preserve">Indemnification with Respect to Employee Benefit Plans  </w:t>
            </w:r>
            <w:r>
              <w:rPr>
                <w:rFonts w:ascii="Times New Roman" w:cs="Times New Roman" w:eastAsia="Times New Roman" w:hAnsi="Times New Roman"/>
                <w:sz w:val="14"/>
                <w:szCs w:val="14"/>
                <w:color w:val="000000"/>
              </w:rPr>
              <w:t>30</w:t>
            </w:r>
          </w:p>
        </w:tc>
      </w:tr>
      <w:tr>
        <w:trPr>
          <w:trHeight w:val="295"/>
        </w:trPr>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0563C1"/>
            </w:tcBorders>
            <w:gridSpan w:val="3"/>
          </w:tcPr>
          <w:p>
            <w:pPr>
              <w:jc w:val="center"/>
              <w:ind w:right="40"/>
              <w:spacing w:after="0"/>
              <w:rPr>
                <w:sz w:val="20"/>
                <w:szCs w:val="20"/>
                <w:color w:val="auto"/>
              </w:rPr>
            </w:pPr>
            <w:r>
              <w:rPr>
                <w:rFonts w:ascii="Times New Roman" w:cs="Times New Roman" w:eastAsia="Times New Roman" w:hAnsi="Times New Roman"/>
                <w:sz w:val="14"/>
                <w:szCs w:val="14"/>
                <w:color w:val="0563C1"/>
                <w:w w:val="98"/>
              </w:rPr>
              <w:t>ARTICLE IX</w:t>
            </w:r>
          </w:p>
        </w:tc>
        <w:tc>
          <w:tcPr>
            <w:tcW w:w="1300" w:type="dxa"/>
            <w:vAlign w:val="bottom"/>
            <w:gridSpan w:val="4"/>
          </w:tcPr>
          <w:p>
            <w:pPr>
              <w:spacing w:after="0"/>
              <w:rPr>
                <w:sz w:val="24"/>
                <w:szCs w:val="24"/>
                <w:color w:val="auto"/>
              </w:rPr>
            </w:pPr>
          </w:p>
        </w:tc>
      </w:tr>
      <w:tr>
        <w:trPr>
          <w:trHeight w:val="322"/>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tcBorders>
              <w:bottom w:val="single" w:sz="8" w:color="0563C1"/>
            </w:tcBorders>
            <w:gridSpan w:val="15"/>
          </w:tcPr>
          <w:p>
            <w:pPr>
              <w:jc w:val="center"/>
              <w:spacing w:after="0"/>
              <w:rPr>
                <w:sz w:val="20"/>
                <w:szCs w:val="20"/>
                <w:color w:val="auto"/>
              </w:rPr>
            </w:pPr>
            <w:r>
              <w:rPr>
                <w:rFonts w:ascii="Times New Roman" w:cs="Times New Roman" w:eastAsia="Times New Roman" w:hAnsi="Times New Roman"/>
                <w:sz w:val="14"/>
                <w:szCs w:val="14"/>
                <w:color w:val="0563C1"/>
              </w:rPr>
              <w:t>FORUM FOR ADJUDICATION OF CERTAIN DISPUTES</w:t>
            </w:r>
          </w:p>
        </w:tc>
      </w:tr>
      <w:tr>
        <w:trPr>
          <w:trHeight w:val="295"/>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0563C1"/>
              </w:rPr>
              <w:t>Section 9.1</w:t>
            </w:r>
          </w:p>
        </w:tc>
        <w:tc>
          <w:tcPr>
            <w:tcW w:w="2680" w:type="dxa"/>
            <w:vAlign w:val="bottom"/>
            <w:gridSpan w:val="14"/>
          </w:tcPr>
          <w:p>
            <w:pPr>
              <w:ind w:left="80"/>
              <w:spacing w:after="0"/>
              <w:rPr>
                <w:sz w:val="20"/>
                <w:szCs w:val="20"/>
                <w:color w:val="auto"/>
              </w:rPr>
            </w:pPr>
            <w:r>
              <w:rPr>
                <w:rFonts w:ascii="Times New Roman" w:cs="Times New Roman" w:eastAsia="Times New Roman" w:hAnsi="Times New Roman"/>
                <w:sz w:val="14"/>
                <w:szCs w:val="14"/>
                <w:color w:val="0563C1"/>
              </w:rPr>
              <w:t>Forum for Adjudication of Certain Disputes</w:t>
            </w:r>
          </w:p>
        </w:tc>
        <w:tc>
          <w:tcPr>
            <w:tcW w:w="5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64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0563C1"/>
            </w:tcBorders>
            <w:gridSpan w:val="2"/>
          </w:tcPr>
          <w:p>
            <w:pPr>
              <w:jc w:val="center"/>
              <w:spacing w:after="0"/>
              <w:rPr>
                <w:sz w:val="20"/>
                <w:szCs w:val="20"/>
                <w:color w:val="auto"/>
              </w:rPr>
            </w:pPr>
            <w:r>
              <w:rPr>
                <w:rFonts w:ascii="Times New Roman" w:cs="Times New Roman" w:eastAsia="Times New Roman" w:hAnsi="Times New Roman"/>
                <w:sz w:val="14"/>
                <w:szCs w:val="14"/>
                <w:color w:val="0563C1"/>
              </w:rPr>
              <w:t>ARTICLE X</w:t>
            </w:r>
          </w:p>
        </w:tc>
        <w:tc>
          <w:tcPr>
            <w:tcW w:w="1360" w:type="dxa"/>
            <w:vAlign w:val="bottom"/>
            <w:gridSpan w:val="5"/>
          </w:tcPr>
          <w:p>
            <w:pPr>
              <w:spacing w:after="0"/>
              <w:rPr>
                <w:sz w:val="24"/>
                <w:szCs w:val="24"/>
                <w:color w:val="auto"/>
              </w:rPr>
            </w:pPr>
          </w:p>
        </w:tc>
      </w:tr>
      <w:tr>
        <w:trPr>
          <w:trHeight w:val="322"/>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8"/>
          </w:tcPr>
          <w:p>
            <w:pPr>
              <w:jc w:val="center"/>
              <w:ind w:right="1220"/>
              <w:spacing w:after="0"/>
              <w:rPr>
                <w:sz w:val="20"/>
                <w:szCs w:val="20"/>
                <w:color w:val="auto"/>
              </w:rPr>
            </w:pPr>
            <w:r>
              <w:rPr>
                <w:rFonts w:ascii="Times New Roman" w:cs="Times New Roman" w:eastAsia="Times New Roman" w:hAnsi="Times New Roman"/>
                <w:sz w:val="14"/>
                <w:szCs w:val="14"/>
                <w:color w:val="0563C1"/>
              </w:rPr>
              <w:t>AMENDMENTS</w:t>
            </w:r>
          </w:p>
        </w:tc>
      </w:tr>
      <w:tr>
        <w:trPr>
          <w:trHeight w:val="295"/>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0563C1"/>
                <w:w w:val="99"/>
              </w:rPr>
              <w:t>Section 10.1</w:t>
            </w:r>
          </w:p>
        </w:tc>
        <w:tc>
          <w:tcPr>
            <w:tcW w:w="16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0563C1"/>
              </w:rPr>
              <w:t>General</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7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72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10.2</w:t>
            </w:r>
          </w:p>
        </w:tc>
        <w:tc>
          <w:tcPr>
            <w:tcW w:w="160" w:type="dxa"/>
            <w:vAlign w:val="bottom"/>
          </w:tcPr>
          <w:p>
            <w:pPr>
              <w:spacing w:after="0"/>
              <w:rPr>
                <w:sz w:val="13"/>
                <w:szCs w:val="13"/>
                <w:color w:val="auto"/>
              </w:rPr>
            </w:pPr>
          </w:p>
        </w:tc>
        <w:tc>
          <w:tcPr>
            <w:tcW w:w="1840" w:type="dxa"/>
            <w:vAlign w:val="bottom"/>
            <w:gridSpan w:val="10"/>
          </w:tcPr>
          <w:p>
            <w:pPr>
              <w:spacing w:after="0" w:line="151" w:lineRule="exact"/>
              <w:rPr>
                <w:sz w:val="20"/>
                <w:szCs w:val="20"/>
                <w:color w:val="auto"/>
              </w:rPr>
            </w:pPr>
            <w:r>
              <w:rPr>
                <w:rFonts w:ascii="Times New Roman" w:cs="Times New Roman" w:eastAsia="Times New Roman" w:hAnsi="Times New Roman"/>
                <w:sz w:val="14"/>
                <w:szCs w:val="14"/>
                <w:color w:val="0563C1"/>
              </w:rPr>
              <w:t>Super-Majority Amendments</w:t>
            </w:r>
          </w:p>
        </w:tc>
        <w:tc>
          <w:tcPr>
            <w:tcW w:w="600" w:type="dxa"/>
            <w:vAlign w:val="bottom"/>
          </w:tcPr>
          <w:p>
            <w:pPr>
              <w:jc w:val="right"/>
              <w:ind w:right="413"/>
              <w:spacing w:after="0" w:line="151" w:lineRule="exact"/>
              <w:rPr>
                <w:sz w:val="20"/>
                <w:szCs w:val="20"/>
                <w:color w:val="auto"/>
              </w:rPr>
            </w:pPr>
            <w:r>
              <w:rPr>
                <w:rFonts w:ascii="Times New Roman" w:cs="Times New Roman" w:eastAsia="Times New Roman" w:hAnsi="Times New Roman"/>
                <w:sz w:val="14"/>
                <w:szCs w:val="14"/>
                <w:color w:val="auto"/>
                <w:w w:val="71"/>
              </w:rPr>
              <w:t>32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720" w:type="dxa"/>
            <w:vAlign w:val="bottom"/>
            <w:gridSpan w:val="2"/>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shd w:val="clear" w:color="auto" w:fill="0563C1"/>
          </w:tcPr>
          <w:p>
            <w:pPr>
              <w:spacing w:after="0" w:line="20" w:lineRule="exact"/>
              <w:rPr>
                <w:sz w:val="1"/>
                <w:szCs w:val="1"/>
                <w:color w:val="auto"/>
              </w:rPr>
            </w:pPr>
          </w:p>
        </w:tc>
        <w:tc>
          <w:tcPr>
            <w:tcW w:w="200" w:type="dxa"/>
            <w:vAlign w:val="bottom"/>
            <w:tcBorders>
              <w:left w:val="single" w:sz="8" w:color="0563C1"/>
            </w:tcBorders>
            <w:gridSpan w:val="3"/>
            <w:shd w:val="clear" w:color="auto" w:fill="0563C1"/>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1"/>
        </w:trPr>
        <w:tc>
          <w:tcPr>
            <w:tcW w:w="7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0563C1"/>
                <w:w w:val="99"/>
              </w:rPr>
              <w:t>Section 10.3</w:t>
            </w:r>
          </w:p>
        </w:tc>
        <w:tc>
          <w:tcPr>
            <w:tcW w:w="160" w:type="dxa"/>
            <w:vAlign w:val="bottom"/>
          </w:tcPr>
          <w:p>
            <w:pPr>
              <w:spacing w:after="0"/>
              <w:rPr>
                <w:sz w:val="13"/>
                <w:szCs w:val="13"/>
                <w:color w:val="auto"/>
              </w:rPr>
            </w:pPr>
          </w:p>
        </w:tc>
        <w:tc>
          <w:tcPr>
            <w:tcW w:w="3540" w:type="dxa"/>
            <w:vAlign w:val="bottom"/>
            <w:gridSpan w:val="18"/>
          </w:tcPr>
          <w:p>
            <w:pPr>
              <w:spacing w:after="0" w:line="151" w:lineRule="exact"/>
              <w:rPr>
                <w:sz w:val="20"/>
                <w:szCs w:val="20"/>
                <w:color w:val="auto"/>
              </w:rPr>
            </w:pPr>
            <w:r>
              <w:rPr>
                <w:rFonts w:ascii="Times New Roman" w:cs="Times New Roman" w:eastAsia="Times New Roman" w:hAnsi="Times New Roman"/>
                <w:sz w:val="14"/>
                <w:szCs w:val="14"/>
                <w:color w:val="0563C1"/>
              </w:rPr>
              <w:t>Amendments to be Adopted Solely by the Board of Directors</w:t>
            </w:r>
          </w:p>
        </w:tc>
        <w:tc>
          <w:tcPr>
            <w:tcW w:w="580" w:type="dxa"/>
            <w:vAlign w:val="bottom"/>
            <w:gridSpan w:val="2"/>
          </w:tcPr>
          <w:p>
            <w:pPr>
              <w:jc w:val="right"/>
              <w:ind w:right="300"/>
              <w:spacing w:after="0" w:line="151"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60"/>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0563C1"/>
                <w:w w:val="99"/>
              </w:rPr>
              <w:t>Section 10.4</w:t>
            </w:r>
          </w:p>
        </w:tc>
        <w:tc>
          <w:tcPr>
            <w:tcW w:w="160" w:type="dxa"/>
            <w:vAlign w:val="bottom"/>
          </w:tcPr>
          <w:p>
            <w:pPr>
              <w:spacing w:after="0"/>
              <w:rPr>
                <w:sz w:val="13"/>
                <w:szCs w:val="13"/>
                <w:color w:val="auto"/>
              </w:rPr>
            </w:pPr>
          </w:p>
        </w:tc>
        <w:tc>
          <w:tcPr>
            <w:tcW w:w="1580" w:type="dxa"/>
            <w:vAlign w:val="bottom"/>
            <w:gridSpan w:val="7"/>
          </w:tcPr>
          <w:p>
            <w:pPr>
              <w:spacing w:after="0"/>
              <w:rPr>
                <w:sz w:val="20"/>
                <w:szCs w:val="20"/>
                <w:color w:val="auto"/>
              </w:rPr>
            </w:pPr>
            <w:r>
              <w:rPr>
                <w:rFonts w:ascii="Times New Roman" w:cs="Times New Roman" w:eastAsia="Times New Roman" w:hAnsi="Times New Roman"/>
                <w:sz w:val="14"/>
                <w:szCs w:val="14"/>
                <w:color w:val="0563C1"/>
              </w:rPr>
              <w:t>Amendment Requirements</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33</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
        </w:trPr>
        <w:tc>
          <w:tcPr>
            <w:tcW w:w="6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987" w:right="1440" w:bottom="1440" w:gutter="0" w:footer="0" w:header="0"/>
        </w:sectPr>
      </w:pPr>
    </w:p>
    <w:bookmarkStart w:id="112" w:name="page113"/>
    <w:bookmarkEnd w:id="112"/>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AMENDED AND RESTATED BY-LAWS (the “</w:t>
      </w:r>
      <w:r>
        <w:rPr>
          <w:rFonts w:ascii="Times New Roman" w:cs="Times New Roman" w:eastAsia="Times New Roman" w:hAnsi="Times New Roman"/>
          <w:sz w:val="14"/>
          <w:szCs w:val="14"/>
          <w:b w:val="1"/>
          <w:bCs w:val="1"/>
          <w:u w:val="single" w:color="auto"/>
          <w:color w:val="auto"/>
        </w:rPr>
        <w:t>By-Laws</w:t>
      </w:r>
      <w:r>
        <w:rPr>
          <w:rFonts w:ascii="Times New Roman" w:cs="Times New Roman" w:eastAsia="Times New Roman" w:hAnsi="Times New Roman"/>
          <w:sz w:val="14"/>
          <w:szCs w:val="14"/>
          <w:b w:val="1"/>
          <w:bCs w:val="1"/>
          <w:color w:val="auto"/>
        </w:rPr>
        <w:t>”)</w:t>
      </w:r>
    </w:p>
    <w:p>
      <w:pPr>
        <w:spacing w:after="0" w:line="1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81" w:lineRule="exact"/>
        <w:rPr>
          <w:sz w:val="20"/>
          <w:szCs w:val="20"/>
          <w:color w:val="auto"/>
        </w:rPr>
      </w:pPr>
    </w:p>
    <w:p>
      <w:pPr>
        <w:ind w:left="4568"/>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190" w:lineRule="exact"/>
        <w:rPr>
          <w:sz w:val="20"/>
          <w:szCs w:val="20"/>
          <w:color w:val="auto"/>
        </w:rPr>
      </w:pPr>
    </w:p>
    <w:p>
      <w:pPr>
        <w:ind w:left="4468"/>
        <w:spacing w:after="0"/>
        <w:rPr>
          <w:sz w:val="20"/>
          <w:szCs w:val="20"/>
          <w:color w:val="auto"/>
        </w:rPr>
      </w:pPr>
      <w:r>
        <w:rPr>
          <w:rFonts w:ascii="Times New Roman" w:cs="Times New Roman" w:eastAsia="Times New Roman" w:hAnsi="Times New Roman"/>
          <w:sz w:val="14"/>
          <w:szCs w:val="14"/>
          <w:b w:val="1"/>
          <w:bCs w:val="1"/>
          <w:color w:val="auto"/>
        </w:rPr>
        <w:t>(hereinafter called the “</w:t>
      </w:r>
      <w:r>
        <w:rPr>
          <w:rFonts w:ascii="Times New Roman" w:cs="Times New Roman" w:eastAsia="Times New Roman" w:hAnsi="Times New Roman"/>
          <w:sz w:val="14"/>
          <w:szCs w:val="14"/>
          <w:b w:val="1"/>
          <w:bCs w:val="1"/>
          <w:u w:val="single" w:color="auto"/>
          <w:color w:val="auto"/>
        </w:rPr>
        <w:t>Corporation</w:t>
      </w:r>
      <w:r>
        <w:rPr>
          <w:rFonts w:ascii="Times New Roman" w:cs="Times New Roman" w:eastAsia="Times New Roman" w:hAnsi="Times New Roman"/>
          <w:sz w:val="14"/>
          <w:szCs w:val="14"/>
          <w:b w:val="1"/>
          <w:bCs w:val="1"/>
          <w:color w:val="auto"/>
        </w:rPr>
        <w:t>”)</w:t>
      </w:r>
    </w:p>
    <w:p>
      <w:pPr>
        <w:spacing w:after="0" w:line="136"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27"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4"/>
          <w:szCs w:val="14"/>
          <w:b w:val="1"/>
          <w:bCs w:val="1"/>
          <w:u w:val="single" w:color="auto"/>
          <w:color w:val="auto"/>
        </w:rPr>
        <w:t>OFFICES</w:t>
      </w:r>
    </w:p>
    <w:p>
      <w:pPr>
        <w:spacing w:after="0" w:line="129" w:lineRule="exact"/>
        <w:rPr>
          <w:sz w:val="20"/>
          <w:szCs w:val="20"/>
          <w:color w:val="auto"/>
        </w:rPr>
      </w:pPr>
    </w:p>
    <w:p>
      <w:pPr>
        <w:ind w:left="1288" w:hanging="424"/>
        <w:spacing w:after="0"/>
        <w:tabs>
          <w:tab w:leader="none" w:pos="1288"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Registered Office</w:t>
      </w:r>
    </w:p>
    <w:p>
      <w:pPr>
        <w:spacing w:after="0" w:line="145" w:lineRule="exact"/>
        <w:rPr>
          <w:sz w:val="20"/>
          <w:szCs w:val="20"/>
          <w:color w:val="auto"/>
        </w:rPr>
      </w:pPr>
    </w:p>
    <w:p>
      <w:pPr>
        <w:ind w:left="8" w:right="120" w:hanging="8"/>
        <w:spacing w:after="0" w:line="268" w:lineRule="auto"/>
        <w:tabs>
          <w:tab w:leader="none" w:pos="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office of the Corporation in the State of Delaware shall be located at Corporation Trust Center, 1209 Orange Street, Wilmington, New Castle County, Delaware 19801, and the registered agent for service of process on the Corporation in the State of Delaware at such registered office shall be The Corporation Trust Company. The principal office of the Corporation shall be located at 111 W. 19th Street, 8th Floor, New York, New York 10011 or such other place as the Board of Directors of the Corporation (the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may from time to time designate by notice to the stockholders.</w:t>
      </w:r>
    </w:p>
    <w:p>
      <w:pPr>
        <w:spacing w:after="0" w:line="100" w:lineRule="exact"/>
        <w:rPr>
          <w:sz w:val="20"/>
          <w:szCs w:val="20"/>
          <w:color w:val="auto"/>
        </w:rPr>
      </w:pPr>
    </w:p>
    <w:p>
      <w:pPr>
        <w:ind w:left="1288" w:hanging="424"/>
        <w:spacing w:after="0"/>
        <w:tabs>
          <w:tab w:leader="none" w:pos="128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Offices</w:t>
      </w:r>
    </w:p>
    <w:p>
      <w:pPr>
        <w:spacing w:after="0" w:line="145"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14"/>
          <w:szCs w:val="14"/>
          <w:color w:val="auto"/>
        </w:rPr>
        <w:t>. The Corporation may maintain offices at such other place or places within or outside the State of Delaware as the Board of Directors determines to be necessary or appropriate.</w:t>
      </w:r>
    </w:p>
    <w:p>
      <w:pPr>
        <w:spacing w:after="0" w:line="13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MEETINGS OF STOCKHOLDERS</w:t>
      </w:r>
    </w:p>
    <w:p>
      <w:pPr>
        <w:spacing w:after="0" w:line="129" w:lineRule="exact"/>
        <w:rPr>
          <w:sz w:val="20"/>
          <w:szCs w:val="20"/>
          <w:color w:val="auto"/>
        </w:rPr>
      </w:pPr>
    </w:p>
    <w:p>
      <w:pPr>
        <w:ind w:left="1288" w:hanging="424"/>
        <w:spacing w:after="0"/>
        <w:tabs>
          <w:tab w:leader="none" w:pos="128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Place of Meetings</w:t>
      </w:r>
    </w:p>
    <w:p>
      <w:pPr>
        <w:spacing w:after="0" w:line="145" w:lineRule="exact"/>
        <w:rPr>
          <w:sz w:val="20"/>
          <w:szCs w:val="20"/>
          <w:color w:val="auto"/>
        </w:rPr>
      </w:pPr>
    </w:p>
    <w:p>
      <w:pPr>
        <w:jc w:val="both"/>
        <w:ind w:left="8" w:right="100" w:hanging="8"/>
        <w:spacing w:after="0" w:line="275" w:lineRule="auto"/>
        <w:tabs>
          <w:tab w:leader="none" w:pos="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shall designate the place of meeting for any annual meeting or for any special meeting of the stockholders. The Board may, in its sole discretion, determine that meetings of the stockholders shall not be held at any place, but may instead be held solely by means of remote communication in accordance with Section 211(a)(2) of the General Corporation Law of the State of Delaware (the “</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If no designation is made, the place of meeting shall be the principal office of the Corporation.</w:t>
      </w:r>
    </w:p>
    <w:p>
      <w:pPr>
        <w:spacing w:after="0" w:line="85"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Stockholder Actions</w:t>
      </w:r>
    </w:p>
    <w:p>
      <w:pPr>
        <w:spacing w:after="0" w:line="145" w:lineRule="exact"/>
        <w:rPr>
          <w:sz w:val="20"/>
          <w:szCs w:val="20"/>
          <w:color w:val="auto"/>
        </w:rPr>
      </w:pPr>
    </w:p>
    <w:p>
      <w:pPr>
        <w:jc w:val="both"/>
        <w:ind w:left="8" w:hanging="8"/>
        <w:spacing w:after="0" w:line="282" w:lineRule="auto"/>
        <w:tabs>
          <w:tab w:leader="none" w:pos="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acts of stockholders to be taken hereunder, or under the Certificate of Incorporation of the Corporation, as amended from time to time (including by any certificate of designation in respect of any series of Preferred Shares of the Corporation, collectively, the “</w:t>
      </w:r>
      <w:r>
        <w:rPr>
          <w:rFonts w:ascii="Times New Roman" w:cs="Times New Roman" w:eastAsia="Times New Roman" w:hAnsi="Times New Roman"/>
          <w:sz w:val="14"/>
          <w:szCs w:val="14"/>
          <w:u w:val="single" w:color="auto"/>
          <w:color w:val="auto"/>
        </w:rPr>
        <w:t>Certificate of Incorporation</w:t>
      </w:r>
      <w:r>
        <w:rPr>
          <w:rFonts w:ascii="Times New Roman" w:cs="Times New Roman" w:eastAsia="Times New Roman" w:hAnsi="Times New Roman"/>
          <w:sz w:val="14"/>
          <w:szCs w:val="14"/>
          <w:color w:val="auto"/>
        </w:rPr>
        <w:t xml:space="preserve">”), the DGCL or otherwise, shall be taken in the manner provided in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or, with respect to the rights of holders of any series of Preferred Shares then outstanding, as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36" w:right="319" w:bottom="1440" w:gutter="0" w:footer="0" w:header="0"/>
        </w:sectPr>
      </w:pPr>
    </w:p>
    <w:bookmarkStart w:id="113" w:name="page114"/>
    <w:bookmarkEnd w:id="113"/>
    <w:p>
      <w:pPr>
        <w:ind w:left="8"/>
        <w:spacing w:after="0"/>
        <w:rPr>
          <w:sz w:val="20"/>
          <w:szCs w:val="20"/>
          <w:color w:val="auto"/>
        </w:rPr>
      </w:pPr>
      <w:r>
        <w:rPr>
          <w:rFonts w:ascii="Times New Roman" w:cs="Times New Roman" w:eastAsia="Times New Roman" w:hAnsi="Times New Roman"/>
          <w:sz w:val="14"/>
          <w:szCs w:val="14"/>
          <w:color w:val="auto"/>
        </w:rPr>
        <w:t>otherwise set forth in the applicable Share Designation (as defined in the Certificate of Incorporation).</w:t>
      </w:r>
    </w:p>
    <w:p>
      <w:pPr>
        <w:spacing w:after="0" w:line="136" w:lineRule="exact"/>
        <w:rPr>
          <w:sz w:val="20"/>
          <w:szCs w:val="20"/>
          <w:color w:val="auto"/>
        </w:rPr>
      </w:pPr>
    </w:p>
    <w:p>
      <w:pPr>
        <w:ind w:left="1288" w:hanging="424"/>
        <w:spacing w:after="0"/>
        <w:tabs>
          <w:tab w:leader="none" w:pos="128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Meetings</w:t>
      </w:r>
    </w:p>
    <w:p>
      <w:pPr>
        <w:spacing w:after="0" w:line="145" w:lineRule="exact"/>
        <w:rPr>
          <w:sz w:val="20"/>
          <w:szCs w:val="20"/>
          <w:color w:val="auto"/>
        </w:rPr>
      </w:pPr>
    </w:p>
    <w:p>
      <w:pPr>
        <w:ind w:left="8" w:right="20" w:hanging="8"/>
        <w:spacing w:after="0" w:line="261" w:lineRule="auto"/>
        <w:tabs>
          <w:tab w:leader="none" w:pos="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annual meeting of the stockholders for the election of Directors and for the transaction of such other business as may properly come before the meeting shall be held at such time and place as the Board of Directors shall specify. Subject to the provisions of the DGCL or if otherwise authorized by the Board of Directors, and subject to such guidelines and procedures as the Board of Directors may adopt in accordance with the DGCL, stockholders and proxyholders not physically present at a meeting of stockholders may by means of remote communication participate in such meeting and be deemed present in person and vote at such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Corporation shall implement reasonable measures to verify that each Person deemed present and permitted to vote at the meeting by means of remote communication is a stockholder or proxyholder, to provide such stockholders or proxyholders a reasonable opportunity to participate in the meeting and to record the votes or other action made by such stockholders or proxyholders. A failure to hold the annual meeting of the stockholders at the designated time or to elect a sufficient number of Directors to conduct the business of the Corporation shall not affect otherwise valid acts of the Corporation or work a forfeiture or dissolution of the Corporation. If the annual meeting for election of Directors is not held on the date designated therefor, the Directors shall cause the meeting to be held as soon as is convenient. If there is a failure to hold the annual meeting for a period of 30 days after the date designated for the annual meeting, or if no date has been designated, for a period of 18 months after the last annual meeting, the Court of Chancery of the State of Delaware (the “</w:t>
      </w:r>
      <w:r>
        <w:rPr>
          <w:rFonts w:ascii="Times New Roman" w:cs="Times New Roman" w:eastAsia="Times New Roman" w:hAnsi="Times New Roman"/>
          <w:sz w:val="14"/>
          <w:szCs w:val="14"/>
          <w:u w:val="single" w:color="auto"/>
          <w:color w:val="auto"/>
        </w:rPr>
        <w:t>Court of Chancery</w:t>
      </w:r>
      <w:r>
        <w:rPr>
          <w:rFonts w:ascii="Times New Roman" w:cs="Times New Roman" w:eastAsia="Times New Roman" w:hAnsi="Times New Roman"/>
          <w:sz w:val="14"/>
          <w:szCs w:val="14"/>
          <w:color w:val="auto"/>
        </w:rPr>
        <w:t>”) may summarily order a meeting to be held upon the application of any stockholder or Director. The Court of Chancery may issue such orders as may be appropriate, including orders designating the time and place of such meeting, the record date for determination of stockholders entitled to vote, and the form of notice of such meeting.</w:t>
      </w:r>
    </w:p>
    <w:p>
      <w:pPr>
        <w:spacing w:after="0" w:line="9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Special Meetings</w:t>
      </w:r>
    </w:p>
    <w:p>
      <w:pPr>
        <w:spacing w:after="0" w:line="145" w:lineRule="exact"/>
        <w:rPr>
          <w:sz w:val="20"/>
          <w:szCs w:val="20"/>
          <w:color w:val="auto"/>
        </w:rPr>
      </w:pPr>
    </w:p>
    <w:p>
      <w:pPr>
        <w:ind w:left="8" w:hanging="8"/>
        <w:spacing w:after="0" w:line="272" w:lineRule="auto"/>
        <w:tabs>
          <w:tab w:leader="none" w:pos="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required by law or by the Certificate of Incorporation, special meetings of the stockholders may be called only by the Chairman of the Board or a majority of the Board of Directors or a committee of the Board of Directors that has been duly designated by the Board of Directors and whose powers include the authority to call such meetings. Unless otherwise required by applicable law or by the Certificate of Incorporation (including any Share Designation with respect to any Preferred Shares then outstanding), no stockholders or group of stockholders, acting in its or their capacity as stockholders, shall have the right to call a special meeting of the stockholders.</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p>
    <w:p>
      <w:pPr>
        <w:spacing w:after="0" w:line="145" w:lineRule="exact"/>
        <w:rPr>
          <w:sz w:val="20"/>
          <w:szCs w:val="20"/>
          <w:color w:val="auto"/>
        </w:rPr>
      </w:pPr>
    </w:p>
    <w:p>
      <w:pPr>
        <w:ind w:left="8" w:right="100" w:hanging="8"/>
        <w:spacing w:after="0" w:line="295" w:lineRule="auto"/>
        <w:tabs>
          <w:tab w:leader="none" w:pos="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 stating the place, day and hour of any annual or special meeting of the stockholders, as determined by the Board of Directors, and (a) in the case of a special meeting of the stockholders, the purpose or purposes for which the meeting is called, as determined by the Board of Directors if applicable, or (b) in the case of an annual meeting, those matters that the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94" w:right="319" w:bottom="1440" w:gutter="0" w:footer="0" w:header="0"/>
        </w:sectPr>
      </w:pPr>
    </w:p>
    <w:bookmarkStart w:id="114" w:name="page115"/>
    <w:bookmarkEnd w:id="114"/>
    <w:p>
      <w:pPr>
        <w:ind w:left="8"/>
        <w:spacing w:after="0" w:line="263" w:lineRule="auto"/>
        <w:rPr>
          <w:sz w:val="20"/>
          <w:szCs w:val="20"/>
          <w:color w:val="auto"/>
        </w:rPr>
      </w:pPr>
      <w:r>
        <w:rPr>
          <w:rFonts w:ascii="Times New Roman" w:cs="Times New Roman" w:eastAsia="Times New Roman" w:hAnsi="Times New Roman"/>
          <w:sz w:val="14"/>
          <w:szCs w:val="14"/>
          <w:color w:val="auto"/>
        </w:rPr>
        <w:t xml:space="preserve">Board of Directors, at the time of giving the notice, intends to present for action by the stockholders, shall be delivered by the Corporation not less than 10 calendar days nor more than 60 calendar days before the date of the meeting, in a manner and otherwise in accordance with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to each Record Holder, as of the applicable Record Date for such meeting, of Shares entitled to vote at such meeting. Such further notice shall be given as may be required by Delaware law. The notice of any meeting of the stockholders at which Directors are to be elected shall include the name of any nominee or nominees who, at the time of the notice, the Board of Directors intends to present for election. Only such business shall be conducted at a special meeting of stockholders as shall have been brought before the meeting pursuant to the Corporation’s notice of meeting. Any previously scheduled meeting of the stockholders may be postponed, and any special meeting of the stockholders may be canceled, by resolution of the Board of Directors upon public notice given prior to the date previously scheduled for such meeting of the stockholders. Any document enclosed with, annexed to, or appended to a notice shall be deemed part of such notice for purposes of determining whether notice was duly given.</w:t>
      </w:r>
    </w:p>
    <w:p>
      <w:pPr>
        <w:spacing w:after="0" w:line="97" w:lineRule="exact"/>
        <w:rPr>
          <w:sz w:val="20"/>
          <w:szCs w:val="20"/>
          <w:color w:val="auto"/>
        </w:rPr>
      </w:pPr>
    </w:p>
    <w:p>
      <w:pPr>
        <w:ind w:left="1288" w:hanging="424"/>
        <w:spacing w:after="0"/>
        <w:tabs>
          <w:tab w:leader="none" w:pos="128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Adjournments and Postponements</w:t>
      </w:r>
    </w:p>
    <w:p>
      <w:pPr>
        <w:spacing w:after="0" w:line="145" w:lineRule="exact"/>
        <w:rPr>
          <w:sz w:val="20"/>
          <w:szCs w:val="20"/>
          <w:color w:val="auto"/>
        </w:rPr>
      </w:pPr>
    </w:p>
    <w:p>
      <w:pPr>
        <w:ind w:left="8" w:hanging="8"/>
        <w:spacing w:after="0" w:line="262" w:lineRule="auto"/>
        <w:tabs>
          <w:tab w:leader="none" w:pos="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meeting of the stockholders may be adjourned or postponed by the chairman of such meeting or by the Board of Directors from time to time, without the need for approval thereof by the stockholders to reconvene or convene, respectively, at the same or some other place. When a meeting is adjourned or postponed to another time or place (including an adjournment taken to address a technical failure to convene or continue a meeting using remote communication), notice need not be given of the adjourned meeting and a new Record Date need not be fixed, if the time and place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accordance with Section 222(a) of the DGCL.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shall give notice of the adjourned meeting to each stockholder of record entitled to vote at such adjourned meeting as of the Record Date fixed for notice of such adjourned meeting. At the adjourned meeting, the Corporation may transact any business which might have been transacted at the original meeting.</w:t>
      </w:r>
    </w:p>
    <w:p>
      <w:pPr>
        <w:spacing w:after="0" w:line="96"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Quorum</w:t>
      </w:r>
    </w:p>
    <w:p>
      <w:pPr>
        <w:spacing w:after="0" w:line="145" w:lineRule="exact"/>
        <w:rPr>
          <w:sz w:val="20"/>
          <w:szCs w:val="20"/>
          <w:color w:val="auto"/>
        </w:rPr>
      </w:pPr>
    </w:p>
    <w:p>
      <w:pPr>
        <w:ind w:left="8" w:right="60" w:hanging="8"/>
        <w:spacing w:after="0" w:line="282" w:lineRule="auto"/>
        <w:tabs>
          <w:tab w:leader="none" w:pos="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required by the DGCL or other applicable law or the Certificate of Incorporation, at any meeting of the stockholders, the holders of a majority of the Outstanding Voting Shares of the class or classes or series for which a meeting has been called represented in person or by proxy shall constitute a quorum of such class or classes or series unless any such action by the stockholders requires approval by holders of a greater percentage of Outstanding Voting Shares, in which case the quorum shall be such greater percentage. The submission of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94" w:right="319" w:bottom="1440" w:gutter="0" w:footer="0" w:header="0"/>
        </w:sectPr>
      </w:pPr>
    </w:p>
    <w:bookmarkStart w:id="115" w:name="page116"/>
    <w:bookmarkEnd w:id="115"/>
    <w:p>
      <w:pPr>
        <w:ind w:left="8"/>
        <w:spacing w:after="0" w:line="268" w:lineRule="auto"/>
        <w:rPr>
          <w:sz w:val="20"/>
          <w:szCs w:val="20"/>
          <w:color w:val="auto"/>
        </w:rPr>
      </w:pPr>
      <w:r>
        <w:rPr>
          <w:rFonts w:ascii="Times New Roman" w:cs="Times New Roman" w:eastAsia="Times New Roman" w:hAnsi="Times New Roman"/>
          <w:sz w:val="14"/>
          <w:szCs w:val="14"/>
          <w:color w:val="auto"/>
        </w:rPr>
        <w:t xml:space="preserve">matters to stockholders for approval and the election of Directors shall occur only at a meeting of the stockholders duly called and held in accordance with the Certificate of Incorporation and these By-Laws at which a quorum is present;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stockholders present at a duly called or held meeting at which a quorum is present may continue to transact business until adjournment, notwithstanding the withdrawal of enough stockholders to leave less than a quorum, if any action taken (other than adjournment) is approved by the required percentage of Outstanding Voting Shares required under applicable law, the Certificate of Incorporation or these By-Laws. Any meeting of stockholders may be adjourned from time to time by the chairman of the meeting to another place or time, without regard to the presence of a quorum.</w:t>
      </w:r>
    </w:p>
    <w:p>
      <w:pPr>
        <w:spacing w:after="0" w:line="91" w:lineRule="exact"/>
        <w:rPr>
          <w:sz w:val="20"/>
          <w:szCs w:val="20"/>
          <w:color w:val="auto"/>
        </w:rPr>
      </w:pPr>
    </w:p>
    <w:p>
      <w:pPr>
        <w:ind w:left="1288" w:hanging="424"/>
        <w:spacing w:after="0"/>
        <w:tabs>
          <w:tab w:leader="none" w:pos="1288"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and Other Rights</w:t>
      </w:r>
    </w:p>
    <w:p>
      <w:pPr>
        <w:spacing w:after="0" w:line="145" w:lineRule="exact"/>
        <w:rPr>
          <w:sz w:val="20"/>
          <w:szCs w:val="20"/>
          <w:color w:val="auto"/>
        </w:rPr>
      </w:pPr>
    </w:p>
    <w:p>
      <w:pPr>
        <w:ind w:left="8" w:hanging="8"/>
        <w:spacing w:after="0" w:line="260" w:lineRule="auto"/>
        <w:tabs>
          <w:tab w:leader="none" w:pos="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provided in the Certificate of Incorporation, each Outstanding Class A Share shall be entitled to one vote per Share on all matters submitted to stockholders for approval and in the election of Directors. All matters (including the election of Directors) submitted to stockholders for approval shall be determined by a majority of the votes cast affirmatively or negatively by stockholders holding Outstanding Voting Shares unless a greater percentage is required with respect to such matter under the DGCL, under the rules of any National Securities Exchange on which the Shares are listed or quoted for trading, or under the provisions of the Certificate of Incorporation (including any Share Designation) or these By-Laws, in which case the approval of stockholders holding Outstanding Voting Shares that in the aggregate represent at least such greater percentage shall be required. All elections of Directors will be by written ballots; if authorized by the Board of Directors, such requirement of a written ballot shall be satisfied by a ballot submitted by electronic transmission;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electronic transmission must either set forth or be submitted with information from which it can be reasonably determined that the electronic transmission was authorized by the stockholder or proxyholder. Only those Record Holders of Outstanding Voting Shares on the Record Date set pursuant to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be entitled to notice of, and to vote at, a meeting of stockholders or to act with respect to matters as to which the holders of the Outstanding Voting Shares have the right to vote or to act. All references in these By-Laws to votes of, or other acts that may be taken by, the Outstanding Voting Shares shall be deemed to be references to the votes or acts of the Record Holders of such Outstanding Voting Shares on such Record Date. With respect to Outstanding Voting Shares that are held for a Person’s account by another Person (such as a broker, dealer, bank, trust company or clearing corporation, or an agent of any of the foregoing), in whose name such Outstanding Voting Shares are registered, such other Person shall, in exercising the voting rights in respect of such Outstanding Voting Shares on any matter, and unless the arrangement between such Persons provides otherwise, vote such Outstanding Voting Shares in favor of, and at the direction of, the Person who is the beneficial owner, and the Corporation shall be entitled to assume it is so acting without further inquiry.</w:t>
      </w:r>
    </w:p>
    <w:p>
      <w:pPr>
        <w:spacing w:after="0" w:line="280" w:lineRule="exact"/>
        <w:rPr>
          <w:sz w:val="20"/>
          <w:szCs w:val="20"/>
          <w:color w:val="auto"/>
        </w:rPr>
      </w:pPr>
    </w:p>
    <w:p>
      <w:pPr>
        <w:ind w:left="1288" w:hanging="424"/>
        <w:spacing w:after="0"/>
        <w:tabs>
          <w:tab w:leader="none" w:pos="128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Proxies and Voting</w:t>
      </w:r>
    </w:p>
    <w:p>
      <w:pPr>
        <w:spacing w:after="0" w:line="145" w:lineRule="exact"/>
        <w:rPr>
          <w:sz w:val="20"/>
          <w:szCs w:val="20"/>
          <w:color w:val="auto"/>
        </w:rPr>
      </w:pPr>
    </w:p>
    <w:p>
      <w:pPr>
        <w:ind w:left="8" w:right="400" w:hanging="8"/>
        <w:spacing w:after="0" w:line="295" w:lineRule="auto"/>
        <w:tabs>
          <w:tab w:leader="none" w:pos="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matter that is to be voted on by stockholders, the stockholders may vote in person or by proxy, and such proxy may be granted in writing, by means of electronic transmission or as otherwise permitted by applicable law. Any such proxy shall be filed in accordance with the procedure established for the meeting. For purposes of these By-Laws, the term “electronic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994" w:right="359" w:bottom="1440" w:gutter="0" w:footer="0" w:header="0"/>
        </w:sectPr>
      </w:pPr>
    </w:p>
    <w:bookmarkStart w:id="116" w:name="page117"/>
    <w:bookmarkEnd w:id="116"/>
    <w:p>
      <w:pPr>
        <w:ind w:left="8" w:right="60"/>
        <w:spacing w:after="0" w:line="272" w:lineRule="auto"/>
        <w:rPr>
          <w:sz w:val="20"/>
          <w:szCs w:val="20"/>
          <w:color w:val="auto"/>
        </w:rPr>
      </w:pPr>
      <w:r>
        <w:rPr>
          <w:rFonts w:ascii="Times New Roman" w:cs="Times New Roman" w:eastAsia="Times New Roman" w:hAnsi="Times New Roman"/>
          <w:sz w:val="14"/>
          <w:szCs w:val="14"/>
          <w:color w:val="auto"/>
        </w:rPr>
        <w:t xml:space="preserve">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Any copy, facsimile telecommunication, email or other reliable reproduction of the writing or transmission created pursuant to this paragraph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copy, facsimile telecommunication, email or other reproduction shall be a complete reproduction of the entire original writing or transmission.</w:t>
      </w:r>
    </w:p>
    <w:p>
      <w:pPr>
        <w:spacing w:after="0" w:line="89" w:lineRule="exact"/>
        <w:rPr>
          <w:sz w:val="20"/>
          <w:szCs w:val="20"/>
          <w:color w:val="auto"/>
        </w:rPr>
      </w:pPr>
    </w:p>
    <w:p>
      <w:pPr>
        <w:ind w:left="1288" w:hanging="424"/>
        <w:spacing w:after="0"/>
        <w:tabs>
          <w:tab w:leader="none" w:pos="128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 of Stockholders in Lieu of Meeting</w:t>
      </w:r>
    </w:p>
    <w:p>
      <w:pPr>
        <w:spacing w:after="0" w:line="145" w:lineRule="exact"/>
        <w:rPr>
          <w:sz w:val="20"/>
          <w:szCs w:val="20"/>
          <w:color w:val="auto"/>
        </w:rPr>
      </w:pPr>
    </w:p>
    <w:p>
      <w:pPr>
        <w:ind w:left="8" w:hanging="8"/>
        <w:spacing w:after="0" w:line="268" w:lineRule="auto"/>
        <w:tabs>
          <w:tab w:leader="none" w:pos="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matter that is to be voted on, consented to or approved by stockholders, the stockholders may take such action without a meeting, without prior notice and without a vote if a consent or consents in writing or in an electronic transmission, setting forth the action so taken, shall be signed by the stockholders having not less than the minimum number of votes that would be necessary to authorize or take such action at a meeting at which all stockholders entitled to vote thereon were present and voted. A consent of the stockholders may be documented, signed and delivered in any manner permitted by Section 116 of the DGCL.</w:t>
      </w:r>
    </w:p>
    <w:p>
      <w:pPr>
        <w:spacing w:after="0" w:line="9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List of Stockholders Entitled to Vote</w:t>
      </w:r>
    </w:p>
    <w:p>
      <w:pPr>
        <w:spacing w:after="0" w:line="145" w:lineRule="exact"/>
        <w:rPr>
          <w:sz w:val="20"/>
          <w:szCs w:val="20"/>
          <w:color w:val="auto"/>
        </w:rPr>
      </w:pPr>
    </w:p>
    <w:p>
      <w:pPr>
        <w:ind w:left="8" w:right="40" w:hanging="8"/>
        <w:spacing w:after="0" w:line="263" w:lineRule="auto"/>
        <w:tabs>
          <w:tab w:leader="none" w:pos="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shall prepare, not later than the tenth (10th) day before each meeting of the stockholders, a complete list of the stockholders entitled to vote at the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268"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Record Date</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8" w:right="120" w:firstLine="1288"/>
        <w:spacing w:after="0" w:line="236" w:lineRule="auto"/>
        <w:tabs>
          <w:tab w:leader="none" w:pos="173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the stockholders entitled to notice of or to vote at a meeting of the stockholders, the Board of Directors may set a Record Date, which record date shall not precede the date upon which the resolution fixing the record date is adopted by the Board of Directors, and which record date shall not be less than 10 nor more than 60 days before the date of the meeting (subject to compliance with any rule, regulation, guideline or requirement of any National Securities Exchange on which the Shares are listed or quoted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94" w:right="319" w:bottom="1440" w:gutter="0" w:footer="0" w:header="0"/>
        </w:sectPr>
      </w:pPr>
    </w:p>
    <w:bookmarkStart w:id="117" w:name="page118"/>
    <w:bookmarkEnd w:id="117"/>
    <w:p>
      <w:pPr>
        <w:ind w:left="8" w:right="80"/>
        <w:spacing w:after="0" w:line="231" w:lineRule="auto"/>
        <w:rPr>
          <w:sz w:val="20"/>
          <w:szCs w:val="20"/>
          <w:color w:val="auto"/>
        </w:rPr>
      </w:pPr>
      <w:r>
        <w:rPr>
          <w:rFonts w:ascii="Times New Roman" w:cs="Times New Roman" w:eastAsia="Times New Roman" w:hAnsi="Times New Roman"/>
          <w:sz w:val="14"/>
          <w:szCs w:val="14"/>
          <w:color w:val="auto"/>
        </w:rPr>
        <w:t xml:space="preserve">trading, in which case the rule, regulation, guideline or requirement of such exchange shall govern). If no Record Date is fixed by the Board of Directors, the Record Date for determining stockholders entitled to notice of or to vote at a meeting of stockholders shall be at the close of business on the day next preceding the day on which notice is given. A determination of Record Holders entitled to notice of or to vote at a meeting of stockholders shall apply to any adjournment or postponement of the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Board of Directors may fix a new Record Date for the adjourned or postponed meeting.</w:t>
      </w:r>
    </w:p>
    <w:p>
      <w:pPr>
        <w:spacing w:after="0" w:line="100" w:lineRule="exact"/>
        <w:rPr>
          <w:sz w:val="20"/>
          <w:szCs w:val="20"/>
          <w:color w:val="auto"/>
        </w:rPr>
      </w:pPr>
    </w:p>
    <w:p>
      <w:pPr>
        <w:ind w:left="8" w:firstLine="1288"/>
        <w:spacing w:after="0" w:line="224" w:lineRule="auto"/>
        <w:tabs>
          <w:tab w:leader="none" w:pos="1733"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in accordance with Section 228(d) of the DGCL.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00"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Ledger</w:t>
      </w:r>
    </w:p>
    <w:p>
      <w:pPr>
        <w:spacing w:after="0" w:line="145" w:lineRule="exact"/>
        <w:rPr>
          <w:sz w:val="20"/>
          <w:szCs w:val="20"/>
          <w:color w:val="auto"/>
        </w:rPr>
      </w:pPr>
    </w:p>
    <w:p>
      <w:pPr>
        <w:ind w:left="8" w:right="20" w:hanging="8"/>
        <w:spacing w:after="0" w:line="272" w:lineRule="auto"/>
        <w:tabs>
          <w:tab w:leader="none" w:pos="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stock ledger of the Corporation shall be the only evidence as to who are the stockholders entitled to examine the list of stockholders required by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or the books and records of the Corporation, or to vote in person or by proxy at any meeting of stockholders. As used herein, the stock ledger of the Corporation shall refer to one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Conduct of Meetings</w:t>
      </w:r>
    </w:p>
    <w:p>
      <w:pPr>
        <w:spacing w:after="0" w:line="145" w:lineRule="exact"/>
        <w:rPr>
          <w:sz w:val="20"/>
          <w:szCs w:val="20"/>
          <w:color w:val="auto"/>
        </w:rPr>
      </w:pPr>
    </w:p>
    <w:p>
      <w:pPr>
        <w:ind w:left="8" w:right="20" w:hanging="8"/>
        <w:spacing w:after="0" w:line="264" w:lineRule="auto"/>
        <w:tabs>
          <w:tab w:leader="none" w:pos="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permitted by applicable law, the Board of Directors shall have full power and authority concerning the manner of conducting any meeting of the stockholders, including the determination of Persons entitled to vote, the existence of a quorum, the satisfaction of the requirements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the conduct of voting, the validity and effect of any proxies and the determination of any controversies, votes or challenges arising in connection with or during the meeting or voting. The Board of Directors shall designate a Person to serve as chairman of any meeting and shall further designate a Person to take the minutes of any meeting. All minutes shall be kept with the records of the Corporation maintained by the Board of Directors. The Board of Directors may make such other regulations consistent with applicable law, the Certificate of Incorporation and these By-Laws as it may deem advisable concerning the conduct of any meeting of the stockholders, including regulations in regard to the appointment of proxies, the appointment and duties of inspectors of votes, the submission and examination of proxies and other evidence of the right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120" w:right="359" w:bottom="1440" w:gutter="0" w:footer="0" w:header="0"/>
        </w:sectPr>
      </w:pPr>
    </w:p>
    <w:bookmarkStart w:id="118" w:name="page119"/>
    <w:bookmarkEnd w:id="118"/>
    <w:p>
      <w:pPr>
        <w:ind w:left="1288" w:hanging="424"/>
        <w:spacing w:after="0"/>
        <w:tabs>
          <w:tab w:leader="none" w:pos="128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Inspectors of Election</w:t>
      </w:r>
    </w:p>
    <w:p>
      <w:pPr>
        <w:spacing w:after="0" w:line="145" w:lineRule="exact"/>
        <w:rPr>
          <w:sz w:val="20"/>
          <w:szCs w:val="20"/>
          <w:color w:val="auto"/>
        </w:rPr>
      </w:pPr>
    </w:p>
    <w:p>
      <w:pPr>
        <w:ind w:left="8" w:hanging="8"/>
        <w:spacing w:after="0" w:line="268" w:lineRule="auto"/>
        <w:tabs>
          <w:tab w:leader="none" w:pos="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 duly appointed inspector or inspectors.</w:t>
      </w:r>
    </w:p>
    <w:p>
      <w:pPr>
        <w:spacing w:after="0" w:line="9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Nomination of Directors</w:t>
      </w:r>
    </w:p>
    <w:p>
      <w:pPr>
        <w:spacing w:after="0" w:line="145" w:lineRule="exact"/>
        <w:rPr>
          <w:sz w:val="20"/>
          <w:szCs w:val="20"/>
          <w:color w:val="auto"/>
        </w:rPr>
      </w:pPr>
    </w:p>
    <w:p>
      <w:pPr>
        <w:ind w:left="8" w:right="40" w:hanging="8"/>
        <w:spacing w:after="0" w:line="272" w:lineRule="auto"/>
        <w:tabs>
          <w:tab w:leader="none" w:pos="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to the extent otherwise provided in </w:t>
      </w:r>
      <w:r>
        <w:rPr>
          <w:rFonts w:ascii="Times New Roman" w:cs="Times New Roman" w:eastAsia="Times New Roman" w:hAnsi="Times New Roman"/>
          <w:sz w:val="14"/>
          <w:szCs w:val="14"/>
          <w:u w:val="single" w:color="auto"/>
          <w:color w:val="auto"/>
        </w:rPr>
        <w:t>clause (3)</w:t>
      </w:r>
      <w:r>
        <w:rPr>
          <w:rFonts w:ascii="Times New Roman" w:cs="Times New Roman" w:eastAsia="Times New Roman" w:hAnsi="Times New Roman"/>
          <w:sz w:val="14"/>
          <w:szCs w:val="14"/>
          <w:color w:val="auto"/>
        </w:rPr>
        <w:t xml:space="preserve"> of Article SIXTH of the Certificate of Incorporation with respect to vacancies or with respect to actions approved by written consent of the stockholders in accordance with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of these By-Laws, only persons who are nominated in accordance with the procedures set forth in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of these By-Laws shall be eligible for election as Directors of the Corporation, except as may be otherwise provided in any Share Designation with respect to the right of stockholders of any class of Shares to nominate and elect a specified number of Directors in certain circumstances.</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Stockholder Business and Nominations</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left="8" w:right="20" w:firstLine="1288"/>
        <w:spacing w:after="0" w:line="227" w:lineRule="auto"/>
        <w:tabs>
          <w:tab w:leader="none" w:pos="1734"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clause (3)</w:t>
      </w:r>
      <w:r>
        <w:rPr>
          <w:rFonts w:ascii="Times New Roman" w:cs="Times New Roman" w:eastAsia="Times New Roman" w:hAnsi="Times New Roman"/>
          <w:sz w:val="14"/>
          <w:szCs w:val="14"/>
          <w:color w:val="auto"/>
        </w:rPr>
        <w:t xml:space="preserve"> of Article SIXTH of the Certificate of Incorporation and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of these By-Laws and the stockholders’ right to act by written consent pursuant to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of these By-Laws, nominations of Persons for election to the Board of Directors of the Corporation and the proposal of business to be considered by the stockholders may be made at an annual meeting of stockholders (i) pursuant to the Corporation’s notice of meeting delivered pursuant to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of these By-Laws, (ii) by or at the direction of the Board of Directors, or (iii) by any holder of Outstanding Voting Shares who is entitled to vote at the meeting, who complied with the procedures set forth in </w:t>
      </w:r>
      <w:r>
        <w:rPr>
          <w:rFonts w:ascii="Times New Roman" w:cs="Times New Roman" w:eastAsia="Times New Roman" w:hAnsi="Times New Roman"/>
          <w:sz w:val="14"/>
          <w:szCs w:val="14"/>
          <w:u w:val="single" w:color="auto"/>
          <w:color w:val="auto"/>
        </w:rPr>
        <w:t>paragraphs (b)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and who is a Record Holder of Outstanding Voting Shares at the time such notice is delivered to the Secretary of the Corporation.</w:t>
      </w:r>
    </w:p>
    <w:p>
      <w:pPr>
        <w:spacing w:after="0" w:line="102" w:lineRule="exact"/>
        <w:rPr>
          <w:rFonts w:ascii="Times New Roman" w:cs="Times New Roman" w:eastAsia="Times New Roman" w:hAnsi="Times New Roman"/>
          <w:sz w:val="14"/>
          <w:szCs w:val="14"/>
          <w:color w:val="auto"/>
        </w:rPr>
      </w:pPr>
    </w:p>
    <w:p>
      <w:pPr>
        <w:jc w:val="both"/>
        <w:ind w:left="8" w:right="120" w:firstLine="1288"/>
        <w:spacing w:after="0" w:line="225" w:lineRule="auto"/>
        <w:tabs>
          <w:tab w:leader="none" w:pos="1733"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nominations or other business to be properly brought before an annual meeting by a stockholder pursuant to </w:t>
      </w:r>
      <w:r>
        <w:rPr>
          <w:rFonts w:ascii="Times New Roman" w:cs="Times New Roman" w:eastAsia="Times New Roman" w:hAnsi="Times New Roman"/>
          <w:sz w:val="14"/>
          <w:szCs w:val="14"/>
          <w:u w:val="single" w:color="auto"/>
          <w:color w:val="auto"/>
        </w:rPr>
        <w:t>Section 2.17(a)(iii)</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(i) the stockholder must have given timely notice thereof in writing to the Secretary of the Corporation, (ii) such business must be a proper matter for stockholder action under the Certificate of Incorporation, these By-Laws and the DGCL and (iii) such stockholder or beneficial owner must, in the case of a proposal, have delivered a proxy statement and form of proxy to holders of at least the percentage of the Corporation’s Outstanding Shares required under the Certificate of Incorporation, these By-Laws or Delaware law to carry any such proposal, or, in the case of a nomination or nominations, have solicited proxies from holders of Shares in support of the election of any proposed nominee in accordance with the requirements of Rule 14a-19(a)(3) of the Exchange Act. To be timely, a stockholder’s notice shall be delivered to the Secretary at the principal executive offices of the Corporation not less than ninety (90) days nor more than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76" w:right="319" w:bottom="1440" w:gutter="0" w:footer="0" w:header="0"/>
        </w:sectPr>
      </w:pPr>
    </w:p>
    <w:bookmarkStart w:id="119" w:name="page120"/>
    <w:bookmarkEnd w:id="119"/>
    <w:p>
      <w:pPr>
        <w:spacing w:after="0" w:line="225" w:lineRule="auto"/>
        <w:rPr>
          <w:sz w:val="20"/>
          <w:szCs w:val="20"/>
          <w:color w:val="auto"/>
        </w:rPr>
      </w:pPr>
      <w:r>
        <w:rPr>
          <w:rFonts w:ascii="Times New Roman" w:cs="Times New Roman" w:eastAsia="Times New Roman" w:hAnsi="Times New Roman"/>
          <w:sz w:val="14"/>
          <w:szCs w:val="14"/>
          <w:color w:val="auto"/>
        </w:rPr>
        <w:t xml:space="preserve">hundred twenty (120) days prior to the anniversary of the date on which the Corporation first made publicly available (whether by mailing, by filing with the Commission or by posting on an internet web site) its proxy materials for the immediately preceding annual meeting of stockholders;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the annual meeting is called for a date that is more than thirty (30) days before or more than sixty (60) days after the anniversary of the previous year’s annual meeting, notice by the stockholders in order to be timely must be so received not later than the close of business on the tenth (10th) day following the day on which public disclosure of the date of the annual meeting is first made (which may be the date on which proxy materials for such meeting are first made publicly available, whether by mailing, by filing with the Commission or by posting on an internet web site). In no event shall the adjournment or postponement of an annual meeting commence a new time period (or extend any time period) for the giving of a stockholder’s notice as described in this </w:t>
      </w:r>
      <w:r>
        <w:rPr>
          <w:rFonts w:ascii="Times New Roman" w:cs="Times New Roman" w:eastAsia="Times New Roman" w:hAnsi="Times New Roman"/>
          <w:sz w:val="14"/>
          <w:szCs w:val="14"/>
          <w:u w:val="single" w:color="auto"/>
          <w:color w:val="auto"/>
        </w:rPr>
        <w:t>Section 2.17(b)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Such stockholder’s notice shall set forth: (A) as to each Person whom the stockholder proposes to nominate for election or reelection as a Director (1) the name, age, business address and residence address of such Person, (2) the principal occupation or employment of such Person, (3) the class or series and number of all Shares of the Corporation which are owned beneficially or of record by such Person and any Affiliates or Associates of such Person, (4) the name of each nominee holder of Shares of the Corporation owned beneficially but not of record by such Person or any Affiliates or Associates of such Person, and the number of such Shares of the Corporation held by each such nominee holder, (5) whether and the extent to which any derivative instrument, swap, option, warrant, short interest, hedge or profit interest or other transaction has been entered into by or on behalf of such Person or any Affiliates or Associates of such Person, with respect to Shares of the Corporation, (6) whether and the extent to which any other transaction, arrangement or understanding (including any short position or any borrowing or lending of Shares of the Corporation) has been made by or on behalf of such Person or any Affiliates or Associates of such Person, the effect or intent of any of the foregoing being to mitigate loss to or manage risk or benefit of the price changes of Shares of the Corporation for such Person or any Affiliates or Associates of such Person, or to increase or decrease the voting power or pecuniary or economic interest of such Person or any Affiliates or Associates of such Person with respect to Shares of the Corporation, (7) such Person’s written representation and agreement that such Person (I) is not and will not become a party to any agreement, arrangement or understanding with, and has not given any commitment or assurance to, any Person as to how such Person, if elected as a Director, will act or vote on any issue or question, (II) is not and will not become party to any agreement, arrangement or understanding with any Person other than the Corporation with respect to any direct or indirect compensation, reimbursement or indemnification in connection with service or action as a Director that has not been disclosed to the Corporation in such representation and agreement and (III) in such Person’s individual capacity, would be in compliance, if elected as a Director, with all applicable publicly disclosed confidentiality, corporate governance, conflict of interest, Regulation FD, code of conduct and ethics and Share ownership and trading policies and guidelines of the Corporation, and (8) any other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a written questionnaire (which questionnaire shall be in the form provided by the Corporation upon written request) delivered to the Secretary of the Corporation with respect to the background and qualification of such Person to serve as a Director and the background of any other Person on whose behalf the nomination is being made, (B) as to any other business that the stockholder proposes to bring before the meeting, a brief description of the business desired to be brought before the meeting (including the text of any resolutions proposed for consideration and, if such business includes a proposal to amend these By-Laws, the text of the proposed amendment),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20" w:name="page121"/>
    <w:bookmarkEnd w:id="120"/>
    <w:p>
      <w:pPr>
        <w:spacing w:after="0" w:line="217" w:lineRule="auto"/>
        <w:rPr>
          <w:sz w:val="20"/>
          <w:szCs w:val="20"/>
          <w:color w:val="auto"/>
        </w:rPr>
      </w:pPr>
      <w:r>
        <w:rPr>
          <w:rFonts w:ascii="Times New Roman" w:cs="Times New Roman" w:eastAsia="Times New Roman" w:hAnsi="Times New Roman"/>
          <w:sz w:val="14"/>
          <w:szCs w:val="14"/>
          <w:color w:val="auto"/>
        </w:rPr>
        <w:t>nomination or proposal is made, and each of their Affiliates and Associates, (1) the name and address of such stockholder, as they appear on the Corporation’s books, and of such beneficial owner or any Affiliates of such stockholder or beneficial owner, (2) the class or series and number of Shares of the Corporation which are owned beneficially and of record by such stockholder and such beneficial owner or any Affiliates or Associates of such stockholder or beneficial owner, (3) the name of each nominee holder of Shares of the Corporation owned beneficially but not of record by such stockholder and such beneficial owner or any Affiliates or Associates of such stockholder or beneficial owner, and the number of such Shares of the Corporation held by each such nominee holder, (4) whether and the extent to which any derivative instrument, swap, option, warrant, short interest, hedge or profit interest or other transaction has been entered into by or on behalf of such stockholder and such beneficial owner or any Affiliates or Associates of such stockholder or beneficial owner, with respect to Shares of the Corporation, (5) whether and the extent to which any other transaction, arrangement or understanding (including any short position or any borrowing or lending of Shares of the Corporation) has been made by or on behalf of such stockholder and such beneficial owner or any Affiliates or Associates of such stockholder or beneficial owner, the effect or intent of any of the foregoing being to mitigate loss to or manage risk or benefit of the price changes of Shares of the Corporation for such stockholder and such beneficial owner or any Affiliates or Associates of such stockholder or beneficial owner, or to increase or decrease the voting power or pecuniary or economic interest of such stockholder and such beneficial owner or any Affiliates or Associates of such stockholder or beneficial owner with respect to Shares of the Corporation, (6) a description of (I) in the case of any nomination, all agreements, arrangements or understandings (whether written or oral) between such stockholder and such beneficial owner or any Affiliates or Associates of such stockholder or beneficial owner, and any proposed nominee for election as a Director, or any Affiliates or Associates of such proposed nominee, (II) all agreements, arrangements or understandings (whether written or oral) between such stockholder and such beneficial owner or any Affiliates or Associates of such stockholder or beneficial owner, and any other Person or Persons (including their names) pursuant to which the nomination(s) or other business proposal(s) are being made by such stockholder, or otherwise relating to the Corporation or their ownership of Shares of the Corporation and (III) any material interest of such stockholder and such beneficial owner or any Affiliates or Associates of such stockholder or beneficial owner, in such nomination or other business proposal, including any anticipated benefit therefrom to such stockholder and such beneficial owner or any Affiliates or Associates of such stockholder or beneficial owner, (7) a representation that the stockholder giving notice intends to appear in person or by proxy at the annual meeting to nominate the Person named or propose the business described in its notice, (8) any other information relating to such stockholder and such beneficial owner or any Affiliates or Associates of such stockholder or beneficial owner that is required to be disclosed in solicitations of proxies for election of Directors, or is otherwise required, in each case, pursuant to Regulation 14A under the Exchange Act, and (9) whether such stockholder and such beneficial owner or any Affiliates of such stockholder or beneficial owner intend, in the case of a proposal, to deliver a proxy statement and form of proxy to holders of at least the percentage of the Corporation’s Outstanding Voting Shares required under the Certificate of Incorporation, these By-Laws or Delaware law to carry the proposal or, in the case of a nomination or nominations, to solicit proxies from holders of Shares in support of the election of any proposed nominee in accordance with the requirements of Rule 14a-19(a)(3) of the Exchange Act. The Corporation may also require each proposed nominee to furnish any other information (x) that may reasonably be requested by the Corporation to determine whether such Person would be independent under the listing standards of any stock exchange applicable to the Corporation, any applicable rules of the Commission and any publicly disclosed standards used by the Board of Directors in determining and disclosing the independence of the Corporation’s directors or (y) that could be material to a reasonable stockholder’s understanding of independence and suitability, or lack thereof, of such Person. If requested by the Corporation, any supplemental information required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color w:val="auto"/>
        </w:rPr>
        <w:t>immediately preceding sentence shall be provided within five (5) Business Days after it has been requested by the Corporation.</w:t>
      </w:r>
    </w:p>
    <w:p>
      <w:pPr>
        <w:spacing w:after="0" w:line="127" w:lineRule="exact"/>
        <w:rPr>
          <w:sz w:val="20"/>
          <w:szCs w:val="20"/>
          <w:color w:val="auto"/>
        </w:rPr>
      </w:pPr>
    </w:p>
    <w:p>
      <w:pPr>
        <w:ind w:right="40" w:firstLine="1288"/>
        <w:spacing w:after="0" w:line="225" w:lineRule="auto"/>
        <w:tabs>
          <w:tab w:leader="none" w:pos="1726"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in the second sentence of </w:t>
      </w:r>
      <w:r>
        <w:rPr>
          <w:rFonts w:ascii="Times New Roman" w:cs="Times New Roman" w:eastAsia="Times New Roman" w:hAnsi="Times New Roman"/>
          <w:sz w:val="14"/>
          <w:szCs w:val="14"/>
          <w:u w:val="single" w:color="auto"/>
          <w:color w:val="auto"/>
        </w:rPr>
        <w:t>Section 2.17(b)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to the contrary, if the number of Directors to be elected to the Board of Directors is increased and there is no public announcement naming all of the nominees for Director or specifying the size of the increased Board of Directors made by the Corporation at least ninety (90) days prior to the anniversary of the date on which the Corporation first made publicly available (whether by mailing, by filing with the Commission or by posting on an internet web site) its proxy materials for the immediately preceding annual meeting of stockholders, then a stockholder’s notice required by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02" w:lineRule="exact"/>
        <w:rPr>
          <w:rFonts w:ascii="Times New Roman" w:cs="Times New Roman" w:eastAsia="Times New Roman" w:hAnsi="Times New Roman"/>
          <w:sz w:val="14"/>
          <w:szCs w:val="14"/>
          <w:color w:val="auto"/>
        </w:rPr>
      </w:pPr>
    </w:p>
    <w:p>
      <w:pPr>
        <w:ind w:firstLine="1288"/>
        <w:spacing w:after="0" w:line="222" w:lineRule="auto"/>
        <w:tabs>
          <w:tab w:leader="none" w:pos="1725"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Only such business shall be conducted at a special meeting of stockholders as shall have been brought before the meeting pursuant to the Corporation’s notice of meeting pursuant to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clause (3)</w:t>
      </w:r>
      <w:r>
        <w:rPr>
          <w:rFonts w:ascii="Times New Roman" w:cs="Times New Roman" w:eastAsia="Times New Roman" w:hAnsi="Times New Roman"/>
          <w:sz w:val="14"/>
          <w:szCs w:val="14"/>
          <w:color w:val="auto"/>
        </w:rPr>
        <w:t xml:space="preserve"> of Article SIXTH of the Certificate of Incorporation, nominations of Persons for election to the Board of Directors may be made at a special meeting of stockholders at which Directors are to be elected pursuant to the Corporation’s notice of meeting (i) by or at the direction of the Board of Directors, or (ii) by any holder of Outstanding Voting Shares who is entitled to vote at the meeting, who complies with the procedures set forth in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and who is a Record Holder of Outstanding Voting Shares at the time such notice is delivered to the Secretary of the Corporation. Nominations by stockholders of Persons for election to the Board of Directors may be made at such a special meeting of stockholders if the stockholder’s notice as required by </w:t>
      </w:r>
      <w:r>
        <w:rPr>
          <w:rFonts w:ascii="Times New Roman" w:cs="Times New Roman" w:eastAsia="Times New Roman" w:hAnsi="Times New Roman"/>
          <w:sz w:val="14"/>
          <w:szCs w:val="14"/>
          <w:u w:val="single" w:color="auto"/>
          <w:color w:val="auto"/>
        </w:rPr>
        <w:t>Section 2.17(b)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for an annual meeting shall be delivered to the Secretary of the Corporation not earlier than the ninetieth (90th) day prior to such special meeting and not later than the close of business on the later of the seventieth (70th) day prior to such special meeting or the tenth (10th) day following the day on which public announcement is first made of the date of the special meeting and of the nominees proposed by the Board of Directors to be elected at such meeting.</w:t>
      </w:r>
    </w:p>
    <w:p>
      <w:pPr>
        <w:spacing w:after="0" w:line="104" w:lineRule="exact"/>
        <w:rPr>
          <w:rFonts w:ascii="Times New Roman" w:cs="Times New Roman" w:eastAsia="Times New Roman" w:hAnsi="Times New Roman"/>
          <w:sz w:val="14"/>
          <w:szCs w:val="14"/>
          <w:color w:val="auto"/>
        </w:rPr>
      </w:pPr>
    </w:p>
    <w:p>
      <w:pPr>
        <w:ind w:firstLine="1288"/>
        <w:spacing w:after="0" w:line="225" w:lineRule="auto"/>
        <w:tabs>
          <w:tab w:leader="none" w:pos="1726"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to the extent otherwise provided in </w:t>
      </w:r>
      <w:r>
        <w:rPr>
          <w:rFonts w:ascii="Times New Roman" w:cs="Times New Roman" w:eastAsia="Times New Roman" w:hAnsi="Times New Roman"/>
          <w:sz w:val="14"/>
          <w:szCs w:val="14"/>
          <w:u w:val="single" w:color="auto"/>
          <w:color w:val="auto"/>
        </w:rPr>
        <w:t>clause (3)</w:t>
      </w:r>
      <w:r>
        <w:rPr>
          <w:rFonts w:ascii="Times New Roman" w:cs="Times New Roman" w:eastAsia="Times New Roman" w:hAnsi="Times New Roman"/>
          <w:sz w:val="14"/>
          <w:szCs w:val="14"/>
          <w:color w:val="auto"/>
        </w:rPr>
        <w:t xml:space="preserve"> of Article SIXTH of the Certificate of Incorporation with respect to vacancies, and subject to the stockholders’ right to act by written consent pursuant to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of these By-Laws, only Persons who are nominated in accordance with the procedures set forth in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be eligible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Except as otherwise provided herein or required by law, the chairman of the meeting shall have the power and duty to determine whether a nomination or any business proposed to be brought before the meeting was made in accordance with the procedures set forth in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and, if any proposed nomination or business is not in compliance with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to declare that such defective proposal or nomination shall be disregarded.</w:t>
      </w:r>
    </w:p>
    <w:p>
      <w:pPr>
        <w:spacing w:after="0" w:line="102" w:lineRule="exact"/>
        <w:rPr>
          <w:rFonts w:ascii="Times New Roman" w:cs="Times New Roman" w:eastAsia="Times New Roman" w:hAnsi="Times New Roman"/>
          <w:sz w:val="14"/>
          <w:szCs w:val="14"/>
          <w:color w:val="auto"/>
        </w:rPr>
      </w:pPr>
    </w:p>
    <w:p>
      <w:pPr>
        <w:ind w:right="60" w:firstLine="1288"/>
        <w:spacing w:after="0" w:line="236" w:lineRule="auto"/>
        <w:tabs>
          <w:tab w:leader="none" w:pos="1728"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provisions of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 stockholder shall also comply with all applicable requirements of the Exchange Act and the rules and regulations thereunder with respect to the matters set forth in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Nothing in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be deemed to affect any rights of stockholders to request inclusion of proposals in the Corporation’s proxy statement pursuant to Rule 14a-8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0" w:right="299" w:bottom="1440" w:gutter="0" w:footer="0" w:header="0"/>
        </w:sectPr>
      </w:pPr>
    </w:p>
    <w:bookmarkStart w:id="122" w:name="page123"/>
    <w:bookmarkEnd w:id="122"/>
    <w:p>
      <w:pPr>
        <w:ind w:left="8" w:right="100" w:firstLine="1288"/>
        <w:spacing w:after="0" w:line="224" w:lineRule="auto"/>
        <w:tabs>
          <w:tab w:leader="none" w:pos="1733"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stockholder providing notice of nomination or any other business proposed to be brought before any meeting of stockholders shall further update and supplement such notice, if necessary, so that the information provided or required to be provided in such notice pursuant to </w:t>
      </w:r>
      <w:r>
        <w:rPr>
          <w:rFonts w:ascii="Times New Roman" w:cs="Times New Roman" w:eastAsia="Times New Roman" w:hAnsi="Times New Roman"/>
          <w:sz w:val="14"/>
          <w:szCs w:val="14"/>
          <w:u w:val="single" w:color="auto"/>
          <w:color w:val="auto"/>
        </w:rPr>
        <w:t>Section 2.17(b)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2.17(c)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as applicable, shall be true and correct as of the Record Date for such meeting and such update and supplement shall be delivered to or be mailed and received by the Secretary of the Corporation not later than five (5) Business Days after the Record Date for such meeting. Any information provided pursuant to this </w:t>
      </w:r>
      <w:r>
        <w:rPr>
          <w:rFonts w:ascii="Times New Roman" w:cs="Times New Roman" w:eastAsia="Times New Roman" w:hAnsi="Times New Roman"/>
          <w:sz w:val="14"/>
          <w:szCs w:val="14"/>
          <w:u w:val="single" w:color="auto"/>
          <w:color w:val="auto"/>
        </w:rPr>
        <w:t>Section 2.17(g)</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not be deemed to cure any deficiencies or inaccuracies in a notice previously delivered pursuant to </w:t>
      </w:r>
      <w:r>
        <w:rPr>
          <w:rFonts w:ascii="Times New Roman" w:cs="Times New Roman" w:eastAsia="Times New Roman" w:hAnsi="Times New Roman"/>
          <w:sz w:val="14"/>
          <w:szCs w:val="14"/>
          <w:u w:val="single" w:color="auto"/>
          <w:color w:val="auto"/>
        </w:rPr>
        <w:t>Section 2.17(b)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2.17(c)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as applicable, and shall not extend the time period for the delivery of notice pursuant to the provisions thereof. If a stockholder fails to provide any update in accordance with the foregoing provisions of this </w:t>
      </w:r>
      <w:r>
        <w:rPr>
          <w:rFonts w:ascii="Times New Roman" w:cs="Times New Roman" w:eastAsia="Times New Roman" w:hAnsi="Times New Roman"/>
          <w:sz w:val="14"/>
          <w:szCs w:val="14"/>
          <w:u w:val="single" w:color="auto"/>
          <w:color w:val="auto"/>
        </w:rPr>
        <w:t>Section 2.17(g)</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the information as to which such written update relates may be deemed not to have been provided in accordance with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8" w:firstLine="1288"/>
        <w:spacing w:after="0" w:line="225" w:lineRule="auto"/>
        <w:tabs>
          <w:tab w:leader="none" w:pos="1733"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herein to the contrary, if (i) any stockholder or any beneficial owner provides notice pursuant to Rule 14a-19(b) under the Exchange Act with respect to any proposed nominee and (ii) such stockholder or beneficial owner (1) subsequently notifies the Corporation that such stockholder or beneficial owner no longer intends to solicit proxies in support of the election or reelection of such proposed nominee in accordance with Rule 14a-19(b) under the Exchange Act or (2) then fails to comply with the requirements of Rule 14a-19(a)(2) or Rule 14a-19(a)(3) under the Exchange Act, then the Corporation shall disregard any proxies solicited for such proposed nominee (subject to applicable law). Upon request by the Corporation, if any stockholder provides notice pursuant to Rule 14a-19(b) under the Exchange Act, such stockholder shall deliver to the Secretary, no later than five (5) Business Days prior to the applicable meeting date, reasonable evidence that the requirements of Rule 14a-19(a)(3) under the Exchange Act have been satisfied.</w:t>
      </w:r>
    </w:p>
    <w:p>
      <w:pPr>
        <w:spacing w:after="0" w:line="100"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27"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4"/>
          <w:szCs w:val="14"/>
          <w:b w:val="1"/>
          <w:bCs w:val="1"/>
          <w:u w:val="single" w:color="auto"/>
          <w:color w:val="auto"/>
        </w:rPr>
        <w:t>DIRECTORS</w:t>
      </w:r>
    </w:p>
    <w:p>
      <w:pPr>
        <w:spacing w:after="0" w:line="129" w:lineRule="exact"/>
        <w:rPr>
          <w:sz w:val="20"/>
          <w:szCs w:val="20"/>
          <w:color w:val="auto"/>
        </w:rPr>
      </w:pPr>
    </w:p>
    <w:p>
      <w:pPr>
        <w:ind w:left="1288" w:hanging="424"/>
        <w:spacing w:after="0"/>
        <w:tabs>
          <w:tab w:leader="none" w:pos="1288"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Duties and Powers</w:t>
      </w:r>
    </w:p>
    <w:p>
      <w:pPr>
        <w:spacing w:after="0" w:line="145" w:lineRule="exact"/>
        <w:rPr>
          <w:sz w:val="20"/>
          <w:szCs w:val="20"/>
          <w:color w:val="auto"/>
        </w:rPr>
      </w:pPr>
    </w:p>
    <w:p>
      <w:pPr>
        <w:ind w:left="8" w:right="40" w:hanging="8"/>
        <w:spacing w:after="0" w:line="263" w:lineRule="auto"/>
        <w:tabs>
          <w:tab w:leader="none" w:pos="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expressly provided in these By-Laws, the DGCL or the Certificate of Incorporation, the business and affairs of the Corporation shall be managed by or under the direction of the Board of Directors. As provided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the Board of Directors shall have the power and authority to appoint Officers of the Corporation. No stockholder, by virtue of its status as such, shall have any management power over the business and affairs of the Corporation or actual or apparent authority to enter into, execute or deliver contracts on behalf of, or to otherwise bind, the Corporation. Except as otherwise expressly provided in the DGCL or these By-Laws, in addition to the powers that now or hereafter can be granted to directors under the DGCL and to all other powers granted under any other provision of these By-Laws, the DGCL or the Certificate of Incorporation, the Board of Directors shall have full power and authority to do, and to direct the Officers to do, all things and on such terms as it determines to be necessary or appropriate to conduct the business of the Corporation, to exercise all powers set forth in Article THIRD of the Certificate of Incorporation and to effectuate the purposes set forth in Article THIRD of the Certificate of Incorporation, including the following:</w:t>
      </w:r>
    </w:p>
    <w:p>
      <w:pPr>
        <w:spacing w:after="0" w:line="97"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making of any expenditures, the lending or borrowing of money, the assumption or guarantee of, or other contracting for, indebtedness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12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color w:val="auto"/>
        </w:rPr>
        <w:t>liabilities, the issuance of evidences of indebtedness, including indebtedness that is convertible into Shares, and the incurring of any other obligations;</w:t>
      </w:r>
    </w:p>
    <w:p>
      <w:pPr>
        <w:spacing w:after="0" w:line="126" w:lineRule="exact"/>
        <w:rPr>
          <w:sz w:val="20"/>
          <w:szCs w:val="20"/>
          <w:color w:val="auto"/>
        </w:rPr>
      </w:pPr>
    </w:p>
    <w:p>
      <w:pPr>
        <w:ind w:left="1720" w:hanging="432"/>
        <w:spacing w:after="0"/>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making of tax, regulatory and other filings, or rendering of periodic or other reports to governmental or other agencies having jurisdiction over the business or</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the Corporation;</w:t>
      </w:r>
    </w:p>
    <w:p>
      <w:pPr>
        <w:spacing w:after="0" w:line="111" w:lineRule="exact"/>
        <w:rPr>
          <w:rFonts w:ascii="Times New Roman" w:cs="Times New Roman" w:eastAsia="Times New Roman" w:hAnsi="Times New Roman"/>
          <w:sz w:val="14"/>
          <w:szCs w:val="14"/>
          <w:color w:val="auto"/>
        </w:rPr>
      </w:pPr>
    </w:p>
    <w:p>
      <w:pPr>
        <w:ind w:right="280" w:firstLine="1288"/>
        <w:spacing w:after="0" w:line="236" w:lineRule="auto"/>
        <w:tabs>
          <w:tab w:leader="none" w:pos="1726"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disposition, mortgage, pledge, encumbrance, hypothecation or exchange of any or all of the assets of the Corporation or the merger or other combination of the Corporation with or into another Person (subject, however, to any prior approval of stockholders that may be required by the Certificate of Incorporation, these By-Laws or pursuant to applicable law);</w:t>
      </w:r>
    </w:p>
    <w:p>
      <w:pPr>
        <w:spacing w:after="0" w:line="101" w:lineRule="exact"/>
        <w:rPr>
          <w:rFonts w:ascii="Times New Roman" w:cs="Times New Roman" w:eastAsia="Times New Roman" w:hAnsi="Times New Roman"/>
          <w:sz w:val="14"/>
          <w:szCs w:val="14"/>
          <w:color w:val="auto"/>
        </w:rPr>
      </w:pPr>
    </w:p>
    <w:p>
      <w:pPr>
        <w:ind w:right="360" w:firstLine="1288"/>
        <w:spacing w:after="0" w:line="236" w:lineRule="auto"/>
        <w:tabs>
          <w:tab w:leader="none" w:pos="1725"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the assets of the Corporation (including cash on hand) for any purpose consistent with the terms of the Certificate of Incorporation or these By-Laws, including the financing of the conduct of the operations of the Corporation and its Subsidiaries; the lending of funds to other Persons (including other Group Members); the repayment of obligations of the Corporation and its Subsidiaries; and the making of capital contributions to any stockholder of the Corporation or any of its Subsidiaries;</w:t>
      </w:r>
    </w:p>
    <w:p>
      <w:pPr>
        <w:spacing w:after="0" w:line="101" w:lineRule="exact"/>
        <w:rPr>
          <w:rFonts w:ascii="Times New Roman" w:cs="Times New Roman" w:eastAsia="Times New Roman" w:hAnsi="Times New Roman"/>
          <w:sz w:val="14"/>
          <w:szCs w:val="14"/>
          <w:color w:val="auto"/>
        </w:rPr>
      </w:pPr>
    </w:p>
    <w:p>
      <w:pPr>
        <w:ind w:right="40" w:firstLine="1288"/>
        <w:spacing w:after="0" w:line="255" w:lineRule="auto"/>
        <w:tabs>
          <w:tab w:leader="none" w:pos="1726"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negotiation, execution and performance of any contracts, conveyances or other instruments (including instruments that limit the liability of the Corporation under contractual arrangements to all or particular assets of the Corporation);</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declaration and payment of distributions of cash or other assets to stockholders;</w:t>
      </w:r>
    </w:p>
    <w:p>
      <w:pPr>
        <w:spacing w:after="0" w:line="127" w:lineRule="exact"/>
        <w:rPr>
          <w:rFonts w:ascii="Times New Roman" w:cs="Times New Roman" w:eastAsia="Times New Roman" w:hAnsi="Times New Roman"/>
          <w:sz w:val="14"/>
          <w:szCs w:val="14"/>
          <w:color w:val="auto"/>
        </w:rPr>
      </w:pPr>
    </w:p>
    <w:p>
      <w:pPr>
        <w:ind w:firstLine="1288"/>
        <w:spacing w:after="0" w:line="255" w:lineRule="auto"/>
        <w:tabs>
          <w:tab w:leader="none" w:pos="1725"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selection and dismissal of officers, employees, agents, outside attorneys, accountants, consultants and contractors and the determination of their compensation and other terms of employment or hiring, and the creation and operation of employee benefit plans, employee programs and employee practices;</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maintenance of insurance for the benefit of the Company Group and the Indemnified Persons;</w:t>
      </w:r>
    </w:p>
    <w:p>
      <w:pPr>
        <w:spacing w:after="0" w:line="127" w:lineRule="exact"/>
        <w:rPr>
          <w:rFonts w:ascii="Times New Roman" w:cs="Times New Roman" w:eastAsia="Times New Roman" w:hAnsi="Times New Roman"/>
          <w:sz w:val="14"/>
          <w:szCs w:val="14"/>
          <w:color w:val="auto"/>
        </w:rPr>
      </w:pPr>
    </w:p>
    <w:p>
      <w:pPr>
        <w:ind w:right="180" w:firstLine="1288"/>
        <w:spacing w:after="0" w:line="255" w:lineRule="auto"/>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formation of, or acquisition or disposition of an interest in, and the contribution of property and the making of loans to, any limited or general partnership, joint venture, corporation, limited liability company or other entity or arrangement;</w:t>
      </w:r>
    </w:p>
    <w:p>
      <w:pPr>
        <w:spacing w:after="0" w:line="89" w:lineRule="exact"/>
        <w:rPr>
          <w:rFonts w:ascii="Times New Roman" w:cs="Times New Roman" w:eastAsia="Times New Roman" w:hAnsi="Times New Roman"/>
          <w:sz w:val="14"/>
          <w:szCs w:val="14"/>
          <w:color w:val="auto"/>
        </w:rPr>
      </w:pPr>
    </w:p>
    <w:p>
      <w:pPr>
        <w:ind w:right="220" w:firstLine="1288"/>
        <w:spacing w:after="0" w:line="255" w:lineRule="auto"/>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control of any matters affecting the rights and obligations of the Corporation, including the bringing and defending of actions at law or in equity and otherwise engaging in the conduct of litigation, arbitration or remediation, and the incurring of legal expense and the settlement of claims and litigation;</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indemnification of any Person against liabilities and contingencies to the extent permitted by law;</w:t>
      </w:r>
    </w:p>
    <w:p>
      <w:pPr>
        <w:spacing w:after="0" w:line="127" w:lineRule="exact"/>
        <w:rPr>
          <w:rFonts w:ascii="Times New Roman" w:cs="Times New Roman" w:eastAsia="Times New Roman" w:hAnsi="Times New Roman"/>
          <w:sz w:val="14"/>
          <w:szCs w:val="14"/>
          <w:color w:val="auto"/>
        </w:rPr>
      </w:pPr>
    </w:p>
    <w:p>
      <w:pPr>
        <w:ind w:right="480" w:firstLine="1288"/>
        <w:spacing w:after="0" w:line="255" w:lineRule="auto"/>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entering into of listing agreements with any National Securities Exchange and the delisting of some or all of the Shares from, or requesting that trading be suspended on, any such exchange;</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sale or other disposition, and the purchase or other acquisition, of Shares or options, rights, warrants or appreciation rights relating to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24" w:name="page125"/>
    <w:bookmarkEnd w:id="124"/>
    <w:p>
      <w:pPr>
        <w:ind w:left="1728" w:hanging="432"/>
        <w:spacing w:after="0"/>
        <w:tabs>
          <w:tab w:leader="none" w:pos="172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undertaking of any action in connection with the Corporation’s interest or participation in any Group Member;</w:t>
      </w:r>
    </w:p>
    <w:p>
      <w:pPr>
        <w:spacing w:after="0" w:line="127" w:lineRule="exact"/>
        <w:rPr>
          <w:rFonts w:ascii="Times New Roman" w:cs="Times New Roman" w:eastAsia="Times New Roman" w:hAnsi="Times New Roman"/>
          <w:sz w:val="14"/>
          <w:szCs w:val="14"/>
          <w:color w:val="auto"/>
        </w:rPr>
      </w:pPr>
    </w:p>
    <w:p>
      <w:pPr>
        <w:ind w:left="8" w:right="320" w:firstLine="1288"/>
        <w:spacing w:after="0" w:line="255" w:lineRule="auto"/>
        <w:tabs>
          <w:tab w:leader="none" w:pos="1733"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of any offer, issuance, sale or resale of Shares or other securities issued or to be issued by the Corporation under the Securities Act and any other applicable securities laws (including any resale of Shares or other securities by stockholders or other securityholders); and</w:t>
      </w:r>
    </w:p>
    <w:p>
      <w:pPr>
        <w:spacing w:after="0" w:line="89"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agreements with Affiliates of the Corporation to render services to a Group Member.</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Meetings</w:t>
      </w:r>
    </w:p>
    <w:p>
      <w:pPr>
        <w:spacing w:after="0" w:line="145" w:lineRule="exact"/>
        <w:rPr>
          <w:sz w:val="20"/>
          <w:szCs w:val="20"/>
          <w:color w:val="auto"/>
        </w:rPr>
      </w:pPr>
    </w:p>
    <w:p>
      <w:pPr>
        <w:ind w:left="8" w:right="60" w:hanging="8"/>
        <w:spacing w:after="0" w:line="268" w:lineRule="auto"/>
        <w:tabs>
          <w:tab w:leader="none" w:pos="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and any committee thereof may hold meetings, both regular and special, either within or without the State of Delaware. The Board of Directors may, by resolution, provide the time and place (if any) for the holding of regular meetings without any other notice than such resolution. Unless otherwise determined by the Board of Directors, the Secretary of the Corporation shall act as Secretary at all regular meetings of the Board of Directors and in the Secretary’s absence a temporary Secretary shall be appointed by the chairman of the meeting. Special meetings of the Board of Directors may be called by the Chairman or any Co-Chairman of the Board, the Chief Executive Officer, or, upon a resolution adopted by the Board of Directors, by the Secretary on forty-eight (48) hours’ notice, or on such shorter notice as the person or persons calling such meeting may deem necessary or appropriate in the circumstances.</w:t>
      </w:r>
    </w:p>
    <w:p>
      <w:pPr>
        <w:spacing w:after="0" w:line="9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Organization</w:t>
      </w:r>
    </w:p>
    <w:p>
      <w:pPr>
        <w:spacing w:after="0" w:line="145" w:lineRule="exact"/>
        <w:rPr>
          <w:sz w:val="20"/>
          <w:szCs w:val="20"/>
          <w:color w:val="auto"/>
        </w:rPr>
      </w:pPr>
    </w:p>
    <w:p>
      <w:pPr>
        <w:ind w:left="8" w:right="60" w:hanging="8"/>
        <w:spacing w:after="0" w:line="268" w:lineRule="auto"/>
        <w:tabs>
          <w:tab w:leader="none" w:pos="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may elect one of its members as Chairman of the Board (the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or two or more of its members as Co-Chairmen of the Board (each, a “</w:t>
      </w:r>
      <w:r>
        <w:rPr>
          <w:rFonts w:ascii="Times New Roman" w:cs="Times New Roman" w:eastAsia="Times New Roman" w:hAnsi="Times New Roman"/>
          <w:sz w:val="14"/>
          <w:szCs w:val="14"/>
          <w:u w:val="single" w:color="auto"/>
          <w:color w:val="auto"/>
        </w:rPr>
        <w:t>Co-Chairman of the Board</w:t>
      </w:r>
      <w:r>
        <w:rPr>
          <w:rFonts w:ascii="Times New Roman" w:cs="Times New Roman" w:eastAsia="Times New Roman" w:hAnsi="Times New Roman"/>
          <w:sz w:val="14"/>
          <w:szCs w:val="14"/>
          <w:color w:val="auto"/>
        </w:rPr>
        <w:t>”). At each meeting of the Board of Directors, the Chairman or any Co-Chairman of the Board or, in the absence of a Chairman or Co-Chairman of the Board, a Director chosen by a majority of the Directors present, shall act as chairman of the meeting. The Secretary of the Corporation shall act as secretary at each meeting of the Board of Directors. In case the Secretary shall be absent from any meeting of the Board of Directors, an Assistant Secretary shall perform the duties of secretary at such meeting; and in the absence from any such meeting of the Secretary and all the Assistant Secretaries, the chairman of the meeting may appoint any person to act as secretary of the meeting.</w:t>
      </w:r>
    </w:p>
    <w:p>
      <w:pPr>
        <w:spacing w:after="0" w:line="9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Chairman of the Board of Directors</w:t>
      </w:r>
    </w:p>
    <w:p>
      <w:pPr>
        <w:spacing w:after="0" w:line="145" w:lineRule="exact"/>
        <w:rPr>
          <w:sz w:val="20"/>
          <w:szCs w:val="20"/>
          <w:color w:val="auto"/>
        </w:rPr>
      </w:pPr>
    </w:p>
    <w:p>
      <w:pPr>
        <w:ind w:left="8" w:hanging="8"/>
        <w:spacing w:after="0" w:line="268" w:lineRule="auto"/>
        <w:tabs>
          <w:tab w:leader="none" w:pos="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Chairman of the Board (a) shall not be the Chief Executive Officer of the Corporation and (b) shall be independent under the listing standards of any National Securities Exchange on which the Shares are listed or quoted for trading, any applicable rules of the Commission and any publicly disclosed standards used by the Board of Directors in determining and disclosing the independence of the Corporation’s Directors. If elected, the Chairman of the Board or any Co-Chairman of the Board shall preside at all meetings of the stockholders and of the Board of Directors; and shall have such other powers and duties as designated in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2034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20" w:right="319" w:bottom="1440" w:gutter="0" w:footer="0" w:header="0"/>
        </w:sectPr>
      </w:pPr>
    </w:p>
    <w:bookmarkStart w:id="125" w:name="page126"/>
    <w:bookmarkEnd w:id="125"/>
    <w:p>
      <w:pPr>
        <w:ind w:left="8"/>
        <w:spacing w:after="0"/>
        <w:rPr>
          <w:sz w:val="20"/>
          <w:szCs w:val="20"/>
          <w:color w:val="auto"/>
        </w:rPr>
      </w:pPr>
      <w:r>
        <w:rPr>
          <w:rFonts w:ascii="Times New Roman" w:cs="Times New Roman" w:eastAsia="Times New Roman" w:hAnsi="Times New Roman"/>
          <w:sz w:val="14"/>
          <w:szCs w:val="14"/>
          <w:color w:val="auto"/>
        </w:rPr>
        <w:t>Incorporation and these By-Laws and as from time to time may be assigned to him, her or them by the Board of Directors.</w:t>
      </w:r>
    </w:p>
    <w:p>
      <w:pPr>
        <w:spacing w:after="0" w:line="136" w:lineRule="exact"/>
        <w:rPr>
          <w:sz w:val="20"/>
          <w:szCs w:val="20"/>
          <w:color w:val="auto"/>
        </w:rPr>
      </w:pPr>
    </w:p>
    <w:p>
      <w:pPr>
        <w:ind w:left="1288" w:hanging="424"/>
        <w:spacing w:after="0"/>
        <w:tabs>
          <w:tab w:leader="none" w:pos="1288"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Resignations and Removals of Directors</w:t>
      </w:r>
    </w:p>
    <w:p>
      <w:pPr>
        <w:spacing w:after="0" w:line="64" w:lineRule="exact"/>
        <w:rPr>
          <w:sz w:val="20"/>
          <w:szCs w:val="20"/>
          <w:color w:val="auto"/>
        </w:rPr>
      </w:pPr>
    </w:p>
    <w:p>
      <w:pPr>
        <w:ind w:left="8" w:hanging="8"/>
        <w:spacing w:after="0" w:line="261" w:lineRule="auto"/>
        <w:tabs>
          <w:tab w:leader="none" w:pos="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Director may resign as a member of the Board of Directors or any committee thereof at any time by giving notice of such Director’s resignation in writing or by electronic transmission to the Chairman or any Co-Chairman of the Board, if there be one, the Chief Executive Officer or the Secretary of the Corporation and, in the case of a committee, to the chairman of such committee, if there be one. Any such resignation shall take effect at the time specified therein, or if the time when it shall become effective shall not be specified therein, then it shall take effect immediately upon its receipt by the Corporation. Unless otherwise specified therein, the acceptance of such resignation shall not be necessary to make it effective. In an uncontested election for Directors,</w:t>
      </w:r>
    </w:p>
    <w:p>
      <w:pPr>
        <w:spacing w:after="0" w:line="1" w:lineRule="exact"/>
        <w:rPr>
          <w:rFonts w:ascii="Times New Roman" w:cs="Times New Roman" w:eastAsia="Times New Roman" w:hAnsi="Times New Roman"/>
          <w:sz w:val="14"/>
          <w:szCs w:val="14"/>
          <w:color w:val="auto"/>
        </w:rPr>
      </w:pPr>
    </w:p>
    <w:p>
      <w:pPr>
        <w:ind w:left="8" w:right="18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incumbent Director who fails to be reelected shall promptly submit an offer to resign from the Board of Directors, to be accepted or rejected by the Board of Directors. Except as otherwise required by applicable law and subject to the rights, if any, of the holders of Preferred Shares then outstanding, any Director or the entire Board of Directors may be removed from office at any time, with or without cause, by the affirmative vote of a Share Majority. Any Director serving on a committee of the Board of Directors may be removed from such committee at any time by the Board of Directors. The vacancy in the Board of Directors caused by any such resignation or removal shall be filled by the Board of Directors as provided in </w:t>
      </w:r>
      <w:r>
        <w:rPr>
          <w:rFonts w:ascii="Times New Roman" w:cs="Times New Roman" w:eastAsia="Times New Roman" w:hAnsi="Times New Roman"/>
          <w:sz w:val="14"/>
          <w:szCs w:val="14"/>
          <w:u w:val="single" w:color="auto"/>
          <w:color w:val="auto"/>
        </w:rPr>
        <w:t>clause (3)</w:t>
      </w:r>
      <w:r>
        <w:rPr>
          <w:rFonts w:ascii="Times New Roman" w:cs="Times New Roman" w:eastAsia="Times New Roman" w:hAnsi="Times New Roman"/>
          <w:sz w:val="14"/>
          <w:szCs w:val="14"/>
          <w:color w:val="auto"/>
        </w:rPr>
        <w:t xml:space="preserve"> of Article SIXTH of the Certificate of Incorporation.</w:t>
      </w:r>
    </w:p>
    <w:p>
      <w:pPr>
        <w:spacing w:after="0" w:line="12"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Quorum</w:t>
      </w:r>
    </w:p>
    <w:p>
      <w:pPr>
        <w:spacing w:after="0" w:line="145" w:lineRule="exact"/>
        <w:rPr>
          <w:sz w:val="20"/>
          <w:szCs w:val="20"/>
          <w:color w:val="auto"/>
        </w:rPr>
      </w:pPr>
    </w:p>
    <w:p>
      <w:pPr>
        <w:ind w:left="8" w:right="60" w:hanging="8"/>
        <w:spacing w:after="0" w:line="265" w:lineRule="auto"/>
        <w:tabs>
          <w:tab w:leader="none" w:pos="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required by law, the Certificate of Incorporation, these By-Laws or the rules and regulations of any National Securities Exchange on which the Shares are listed or quoted for trading, (a) at all meetings of the Board of Directors, a majority of the then total number of Directors in office shall constitute a quorum for the transaction of business, (b) at all meetings of any committee of the Board of Directors, the presence of a majority of the total number of members of such committee (assuming no vacancies) shall constitute a quorum and (c) the act of a majority of the Directors or committee members present at any meeting at which there is a quorum shall be the act of the Board of Directors or such committee, as the case may be. If a quorum shall not be present at any meeting of the Board of Directors or any committee, a majority of the Directors or members, as the case may be, present thereat may adjourn the meeting from time to time without further notice other than announcement at the meeting.</w:t>
      </w:r>
    </w:p>
    <w:p>
      <w:pPr>
        <w:spacing w:after="0" w:line="94"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Actions of the Board by Written Consent</w:t>
      </w:r>
    </w:p>
    <w:p>
      <w:pPr>
        <w:spacing w:after="0" w:line="145" w:lineRule="exact"/>
        <w:rPr>
          <w:sz w:val="20"/>
          <w:szCs w:val="20"/>
          <w:color w:val="auto"/>
        </w:rPr>
      </w:pPr>
    </w:p>
    <w:p>
      <w:pPr>
        <w:ind w:left="8" w:right="160" w:hanging="8"/>
        <w:spacing w:after="0" w:line="272" w:lineRule="auto"/>
        <w:tabs>
          <w:tab w:leader="none" w:pos="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provided in the Certificate of Incorporation or these By-Laws, any action required or permitted to be taken at any meeting by the Board of Directors or any committee thereof, as the case may be, may be taken without a meeting if all the members of the Board of Directors or of such committee, as the case may be, consent thereto in writing or writings or electronic transmission or transmissions. A consent may be documented, signed and delivered in any manner permitted by Section 116 of the DGCL. Any person, whether or not then a Director, may provide, through instruction to an agent or otherwise, that a consent to action will be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4" w:right="299" w:bottom="1440" w:gutter="0" w:footer="0" w:header="0"/>
        </w:sectPr>
      </w:pPr>
    </w:p>
    <w:bookmarkStart w:id="126" w:name="page127"/>
    <w:bookmarkEnd w:id="126"/>
    <w:p>
      <w:pPr>
        <w:ind w:left="8" w:right="20"/>
        <w:spacing w:after="0" w:line="272" w:lineRule="auto"/>
        <w:rPr>
          <w:sz w:val="20"/>
          <w:szCs w:val="20"/>
          <w:color w:val="auto"/>
        </w:rPr>
      </w:pPr>
      <w:r>
        <w:rPr>
          <w:rFonts w:ascii="Times New Roman" w:cs="Times New Roman" w:eastAsia="Times New Roman" w:hAnsi="Times New Roman"/>
          <w:sz w:val="14"/>
          <w:szCs w:val="14"/>
          <w:color w:val="auto"/>
        </w:rPr>
        <w:t>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89" w:lineRule="exact"/>
        <w:rPr>
          <w:sz w:val="20"/>
          <w:szCs w:val="20"/>
          <w:color w:val="auto"/>
        </w:rPr>
      </w:pPr>
    </w:p>
    <w:p>
      <w:pPr>
        <w:ind w:left="1288" w:hanging="424"/>
        <w:spacing w:after="0"/>
        <w:tabs>
          <w:tab w:leader="none" w:pos="1288"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Meetings by Means of Conference Telephone</w:t>
      </w:r>
    </w:p>
    <w:p>
      <w:pPr>
        <w:spacing w:after="0" w:line="145" w:lineRule="exact"/>
        <w:rPr>
          <w:sz w:val="20"/>
          <w:szCs w:val="20"/>
          <w:color w:val="auto"/>
        </w:rPr>
      </w:pPr>
    </w:p>
    <w:p>
      <w:pPr>
        <w:ind w:left="8" w:right="40" w:hanging="8"/>
        <w:spacing w:after="0" w:line="295" w:lineRule="auto"/>
        <w:tabs>
          <w:tab w:leader="none" w:pos="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72"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Committees</w:t>
      </w:r>
    </w:p>
    <w:p>
      <w:pPr>
        <w:spacing w:after="0" w:line="145" w:lineRule="exact"/>
        <w:rPr>
          <w:sz w:val="20"/>
          <w:szCs w:val="20"/>
          <w:color w:val="auto"/>
        </w:rPr>
      </w:pPr>
    </w:p>
    <w:p>
      <w:pPr>
        <w:ind w:left="8" w:hanging="8"/>
        <w:spacing w:after="0" w:line="261" w:lineRule="auto"/>
        <w:tabs>
          <w:tab w:leader="none" w:pos="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may, by resolution or resolutions passed by a majority of the then total number of members of the Board of Directors, designate one or more other committees consisting of one or more Directors of the Corporation, which, to the extent permitted by law and provided in such resolution or resolutions, shall have and may exercise, subject to the provisions of these By-Laws, the DGCL and the Certificate of Incorporation, the powers and authority of the Board of Directors granted hereunder; but no such committee shall have the power to fill vacancies in the Board of Directors or any committee or in their respective membership, to approve or adopt, or recommend to the stockholders, any action or matter, other than the election or removal of Directors, expressly required by these By-Laws, the DGCL or the Certificate of Incorporation to be submitted to stockholders for their approval, or to authorize the issuance of Shares, except that such a committee may, to the extent provided in such resolutions and subject to the provisions of these By-Laws, the DGCL and the Certificate of Incorporation (including any Share Designation),</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grant and authorize options and other rights with respect to the Shares pursuant to and in accordance with any plan or authorizing resolutions approved by the Board of Directors and</w:t>
      </w:r>
    </w:p>
    <w:p>
      <w:pPr>
        <w:spacing w:after="0" w:line="10" w:lineRule="exact"/>
        <w:rPr>
          <w:rFonts w:ascii="Times New Roman" w:cs="Times New Roman" w:eastAsia="Times New Roman" w:hAnsi="Times New Roman"/>
          <w:sz w:val="14"/>
          <w:szCs w:val="14"/>
          <w:color w:val="auto"/>
        </w:rPr>
      </w:pPr>
    </w:p>
    <w:p>
      <w:pPr>
        <w:ind w:left="8"/>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function as the pricing committee with respect to any offering of Shares authorized by the Board of Directors. Each member of a committee must meet the requirements for membership, if any, imposed by applicable law and the rules and regulations of any National Securities Exchange on which the Shares are listed or quoted for trading. Such committee or committees shall have such name or names as may be determined from time to time by resolution adopted by the Board of Directors. A majority of all the members of any such committee may determine its action and fix the time and place, if any, of its meetings and specify what notice thereof, if any, shall be given, unless the Board of Directors shall otherwise provide. The Board of Directors shall have power to change the members of any such committee at any time to fill vacancies, and to discharge any such committee, either with or without cause, at any time. The Secretary of the Corporation shall act as Secretary of any committee, unless otherwise provided by the Board of Directors or the committee. The Board of Directors may designate one or more Directors as alternate members of any committee, who may replace any absent or disqualified member at any meeting of the committee, or if none be so appointed the member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994" w:right="339" w:bottom="1440" w:gutter="0" w:footer="0" w:header="0"/>
        </w:sectPr>
      </w:pPr>
    </w:p>
    <w:bookmarkStart w:id="127" w:name="page128"/>
    <w:bookmarkEnd w:id="127"/>
    <w:p>
      <w:pPr>
        <w:ind w:left="8" w:right="120"/>
        <w:spacing w:after="0" w:line="275" w:lineRule="auto"/>
        <w:rPr>
          <w:sz w:val="20"/>
          <w:szCs w:val="20"/>
          <w:color w:val="auto"/>
        </w:rPr>
      </w:pPr>
      <w:r>
        <w:rPr>
          <w:rFonts w:ascii="Times New Roman" w:cs="Times New Roman" w:eastAsia="Times New Roman" w:hAnsi="Times New Roman"/>
          <w:sz w:val="14"/>
          <w:szCs w:val="14"/>
          <w:color w:val="auto"/>
        </w:rPr>
        <w:t>members thereof present at any meeting and not disqualified from voting, whether or not such member or members or they constitute a quorum, may unanimously appoint another member of the Board of Directors to act at the meeting in the place of any such absent or disqualified member. Any committee, to the extent permitted by law and provided in the resolution establishing such committee, shall keep regular minutes of its meetings and proceedings and report the same to the Board of Directors at the next meeting thereof.</w:t>
      </w:r>
    </w:p>
    <w:p>
      <w:pPr>
        <w:spacing w:after="0" w:line="95" w:lineRule="exact"/>
        <w:rPr>
          <w:sz w:val="20"/>
          <w:szCs w:val="20"/>
          <w:color w:val="auto"/>
        </w:rPr>
      </w:pPr>
    </w:p>
    <w:p>
      <w:pPr>
        <w:ind w:left="1288" w:hanging="424"/>
        <w:spacing w:after="0"/>
        <w:tabs>
          <w:tab w:leader="none" w:pos="1288"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Remuneration</w:t>
      </w:r>
    </w:p>
    <w:p>
      <w:pPr>
        <w:spacing w:after="0" w:line="145" w:lineRule="exact"/>
        <w:rPr>
          <w:sz w:val="20"/>
          <w:szCs w:val="20"/>
          <w:color w:val="auto"/>
        </w:rPr>
      </w:pPr>
    </w:p>
    <w:p>
      <w:pPr>
        <w:jc w:val="both"/>
        <w:ind w:left="8" w:right="80" w:hanging="8"/>
        <w:spacing w:after="0" w:line="268" w:lineRule="auto"/>
        <w:tabs>
          <w:tab w:leader="none" w:pos="8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Board of Directors or a duly authorized committee thereof may establish reasonable remuneration for any Director’s services as a member of the Board of Directors (including for service on any committee of the Board of Directors) at any time and from time to time by resolution. The Board of Directors may also likewise provide that the Corporation shall reimburse each Director for any reasonable and documented expenses actually paid by such Director on account of such Director’s attendance at any meeting. Nothing in this </w:t>
      </w:r>
      <w:r>
        <w:rPr>
          <w:rFonts w:ascii="Times New Roman" w:cs="Times New Roman" w:eastAsia="Times New Roman" w:hAnsi="Times New Roman"/>
          <w:sz w:val="14"/>
          <w:szCs w:val="14"/>
          <w:u w:val="single" w:color="auto"/>
          <w:color w:val="auto"/>
        </w:rPr>
        <w:t>Section 3.10</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shall be construed to preclude any Director from serving the Corporation in any other capacity and receiving remuneration therefor.</w:t>
      </w:r>
    </w:p>
    <w:p>
      <w:pPr>
        <w:spacing w:after="0" w:line="90"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Interested Directors</w:t>
      </w:r>
    </w:p>
    <w:p>
      <w:pPr>
        <w:spacing w:after="0" w:line="145" w:lineRule="exact"/>
        <w:rPr>
          <w:sz w:val="20"/>
          <w:szCs w:val="20"/>
          <w:color w:val="auto"/>
        </w:rPr>
      </w:pPr>
    </w:p>
    <w:p>
      <w:pPr>
        <w:ind w:left="8" w:hanging="8"/>
        <w:spacing w:after="0" w:line="261" w:lineRule="auto"/>
        <w:tabs>
          <w:tab w:leader="none" w:pos="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a controlling stockholder transaction, which shall be subject to Section 144(b) or (c) of the DGCL, as applicable, an act or transaction involving or between the Corporation, or one or more of the Corporation’s subsidiaries, on the one hand, and one or more of the Corporation’s Directors or Officers, on the other hand, or involving or between the Corporation or one or more of the Corporation’s subsidiaries, on the one hand, and any other corporation, partnership (general or limited), limited liability company, statutory trust, association, or any other entity or organization in which one or more of its Directors or Officers are directors, stockholders, partners, managers, members, or officers, or have a financial interest, on the other hand, may not be the subject of equitable relief, or give rise to an award of damages, against a Director or Officer of the Corporation because of the foregoing circumstances or the receipt of any benefit by any such Director, Officer, entity, or organization or because the Director or Officer is present at or participates in the meeting of the Board of Directors or committee thereof which authorizes the act or transaction or was involved in the initiation, negotiation, or approval of the act or transaction (including by virtue of a Director’s vote being counted for such purpose), if: (a) the material facts as to the Director’s or Officer’s relationship or interest and as to the act or transaction, including any involvement in the initiation, negotiation, or approval of the act or transaction, are disclosed or are known to all members of the Board of Directors or a committee of the Board of Directors, and the Board of Directors or committee in good faith and without gross negligence authorizes the act or transaction by the affirmative votes of a majority of the disinterested Directors then serving on the Board of Directors or such committee (as applicable), even though the disinterested Directors be less than a quorum;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majority of the Directors are not disinterested Directors with respect to the act or transaction, such act or transaction shall be approved (or recommended for approval) by a committee of the Board of Directors that consists of two or more Directors, each of whom the Board of Directors has determined to be a disinterested Director with respect to the act or transaction; or (b) the act or transaction is approved or ratified by an informed, uncoerced, affirmative vote of a majority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4" w:right="299" w:bottom="1440" w:gutter="0" w:footer="0" w:header="0"/>
        </w:sectPr>
      </w:pPr>
    </w:p>
    <w:bookmarkStart w:id="128" w:name="page129"/>
    <w:bookmarkEnd w:id="128"/>
    <w:p>
      <w:pPr>
        <w:ind w:left="8" w:right="160"/>
        <w:spacing w:after="0" w:line="275" w:lineRule="auto"/>
        <w:rPr>
          <w:sz w:val="20"/>
          <w:szCs w:val="20"/>
          <w:color w:val="auto"/>
        </w:rPr>
      </w:pPr>
      <w:r>
        <w:rPr>
          <w:rFonts w:ascii="Times New Roman" w:cs="Times New Roman" w:eastAsia="Times New Roman" w:hAnsi="Times New Roman"/>
          <w:sz w:val="14"/>
          <w:szCs w:val="14"/>
          <w:color w:val="auto"/>
        </w:rPr>
        <w:t>the votes cast by the disinterested stockholders; or (c) the act or transaction is fair as to the Corporation and the Corporation’s stockholders as of the time it is authorized, approved or ratified by the Board of Directors, a committee thereof or the stockholders. Interested Directors may be counted in determining the presence of a quorum at a meeting of the Board of Directors or of a committee which authorizes such contract or transaction.</w:t>
      </w:r>
    </w:p>
    <w:p>
      <w:pPr>
        <w:spacing w:after="0" w:line="93"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27" w:lineRule="exact"/>
        <w:rPr>
          <w:sz w:val="20"/>
          <w:szCs w:val="20"/>
          <w:color w:val="auto"/>
        </w:rPr>
      </w:pPr>
    </w:p>
    <w:p>
      <w:pPr>
        <w:ind w:left="5288"/>
        <w:spacing w:after="0"/>
        <w:rPr>
          <w:sz w:val="20"/>
          <w:szCs w:val="20"/>
          <w:color w:val="auto"/>
        </w:rPr>
      </w:pPr>
      <w:r>
        <w:rPr>
          <w:rFonts w:ascii="Times New Roman" w:cs="Times New Roman" w:eastAsia="Times New Roman" w:hAnsi="Times New Roman"/>
          <w:sz w:val="14"/>
          <w:szCs w:val="14"/>
          <w:b w:val="1"/>
          <w:bCs w:val="1"/>
          <w:u w:val="single" w:color="auto"/>
          <w:color w:val="auto"/>
        </w:rPr>
        <w:t>OFFICERS</w:t>
      </w:r>
    </w:p>
    <w:p>
      <w:pPr>
        <w:spacing w:after="0" w:line="129" w:lineRule="exact"/>
        <w:rPr>
          <w:sz w:val="20"/>
          <w:szCs w:val="20"/>
          <w:color w:val="auto"/>
        </w:rPr>
      </w:pPr>
    </w:p>
    <w:p>
      <w:pPr>
        <w:ind w:left="1288" w:hanging="424"/>
        <w:spacing w:after="0"/>
        <w:tabs>
          <w:tab w:leader="none" w:pos="1288"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p>
    <w:p>
      <w:pPr>
        <w:spacing w:after="0" w:line="145" w:lineRule="exact"/>
        <w:rPr>
          <w:sz w:val="20"/>
          <w:szCs w:val="20"/>
          <w:color w:val="auto"/>
        </w:rPr>
      </w:pPr>
    </w:p>
    <w:p>
      <w:pPr>
        <w:ind w:left="8" w:hanging="8"/>
        <w:spacing w:after="0" w:line="262" w:lineRule="auto"/>
        <w:tabs>
          <w:tab w:leader="none" w:pos="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shall have the power and authority to appoint such officers with such titles, authority and duties as determined by the Board of Directors. Such Persons so designated by the Board of Directors shall be referred to as “</w:t>
      </w:r>
      <w:r>
        <w:rPr>
          <w:rFonts w:ascii="Times New Roman" w:cs="Times New Roman" w:eastAsia="Times New Roman" w:hAnsi="Times New Roman"/>
          <w:sz w:val="14"/>
          <w:szCs w:val="14"/>
          <w:u w:val="single" w:color="auto"/>
          <w:color w:val="auto"/>
        </w:rPr>
        <w:t>Officers</w:t>
      </w:r>
      <w:r>
        <w:rPr>
          <w:rFonts w:ascii="Times New Roman" w:cs="Times New Roman" w:eastAsia="Times New Roman" w:hAnsi="Times New Roman"/>
          <w:sz w:val="14"/>
          <w:szCs w:val="14"/>
          <w:color w:val="auto"/>
        </w:rPr>
        <w:t xml:space="preserve">.” Unless provided otherwise by resolution of the Board of Directors, the Officers shall have the titles, power, authority and duties described below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The Officers of the Corporation may include a Chief Executive Officer, a Chief Financial Officer, a Chief Operating Officer, one or more Presidents or Co-Presidents, one or more Vice Presidents (who may be further classified by such descriptions as “executive,” “senior,” “assistant” or otherwise, as the Board of Directors shall determine), a Secretary, one or more Assistant Secretaries, a Treasurer and one or more Assistant Treasurers. Officers shall be elected by the Board of Directors, which shall consider that subject at its first meeting after every annual meeting of stockholders and as necessary to fill vacancies. Each Officer shall hold office until his or her successor is elected and qualified or until his or her earlier death, resignation or removal. Any number of offices may be held by the same Person. The compensation of Officers elected by the Board of Directors shall be fixed from time to time by the Board of Directors or by such Officers as may be designated by resolution of the Board of Directors.</w:t>
      </w:r>
    </w:p>
    <w:p>
      <w:pPr>
        <w:spacing w:after="0" w:line="9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Resignation and Removal</w:t>
      </w:r>
    </w:p>
    <w:p>
      <w:pPr>
        <w:spacing w:after="0" w:line="145" w:lineRule="exact"/>
        <w:rPr>
          <w:sz w:val="20"/>
          <w:szCs w:val="20"/>
          <w:color w:val="auto"/>
        </w:rPr>
      </w:pPr>
    </w:p>
    <w:p>
      <w:pPr>
        <w:ind w:left="8" w:right="20" w:hanging="8"/>
        <w:spacing w:after="0" w:line="266" w:lineRule="auto"/>
        <w:tabs>
          <w:tab w:leader="none" w:pos="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Officer may resign at any time upon written notice to the Corporation, and such resignation shall be effective upon receipt unless it is specified to be effective at a later time.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Officer, agent or employee of the Corporation may be removed by the Board of Directors with or without cause at any time. The Board of Directors hereby also delegates the power of removal as to Officers, agents and employees who have not been appointed by the Board of Directors to the Chairman of the Board. Such removal shall be without prejudice to a Person’s contract rights, if any, but the appointment of any Person as an Officer, agent or employee of the Corporation shall not of itself create contract rights.</w:t>
      </w:r>
    </w:p>
    <w:p>
      <w:pPr>
        <w:spacing w:after="0" w:line="268"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Voting Securities Owned by the Corporation</w:t>
      </w:r>
    </w:p>
    <w:p>
      <w:pPr>
        <w:spacing w:after="0" w:line="145" w:lineRule="exact"/>
        <w:rPr>
          <w:sz w:val="20"/>
          <w:szCs w:val="20"/>
          <w:color w:val="auto"/>
        </w:rPr>
      </w:pPr>
    </w:p>
    <w:p>
      <w:pPr>
        <w:ind w:left="68" w:hanging="68"/>
        <w:spacing w:after="0"/>
        <w:tabs>
          <w:tab w:leader="none" w:pos="68"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directed by the Board of Directors, the Chief Executive Officer, any President or Co-President, the Chief Financial Officer, the Chief Operating Officer or any other</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7" w:lineRule="exact"/>
        <w:rPr>
          <w:rFonts w:ascii="Times New Roman" w:cs="Times New Roman" w:eastAsia="Times New Roman" w:hAnsi="Times New Roman"/>
          <w:sz w:val="14"/>
          <w:szCs w:val="14"/>
          <w:color w:val="auto"/>
        </w:rPr>
      </w:pPr>
    </w:p>
    <w:p>
      <w:pPr>
        <w:ind w:left="14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994" w:right="359" w:bottom="1440" w:gutter="0" w:footer="0" w:header="0"/>
        </w:sectPr>
      </w:pPr>
    </w:p>
    <w:bookmarkStart w:id="129" w:name="page130"/>
    <w:bookmarkEnd w:id="129"/>
    <w:p>
      <w:pPr>
        <w:jc w:val="both"/>
        <w:ind w:left="8" w:right="60"/>
        <w:spacing w:after="0" w:line="275" w:lineRule="auto"/>
        <w:rPr>
          <w:sz w:val="20"/>
          <w:szCs w:val="20"/>
          <w:color w:val="auto"/>
        </w:rPr>
      </w:pPr>
      <w:r>
        <w:rPr>
          <w:rFonts w:ascii="Times New Roman" w:cs="Times New Roman" w:eastAsia="Times New Roman" w:hAnsi="Times New Roman"/>
          <w:sz w:val="14"/>
          <w:szCs w:val="14"/>
          <w:color w:val="auto"/>
        </w:rPr>
        <w:t>Officer of the Corporation authorized by the Chief Executive Officer shall have power to vote and otherwise act on behalf of the Corporation, in person or by proxy, at any meeting of members of or with respect to any action of equity holders of any other entity in which the Corporation may hold securities and otherwise to exercise any and all rights and powers which the Corporation may possess by reason of its ownership of securities in such other entities.</w:t>
      </w:r>
    </w:p>
    <w:p>
      <w:pPr>
        <w:spacing w:after="0" w:line="95" w:lineRule="exact"/>
        <w:rPr>
          <w:sz w:val="20"/>
          <w:szCs w:val="20"/>
          <w:color w:val="auto"/>
        </w:rPr>
      </w:pPr>
    </w:p>
    <w:p>
      <w:pPr>
        <w:ind w:left="1288" w:hanging="424"/>
        <w:spacing w:after="0"/>
        <w:tabs>
          <w:tab w:leader="none" w:pos="1288"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Chief Executive Officer</w:t>
      </w:r>
    </w:p>
    <w:p>
      <w:pPr>
        <w:spacing w:after="0" w:line="145" w:lineRule="exact"/>
        <w:rPr>
          <w:sz w:val="20"/>
          <w:szCs w:val="20"/>
          <w:color w:val="auto"/>
        </w:rPr>
      </w:pPr>
    </w:p>
    <w:p>
      <w:pPr>
        <w:ind w:left="8" w:hanging="8"/>
        <w:spacing w:after="0" w:line="265" w:lineRule="auto"/>
        <w:tabs>
          <w:tab w:leader="none" w:pos="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control and oversight of the Board of Directors, the Chief Executive Officer shall have general executive charge, management and control of the properties, day-to-day business and operations of the Corporation with all such powers as may be reasonably incident to such responsibilities; he or she may employ and discharge employees and agents of the Corporation except such as shall be appointed by the Board of Directors, and he or she may delegate these powers; he or she may agree upon and execute all leases, contracts, evidences of indebtedness and other obligations in the name of the Corporation, and shall have such other powers and duties as designated in accordance with the Certificate of Incorporation and these By-Laws and as from time to time may be assigned to him or her by the Board of Directors.</w:t>
      </w:r>
    </w:p>
    <w:p>
      <w:pPr>
        <w:spacing w:after="0" w:line="10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Senior Officers</w:t>
      </w:r>
    </w:p>
    <w:p>
      <w:pPr>
        <w:spacing w:after="0" w:line="145" w:lineRule="exact"/>
        <w:rPr>
          <w:sz w:val="20"/>
          <w:szCs w:val="20"/>
          <w:color w:val="auto"/>
        </w:rPr>
      </w:pPr>
    </w:p>
    <w:p>
      <w:pPr>
        <w:ind w:left="8" w:right="20" w:hanging="8"/>
        <w:spacing w:after="0" w:line="260" w:lineRule="auto"/>
        <w:tabs>
          <w:tab w:leader="none" w:pos="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Board of Directors otherwise determines, the Chief Financial Officer, Chief Operating Officer and every President and Co-President shall have the authority to agree upon and execute all leases, contracts, evidences of indebtedness and other obligations in the name of the Corporation. Unless the Board of Directors otherwise determines, in the absence of the Chairman of the Board or any Co-Chairman of the Board or if there be no Chairman of the Board or Co-Chairman of the Board, the Board of Directors may designate the Chief Financial Officer, Chief Operating Officer or a President or Co-President to preside at all meetings of the stockholders and (should he or she be a Director) of the Board of Directors. The Chief Financial Officer, Chief Operating Officer and each President and Co-President shall have such other powers and duties as designated in accordance with the Certificate of Incorporation and these By-Laws and as from time to time may be assigned to him or her by the Board of Directors. In the absence of a Chief Financial Officer, Chief Operating Officer, President or Co-President or in the event of an inability or refusal of the Chief Financial Officer, Chief Operating Officer and all Presidents and Co-Presidents to act, a Vice President designated by the Board of Directors shall perform the duties of a President, and when so acting shall have all the powers of and be subject to all the restrictions upon a President. In the absence of a designation by the Board of Directors of a Vice President to perform the duties of a President, or in the event of his absence or inability or refusal to act, the Vice President who is present and who is senior in terms of uninterrupted time as a Vice President of the Corporation shall so act. A Vice President shall perform such other duties and have such other powers as the Board of Directors may from time to time prescribe. Unless otherwise provided by the Board of Directors, each Vice President will have authority to act within his or her respective areas and to sign contracts relating thereto.</w:t>
      </w:r>
    </w:p>
    <w:p>
      <w:pPr>
        <w:spacing w:after="0" w:line="106"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Treasurer and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94" w:right="319" w:bottom="1440" w:gutter="0" w:footer="0" w:header="0"/>
        </w:sectPr>
      </w:pPr>
    </w:p>
    <w:bookmarkStart w:id="130" w:name="page131"/>
    <w:bookmarkEnd w:id="130"/>
    <w:p>
      <w:pPr>
        <w:ind w:left="8" w:hanging="8"/>
        <w:spacing w:after="0" w:line="265" w:lineRule="auto"/>
        <w:tabs>
          <w:tab w:leader="none" w:pos="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Treasurer shall have responsibility for the custody and control of all the funds and securities of the Corporation and shall have such other powers and duties as designated in the Certificate of Incorporation and these By-Laws and as from time to time may be assigned to the Treasurer by the Board of Directors. The Treasurer shall perform all acts incident to the position of Treasurer, subject to the control of the Chief Executive Officer, the Chief Financial Officer and the Board of Directors. Each Assistant Treasurer shall have the usual powers and duties pertaining to his or her office, together with such other powers and duties as designated in the Certificate of Incorporation and these By-Laws and as from time to time may be assigned to him or her by the Chief Executive Officer, the Chief Financial Officer or the Board of Directors. The Assistant Treasurers shall exercise the powers of the Treasurer during that Officer’s absence or inability or refusal to act. An Assistant Treasurer shall also perform such other duties as the Treasurer or the Board of Directors may assign to him or her.</w:t>
      </w:r>
    </w:p>
    <w:p>
      <w:pPr>
        <w:spacing w:after="0" w:line="94"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Secretary and Assistant Secretary</w:t>
      </w:r>
    </w:p>
    <w:p>
      <w:pPr>
        <w:spacing w:after="0" w:line="145" w:lineRule="exact"/>
        <w:rPr>
          <w:sz w:val="20"/>
          <w:szCs w:val="20"/>
          <w:color w:val="auto"/>
        </w:rPr>
      </w:pPr>
    </w:p>
    <w:p>
      <w:pPr>
        <w:jc w:val="both"/>
        <w:ind w:left="8" w:right="20" w:hanging="8"/>
        <w:spacing w:after="0" w:line="272" w:lineRule="auto"/>
        <w:tabs>
          <w:tab w:leader="none" w:pos="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Secretary shall issue all authorized notices for, and shall keep minutes of, all meetings of the stockholders and the Board of Directors. The Secretary shall have charge of the corporate books and shall perform such other duties as the Board of Directors may from time to time prescribe. In the absence or inability to act of the Secretary, any Assistant Secretary may perform all the duties and exercise all the powers of the Secretary. The performance of any such duty shall, in respect of any other Person dealing with the Corporation, be conclusive evidence of his or her power to act. An Assistant Secretary shall also perform such other duties as the Secretary or the Board of Directors may assign to him or her.</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Officers</w:t>
      </w:r>
    </w:p>
    <w:p>
      <w:pPr>
        <w:spacing w:after="0" w:line="145" w:lineRule="exact"/>
        <w:rPr>
          <w:sz w:val="20"/>
          <w:szCs w:val="20"/>
          <w:color w:val="auto"/>
        </w:rPr>
      </w:pPr>
    </w:p>
    <w:p>
      <w:pPr>
        <w:ind w:left="68" w:hanging="68"/>
        <w:spacing w:after="0"/>
        <w:tabs>
          <w:tab w:leader="none" w:pos="68"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may from time to time delegate the powers or duties of any Officer to any other Officers or agents, notwithstanding any provision hereof.</w:t>
      </w:r>
    </w:p>
    <w:p>
      <w:pPr>
        <w:spacing w:after="0" w:line="134" w:lineRule="exact"/>
        <w:rPr>
          <w:rFonts w:ascii="Times New Roman" w:cs="Times New Roman" w:eastAsia="Times New Roman" w:hAnsi="Times New Roman"/>
          <w:sz w:val="14"/>
          <w:szCs w:val="14"/>
          <w:color w:val="auto"/>
        </w:rPr>
      </w:pPr>
    </w:p>
    <w:p>
      <w:pPr>
        <w:ind w:left="5408" w:right="5280" w:hanging="176"/>
        <w:spacing w:after="0" w:line="4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ARTICLE V </w:t>
      </w:r>
      <w:r>
        <w:rPr>
          <w:rFonts w:ascii="Times New Roman" w:cs="Times New Roman" w:eastAsia="Times New Roman" w:hAnsi="Times New Roman"/>
          <w:sz w:val="14"/>
          <w:szCs w:val="14"/>
          <w:b w:val="1"/>
          <w:bCs w:val="1"/>
          <w:u w:val="single" w:color="auto"/>
          <w:color w:val="auto"/>
        </w:rPr>
        <w:t>STOCK</w:t>
      </w:r>
    </w:p>
    <w:p>
      <w:pPr>
        <w:spacing w:after="0" w:line="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Certificates</w:t>
      </w:r>
    </w:p>
    <w:p>
      <w:pPr>
        <w:spacing w:after="0" w:line="145" w:lineRule="exact"/>
        <w:rPr>
          <w:sz w:val="20"/>
          <w:szCs w:val="20"/>
          <w:color w:val="auto"/>
        </w:rPr>
      </w:pPr>
    </w:p>
    <w:p>
      <w:pPr>
        <w:ind w:left="8" w:right="40" w:hanging="8"/>
        <w:spacing w:after="0" w:line="265" w:lineRule="auto"/>
        <w:tabs>
          <w:tab w:leader="none" w:pos="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herein, unless the Board of Directors shall determine otherwise in respect of some or all of any or all classes of Shares, Shares shall not be evidenced by certificates. Certificates that are issued shall be executed on behalf of the Corporation by the Chairman of the Board, President, Chief Executive Officer or any Executive Vice President or Vice President and the Chief Financial Officer or the Secretary or any Assistant Secretary of the Corporation. No Certificate for a class of Shares shall be valid for any purpose until it has been countersigned by the Transfer Agent for such class of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Board of Directors elects to cause the Corporation to issue Shares of such class in global form, the Certificate shall be valid upon receipt of a certificate from the Transfer Agent certifying that the Shares have been duly registered in accordance with the directions of the Corporation. The Shares of the Corporation shall be entered in the books of the Corporation as they are issued and shall exhibit the holder’s name and number of Shares. The Shares of the Corporation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94" w:right="319" w:bottom="1440" w:gutter="0" w:footer="0" w:header="0"/>
        </w:sectPr>
      </w:pPr>
    </w:p>
    <w:bookmarkStart w:id="131" w:name="page132"/>
    <w:bookmarkEnd w:id="131"/>
    <w:p>
      <w:pPr>
        <w:ind w:left="8"/>
        <w:spacing w:after="0" w:line="268" w:lineRule="auto"/>
        <w:rPr>
          <w:sz w:val="20"/>
          <w:szCs w:val="20"/>
          <w:color w:val="auto"/>
        </w:rPr>
      </w:pPr>
      <w:r>
        <w:rPr>
          <w:rFonts w:ascii="Times New Roman" w:cs="Times New Roman" w:eastAsia="Times New Roman" w:hAnsi="Times New Roman"/>
          <w:sz w:val="14"/>
          <w:szCs w:val="14"/>
          <w:color w:val="auto"/>
        </w:rPr>
        <w:t>transferred on the books of the Corporation, which may be maintained by a third-party registrar or the Transfer Agent, by the holder thereof in person or by his attorney,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or upon receipt of proper transfer instructions from the registered holder of uncertificated Shares and upon compliance with appropriate procedures for transferring Shares in uncertificated form, at which time the Corporation shall issue a new certificate to the person entitled thereto (if the Shares are then represented by certificates), cancel the old certificate and record the transaction upon its books.</w:t>
      </w:r>
    </w:p>
    <w:p>
      <w:pPr>
        <w:spacing w:after="0" w:line="91" w:lineRule="exact"/>
        <w:rPr>
          <w:sz w:val="20"/>
          <w:szCs w:val="20"/>
          <w:color w:val="auto"/>
        </w:rPr>
      </w:pPr>
    </w:p>
    <w:p>
      <w:pPr>
        <w:ind w:left="1288" w:hanging="424"/>
        <w:spacing w:after="0"/>
        <w:tabs>
          <w:tab w:leader="none" w:pos="1288"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Signatures</w:t>
      </w:r>
    </w:p>
    <w:p>
      <w:pPr>
        <w:spacing w:after="0" w:line="145" w:lineRule="exact"/>
        <w:rPr>
          <w:sz w:val="20"/>
          <w:szCs w:val="20"/>
          <w:color w:val="auto"/>
        </w:rPr>
      </w:pPr>
    </w:p>
    <w:p>
      <w:pPr>
        <w:ind w:left="8" w:right="60" w:hanging="8"/>
        <w:spacing w:after="0" w:line="272" w:lineRule="auto"/>
        <w:tabs>
          <w:tab w:leader="none" w:pos="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certificated Share shall be signed by, or in the name of, the Corporation by any two authorized officers of the Corporation, certifying the number of shares owned by such stockholder in the Corporation. In case any officer, the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The use of facsimile signatures affixed in the name and on behalf of the transfer agent and registrar of the Corporation on certificates representing Shares is expressly permitted by these By-Laws.</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Lost or Mutilated Certificates</w:t>
      </w:r>
    </w:p>
    <w:p>
      <w:pPr>
        <w:spacing w:after="0" w:line="145" w:lineRule="exact"/>
        <w:rPr>
          <w:sz w:val="20"/>
          <w:szCs w:val="20"/>
          <w:color w:val="auto"/>
        </w:rPr>
      </w:pPr>
    </w:p>
    <w:p>
      <w:pPr>
        <w:ind w:left="8" w:hanging="8"/>
        <w:spacing w:after="0" w:line="261" w:lineRule="auto"/>
        <w:tabs>
          <w:tab w:leader="none" w:pos="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mutilated Certificate is surrendered to the Transfer Agent, the appropriate Officers on behalf of the Corporation shall execute, and the Transfer Agent shall countersign and deliver in exchange therefor, a new Certificate evidencing the same number and class or series of Shares as the Certificate so surrendered. The appropriate Officers on behalf of the Corporation shall execute, and the Transfer Agent shall countersign and deliver, a new Certificate in place of any Certificate previously issued if the Record Holder of the Certificate: (a) makes proof by affidavit, in form and substance satisfactory to the Corporation, that a previously issued Certificate has been lost, destroyed or stolen; (b) requests the issuance of a new Certificate before the Corporation has notice that the Certificate has been acquired by a purchaser for value in good faith and without notice of an adverse claim; (c) if requested by the Corporation, delivers to the Corporation a bond, in form and substance satisfactory to the Corporation, with surety or sureties and with fixed or open penalty as the Corporation may direct to indemnify the Corporation and the Transfer Agent against any claim that may be made on account of the alleged loss, destruction or theft of the Certificate; and (d) satisfies any other reasonable requirements imposed by the Corporation. If a stockholder fails to notify the Corporation within a reasonable time after he has notice of the loss, destruction or theft of a Certificate, and a transfer of the Shares represented by the Certificate is registered before the Corporation or the Transfer Agent receives such notification, the stockholder shall be precluded from making any claim against the Corporation or the Transfer Agent for such transfer or for a new Certificate. As a condition to the issuance of any new Certificate under this </w:t>
      </w:r>
      <w:r>
        <w:rPr>
          <w:rFonts w:ascii="Times New Roman" w:cs="Times New Roman" w:eastAsia="Times New Roman" w:hAnsi="Times New Roman"/>
          <w:sz w:val="14"/>
          <w:szCs w:val="14"/>
          <w:u w:val="single" w:color="auto"/>
          <w:color w:val="auto"/>
        </w:rPr>
        <w:t>Section 5.3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the Corporation may require the payment of a sum sufficient to cover any tax or other governmental charge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94" w:right="319" w:bottom="1440" w:gutter="0" w:footer="0" w:header="0"/>
        </w:sectPr>
      </w:pPr>
    </w:p>
    <w:bookmarkStart w:id="132" w:name="page133"/>
    <w:bookmarkEnd w:id="132"/>
    <w:p>
      <w:pPr>
        <w:ind w:left="8"/>
        <w:spacing w:after="0"/>
        <w:rPr>
          <w:sz w:val="20"/>
          <w:szCs w:val="20"/>
          <w:color w:val="auto"/>
        </w:rPr>
      </w:pPr>
      <w:r>
        <w:rPr>
          <w:rFonts w:ascii="Times New Roman" w:cs="Times New Roman" w:eastAsia="Times New Roman" w:hAnsi="Times New Roman"/>
          <w:sz w:val="14"/>
          <w:szCs w:val="14"/>
          <w:color w:val="auto"/>
        </w:rPr>
        <w:t>be imposed in relation thereto and any other expenses (including the fees and expenses of the Transfer Agent) reasonably connected therewith.</w:t>
      </w:r>
    </w:p>
    <w:p>
      <w:pPr>
        <w:spacing w:after="0" w:line="136" w:lineRule="exact"/>
        <w:rPr>
          <w:sz w:val="20"/>
          <w:szCs w:val="20"/>
          <w:color w:val="auto"/>
        </w:rPr>
      </w:pPr>
    </w:p>
    <w:p>
      <w:pPr>
        <w:ind w:left="1288" w:hanging="424"/>
        <w:spacing w:after="0"/>
        <w:tabs>
          <w:tab w:leader="none" w:pos="1288"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of Shares</w:t>
      </w:r>
    </w:p>
    <w:p>
      <w:pPr>
        <w:spacing w:after="0" w:line="145" w:lineRule="exact"/>
        <w:rPr>
          <w:sz w:val="20"/>
          <w:szCs w:val="20"/>
          <w:color w:val="auto"/>
        </w:rPr>
      </w:pPr>
    </w:p>
    <w:p>
      <w:pPr>
        <w:ind w:left="8" w:right="80" w:hanging="8"/>
        <w:spacing w:after="0" w:line="282" w:lineRule="auto"/>
        <w:tabs>
          <w:tab w:leader="none" w:pos="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shall have the power and authority to make all such rules and regulations concerning the issue, transfer and registration or the replacement of certificates for Shares of the Corporation to the extent permitted by applicable law. The Corporation may enter into additional agreements with stockholders to restrict the transfer of Shares of the Corporation in any manner not prohibited by the DGCL.</w:t>
      </w:r>
    </w:p>
    <w:p>
      <w:pPr>
        <w:spacing w:after="0" w:line="80"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Settlement of Transactions</w:t>
      </w:r>
    </w:p>
    <w:p>
      <w:pPr>
        <w:spacing w:after="0" w:line="145" w:lineRule="exact"/>
        <w:rPr>
          <w:sz w:val="20"/>
          <w:szCs w:val="20"/>
          <w:color w:val="auto"/>
        </w:rPr>
      </w:pPr>
    </w:p>
    <w:p>
      <w:pPr>
        <w:ind w:left="8" w:right="360" w:hanging="8"/>
        <w:spacing w:after="0" w:line="295" w:lineRule="auto"/>
        <w:tabs>
          <w:tab w:leader="none" w:pos="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these By-Laws shall preclude the settlement of any transactions involving Shares entered into through the facilities of any National Securities Exchange on which such Shares are listed or quoted for trading.</w:t>
      </w:r>
    </w:p>
    <w:p>
      <w:pPr>
        <w:spacing w:after="0" w:line="72"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Record Date</w:t>
      </w:r>
    </w:p>
    <w:p>
      <w:pPr>
        <w:spacing w:after="0" w:line="145" w:lineRule="exact"/>
        <w:rPr>
          <w:sz w:val="20"/>
          <w:szCs w:val="20"/>
          <w:color w:val="auto"/>
        </w:rPr>
      </w:pPr>
    </w:p>
    <w:p>
      <w:pPr>
        <w:ind w:left="8" w:hanging="8"/>
        <w:spacing w:after="0" w:line="272" w:lineRule="auto"/>
        <w:tabs>
          <w:tab w:leader="none" w:pos="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Record Owners</w:t>
      </w:r>
    </w:p>
    <w:p>
      <w:pPr>
        <w:spacing w:after="0" w:line="145" w:lineRule="exact"/>
        <w:rPr>
          <w:sz w:val="20"/>
          <w:szCs w:val="20"/>
          <w:color w:val="auto"/>
        </w:rPr>
      </w:pPr>
    </w:p>
    <w:p>
      <w:pPr>
        <w:ind w:left="8" w:right="20" w:hanging="8"/>
        <w:spacing w:after="0" w:line="268" w:lineRule="auto"/>
        <w:tabs>
          <w:tab w:leader="none" w:pos="8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be entitled to recognize the Record Holder as the owner of a Share and, accordingly, shall not be bound to recognize any equitable or other claim to or interest in such Share on the part of any other Person, regardless of whether the Corporation shall have actual or other notice thereof, except as otherwise provided by law or any applicable rule, regulation, guideline or requirement of any National Securities Exchange on which such Shares are listed or quoted for trading. Without limiting the foregoing, when a Person (such as a broker, dealer, bank, trust company or clearing corporation or an agent of any of the foregoing) is acting as nominee, agent or in some other representative capacity for another Person in acquiring and/or holding Shares, as between the Corporation on the one hand, and such other Persons on the other, such representative Person shall be the Record Holder of such Shares.</w:t>
      </w:r>
    </w:p>
    <w:p>
      <w:pPr>
        <w:spacing w:after="0" w:line="9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Splits and Combinations</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8" w:right="100" w:firstLine="1288"/>
        <w:spacing w:after="0" w:line="255" w:lineRule="auto"/>
        <w:tabs>
          <w:tab w:leader="none" w:pos="1734"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the DGCL, the Corporation may make a pro rata distribution of Shares of any class or series to all Record Holders of such class or series of Shares, or may effect a subdivision or combination of Shares of any class or series so long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4" w:right="299" w:bottom="1440" w:gutter="0" w:footer="0" w:header="0"/>
        </w:sectPr>
      </w:pPr>
    </w:p>
    <w:bookmarkStart w:id="133" w:name="page134"/>
    <w:bookmarkEnd w:id="133"/>
    <w:p>
      <w:pPr>
        <w:ind w:left="8" w:right="100"/>
        <w:spacing w:after="0" w:line="255" w:lineRule="auto"/>
        <w:rPr>
          <w:sz w:val="20"/>
          <w:szCs w:val="20"/>
          <w:color w:val="auto"/>
        </w:rPr>
      </w:pPr>
      <w:r>
        <w:rPr>
          <w:rFonts w:ascii="Times New Roman" w:cs="Times New Roman" w:eastAsia="Times New Roman" w:hAnsi="Times New Roman"/>
          <w:sz w:val="14"/>
          <w:szCs w:val="14"/>
          <w:color w:val="auto"/>
        </w:rPr>
        <w:t xml:space="preserve">after any such event and subject to the effect of </w:t>
      </w:r>
      <w:r>
        <w:rPr>
          <w:rFonts w:ascii="Times New Roman" w:cs="Times New Roman" w:eastAsia="Times New Roman" w:hAnsi="Times New Roman"/>
          <w:sz w:val="14"/>
          <w:szCs w:val="14"/>
          <w:u w:val="single" w:color="auto"/>
          <w:color w:val="auto"/>
        </w:rPr>
        <w:t>Section 5.8(d)</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each stockholder shall have the same proportionate ownership of such class or series of Shares of capital stock of the Corporation as before such event, and any amounts calculated on a per Share basis or stated as a number of Shares are proportionately adjusted.</w:t>
      </w:r>
    </w:p>
    <w:p>
      <w:pPr>
        <w:spacing w:after="0" w:line="90" w:lineRule="exact"/>
        <w:rPr>
          <w:sz w:val="20"/>
          <w:szCs w:val="20"/>
          <w:color w:val="auto"/>
        </w:rPr>
      </w:pPr>
    </w:p>
    <w:p>
      <w:pPr>
        <w:ind w:left="8" w:firstLine="1288"/>
        <w:spacing w:after="0" w:line="236" w:lineRule="auto"/>
        <w:tabs>
          <w:tab w:leader="none" w:pos="1733"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such a distribution, subdivision or combination of Shares is declared, the Board of Directors shall select a Record Date as of which the distribution, subdivision or combination shall be effective and shall send notice thereof at least twenty (20) days prior to such Record Date to each Record Holder as of a date not more than ten (10) days prior to the date of such notice.</w:t>
      </w:r>
    </w:p>
    <w:p>
      <w:pPr>
        <w:spacing w:after="0" w:line="101" w:lineRule="exact"/>
        <w:rPr>
          <w:rFonts w:ascii="Times New Roman" w:cs="Times New Roman" w:eastAsia="Times New Roman" w:hAnsi="Times New Roman"/>
          <w:sz w:val="14"/>
          <w:szCs w:val="14"/>
          <w:color w:val="auto"/>
        </w:rPr>
      </w:pPr>
    </w:p>
    <w:p>
      <w:pPr>
        <w:ind w:left="8" w:right="20" w:firstLine="1288"/>
        <w:spacing w:after="0" w:line="231" w:lineRule="auto"/>
        <w:tabs>
          <w:tab w:leader="none" w:pos="1734"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following any such distribution, subdivision or combination, the Corporation may issue Certificates to the Record Holders of Shares as of the applicable Record Date representing the new number of Shares held by such Record Holders, or the Board of Directors may adopt such other procedures that it determines to be necessary or appropriate to reflect such changes. If any such combination results in a smaller total number of Shares Outstanding, the Corporation shall require, as a condition to the delivery to a Record Holder of such new Certificate, the surrender of any Certificate held by such Record Holder immediately prior to such Record Date.</w:t>
      </w:r>
    </w:p>
    <w:p>
      <w:pPr>
        <w:spacing w:after="0" w:line="100"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not issue fractional Shares upon any distribution, subdivision or combination of Shares.</w:t>
      </w:r>
    </w:p>
    <w:p>
      <w:pPr>
        <w:spacing w:after="0" w:line="125"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127"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4"/>
          <w:szCs w:val="14"/>
          <w:b w:val="1"/>
          <w:bCs w:val="1"/>
          <w:u w:val="single" w:color="auto"/>
          <w:color w:val="auto"/>
        </w:rPr>
        <w:t>NOTICES</w:t>
      </w:r>
    </w:p>
    <w:p>
      <w:pPr>
        <w:spacing w:after="0" w:line="129" w:lineRule="exact"/>
        <w:rPr>
          <w:sz w:val="20"/>
          <w:szCs w:val="20"/>
          <w:color w:val="auto"/>
        </w:rPr>
      </w:pPr>
    </w:p>
    <w:p>
      <w:pPr>
        <w:ind w:left="1288" w:hanging="424"/>
        <w:spacing w:after="0"/>
        <w:tabs>
          <w:tab w:leader="none" w:pos="128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p>
    <w:p>
      <w:pPr>
        <w:spacing w:after="0" w:line="145" w:lineRule="exact"/>
        <w:rPr>
          <w:sz w:val="20"/>
          <w:szCs w:val="20"/>
          <w:color w:val="auto"/>
        </w:rPr>
      </w:pPr>
    </w:p>
    <w:p>
      <w:pPr>
        <w:ind w:left="8" w:right="80" w:hanging="8"/>
        <w:spacing w:after="0" w:line="264" w:lineRule="auto"/>
        <w:tabs>
          <w:tab w:leader="none" w:pos="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of stockholders,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 Any document enclosed with, annexed to, or appended to a notice of meeting shall be deemed part of such notice for purposes of determining whether notice was duly given.</w:t>
      </w:r>
    </w:p>
    <w:p>
      <w:pPr>
        <w:spacing w:after="0" w:line="26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Waivers of Notice</w:t>
      </w:r>
    </w:p>
    <w:p>
      <w:pPr>
        <w:spacing w:after="0" w:line="145" w:lineRule="exact"/>
        <w:rPr>
          <w:sz w:val="20"/>
          <w:szCs w:val="20"/>
          <w:color w:val="auto"/>
        </w:rPr>
      </w:pPr>
    </w:p>
    <w:p>
      <w:pPr>
        <w:ind w:left="8" w:right="260" w:hanging="8"/>
        <w:spacing w:after="0" w:line="282" w:lineRule="auto"/>
        <w:tabs>
          <w:tab w:leader="none" w:pos="8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notice to the stockholders is required to be given under applicable law, the Certificate of Incorporation or these By-Laws, a written waiver, signed by the Person entitled to notice, whether before or after the time stated therein, shall be deemed equivalent to notice. Attendance of a Person at any such meeting of the stockholders in person or represented by proxy, shall constitute a waiver of notice of such meeting, except when the Person attends 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1120" w:right="399" w:bottom="1440" w:gutter="0" w:footer="0" w:header="0"/>
        </w:sectPr>
      </w:pPr>
    </w:p>
    <w:bookmarkStart w:id="134" w:name="page135"/>
    <w:bookmarkEnd w:id="134"/>
    <w:p>
      <w:pPr>
        <w:jc w:val="both"/>
        <w:ind w:left="8" w:right="100"/>
        <w:spacing w:after="0" w:line="275" w:lineRule="auto"/>
        <w:rPr>
          <w:sz w:val="20"/>
          <w:szCs w:val="20"/>
          <w:color w:val="auto"/>
        </w:rPr>
      </w:pPr>
      <w:r>
        <w:rPr>
          <w:rFonts w:ascii="Times New Roman" w:cs="Times New Roman" w:eastAsia="Times New Roman" w:hAnsi="Times New Roman"/>
          <w:sz w:val="14"/>
          <w:szCs w:val="14"/>
          <w:color w:val="auto"/>
        </w:rPr>
        <w:t>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unless so required by law, the Certificate of Incorporation or these By-Laws. All waivers and approvals shall be filed with the Corporation records or made part of the minutes of the meeting.</w:t>
      </w:r>
    </w:p>
    <w:p>
      <w:pPr>
        <w:spacing w:after="0" w:line="93" w:lineRule="exact"/>
        <w:rPr>
          <w:sz w:val="20"/>
          <w:szCs w:val="20"/>
          <w:color w:val="auto"/>
        </w:rPr>
      </w:pPr>
    </w:p>
    <w:p>
      <w:pPr>
        <w:ind w:left="5008"/>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127" w:lineRule="exact"/>
        <w:rPr>
          <w:sz w:val="20"/>
          <w:szCs w:val="20"/>
          <w:color w:val="auto"/>
        </w:rPr>
      </w:pPr>
    </w:p>
    <w:p>
      <w:pPr>
        <w:ind w:left="4828"/>
        <w:spacing w:after="0"/>
        <w:rPr>
          <w:sz w:val="20"/>
          <w:szCs w:val="20"/>
          <w:color w:val="auto"/>
        </w:rPr>
      </w:pPr>
      <w:r>
        <w:rPr>
          <w:rFonts w:ascii="Times New Roman" w:cs="Times New Roman" w:eastAsia="Times New Roman" w:hAnsi="Times New Roman"/>
          <w:sz w:val="14"/>
          <w:szCs w:val="14"/>
          <w:b w:val="1"/>
          <w:bCs w:val="1"/>
          <w:u w:val="single" w:color="auto"/>
          <w:color w:val="auto"/>
        </w:rPr>
        <w:t>GENERAL PROVISIONS</w:t>
      </w:r>
    </w:p>
    <w:p>
      <w:pPr>
        <w:spacing w:after="0" w:line="129" w:lineRule="exact"/>
        <w:rPr>
          <w:sz w:val="20"/>
          <w:szCs w:val="20"/>
          <w:color w:val="auto"/>
        </w:rPr>
      </w:pPr>
    </w:p>
    <w:p>
      <w:pPr>
        <w:ind w:left="1288" w:hanging="424"/>
        <w:spacing w:after="0"/>
        <w:tabs>
          <w:tab w:leader="none" w:pos="1288"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Disbursements</w:t>
      </w:r>
    </w:p>
    <w:p>
      <w:pPr>
        <w:spacing w:after="0" w:line="145" w:lineRule="exact"/>
        <w:rPr>
          <w:sz w:val="20"/>
          <w:szCs w:val="20"/>
          <w:color w:val="auto"/>
        </w:rPr>
      </w:pPr>
    </w:p>
    <w:p>
      <w:pPr>
        <w:ind w:left="8" w:right="420" w:hanging="8"/>
        <w:spacing w:after="0" w:line="295" w:lineRule="auto"/>
        <w:tabs>
          <w:tab w:leader="none" w:pos="8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checks or demands for money and notes of the Corporation shall be signed by such Officer or Officers or such other Person or Persons as the Board of Directors may from time to time designate.</w:t>
      </w:r>
    </w:p>
    <w:p>
      <w:pPr>
        <w:spacing w:after="0" w:line="72"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Fiscal Year</w:t>
      </w:r>
    </w:p>
    <w:p>
      <w:pPr>
        <w:spacing w:after="0" w:line="145" w:lineRule="exact"/>
        <w:rPr>
          <w:sz w:val="20"/>
          <w:szCs w:val="20"/>
          <w:color w:val="auto"/>
        </w:rPr>
      </w:pPr>
    </w:p>
    <w:p>
      <w:pPr>
        <w:ind w:left="68" w:hanging="68"/>
        <w:spacing w:after="0"/>
        <w:tabs>
          <w:tab w:leader="none" w:pos="68"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year of the Corporation shall be a calendar year ending December 31, unless otherwise determined by the Board of Directors.</w:t>
      </w:r>
    </w:p>
    <w:p>
      <w:pPr>
        <w:spacing w:after="0" w:line="136"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Seal</w:t>
      </w:r>
    </w:p>
    <w:p>
      <w:pPr>
        <w:spacing w:after="0" w:line="145" w:lineRule="exact"/>
        <w:rPr>
          <w:sz w:val="20"/>
          <w:szCs w:val="20"/>
          <w:color w:val="auto"/>
        </w:rPr>
      </w:pPr>
    </w:p>
    <w:p>
      <w:pPr>
        <w:ind w:left="8" w:right="380" w:hanging="8"/>
        <w:spacing w:after="0" w:line="295" w:lineRule="auto"/>
        <w:tabs>
          <w:tab w:leader="none" w:pos="8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8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Title to Corporation Assets</w:t>
      </w:r>
    </w:p>
    <w:p>
      <w:pPr>
        <w:spacing w:after="0" w:line="145" w:lineRule="exact"/>
        <w:rPr>
          <w:sz w:val="20"/>
          <w:szCs w:val="20"/>
          <w:color w:val="auto"/>
        </w:rPr>
      </w:pPr>
    </w:p>
    <w:p>
      <w:pPr>
        <w:ind w:left="8" w:hanging="8"/>
        <w:spacing w:after="0" w:line="268" w:lineRule="auto"/>
        <w:tabs>
          <w:tab w:leader="none" w:pos="8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to Corporation assets, whether real, personal or mixed and whether tangible or intangible, shall be deemed to be owned by the Corporation as an entity, and no stockholder, Director or Officer, individually or collectively, shall have any ownership interest in such Corporation assets or any portion thereof. Title to any or all of the Corporation assets may be held in the name of the Corporation or one or more nominees, as the Board of Directors may determine. All Corporation assets shall be recorded as the property of the Corporation in its books and records, irrespective of the name in which record title to such Corporation assets is held.</w:t>
      </w:r>
    </w:p>
    <w:p>
      <w:pPr>
        <w:spacing w:after="0" w:line="90"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w:t>
      </w:r>
    </w:p>
    <w:p>
      <w:pPr>
        <w:spacing w:after="0" w:line="145" w:lineRule="exact"/>
        <w:rPr>
          <w:sz w:val="20"/>
          <w:szCs w:val="20"/>
          <w:color w:val="auto"/>
        </w:rPr>
      </w:pPr>
    </w:p>
    <w:p>
      <w:pPr>
        <w:ind w:left="8" w:hanging="8"/>
        <w:spacing w:after="0" w:line="295" w:lineRule="auto"/>
        <w:tabs>
          <w:tab w:leader="none" w:pos="8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context requires otherwise: (a) any pronoun used in these By-Laws shall include the corresponding masculine, feminine or neuter forms; (b) references to Articles and Sections refer to Articles and Sections of these By-Laws; and (c) the term “include” or “includes” means includes, without limitation, and “including” means including, without limitation.</w:t>
      </w:r>
    </w:p>
    <w:p>
      <w:pPr>
        <w:spacing w:after="0" w:line="8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994" w:right="339" w:bottom="1440" w:gutter="0" w:footer="0" w:header="0"/>
        </w:sectPr>
      </w:pPr>
    </w:p>
    <w:bookmarkStart w:id="135" w:name="page136"/>
    <w:bookmarkEnd w:id="135"/>
    <w:p>
      <w:pPr>
        <w:ind w:left="8" w:right="20" w:hanging="8"/>
        <w:spacing w:after="0" w:line="275" w:lineRule="auto"/>
        <w:tabs>
          <w:tab w:leader="none" w:pos="8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has been converted to, and incorporated as, a corporation pursuant to the provisions of the DGCL. Except as expressly provided to the contrary in the Certificate of Incorporation or these By-Laws, the rights, duties, liabilities and obligations of the stockholders and the administration, dissolution and termination of the Corporation shall be governed by the DGCL. All Shares shall constitute personal property of the owner thereof for all purposes and a stockholder has no interest in specific Corporation property.</w:t>
      </w:r>
    </w:p>
    <w:p>
      <w:pPr>
        <w:spacing w:after="0" w:line="94"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Records and Accounting</w:t>
      </w:r>
    </w:p>
    <w:p>
      <w:pPr>
        <w:spacing w:after="0" w:line="145" w:lineRule="exact"/>
        <w:rPr>
          <w:sz w:val="20"/>
          <w:szCs w:val="20"/>
          <w:color w:val="auto"/>
        </w:rPr>
      </w:pPr>
    </w:p>
    <w:p>
      <w:pPr>
        <w:ind w:left="8" w:right="100" w:hanging="8"/>
        <w:spacing w:after="0" w:line="265" w:lineRule="auto"/>
        <w:tabs>
          <w:tab w:leader="none" w:pos="8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Board of Directors shall keep or cause to be kept at the principal office of the Corporation appropriate books and records with respect to the Corporation’s business, including all books and records necessary to provide to the stockholders any information required to be provided pursuant to these By-Laws or under applicable law. Any books and records maintained by or on behalf of the Corporation in the regular course of its business, including the record of the stockholders, books of account and records of Corporation proceedings, may be kept on, or by means of, or be in the form of any information storage device, method, or one (1) or more electronic networks or databases;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books and records so maintained are convertible into clearly legible written form within a reasonable period of time. The books of the Corporation shall be maintained, for tax and financial reporting purposes, on an accrual basis in accordance with U.S. generally accepted accounting principles.</w:t>
      </w:r>
    </w:p>
    <w:p>
      <w:pPr>
        <w:spacing w:after="0" w:line="94"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Reports</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left="8" w:firstLine="1288"/>
        <w:spacing w:after="0" w:line="231" w:lineRule="auto"/>
        <w:tabs>
          <w:tab w:leader="none" w:pos="1734"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no event later than one hundred and twenty (120) days after the close of each fiscal year of the Corporation, the Board of Directors shall use commercially reasonable efforts to cause to be mailed or made available to each Record Holder of a Share, as of a date selected by the Board of Directors, an annual report containing financial statements of the Corporation for such fiscal year of the Corporation, presented in accordance with U.S. generally accepted accounting principles, including a balance sheet and statements of operations, equity and cash flows, such statements to be audited by a registered public accounting firm selected by the Board of Directors.</w:t>
      </w:r>
    </w:p>
    <w:p>
      <w:pPr>
        <w:spacing w:after="0" w:line="100" w:lineRule="exact"/>
        <w:rPr>
          <w:rFonts w:ascii="Times New Roman" w:cs="Times New Roman" w:eastAsia="Times New Roman" w:hAnsi="Times New Roman"/>
          <w:sz w:val="14"/>
          <w:szCs w:val="14"/>
          <w:color w:val="auto"/>
        </w:rPr>
      </w:pPr>
    </w:p>
    <w:p>
      <w:pPr>
        <w:ind w:left="8" w:right="160" w:firstLine="1288"/>
        <w:spacing w:after="0" w:line="231" w:lineRule="auto"/>
        <w:tabs>
          <w:tab w:leader="none" w:pos="1733"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practicable, but in no event later than ninety (90) days after the close of each Quarter except the last Quarter of each fiscal year, the Board of Directors shall use commercially reasonable efforts to cause to be mailed or made available to each Record Holder of a Share, as of a date selected by the Board of Directors, a report containing unaudited financial statements of the Corporation and such other information as may be required by applicable law, regulation or rule of any National Securities Exchange on which the Shares are listed or quoted for trading, or as the Board of Directors determines to be necessary or appropriate.</w:t>
      </w:r>
    </w:p>
    <w:p>
      <w:pPr>
        <w:spacing w:after="0" w:line="100" w:lineRule="exact"/>
        <w:rPr>
          <w:rFonts w:ascii="Times New Roman" w:cs="Times New Roman" w:eastAsia="Times New Roman" w:hAnsi="Times New Roman"/>
          <w:sz w:val="14"/>
          <w:szCs w:val="14"/>
          <w:color w:val="auto"/>
        </w:rPr>
      </w:pPr>
    </w:p>
    <w:p>
      <w:pPr>
        <w:ind w:left="8" w:right="20" w:firstLine="1288"/>
        <w:spacing w:after="0" w:line="236" w:lineRule="auto"/>
        <w:tabs>
          <w:tab w:leader="none" w:pos="1734"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shall be deemed to have made a report available to each Record Holder as required by this </w:t>
      </w:r>
      <w:r>
        <w:rPr>
          <w:rFonts w:ascii="Times New Roman" w:cs="Times New Roman" w:eastAsia="Times New Roman" w:hAnsi="Times New Roman"/>
          <w:sz w:val="14"/>
          <w:szCs w:val="14"/>
          <w:u w:val="single" w:color="auto"/>
          <w:color w:val="auto"/>
        </w:rPr>
        <w:t>Section 7.8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if it has either (i) filed such report with the Commission via its Electronic Data Gathering, Analysis and Retrieval system and such report is publicly available on such system or (ii) made such report available on any publicly available website maintained by the Corporation.</w:t>
      </w:r>
    </w:p>
    <w:p>
      <w:pPr>
        <w:spacing w:after="0" w:line="101"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Invalidity of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4" w:right="299" w:bottom="1440" w:gutter="0" w:footer="0" w:header="0"/>
        </w:sectPr>
      </w:pPr>
    </w:p>
    <w:bookmarkStart w:id="136" w:name="page137"/>
    <w:bookmarkEnd w:id="136"/>
    <w:p>
      <w:pPr>
        <w:ind w:left="8" w:right="60" w:hanging="8"/>
        <w:spacing w:after="0" w:line="275" w:lineRule="auto"/>
        <w:tabs>
          <w:tab w:leader="none" w:pos="8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provision of these By-Laws is or becomes invalid, illegal or unenforceable in any respect, the validity, legality and enforceability of the remaining provisions contained herein shall not be affected thereby and these By-Laws shall, to the fullest extent permitted by law, be reformed and construed as if such invalid, illegal or unenforceable provision, or part of a provision, had never been contained herein, and such provisions or part reformed so that it would be valid, legal and enforceable to the maximum extent possible.</w:t>
      </w:r>
    </w:p>
    <w:p>
      <w:pPr>
        <w:spacing w:after="0" w:line="95" w:lineRule="exact"/>
        <w:rPr>
          <w:sz w:val="20"/>
          <w:szCs w:val="20"/>
          <w:color w:val="auto"/>
        </w:rPr>
      </w:pPr>
    </w:p>
    <w:p>
      <w:pPr>
        <w:ind w:left="1288" w:hanging="424"/>
        <w:spacing w:after="0"/>
        <w:tabs>
          <w:tab w:leader="none" w:pos="1288"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p>
    <w:p>
      <w:pPr>
        <w:spacing w:after="0" w:line="145" w:lineRule="exact"/>
        <w:rPr>
          <w:sz w:val="20"/>
          <w:szCs w:val="20"/>
          <w:color w:val="auto"/>
        </w:rPr>
      </w:pPr>
    </w:p>
    <w:p>
      <w:pPr>
        <w:ind w:left="68" w:hanging="68"/>
        <w:spacing w:after="0"/>
        <w:tabs>
          <w:tab w:leader="none" w:pos="68"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definitions shall be for all purposes, unless otherwise clearly indicated to the contrary, applied to the terms used in these By-Laws.</w:t>
      </w:r>
    </w:p>
    <w:p>
      <w:pPr>
        <w:spacing w:after="0" w:line="136" w:lineRule="exact"/>
        <w:rPr>
          <w:rFonts w:ascii="Times New Roman" w:cs="Times New Roman" w:eastAsia="Times New Roman" w:hAnsi="Times New Roman"/>
          <w:sz w:val="14"/>
          <w:szCs w:val="14"/>
          <w:color w:val="auto"/>
        </w:rPr>
      </w:pPr>
    </w:p>
    <w:p>
      <w:pPr>
        <w:ind w:left="8" w:right="140" w:firstLine="1288"/>
        <w:spacing w:after="0" w:line="236" w:lineRule="auto"/>
        <w:tabs>
          <w:tab w:leader="none" w:pos="1734"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that directly or indirectly through one or more intermediaries Controls, is Controlled by or is under common Control with the Person in question. As used herein, the term “</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means the possession, direct or indirect, of the power to direct or cause the direction of the management and policies of a Person, whether through ownership of voting securities, by contract or otherwise.</w:t>
      </w:r>
    </w:p>
    <w:p>
      <w:pPr>
        <w:spacing w:after="0" w:line="101"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Associate</w:t>
      </w:r>
      <w:r>
        <w:rPr>
          <w:rFonts w:ascii="Times New Roman" w:cs="Times New Roman" w:eastAsia="Times New Roman" w:hAnsi="Times New Roman"/>
          <w:sz w:val="14"/>
          <w:szCs w:val="14"/>
          <w:color w:val="auto"/>
        </w:rPr>
        <w:t>” shall have the meaning set forth in Rule 12b-2 under the Exchange Act.</w:t>
      </w:r>
    </w:p>
    <w:p>
      <w:pPr>
        <w:spacing w:after="0" w:line="126"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beneficially owned</w:t>
      </w:r>
      <w:r>
        <w:rPr>
          <w:rFonts w:ascii="Times New Roman" w:cs="Times New Roman" w:eastAsia="Times New Roman" w:hAnsi="Times New Roman"/>
          <w:sz w:val="14"/>
          <w:szCs w:val="14"/>
          <w:color w:val="auto"/>
        </w:rPr>
        <w:t>” shall have the meaning set forth in Section 13(d) of the Exchange Act, and “owned beneficially” shall have the</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correlative meaning.</w:t>
      </w:r>
    </w:p>
    <w:p>
      <w:pPr>
        <w:spacing w:after="0" w:line="111" w:lineRule="exact"/>
        <w:rPr>
          <w:rFonts w:ascii="Times New Roman" w:cs="Times New Roman" w:eastAsia="Times New Roman" w:hAnsi="Times New Roman"/>
          <w:sz w:val="14"/>
          <w:szCs w:val="14"/>
          <w:color w:val="auto"/>
        </w:rPr>
      </w:pPr>
    </w:p>
    <w:p>
      <w:pPr>
        <w:ind w:left="8" w:right="160" w:firstLine="1288"/>
        <w:spacing w:after="0" w:line="255" w:lineRule="auto"/>
        <w:tabs>
          <w:tab w:leader="none" w:pos="1733"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Monday through Friday of each week, except that a legal holiday recognized as such by the government of the United States of America or the State of New York shall not be regarded as a Business Day.</w:t>
      </w:r>
    </w:p>
    <w:p>
      <w:pPr>
        <w:spacing w:after="0" w:line="89"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Certificate</w:t>
      </w:r>
      <w:r>
        <w:rPr>
          <w:rFonts w:ascii="Times New Roman" w:cs="Times New Roman" w:eastAsia="Times New Roman" w:hAnsi="Times New Roman"/>
          <w:sz w:val="14"/>
          <w:szCs w:val="14"/>
          <w:color w:val="auto"/>
        </w:rPr>
        <w:t>” means a certificate in such form as may be adopted by the Board of Directors, issued by the Corporation evidencing ownership of one or more Shares.</w:t>
      </w:r>
    </w:p>
    <w:p>
      <w:pPr>
        <w:spacing w:after="0" w:line="127"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Class A Share</w:t>
      </w:r>
      <w:r>
        <w:rPr>
          <w:rFonts w:ascii="Times New Roman" w:cs="Times New Roman" w:eastAsia="Times New Roman" w:hAnsi="Times New Roman"/>
          <w:sz w:val="14"/>
          <w:szCs w:val="14"/>
          <w:color w:val="auto"/>
        </w:rPr>
        <w:t>” shall have the same meaning as set forth in the Certificate of Incorporation.</w:t>
      </w:r>
    </w:p>
    <w:p>
      <w:pPr>
        <w:spacing w:after="0" w:line="127"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means the United States Securities and Exchange Commission.</w:t>
      </w:r>
    </w:p>
    <w:p>
      <w:pPr>
        <w:spacing w:after="0" w:line="127"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Group</w:t>
      </w:r>
      <w:r>
        <w:rPr>
          <w:rFonts w:ascii="Times New Roman" w:cs="Times New Roman" w:eastAsia="Times New Roman" w:hAnsi="Times New Roman"/>
          <w:sz w:val="14"/>
          <w:szCs w:val="14"/>
          <w:color w:val="auto"/>
        </w:rPr>
        <w:t>” means the Corporation and each Subsidiary of the Corporation.</w:t>
      </w:r>
    </w:p>
    <w:p>
      <w:pPr>
        <w:spacing w:after="0" w:line="127"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Director</w:t>
      </w:r>
      <w:r>
        <w:rPr>
          <w:rFonts w:ascii="Times New Roman" w:cs="Times New Roman" w:eastAsia="Times New Roman" w:hAnsi="Times New Roman"/>
          <w:sz w:val="14"/>
          <w:szCs w:val="14"/>
          <w:color w:val="auto"/>
        </w:rPr>
        <w:t>” means a member of the Board of Directors of the Corporation.</w:t>
      </w:r>
    </w:p>
    <w:p>
      <w:pPr>
        <w:spacing w:after="0" w:line="127" w:lineRule="exact"/>
        <w:rPr>
          <w:rFonts w:ascii="Times New Roman" w:cs="Times New Roman" w:eastAsia="Times New Roman" w:hAnsi="Times New Roman"/>
          <w:sz w:val="14"/>
          <w:szCs w:val="14"/>
          <w:color w:val="auto"/>
        </w:rPr>
      </w:pPr>
    </w:p>
    <w:p>
      <w:pPr>
        <w:ind w:left="8" w:firstLine="1288"/>
        <w:spacing w:after="0" w:line="255" w:lineRule="auto"/>
        <w:tabs>
          <w:tab w:leader="none" w:pos="1728"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 supplemented or restated from time to time and any successor to such statute,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994" w:right="359" w:bottom="1440" w:gutter="0" w:footer="0" w:header="0"/>
        </w:sectPr>
      </w:pPr>
    </w:p>
    <w:bookmarkStart w:id="137" w:name="page138"/>
    <w:bookmarkEnd w:id="137"/>
    <w:p>
      <w:pPr>
        <w:ind w:right="340" w:firstLine="1288"/>
        <w:spacing w:after="0" w:line="255" w:lineRule="auto"/>
        <w:tabs>
          <w:tab w:leader="none" w:pos="172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Entity</w:t>
      </w:r>
      <w:r>
        <w:rPr>
          <w:rFonts w:ascii="Times New Roman" w:cs="Times New Roman" w:eastAsia="Times New Roman" w:hAnsi="Times New Roman"/>
          <w:sz w:val="14"/>
          <w:szCs w:val="14"/>
          <w:color w:val="auto"/>
        </w:rPr>
        <w:t>” means any court, administrative agency, regulatory body, commission or other governmental authority, board, bureau or instrumentality, domestic or foreign and any subdivision thereof.</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Group Member</w:t>
      </w:r>
      <w:r>
        <w:rPr>
          <w:rFonts w:ascii="Times New Roman" w:cs="Times New Roman" w:eastAsia="Times New Roman" w:hAnsi="Times New Roman"/>
          <w:sz w:val="14"/>
          <w:szCs w:val="14"/>
          <w:color w:val="auto"/>
        </w:rPr>
        <w:t>” means a member of the Company Group.</w:t>
      </w:r>
    </w:p>
    <w:p>
      <w:pPr>
        <w:spacing w:after="0" w:line="127" w:lineRule="exact"/>
        <w:rPr>
          <w:rFonts w:ascii="Times New Roman" w:cs="Times New Roman" w:eastAsia="Times New Roman" w:hAnsi="Times New Roman"/>
          <w:sz w:val="14"/>
          <w:szCs w:val="14"/>
          <w:color w:val="auto"/>
        </w:rPr>
      </w:pPr>
    </w:p>
    <w:p>
      <w:pPr>
        <w:ind w:right="20" w:firstLine="1288"/>
        <w:spacing w:after="0" w:line="231" w:lineRule="auto"/>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Person</w:t>
      </w:r>
      <w:r>
        <w:rPr>
          <w:rFonts w:ascii="Times New Roman" w:cs="Times New Roman" w:eastAsia="Times New Roman" w:hAnsi="Times New Roman"/>
          <w:sz w:val="14"/>
          <w:szCs w:val="14"/>
          <w:color w:val="auto"/>
        </w:rPr>
        <w:t xml:space="preserve">” means (a) any Person who is or was a Director or Officer of the Corporation or its predecessor, (b) any Person who is or was serving at the request of the Corporation or its predecessor as an officer, director, member, manager, partner, fiduciary or trustee of another Person (including any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Person shall not be an Indemnified Person by reason of providing, on a fee-for-services basis, trustee, fiduciary or custodial services and (c) any Person the Board of Directors designates as an “Indemnified Person” for purposes of these By-Laws following the effectiveness of these By-Laws.</w:t>
      </w:r>
    </w:p>
    <w:p>
      <w:pPr>
        <w:spacing w:after="0" w:line="100"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National Securities Exchange</w:t>
      </w:r>
      <w:r>
        <w:rPr>
          <w:rFonts w:ascii="Times New Roman" w:cs="Times New Roman" w:eastAsia="Times New Roman" w:hAnsi="Times New Roman"/>
          <w:sz w:val="14"/>
          <w:szCs w:val="14"/>
          <w:color w:val="auto"/>
        </w:rPr>
        <w:t>” means an exchange registered with the Commission under Section 6(a) of the Exchange Act.</w:t>
      </w:r>
    </w:p>
    <w:p>
      <w:pPr>
        <w:spacing w:after="0" w:line="126"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Outstanding</w:t>
      </w:r>
      <w:r>
        <w:rPr>
          <w:rFonts w:ascii="Times New Roman" w:cs="Times New Roman" w:eastAsia="Times New Roman" w:hAnsi="Times New Roman"/>
          <w:sz w:val="14"/>
          <w:szCs w:val="14"/>
          <w:color w:val="auto"/>
        </w:rPr>
        <w:t>” means, with respect to Shares, all Shares that are issued by the Corporation and reflected as outstanding on the Corporation’s books and records as of</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determination.</w:t>
      </w:r>
    </w:p>
    <w:p>
      <w:pPr>
        <w:spacing w:after="0" w:line="110"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corporation, firm, partnership, joint venture, limited liability company, estate, trust, business association, organization, Governmental</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Entity or other entity.</w:t>
      </w:r>
    </w:p>
    <w:p>
      <w:pPr>
        <w:spacing w:after="0" w:line="111"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Preferred Shares</w:t>
      </w:r>
      <w:r>
        <w:rPr>
          <w:rFonts w:ascii="Times New Roman" w:cs="Times New Roman" w:eastAsia="Times New Roman" w:hAnsi="Times New Roman"/>
          <w:sz w:val="14"/>
          <w:szCs w:val="14"/>
          <w:color w:val="auto"/>
        </w:rPr>
        <w:t>” shall have the same meaning as set forth in the Certificate of Incorporation.</w:t>
      </w:r>
    </w:p>
    <w:p>
      <w:pPr>
        <w:spacing w:after="0" w:line="127"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Quarter</w:t>
      </w:r>
      <w:r>
        <w:rPr>
          <w:rFonts w:ascii="Times New Roman" w:cs="Times New Roman" w:eastAsia="Times New Roman" w:hAnsi="Times New Roman"/>
          <w:sz w:val="14"/>
          <w:szCs w:val="14"/>
          <w:color w:val="auto"/>
        </w:rPr>
        <w:t>” means, unless the context requires otherwise, a fiscal quarter of the Corporation.</w:t>
      </w:r>
    </w:p>
    <w:p>
      <w:pPr>
        <w:spacing w:after="0" w:line="127" w:lineRule="exact"/>
        <w:rPr>
          <w:rFonts w:ascii="Times New Roman" w:cs="Times New Roman" w:eastAsia="Times New Roman" w:hAnsi="Times New Roman"/>
          <w:sz w:val="14"/>
          <w:szCs w:val="14"/>
          <w:color w:val="auto"/>
        </w:rPr>
      </w:pPr>
    </w:p>
    <w:p>
      <w:pPr>
        <w:ind w:right="300" w:firstLine="1288"/>
        <w:spacing w:after="0" w:line="236" w:lineRule="auto"/>
        <w:tabs>
          <w:tab w:leader="none" w:pos="1727"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means the date established by the Board of Directors for determining (i) the identity of the Record Holders entitled to notice of, or to vote at, any meeting of stockholders or entitled to exercise rights in respect of any lawful action of stockholders or (ii) the identity of Record Holders entitled to receive any report or distribution or to participate in any offer.</w:t>
      </w:r>
    </w:p>
    <w:p>
      <w:pPr>
        <w:spacing w:after="0" w:line="101" w:lineRule="exact"/>
        <w:rPr>
          <w:rFonts w:ascii="Times New Roman" w:cs="Times New Roman" w:eastAsia="Times New Roman" w:hAnsi="Times New Roman"/>
          <w:sz w:val="14"/>
          <w:szCs w:val="14"/>
          <w:color w:val="auto"/>
        </w:rPr>
      </w:pPr>
    </w:p>
    <w:p>
      <w:pPr>
        <w:ind w:right="80" w:firstLine="1288"/>
        <w:spacing w:after="0" w:line="236" w:lineRule="auto"/>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Record 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means (a) with respect to any Class A Shares, the Person in whose name such Shares are registered on the books of the Transfer Agent as of the opening of business on a particular Business Day, and (b) with respect to any Shares of any other class, the Person in whose name such Shares are registered on the books that the Corporation has caused to be kept as of the opening of business on such Business Day.</w:t>
      </w:r>
    </w:p>
    <w:p>
      <w:pPr>
        <w:spacing w:after="0" w:line="101" w:lineRule="exact"/>
        <w:rPr>
          <w:rFonts w:ascii="Times New Roman" w:cs="Times New Roman" w:eastAsia="Times New Roman" w:hAnsi="Times New Roman"/>
          <w:sz w:val="14"/>
          <w:szCs w:val="14"/>
          <w:color w:val="auto"/>
        </w:rPr>
      </w:pPr>
    </w:p>
    <w:p>
      <w:pPr>
        <w:ind w:right="360" w:firstLine="1288"/>
        <w:spacing w:after="0" w:line="255" w:lineRule="auto"/>
        <w:tabs>
          <w:tab w:leader="none" w:pos="172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 supplemented or restated from time to time and any successor to such statute, and the rules and regulations promulgated thereunder.</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w:t>
      </w:r>
      <w:r>
        <w:rPr>
          <w:rFonts w:ascii="Times New Roman" w:cs="Times New Roman" w:eastAsia="Times New Roman" w:hAnsi="Times New Roman"/>
          <w:sz w:val="14"/>
          <w:szCs w:val="14"/>
          <w:color w:val="auto"/>
        </w:rPr>
        <w:t>” shall have the same meaning as set forth in the Certificate of Incorporation.</w:t>
      </w:r>
    </w:p>
    <w:p>
      <w:pPr>
        <w:spacing w:after="0" w:line="127"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 Majority</w:t>
      </w:r>
      <w:r>
        <w:rPr>
          <w:rFonts w:ascii="Times New Roman" w:cs="Times New Roman" w:eastAsia="Times New Roman" w:hAnsi="Times New Roman"/>
          <w:sz w:val="14"/>
          <w:szCs w:val="14"/>
          <w:color w:val="auto"/>
        </w:rPr>
        <w:t>” means a majority of the total votes that may be cast in the election of Directors by holders of all Outstanding Voting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38" w:name="page139"/>
    <w:bookmarkEnd w:id="138"/>
    <w:p>
      <w:pPr>
        <w:ind w:left="1728" w:hanging="432"/>
        <w:spacing w:after="0"/>
        <w:tabs>
          <w:tab w:leader="none" w:pos="1728"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shall have the same meaning as set forth in the Certificate of Incorporation.</w:t>
      </w:r>
    </w:p>
    <w:p>
      <w:pPr>
        <w:spacing w:after="0" w:line="127" w:lineRule="exact"/>
        <w:rPr>
          <w:rFonts w:ascii="Times New Roman" w:cs="Times New Roman" w:eastAsia="Times New Roman" w:hAnsi="Times New Roman"/>
          <w:sz w:val="14"/>
          <w:szCs w:val="14"/>
          <w:color w:val="auto"/>
        </w:rPr>
      </w:pPr>
    </w:p>
    <w:p>
      <w:pPr>
        <w:ind w:left="8" w:firstLine="1288"/>
        <w:spacing w:after="0" w:line="255" w:lineRule="auto"/>
        <w:tabs>
          <w:tab w:leader="none" w:pos="1733"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means, with respect to a Share, a transaction by which the Record Holder of a Share assigns such Share to another Person who is or becomes a stockholder, and includes a sale, assignment, gift, exchange or any other disposition by law or otherwise, including any transfer upon foreclosure of any pledge, encumbrance, hypothecation or mortgage.</w:t>
      </w:r>
    </w:p>
    <w:p>
      <w:pPr>
        <w:spacing w:after="0" w:line="89" w:lineRule="exact"/>
        <w:rPr>
          <w:rFonts w:ascii="Times New Roman" w:cs="Times New Roman" w:eastAsia="Times New Roman" w:hAnsi="Times New Roman"/>
          <w:sz w:val="14"/>
          <w:szCs w:val="14"/>
          <w:color w:val="auto"/>
        </w:rPr>
      </w:pPr>
    </w:p>
    <w:p>
      <w:pPr>
        <w:jc w:val="both"/>
        <w:ind w:left="8" w:right="80" w:firstLine="1288"/>
        <w:spacing w:after="0" w:line="236" w:lineRule="auto"/>
        <w:tabs>
          <w:tab w:leader="none" w:pos="1734"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xml:space="preserve">” means, with respect to any class of Shares, such bank, trust company or other Person (including the Corporation or one of its Affiliates) as shall be appointed from time to time by the Corporation to act as registrar and transfer agent for such class of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no Transfer Agent is specifically designated for such class of Shares, the Corporation shall act in such capacity.</w:t>
      </w:r>
    </w:p>
    <w:p>
      <w:pPr>
        <w:spacing w:after="0" w:line="101" w:lineRule="exact"/>
        <w:rPr>
          <w:sz w:val="20"/>
          <w:szCs w:val="20"/>
          <w:color w:val="auto"/>
        </w:rPr>
      </w:pPr>
    </w:p>
    <w:p>
      <w:pPr>
        <w:ind w:left="8" w:firstLine="1288"/>
        <w:spacing w:after="0" w:line="255" w:lineRule="auto"/>
        <w:tabs>
          <w:tab w:leader="none" w:pos="1735"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Shares</w:t>
      </w:r>
      <w:r>
        <w:rPr>
          <w:rFonts w:ascii="Times New Roman" w:cs="Times New Roman" w:eastAsia="Times New Roman" w:hAnsi="Times New Roman"/>
          <w:sz w:val="14"/>
          <w:szCs w:val="14"/>
          <w:color w:val="auto"/>
        </w:rPr>
        <w:t>” means the Class A Shares, the Preferred Shares, and any other class of Shares that entitles the Record Holder thereof to vote on any matter submitted for consent or approval of stockholders pursuant to the DGCL, these By-Laws or the Certificate of Incorporation (including any Share Designation).</w:t>
      </w:r>
    </w:p>
    <w:p>
      <w:pPr>
        <w:spacing w:after="0" w:line="88" w:lineRule="exact"/>
        <w:rPr>
          <w:sz w:val="20"/>
          <w:szCs w:val="20"/>
          <w:color w:val="auto"/>
        </w:rPr>
      </w:pPr>
    </w:p>
    <w:p>
      <w:pPr>
        <w:ind w:left="5008"/>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127" w:lineRule="exact"/>
        <w:rPr>
          <w:sz w:val="20"/>
          <w:szCs w:val="20"/>
          <w:color w:val="auto"/>
        </w:rPr>
      </w:pPr>
    </w:p>
    <w:p>
      <w:pPr>
        <w:ind w:left="4968"/>
        <w:spacing w:after="0"/>
        <w:rPr>
          <w:sz w:val="20"/>
          <w:szCs w:val="20"/>
          <w:color w:val="auto"/>
        </w:rPr>
      </w:pPr>
      <w:r>
        <w:rPr>
          <w:rFonts w:ascii="Times New Roman" w:cs="Times New Roman" w:eastAsia="Times New Roman" w:hAnsi="Times New Roman"/>
          <w:sz w:val="14"/>
          <w:szCs w:val="14"/>
          <w:b w:val="1"/>
          <w:bCs w:val="1"/>
          <w:u w:val="single" w:color="auto"/>
          <w:color w:val="auto"/>
        </w:rPr>
        <w:t>INDEMNIFICATION</w:t>
      </w:r>
    </w:p>
    <w:p>
      <w:pPr>
        <w:spacing w:after="0" w:line="129" w:lineRule="exact"/>
        <w:rPr>
          <w:sz w:val="20"/>
          <w:szCs w:val="20"/>
          <w:color w:val="auto"/>
        </w:rPr>
      </w:pPr>
    </w:p>
    <w:p>
      <w:pPr>
        <w:ind w:left="1288" w:hanging="424"/>
        <w:spacing w:after="0"/>
        <w:tabs>
          <w:tab w:leader="none" w:pos="1288"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Power to Indemnify in Actions, Suits or Proceedings other than Those by or in the Right of the Corporation</w:t>
      </w:r>
    </w:p>
    <w:p>
      <w:pPr>
        <w:spacing w:after="0" w:line="145" w:lineRule="exact"/>
        <w:rPr>
          <w:sz w:val="20"/>
          <w:szCs w:val="20"/>
          <w:color w:val="auto"/>
        </w:rPr>
      </w:pPr>
    </w:p>
    <w:p>
      <w:pPr>
        <w:ind w:left="8" w:hanging="8"/>
        <w:spacing w:after="0" w:line="262" w:lineRule="auto"/>
        <w:tabs>
          <w:tab w:leader="none" w:pos="8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the Corporation shall indemnify any Indemnified Person who was or is a party or is threatened to be made a party to any threatened, pending or completed action, suit or proceeding, whether civil, criminal, administrative or investigative (other than an action by or in the right of the Corporation), by reason of his or her status as such against expenses (including attorneys’ fees), judgments, fines and amounts paid in settlement actually and reasonably incurred by such Indemnified Person in connection with such action, suit or proceeding if such Indemnified Person acted in good faith and in a manner such Indemnified Person reasonably believed to be in or not opposed to the best interests of the Corporation, and, with respect to any criminal action or proceeding, had no reasonable cause to believe such Indemnified Person’s conduct was unlawful. The termination of any action, suit or proceeding by judgment, order, settlement, conviction, or upon a plea of nolo contendere or its equivalent, shall not, of itself, create a presumption that the Indemnified Person did not act in good faith and in a manner which such Indemnified Person reasonably believed to be in or not opposed to the best interests of the Corporation, and, with respect to any criminal action or proceeding, had reasonable cause to believe that such Indemnified Person’s conduct was unlawful.</w:t>
      </w:r>
    </w:p>
    <w:p>
      <w:pPr>
        <w:spacing w:after="0" w:line="106"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Power to Indemnify in Actions, Suits or Proceedings by or in the Right of the Corporation</w:t>
      </w:r>
    </w:p>
    <w:p>
      <w:pPr>
        <w:spacing w:after="0" w:line="145" w:lineRule="exact"/>
        <w:rPr>
          <w:sz w:val="20"/>
          <w:szCs w:val="20"/>
          <w:color w:val="auto"/>
        </w:rPr>
      </w:pPr>
    </w:p>
    <w:p>
      <w:pPr>
        <w:ind w:left="8" w:right="100" w:hanging="8"/>
        <w:spacing w:after="0" w:line="295" w:lineRule="auto"/>
        <w:tabs>
          <w:tab w:leader="none" w:pos="8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the Corporation shall indemnify any Indemnified Person who was or is a party or is threatened to be made a party to any threatened, pending or completed action or suit by or in the right of the Corporation to procure a judgment in its favor by reason of his or her status as such against expenses (including attorneys’ fees) actually and reasonably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20" w:right="319" w:bottom="1440" w:gutter="0" w:footer="0" w:header="0"/>
        </w:sectPr>
      </w:pPr>
    </w:p>
    <w:bookmarkStart w:id="139" w:name="page140"/>
    <w:bookmarkEnd w:id="139"/>
    <w:p>
      <w:pPr>
        <w:ind w:left="8" w:right="20"/>
        <w:spacing w:after="0" w:line="268" w:lineRule="auto"/>
        <w:rPr>
          <w:sz w:val="20"/>
          <w:szCs w:val="20"/>
          <w:color w:val="auto"/>
        </w:rPr>
      </w:pPr>
      <w:r>
        <w:rPr>
          <w:rFonts w:ascii="Times New Roman" w:cs="Times New Roman" w:eastAsia="Times New Roman" w:hAnsi="Times New Roman"/>
          <w:sz w:val="14"/>
          <w:szCs w:val="14"/>
          <w:color w:val="auto"/>
        </w:rPr>
        <w:t>incurred by such Indemnified Person in connection with the defense or settlement of such action or suit if such Indemnified Person acted in good faith and in a manner such Indemnified Person reasonably believed to be in or not opposed to the best interests of the Corporation; except that no indemnification shall be made in respect of any claim, issue or matter as to which such Indemnified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Indemnified Person is fairly and reasonably entitled to indemnity for such expenses which the Court of Chancery or such other court shall deem proper.</w:t>
      </w:r>
    </w:p>
    <w:p>
      <w:pPr>
        <w:spacing w:after="0" w:line="91" w:lineRule="exact"/>
        <w:rPr>
          <w:sz w:val="20"/>
          <w:szCs w:val="20"/>
          <w:color w:val="auto"/>
        </w:rPr>
      </w:pPr>
    </w:p>
    <w:p>
      <w:pPr>
        <w:ind w:left="1288" w:hanging="424"/>
        <w:spacing w:after="0"/>
        <w:tabs>
          <w:tab w:leader="none" w:pos="1288"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Authorization of Indemnification</w:t>
      </w:r>
    </w:p>
    <w:p>
      <w:pPr>
        <w:spacing w:after="0" w:line="145" w:lineRule="exact"/>
        <w:rPr>
          <w:sz w:val="20"/>
          <w:szCs w:val="20"/>
          <w:color w:val="auto"/>
        </w:rPr>
      </w:pPr>
    </w:p>
    <w:p>
      <w:pPr>
        <w:ind w:left="8" w:hanging="8"/>
        <w:spacing w:after="0" w:line="264" w:lineRule="auto"/>
        <w:tabs>
          <w:tab w:leader="none" w:pos="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indemnification under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(unless ordered by a court) shall be made by the Corporation only as authorized in the specific case upon a determination that indemnification of the Indemnified Person is proper in the circumstances because such Indemnified Person has met the applicable standard of conduct set forth in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as the case may be. Such determination shall be made, with respect to an Indemnified Person who is a Director or Officer at the time of such determination, (a) by a majority vote of the Directors who are not parties to such action, suit or proceeding, even though less than a quorum, (b) by a committee of such Directors designated by a majority vote of such Directors, even though less than a quorum, or</w:t>
      </w:r>
    </w:p>
    <w:p>
      <w:pPr>
        <w:ind w:left="8" w:right="8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if there are no such Directors, or if such Directors so direct, by independent legal counsel in a written opinion or (d) by the stockholders. Such determination shall be made, with respect to any other Indemnified Person, by any person or persons having the authority to act on the matter on behalf of the Corporation. To the extent, however, that an Indemnified Person has been successful on the merits or otherwise in defense of any action, suit or proceeding described above, or in defense of any claim, issue or matter therein, such Indemnified Person shall be indemnified against expenses (including attorneys’ fees) actually and reasonably incurred by such Indemnified Person in connection therewith, without the necessity of authorization in the specific case.</w:t>
      </w:r>
    </w:p>
    <w:p>
      <w:pPr>
        <w:spacing w:after="0" w:line="96"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Good Faith Defined</w:t>
      </w:r>
    </w:p>
    <w:p>
      <w:pPr>
        <w:spacing w:after="0" w:line="145" w:lineRule="exact"/>
        <w:rPr>
          <w:sz w:val="20"/>
          <w:szCs w:val="20"/>
          <w:color w:val="auto"/>
        </w:rPr>
      </w:pPr>
    </w:p>
    <w:p>
      <w:pPr>
        <w:ind w:left="8" w:right="20" w:hanging="8"/>
        <w:spacing w:after="0" w:line="266" w:lineRule="auto"/>
        <w:tabs>
          <w:tab w:leader="none" w:pos="8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any determination under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an Indemnified Person shall be deemed to have acted in good faith and in a manner such Indemnified Person reasonably believed to be in or not opposed to the best interests of the Corporation, or, with respect to any criminal action or proceeding, to have had no reasonable cause to believe such Indemnified Person’s conduct was unlawful, if such Indemnified Person’s action is based on the records or books of account of the Corporation or another enterprise, or on information supplied to such Indemnified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w:t>
      </w:r>
      <w:r>
        <w:rPr>
          <w:rFonts w:ascii="Times New Roman" w:cs="Times New Roman" w:eastAsia="Times New Roman" w:hAnsi="Times New Roman"/>
          <w:sz w:val="14"/>
          <w:szCs w:val="14"/>
          <w:u w:val="single" w:color="auto"/>
          <w:color w:val="auto"/>
        </w:rPr>
        <w:t>Section 8.4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not be deemed to be exclusive or to limit in any way the circumstances in which an Indemnified Person may be deemed to have met the applicable standard of conduct set forth in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94" w:right="319" w:bottom="1440" w:gutter="0" w:footer="0" w:header="0"/>
        </w:sectPr>
      </w:pPr>
    </w:p>
    <w:bookmarkStart w:id="140" w:name="page141"/>
    <w:bookmarkEnd w:id="140"/>
    <w:p>
      <w:pPr>
        <w:ind w:left="1288" w:hanging="424"/>
        <w:spacing w:after="0"/>
        <w:tabs>
          <w:tab w:leader="none" w:pos="1288"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a Court</w:t>
      </w:r>
    </w:p>
    <w:p>
      <w:pPr>
        <w:spacing w:after="0" w:line="145" w:lineRule="exact"/>
        <w:rPr>
          <w:sz w:val="20"/>
          <w:szCs w:val="20"/>
          <w:color w:val="auto"/>
        </w:rPr>
      </w:pPr>
    </w:p>
    <w:p>
      <w:pPr>
        <w:ind w:left="8" w:right="40" w:hanging="8"/>
        <w:spacing w:after="0" w:line="263" w:lineRule="auto"/>
        <w:tabs>
          <w:tab w:leader="none" w:pos="8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contrary determination in the specific case under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and notwithstanding the absence of any determination thereunder, any Indemnified Person may apply to the Court of Chancery or any other court of competent jurisdiction in the State of Delaware for indemnification to the extent otherwise permissible under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The basis of such indemnification by a court shall be a determination by such court that indemnification of the Indemnified Person is proper in the circumstances because such Indemnified Person has met the applicable standard of conduct set forth in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as the case may be. Neither a contrary determination in the specific case under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nor the absence of any determination thereunder shall be a defense to such application or create a presumption that the Indemnified Person seeking indemnification has not met any applicable standard of conduct. Notice of any application for indemnification pursuant to this </w:t>
      </w:r>
      <w:r>
        <w:rPr>
          <w:rFonts w:ascii="Times New Roman" w:cs="Times New Roman" w:eastAsia="Times New Roman" w:hAnsi="Times New Roman"/>
          <w:sz w:val="14"/>
          <w:szCs w:val="14"/>
          <w:u w:val="single" w:color="auto"/>
          <w:color w:val="auto"/>
        </w:rPr>
        <w:t>Section 8.5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be given to the Corporation promptly upon the filing of such application. If successful, in whole or in part, the Indemnified Person seeking indemnification shall also be entitled to be paid the expense of prosecuting such application.</w:t>
      </w:r>
    </w:p>
    <w:p>
      <w:pPr>
        <w:spacing w:after="0" w:line="9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 Payable in Advance</w:t>
      </w:r>
    </w:p>
    <w:p>
      <w:pPr>
        <w:spacing w:after="0" w:line="145" w:lineRule="exact"/>
        <w:rPr>
          <w:sz w:val="20"/>
          <w:szCs w:val="20"/>
          <w:color w:val="auto"/>
        </w:rPr>
      </w:pPr>
    </w:p>
    <w:p>
      <w:pPr>
        <w:ind w:left="8" w:right="40" w:hanging="8"/>
        <w:spacing w:after="0" w:line="272" w:lineRule="auto"/>
        <w:tabs>
          <w:tab w:leader="none" w:pos="8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Expenses (including attorneys’ fees) incurred by an Indemnified Person in defending any civil, criminal, administrative or investigative action, suit or proceeding shall be paid by the Corporation in advance of the final disposition of such action, suit or proceeding upon receipt of an undertaking by or on behalf of such Indemnified Person to repay such amount if it shall ultimately be determined that such Indemnified Person is not entitled to be indemnified by the Corporation as authorized in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Such expenses (including attorneys’ fees) incurred by Indemnified Persons that are former Directors or Officers or other employees and agents may be so paid upon such terms and conditions, if any, as the Corporation deems appropriate.</w:t>
      </w:r>
    </w:p>
    <w:p>
      <w:pPr>
        <w:spacing w:after="0" w:line="8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 of Indemnification and Advancement of Expenses</w:t>
      </w:r>
    </w:p>
    <w:p>
      <w:pPr>
        <w:spacing w:after="0" w:line="145" w:lineRule="exact"/>
        <w:rPr>
          <w:sz w:val="20"/>
          <w:szCs w:val="20"/>
          <w:color w:val="auto"/>
        </w:rPr>
      </w:pPr>
    </w:p>
    <w:p>
      <w:pPr>
        <w:ind w:left="8" w:hanging="8"/>
        <w:spacing w:after="0" w:line="263" w:lineRule="auto"/>
        <w:tabs>
          <w:tab w:leader="none" w:pos="8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indemnification and advancement of expenses provided by, or granted pursuant to,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Indemnified Person’s official capacity and as to action in another capacity while holding such office, it being the policy of the Corporation that indemnification of the Persons specified in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be made to the fullest extent permitted by law. The right to indemnification or to advancement of expenses arising under a provision of the Certificate of Incorporation or these By-laws shall not be eliminated or impaired by an amendment to or repeal or elimination of a provision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76" w:right="299" w:bottom="1440" w:gutter="0" w:footer="0" w:header="0"/>
        </w:sectPr>
      </w:pPr>
    </w:p>
    <w:bookmarkStart w:id="141" w:name="page142"/>
    <w:bookmarkEnd w:id="141"/>
    <w:p>
      <w:pPr>
        <w:ind w:left="8"/>
        <w:spacing w:after="0" w:line="295" w:lineRule="auto"/>
        <w:rPr>
          <w:sz w:val="20"/>
          <w:szCs w:val="20"/>
          <w:color w:val="auto"/>
        </w:rPr>
      </w:pPr>
      <w:r>
        <w:rPr>
          <w:rFonts w:ascii="Times New Roman" w:cs="Times New Roman" w:eastAsia="Times New Roman" w:hAnsi="Times New Roman"/>
          <w:sz w:val="14"/>
          <w:szCs w:val="14"/>
          <w:color w:val="auto"/>
        </w:rPr>
        <w:t xml:space="preserve">or omission has occurred. The provisions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not be deemed to preclude the indemnification of any Person who is not specified in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but whom the Corporation has the power or obligation to indemnify under the provisions of the DGCL, or otherwise.</w:t>
      </w:r>
    </w:p>
    <w:p>
      <w:pPr>
        <w:spacing w:after="0" w:line="72" w:lineRule="exact"/>
        <w:rPr>
          <w:sz w:val="20"/>
          <w:szCs w:val="20"/>
          <w:color w:val="auto"/>
        </w:rPr>
      </w:pPr>
    </w:p>
    <w:p>
      <w:pPr>
        <w:ind w:left="1288" w:hanging="424"/>
        <w:spacing w:after="0"/>
        <w:tabs>
          <w:tab w:leader="none" w:pos="1288"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p>
    <w:p>
      <w:pPr>
        <w:spacing w:after="0" w:line="145" w:lineRule="exact"/>
        <w:rPr>
          <w:sz w:val="20"/>
          <w:szCs w:val="20"/>
          <w:color w:val="auto"/>
        </w:rPr>
      </w:pPr>
    </w:p>
    <w:p>
      <w:pPr>
        <w:ind w:left="8" w:right="220" w:hanging="8"/>
        <w:spacing w:after="0" w:line="282" w:lineRule="auto"/>
        <w:tabs>
          <w:tab w:leader="none" w:pos="8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may purchase and maintain insurance on behalf of any Indemnified Person against any liability asserted against such Indemnified Person and incurred by such Indemnified Person in any capacity as an Indemnified Person, or arising out of such Person’s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w:t>
      </w:r>
    </w:p>
    <w:p>
      <w:pPr>
        <w:spacing w:after="0" w:line="80"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p>
    <w:p>
      <w:pPr>
        <w:spacing w:after="0" w:line="145" w:lineRule="exact"/>
        <w:rPr>
          <w:sz w:val="20"/>
          <w:szCs w:val="20"/>
          <w:color w:val="auto"/>
        </w:rPr>
      </w:pPr>
    </w:p>
    <w:p>
      <w:pPr>
        <w:ind w:left="8" w:right="140" w:hanging="8"/>
        <w:spacing w:after="0" w:line="261" w:lineRule="auto"/>
        <w:tabs>
          <w:tab w:leader="none" w:pos="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with respect to the resulting or surviving corporation as such Person would have with respect to such constituent corporation if its separate existence had continued. The term “another enterprise” as used in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w:t>
      </w:r>
    </w:p>
    <w:p>
      <w:pPr>
        <w:spacing w:after="0" w:line="274"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Survival of Indemnification and Advancement of Expenses</w:t>
      </w:r>
    </w:p>
    <w:p>
      <w:pPr>
        <w:spacing w:after="0" w:line="145" w:lineRule="exact"/>
        <w:rPr>
          <w:sz w:val="20"/>
          <w:szCs w:val="20"/>
          <w:color w:val="auto"/>
        </w:rPr>
      </w:pPr>
    </w:p>
    <w:p>
      <w:pPr>
        <w:ind w:left="8" w:right="100" w:hanging="8"/>
        <w:spacing w:after="0" w:line="295" w:lineRule="auto"/>
        <w:tabs>
          <w:tab w:leader="none" w:pos="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indemnification and advancement of expenses provided by, or granted pursuant to,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72"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on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4" w:right="299" w:bottom="1440" w:gutter="0" w:footer="0" w:header="0"/>
        </w:sectPr>
      </w:pPr>
    </w:p>
    <w:bookmarkStart w:id="142" w:name="page143"/>
    <w:bookmarkEnd w:id="142"/>
    <w:p>
      <w:pPr>
        <w:ind w:left="8" w:hanging="8"/>
        <w:spacing w:after="0" w:line="275" w:lineRule="auto"/>
        <w:tabs>
          <w:tab w:leader="none" w:pos="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contained in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to the contrary, except for proceedings to enforce rights to indemnification (which shall be governed by </w:t>
      </w:r>
      <w:r>
        <w:rPr>
          <w:rFonts w:ascii="Times New Roman" w:cs="Times New Roman" w:eastAsia="Times New Roman" w:hAnsi="Times New Roman"/>
          <w:sz w:val="14"/>
          <w:szCs w:val="14"/>
          <w:u w:val="single" w:color="auto"/>
          <w:color w:val="auto"/>
        </w:rPr>
        <w:t>Section 8.5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the Corporation shall not be obligated to indemnify any Indemnified Person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94"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of Employees and Agents</w:t>
      </w:r>
    </w:p>
    <w:p>
      <w:pPr>
        <w:spacing w:after="0" w:line="145" w:lineRule="exact"/>
        <w:rPr>
          <w:sz w:val="20"/>
          <w:szCs w:val="20"/>
          <w:color w:val="auto"/>
        </w:rPr>
      </w:pPr>
    </w:p>
    <w:p>
      <w:pPr>
        <w:ind w:left="8" w:right="100" w:hanging="8"/>
        <w:spacing w:after="0" w:line="295" w:lineRule="auto"/>
        <w:tabs>
          <w:tab w:leader="none" w:pos="8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may, to the extent authorized from time to time by the Board of Directors, provide rights to indemnification and to the advancement of expenses to employees and agents of the Corporation similar to those conferred in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to Indemnified Persons.</w:t>
      </w:r>
    </w:p>
    <w:p>
      <w:pPr>
        <w:spacing w:after="0" w:line="72"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with Respect to Employee Benefit Plans</w:t>
      </w:r>
    </w:p>
    <w:p>
      <w:pPr>
        <w:spacing w:after="0" w:line="145" w:lineRule="exact"/>
        <w:rPr>
          <w:sz w:val="20"/>
          <w:szCs w:val="20"/>
          <w:color w:val="auto"/>
        </w:rPr>
      </w:pPr>
    </w:p>
    <w:p>
      <w:pPr>
        <w:ind w:left="8" w:right="20" w:hanging="8"/>
        <w:spacing w:after="0" w:line="272" w:lineRule="auto"/>
        <w:tabs>
          <w:tab w:leader="none" w:pos="8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liabilities which an Indemnified Person incurs as a result of acting on behalf of the Corporation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 shall be treated as liabilities indemnifiable under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to the maximum extent permitted by law.</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12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u w:val="single" w:color="auto"/>
          <w:color w:val="auto"/>
        </w:rPr>
        <w:t>FORUM FOR ADJUDICATION OF CERTAIN DISPUTES</w:t>
      </w:r>
    </w:p>
    <w:p>
      <w:pPr>
        <w:spacing w:after="0" w:line="129" w:lineRule="exact"/>
        <w:rPr>
          <w:sz w:val="20"/>
          <w:szCs w:val="20"/>
          <w:color w:val="auto"/>
        </w:rPr>
      </w:pPr>
    </w:p>
    <w:p>
      <w:pPr>
        <w:ind w:left="1288" w:hanging="424"/>
        <w:spacing w:after="0"/>
        <w:tabs>
          <w:tab w:leader="none" w:pos="1288"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Forum for Adjudication of Certain Disputes</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8" w:firstLine="1288"/>
        <w:spacing w:after="0" w:line="222" w:lineRule="auto"/>
        <w:tabs>
          <w:tab w:leader="none" w:pos="1734"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the Corporation consents in writing to the selection of an alternative forum, the Court of Chancery shall, to the fullest extent permitted by applicable law, be the sole and exclusive forum for (i) any derivative action or proceeding brought on behalf of the Corporation, (ii) any action asserting a claim of breach of a duty (including any fiduciary duty) owed by any current or former Director, Officer, employee or agent of the Corporation to the Corporation or the Corporation’s stockholders, (iii) any action asserting a claim against the Corporation or any current or former Director or Officer or other employee of the Corporation arising pursuant to any provision of the DGCL, the Certificate of Incorporation or these By-Laws (each, as in effect from time to time), or (iv) any action asserting a claim against the Corporation or any current or former Director or Officer or other employee of the Corporation governed by the internal affairs doctrine, in each such case subject to said Court of Chancery having personal jurisdiction over the indispensable parties named as defendants therein;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that the Court of Chancery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94" w:right="319" w:bottom="1440" w:gutter="0" w:footer="0" w:header="0"/>
        </w:sectPr>
      </w:pPr>
    </w:p>
    <w:bookmarkStart w:id="143" w:name="page144"/>
    <w:bookmarkEnd w:id="143"/>
    <w:p>
      <w:pPr>
        <w:jc w:val="both"/>
        <w:ind w:left="8" w:right="40"/>
        <w:spacing w:after="0" w:line="236" w:lineRule="auto"/>
        <w:rPr>
          <w:sz w:val="20"/>
          <w:szCs w:val="20"/>
          <w:color w:val="auto"/>
        </w:rPr>
      </w:pPr>
      <w:r>
        <w:rPr>
          <w:rFonts w:ascii="Times New Roman" w:cs="Times New Roman" w:eastAsia="Times New Roman" w:hAnsi="Times New Roman"/>
          <w:sz w:val="14"/>
          <w:szCs w:val="14"/>
          <w:color w:val="auto"/>
        </w:rPr>
        <w:t xml:space="preserve">the Corporation consents in writing to the selection of an alternative forum, the federal district courts of the State of Delaware shall, to the fullest extent permitted by law, be the sole and exclusive forum for the resolution of any complaint asserting a cause of action arising under the Securities Act, as amended. Any person or entity purchasing or otherwise acquiring any interest in Shares of the Corporation shall be deemed to have notice of and consented to the provisions of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jc w:val="both"/>
        <w:ind w:left="8" w:right="40" w:firstLine="1288"/>
        <w:spacing w:after="0" w:line="231" w:lineRule="auto"/>
        <w:tabs>
          <w:tab w:leader="none" w:pos="1733"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provision or provisions of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(including, without limitation, each portion of any sentence of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00" w:lineRule="exact"/>
        <w:rPr>
          <w:rFonts w:ascii="Times New Roman" w:cs="Times New Roman" w:eastAsia="Times New Roman" w:hAnsi="Times New Roman"/>
          <w:sz w:val="14"/>
          <w:szCs w:val="14"/>
          <w:color w:val="auto"/>
        </w:rPr>
      </w:pPr>
    </w:p>
    <w:p>
      <w:pPr>
        <w:ind w:left="8" w:right="60" w:firstLine="1288"/>
        <w:spacing w:after="0" w:line="231" w:lineRule="auto"/>
        <w:tabs>
          <w:tab w:leader="none" w:pos="1734"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fullest extent permitted by law, if any action the subject matter of which is within the scope of </w:t>
      </w:r>
      <w:r>
        <w:rPr>
          <w:rFonts w:ascii="Times New Roman" w:cs="Times New Roman" w:eastAsia="Times New Roman" w:hAnsi="Times New Roman"/>
          <w:sz w:val="14"/>
          <w:szCs w:val="14"/>
          <w:u w:val="single" w:color="auto"/>
          <w:color w:val="auto"/>
        </w:rPr>
        <w:t>Section 9.1(a)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is filed in a court other than a court located within the State of Delaware (a “</w:t>
      </w:r>
      <w:r>
        <w:rPr>
          <w:rFonts w:ascii="Times New Roman" w:cs="Times New Roman" w:eastAsia="Times New Roman" w:hAnsi="Times New Roman"/>
          <w:sz w:val="14"/>
          <w:szCs w:val="14"/>
          <w:u w:val="single" w:color="auto"/>
          <w:color w:val="auto"/>
        </w:rPr>
        <w:t>Foreign Action</w:t>
      </w:r>
      <w:r>
        <w:rPr>
          <w:rFonts w:ascii="Times New Roman" w:cs="Times New Roman" w:eastAsia="Times New Roman" w:hAnsi="Times New Roman"/>
          <w:sz w:val="14"/>
          <w:szCs w:val="14"/>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14"/>
          <w:szCs w:val="14"/>
          <w:u w:val="single" w:color="auto"/>
          <w:color w:val="auto"/>
        </w:rPr>
        <w:t>Section 9.1(a)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(an “</w:t>
      </w:r>
      <w:r>
        <w:rPr>
          <w:rFonts w:ascii="Times New Roman" w:cs="Times New Roman" w:eastAsia="Times New Roman" w:hAnsi="Times New Roman"/>
          <w:sz w:val="14"/>
          <w:szCs w:val="14"/>
          <w:u w:val="single" w:color="auto"/>
          <w:color w:val="auto"/>
        </w:rPr>
        <w:t>FSC Enforcement Action</w:t>
      </w:r>
      <w:r>
        <w:rPr>
          <w:rFonts w:ascii="Times New Roman" w:cs="Times New Roman" w:eastAsia="Times New Roman" w:hAnsi="Times New Roman"/>
          <w:sz w:val="14"/>
          <w:szCs w:val="14"/>
          <w:color w:val="auto"/>
        </w:rPr>
        <w:t>”) and (ii) having service of process made upon such stockholder in any such FSC Enforcement Action by service upon such stockholder’s counsel in the Foreign Action as agent for such stockholder.</w:t>
      </w:r>
    </w:p>
    <w:p>
      <w:pPr>
        <w:spacing w:after="0" w:line="98" w:lineRule="exact"/>
        <w:rPr>
          <w:sz w:val="20"/>
          <w:szCs w:val="20"/>
          <w:color w:val="auto"/>
        </w:rPr>
      </w:pPr>
    </w:p>
    <w:p>
      <w:pPr>
        <w:ind w:left="5228"/>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127" w:lineRule="exact"/>
        <w:rPr>
          <w:sz w:val="20"/>
          <w:szCs w:val="20"/>
          <w:color w:val="auto"/>
        </w:rPr>
      </w:pPr>
    </w:p>
    <w:p>
      <w:pPr>
        <w:ind w:left="5128"/>
        <w:spacing w:after="0"/>
        <w:rPr>
          <w:sz w:val="20"/>
          <w:szCs w:val="20"/>
          <w:color w:val="auto"/>
        </w:rPr>
      </w:pPr>
      <w:r>
        <w:rPr>
          <w:rFonts w:ascii="Times New Roman" w:cs="Times New Roman" w:eastAsia="Times New Roman" w:hAnsi="Times New Roman"/>
          <w:sz w:val="14"/>
          <w:szCs w:val="14"/>
          <w:b w:val="1"/>
          <w:bCs w:val="1"/>
          <w:u w:val="single" w:color="auto"/>
          <w:color w:val="auto"/>
        </w:rPr>
        <w:t>AMENDMENTS</w:t>
      </w:r>
    </w:p>
    <w:p>
      <w:pPr>
        <w:spacing w:after="0" w:line="129" w:lineRule="exact"/>
        <w:rPr>
          <w:sz w:val="20"/>
          <w:szCs w:val="20"/>
          <w:color w:val="auto"/>
        </w:rPr>
      </w:pPr>
    </w:p>
    <w:p>
      <w:pPr>
        <w:ind w:left="1288" w:hanging="424"/>
        <w:spacing w:after="0"/>
        <w:tabs>
          <w:tab w:leader="none" w:pos="1288"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p>
    <w:p>
      <w:pPr>
        <w:spacing w:after="0" w:line="145" w:lineRule="exact"/>
        <w:rPr>
          <w:sz w:val="20"/>
          <w:szCs w:val="20"/>
          <w:color w:val="auto"/>
        </w:rPr>
      </w:pPr>
    </w:p>
    <w:p>
      <w:pPr>
        <w:ind w:left="8" w:right="60" w:hanging="8"/>
        <w:spacing w:after="0" w:line="264" w:lineRule="auto"/>
        <w:tabs>
          <w:tab w:leader="none" w:pos="8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provided in the Certificate of Incorporation or </w:t>
      </w:r>
      <w:r>
        <w:rPr>
          <w:rFonts w:ascii="Times New Roman" w:cs="Times New Roman" w:eastAsia="Times New Roman" w:hAnsi="Times New Roman"/>
          <w:sz w:val="14"/>
          <w:szCs w:val="14"/>
          <w:u w:val="single" w:color="auto"/>
          <w:color w:val="auto"/>
        </w:rPr>
        <w:t>Sections 10.2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10.4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the Board of Directors may amend any of the terms of these By-Laws but only in compliance with the terms, conditions and procedures set forth in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If the Board of Directors desires to amend any provision of these By-Laws other than pursuant to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then it shall first adopt a resolution setting forth the amendment proposed, declaring its advisability, and then (a) call a special meeting of the stockholders entitled to vote in respect thereof for the consideration of such amendment, (b) direct that the amendment proposed be considered at the next annual meeting of the stockholders in accordance with these By-Laws or</w:t>
      </w:r>
    </w:p>
    <w:p>
      <w:pPr>
        <w:ind w:left="8"/>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seek the written consent of the stockholders. Such special or annual meeting shall be called and held upon notice in accordance with these By-Laws. The notice shall set forth such amendment in full or a brief summary of the changes to be effected thereby, as the Board of Directors shall deem advisable. At the meeting, a vote of stockholders entitled to vote thereon shall be taken for and against the proposed amendment. A proposed amendment shall be effective upon its approval by a Share Majority, unless a greater percentage is required under the Certificate of Incorporation (including any Share Designation), these By-Laws, applicable law or the rules and regulations of any National Securities Exchange on which the Shares are listed or quoted for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20" w:right="319" w:bottom="1440" w:gutter="0" w:footer="0" w:header="0"/>
        </w:sectPr>
      </w:pPr>
    </w:p>
    <w:bookmarkStart w:id="144" w:name="page145"/>
    <w:bookmarkEnd w:id="144"/>
    <w:p>
      <w:pPr>
        <w:ind w:left="1288" w:hanging="424"/>
        <w:spacing w:after="0"/>
        <w:tabs>
          <w:tab w:leader="none" w:pos="1288"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Super-Majority Amendments</w:t>
      </w:r>
    </w:p>
    <w:p>
      <w:pPr>
        <w:spacing w:after="0" w:line="145" w:lineRule="exact"/>
        <w:rPr>
          <w:sz w:val="20"/>
          <w:szCs w:val="20"/>
          <w:color w:val="auto"/>
        </w:rPr>
      </w:pPr>
    </w:p>
    <w:p>
      <w:pPr>
        <w:ind w:left="8" w:right="140" w:hanging="8"/>
        <w:spacing w:after="0" w:line="295" w:lineRule="auto"/>
        <w:tabs>
          <w:tab w:leader="none" w:pos="8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the affirmative vote of the holders of Outstanding Voting Shares representing at least two-thirds of the total votes that may be cast by all Outstanding Voting Shares in the election of Directors, voting together as a single class, shall be required to alter or amend any provision of this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10.4(b)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w:t>
      </w:r>
    </w:p>
    <w:p>
      <w:pPr>
        <w:spacing w:after="0" w:line="72"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to be Adopted Solely by the Board of Directors</w:t>
      </w:r>
    </w:p>
    <w:p>
      <w:pPr>
        <w:spacing w:after="0" w:line="145" w:lineRule="exact"/>
        <w:rPr>
          <w:sz w:val="20"/>
          <w:szCs w:val="20"/>
          <w:color w:val="auto"/>
        </w:rPr>
      </w:pPr>
    </w:p>
    <w:p>
      <w:pPr>
        <w:ind w:left="8" w:right="260" w:hanging="8"/>
        <w:spacing w:after="0" w:line="309" w:lineRule="auto"/>
        <w:tabs>
          <w:tab w:leader="none" w:pos="8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the Board of Directors, without the approval of any stockholder, may amend any provision of these By-Laws, and execute, swear to, acknowledge, deliver, file and record whatever documents may be required in connection therewith, to reflect:</w:t>
      </w:r>
    </w:p>
    <w:p>
      <w:pPr>
        <w:spacing w:after="0" w:line="61"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name of the Corporation, the location of the principal place of business of the Corporation, the registered agent of the Corporation or the registered</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 of the Corporation;</w:t>
      </w:r>
    </w:p>
    <w:p>
      <w:pPr>
        <w:spacing w:after="0" w:line="111" w:lineRule="exact"/>
        <w:rPr>
          <w:rFonts w:ascii="Times New Roman" w:cs="Times New Roman" w:eastAsia="Times New Roman" w:hAnsi="Times New Roman"/>
          <w:sz w:val="14"/>
          <w:szCs w:val="14"/>
          <w:color w:val="auto"/>
        </w:rPr>
      </w:pPr>
    </w:p>
    <w:p>
      <w:pPr>
        <w:ind w:left="8" w:right="40" w:firstLine="1288"/>
        <w:spacing w:after="0" w:line="224" w:lineRule="auto"/>
        <w:tabs>
          <w:tab w:leader="none" w:pos="1733"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change that, in the sole discretion of the Board of Directors, it determines (i) does not adversely affect the stockholders (including adversely affecting the holders of any particular class or series of Shares as compared to other holders of other classes or series of Shares) in any material respect, (ii) to be necessary or appropriate to satisfy any requirements, conditions or guidelines contained in any opinion, directive, order, ruling or regulation of any federal or state agency or judicial authority or contained in any federal or state statute (including the DGCL), (iii) to be necessary, desirable or appropriate to facilitate the trading of the Shares or comply with any rule, regulation, guideline or requirement of any National Securities Exchange on which Shares are or will be listed or quoted for trading, compliance with any of which the Board of Directors deems to be in the best interests of the Corporation and the stockholders, (iv) to be necessary or appropriate in connection with action taken by the Board of Directors pursuant to </w:t>
      </w:r>
      <w:r>
        <w:rPr>
          <w:rFonts w:ascii="Times New Roman" w:cs="Times New Roman" w:eastAsia="Times New Roman" w:hAnsi="Times New Roman"/>
          <w:sz w:val="14"/>
          <w:szCs w:val="14"/>
          <w:u w:val="single" w:color="auto"/>
          <w:color w:val="auto"/>
        </w:rPr>
        <w:t>Section 5.8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(v) is required to effect the intent of the provisions of the Certificate of Incorporation or these By-Laws or is otherwise contemplated by the Certificate of Incorporation or these By-Laws;</w:t>
      </w:r>
    </w:p>
    <w:p>
      <w:pPr>
        <w:spacing w:after="0" w:line="100" w:lineRule="exact"/>
        <w:rPr>
          <w:rFonts w:ascii="Times New Roman" w:cs="Times New Roman" w:eastAsia="Times New Roman" w:hAnsi="Times New Roman"/>
          <w:sz w:val="14"/>
          <w:szCs w:val="14"/>
          <w:color w:val="auto"/>
        </w:rPr>
      </w:pPr>
    </w:p>
    <w:p>
      <w:pPr>
        <w:ind w:left="8" w:right="140" w:firstLine="1288"/>
        <w:spacing w:after="0" w:line="255" w:lineRule="auto"/>
        <w:tabs>
          <w:tab w:leader="none" w:pos="1734"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fiscal year or taxable year of the Corporation and any other changes that the Board of Directors determines to be necessary or appropriate as a result of a change in the fiscal year or taxable year of the Corporation;</w:t>
      </w:r>
    </w:p>
    <w:p>
      <w:pPr>
        <w:spacing w:after="0" w:line="89" w:lineRule="exact"/>
        <w:rPr>
          <w:rFonts w:ascii="Times New Roman" w:cs="Times New Roman" w:eastAsia="Times New Roman" w:hAnsi="Times New Roman"/>
          <w:sz w:val="14"/>
          <w:szCs w:val="14"/>
          <w:color w:val="auto"/>
        </w:rPr>
      </w:pPr>
    </w:p>
    <w:p>
      <w:pPr>
        <w:ind w:left="8" w:firstLine="1288"/>
        <w:spacing w:after="0" w:line="231" w:lineRule="auto"/>
        <w:tabs>
          <w:tab w:leader="none" w:pos="1733"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that the Board of Directors determines, based on the advice of counsel, to be necessary or appropriate to prevent the Corporation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00" w:lineRule="exact"/>
        <w:rPr>
          <w:rFonts w:ascii="Times New Roman" w:cs="Times New Roman" w:eastAsia="Times New Roman" w:hAnsi="Times New Roman"/>
          <w:sz w:val="14"/>
          <w:szCs w:val="14"/>
          <w:color w:val="auto"/>
        </w:rPr>
      </w:pPr>
    </w:p>
    <w:p>
      <w:pPr>
        <w:ind w:left="8" w:right="120" w:firstLine="1288"/>
        <w:spacing w:after="0" w:line="255" w:lineRule="auto"/>
        <w:tabs>
          <w:tab w:leader="none" w:pos="1734"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that the Board of Directors determines to be necessary or appropriate in connection with the authorization or issuance of any class or series of Shares pursuant to Article FOURTH of the Certificate of Incorporation;</w:t>
      </w:r>
    </w:p>
    <w:p>
      <w:pPr>
        <w:spacing w:after="0" w:line="89"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expressly permitted in the Certificate of Incorporation or these By-Laws to be made by the Board of Directors acting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76" w:right="299" w:bottom="1440" w:gutter="0" w:footer="0" w:header="0"/>
        </w:sectPr>
      </w:pPr>
    </w:p>
    <w:bookmarkStart w:id="145" w:name="page146"/>
    <w:bookmarkEnd w:id="145"/>
    <w:p>
      <w:pPr>
        <w:ind w:left="1720" w:hanging="432"/>
        <w:spacing w:after="0"/>
        <w:tabs>
          <w:tab w:leader="none" w:pos="172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effected, necessitated or contemplated by a merger agreement approved in accordance with the Certificate of Incorporation and these By-Laws;</w:t>
      </w:r>
    </w:p>
    <w:p>
      <w:pPr>
        <w:spacing w:after="0" w:line="127" w:lineRule="exact"/>
        <w:rPr>
          <w:rFonts w:ascii="Times New Roman" w:cs="Times New Roman" w:eastAsia="Times New Roman" w:hAnsi="Times New Roman"/>
          <w:sz w:val="14"/>
          <w:szCs w:val="14"/>
          <w:color w:val="auto"/>
        </w:rPr>
      </w:pPr>
    </w:p>
    <w:p>
      <w:pPr>
        <w:ind w:right="80" w:firstLine="1288"/>
        <w:spacing w:after="0" w:line="236" w:lineRule="auto"/>
        <w:tabs>
          <w:tab w:leader="none" w:pos="1725"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that the Board of Directors determines to be necessary or appropriate to reflect and account for the formation by the Corporation of, or investment by the Corporation in, any corporation, partnership, joint venture, limited liability company or other entity, in connection with the conduct by the Corporation of activities permitted by the terms of Article THIRD of the Certificate of Incorporation;</w:t>
      </w:r>
    </w:p>
    <w:p>
      <w:pPr>
        <w:spacing w:after="0" w:line="101"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conversion or conveyance approved in accordance with the requirements of the DGCL, the Certificate of Incorporation and these By-Laws; or</w:t>
      </w:r>
    </w:p>
    <w:p>
      <w:pPr>
        <w:spacing w:after="0" w:line="127"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1"/>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amendments substantially similar to the foregoing.</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firstLine="1288"/>
        <w:spacing w:after="0" w:line="231" w:lineRule="auto"/>
        <w:tabs>
          <w:tab w:leader="none" w:pos="1726"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provisions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no provision of the Certificate of Incorporation or these By-Laws that establishes a percentage of Outstanding Voting Shares required to take any action shall be amended, altered, changed, repealed or rescinded in any respect that would have the effect of reducing such voting percentage unless such amendment is approved by the affirmative vote (including by written consent) of holders of Outstanding Voting Shares whose aggregate Outstanding Voting Shares constitute not less than the voting requirement sought to be reduced.</w:t>
      </w:r>
    </w:p>
    <w:p>
      <w:pPr>
        <w:spacing w:after="0" w:line="100" w:lineRule="exact"/>
        <w:rPr>
          <w:rFonts w:ascii="Times New Roman" w:cs="Times New Roman" w:eastAsia="Times New Roman" w:hAnsi="Times New Roman"/>
          <w:sz w:val="14"/>
          <w:szCs w:val="14"/>
          <w:color w:val="auto"/>
        </w:rPr>
      </w:pPr>
    </w:p>
    <w:p>
      <w:pPr>
        <w:ind w:right="180" w:firstLine="1288"/>
        <w:spacing w:after="0" w:line="236" w:lineRule="auto"/>
        <w:tabs>
          <w:tab w:leader="none" w:pos="1725"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provisions of </w:t>
      </w:r>
      <w:r>
        <w:rPr>
          <w:rFonts w:ascii="Times New Roman" w:cs="Times New Roman" w:eastAsia="Times New Roman" w:hAnsi="Times New Roman"/>
          <w:sz w:val="14"/>
          <w:szCs w:val="14"/>
          <w:u w:val="single" w:color="auto"/>
          <w:color w:val="auto"/>
        </w:rPr>
        <w:t>Sections 10.1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10.3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(other than </w:t>
      </w:r>
      <w:r>
        <w:rPr>
          <w:rFonts w:ascii="Times New Roman" w:cs="Times New Roman" w:eastAsia="Times New Roman" w:hAnsi="Times New Roman"/>
          <w:sz w:val="14"/>
          <w:szCs w:val="14"/>
          <w:u w:val="single" w:color="auto"/>
          <w:color w:val="auto"/>
        </w:rPr>
        <w:t>Section 10.3(b)(iv)</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but subject to the provisions of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no amendment to the Certificate of Incorporation or these By-Laws may (i) enlarge the obligations of any stockholder without its consent, unless such shall occur as a result of an amendment approved pursuant to </w:t>
      </w:r>
      <w:r>
        <w:rPr>
          <w:rFonts w:ascii="Times New Roman" w:cs="Times New Roman" w:eastAsia="Times New Roman" w:hAnsi="Times New Roman"/>
          <w:sz w:val="14"/>
          <w:szCs w:val="14"/>
          <w:u w:val="single" w:color="auto"/>
          <w:color w:val="auto"/>
        </w:rPr>
        <w:t>Section 10.4(c)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or (ii) change the term of the Corporation.</w:t>
      </w:r>
    </w:p>
    <w:p>
      <w:pPr>
        <w:spacing w:after="0" w:line="101" w:lineRule="exact"/>
        <w:rPr>
          <w:rFonts w:ascii="Times New Roman" w:cs="Times New Roman" w:eastAsia="Times New Roman" w:hAnsi="Times New Roman"/>
          <w:sz w:val="14"/>
          <w:szCs w:val="14"/>
          <w:color w:val="auto"/>
        </w:rPr>
      </w:pPr>
    </w:p>
    <w:p>
      <w:pPr>
        <w:ind w:right="60" w:firstLine="1288"/>
        <w:spacing w:after="0" w:line="236" w:lineRule="auto"/>
        <w:tabs>
          <w:tab w:leader="none" w:pos="1726"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limitation of the Board of Directors’ authority to adopt amendments to the Certificate of Incorporation or these By-Laws without the approval of any stockholders as contemplated in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and notwithstanding the provisions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any amendment that would have a material adverse effect on the rights or preferences of any class or series of Shares in relation to other classes or series of Shares must be approved by the holders of a majority of the Outstanding Shares of the class or series affected.</w:t>
      </w:r>
    </w:p>
    <w:p>
      <w:pPr>
        <w:spacing w:after="0" w:line="119"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adopted as of: August 3,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Last Amended as of: [</w:t>
      </w:r>
      <w:r>
        <w:rPr>
          <w:rFonts w:ascii="Arial" w:cs="Arial" w:eastAsia="Arial" w:hAnsi="Arial"/>
          <w:sz w:val="14"/>
          <w:szCs w:val="14"/>
          <w:color w:val="auto"/>
        </w:rPr>
        <w:t>●</w:t>
      </w:r>
      <w:r>
        <w:rPr>
          <w:rFonts w:ascii="Times New Roman" w:cs="Times New Roman" w:eastAsia="Times New Roman" w:hAnsi="Times New Roman"/>
          <w:sz w:val="14"/>
          <w:szCs w:val="14"/>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2"/>
          <w:szCs w:val="12"/>
          <w:u w:val="single" w:color="auto"/>
          <w:color w:val="auto"/>
        </w:rPr>
        <w:t>CONFIDENTIAL</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ANNEX A</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OF INCORPORATION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w:t>
      </w:r>
      <w:r>
        <w:rPr>
          <w:rFonts w:ascii="Times New Roman" w:cs="Times New Roman" w:eastAsia="Times New Roman" w:hAnsi="Times New Roman"/>
          <w:sz w:val="14"/>
          <w:szCs w:val="14"/>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80" w:firstLine="432"/>
        <w:spacing w:after="0" w:line="295" w:lineRule="auto"/>
        <w:rPr>
          <w:sz w:val="20"/>
          <w:szCs w:val="20"/>
          <w:color w:val="auto"/>
        </w:rPr>
      </w:pPr>
      <w:r>
        <w:rPr>
          <w:rFonts w:ascii="Times New Roman" w:cs="Times New Roman" w:eastAsia="Times New Roman" w:hAnsi="Times New Roman"/>
          <w:sz w:val="14"/>
          <w:szCs w:val="14"/>
          <w:color w:val="auto"/>
        </w:rPr>
        <w:t>New Fortress Energy Inc.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 a corporation organized and existing under the General Corporation Law of the State of Delaware (as amended from time to time, the “</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hereby certifies as follows:</w:t>
      </w:r>
    </w:p>
    <w:p>
      <w:pPr>
        <w:spacing w:after="0" w:line="90" w:lineRule="exact"/>
        <w:rPr>
          <w:sz w:val="20"/>
          <w:szCs w:val="20"/>
          <w:color w:val="auto"/>
        </w:rPr>
      </w:pPr>
    </w:p>
    <w:p>
      <w:pPr>
        <w:ind w:left="420" w:right="140" w:hanging="212"/>
        <w:spacing w:after="0" w:line="295" w:lineRule="auto"/>
        <w:tabs>
          <w:tab w:leader="none" w:pos="4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original Certificate of Incorporation of the Corporation was filed with the Secretary of State of the State of Delaware on August 3, 2020 under the name New Fortress Energy Inc. (as in effect immediately prior to the adoption and effectiveness hereof, the “</w:t>
      </w:r>
      <w:r>
        <w:rPr>
          <w:rFonts w:ascii="Times New Roman" w:cs="Times New Roman" w:eastAsia="Times New Roman" w:hAnsi="Times New Roman"/>
          <w:sz w:val="14"/>
          <w:szCs w:val="14"/>
          <w:u w:val="single" w:color="auto"/>
          <w:color w:val="auto"/>
        </w:rPr>
        <w:t>Original Certificate of Incorporation</w:t>
      </w:r>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420" w:right="140" w:hanging="212"/>
        <w:spacing w:after="0" w:line="309" w:lineRule="auto"/>
        <w:tabs>
          <w:tab w:leader="none" w:pos="4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Amended and Restated Certificate of Incorporation (this “</w:t>
      </w:r>
      <w:r>
        <w:rPr>
          <w:rFonts w:ascii="Times New Roman" w:cs="Times New Roman" w:eastAsia="Times New Roman" w:hAnsi="Times New Roman"/>
          <w:sz w:val="14"/>
          <w:szCs w:val="14"/>
          <w:u w:val="single" w:color="auto"/>
          <w:color w:val="auto"/>
        </w:rPr>
        <w:t>Certificate of Incorporation</w:t>
      </w:r>
      <w:r>
        <w:rPr>
          <w:rFonts w:ascii="Times New Roman" w:cs="Times New Roman" w:eastAsia="Times New Roman" w:hAnsi="Times New Roman"/>
          <w:sz w:val="14"/>
          <w:szCs w:val="14"/>
          <w:color w:val="auto"/>
        </w:rPr>
        <w:t>”), which amends and restates the Original Certificate of Incorporation, has been duly approved and adopted in accordance with Sections 242 and 245 of the DGCL and shall be effective as of [●], Eastern Time, on [●], 2026 (the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w:t>
      </w:r>
    </w:p>
    <w:p>
      <w:pPr>
        <w:spacing w:after="0" w:line="80" w:lineRule="exact"/>
        <w:rPr>
          <w:rFonts w:ascii="Times New Roman" w:cs="Times New Roman" w:eastAsia="Times New Roman" w:hAnsi="Times New Roman"/>
          <w:sz w:val="14"/>
          <w:szCs w:val="14"/>
          <w:color w:val="auto"/>
        </w:rPr>
      </w:pPr>
    </w:p>
    <w:p>
      <w:pPr>
        <w:ind w:left="420" w:right="300" w:hanging="212"/>
        <w:spacing w:after="0" w:line="295" w:lineRule="auto"/>
        <w:tabs>
          <w:tab w:leader="none" w:pos="4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Certificate of Designations of Series A Mandatorily Convertible Preferred Stock of the Corporation is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Convertible Preferred Stock Certificate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Designations</w:t>
      </w:r>
      <w:r>
        <w:rPr>
          <w:rFonts w:ascii="Times New Roman" w:cs="Times New Roman" w:eastAsia="Times New Roman" w:hAnsi="Times New Roman"/>
          <w:sz w:val="14"/>
          <w:szCs w:val="14"/>
          <w:color w:val="auto"/>
        </w:rPr>
        <w:t>”) and is hereby incorporated herein by reference in its entirety.</w:t>
      </w:r>
    </w:p>
    <w:p>
      <w:pPr>
        <w:spacing w:after="0" w:line="90"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Original Certificate of Incorporation is hereby amended and restated in its entirety as follows:</w:t>
      </w:r>
    </w:p>
    <w:p>
      <w:pPr>
        <w:spacing w:after="0" w:line="154" w:lineRule="exact"/>
        <w:rPr>
          <w:sz w:val="20"/>
          <w:szCs w:val="20"/>
          <w:color w:val="auto"/>
        </w:rPr>
      </w:pPr>
    </w:p>
    <w:p>
      <w:pPr>
        <w:ind w:right="20" w:firstLine="432"/>
        <w:spacing w:after="0" w:line="272" w:lineRule="auto"/>
        <w:rPr>
          <w:sz w:val="20"/>
          <w:szCs w:val="20"/>
          <w:color w:val="auto"/>
        </w:rPr>
      </w:pPr>
      <w:r>
        <w:rPr>
          <w:rFonts w:ascii="Times New Roman" w:cs="Times New Roman" w:eastAsia="Times New Roman" w:hAnsi="Times New Roman"/>
          <w:sz w:val="14"/>
          <w:szCs w:val="14"/>
          <w:u w:val="single" w:color="auto"/>
          <w:color w:val="auto"/>
        </w:rPr>
        <w:t>FIRST</w:t>
      </w:r>
      <w:r>
        <w:rPr>
          <w:rFonts w:ascii="Times New Roman" w:cs="Times New Roman" w:eastAsia="Times New Roman" w:hAnsi="Times New Roman"/>
          <w:sz w:val="14"/>
          <w:szCs w:val="14"/>
          <w:color w:val="auto"/>
        </w:rPr>
        <w:t>: The name of the Corporation is: New Fortress Energy Inc. The Corporation’s business may be conducted in accordance with applicable law under any other name or names, as determined by the Board of Directors of the Corporation (the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words “Inc.,” “corporation,” or similar words or letters shall be included in the Corporation’s name where necessary for the purpose of complying with the DGCL. The Board of Directors may change the name of the Corporation at any time and from time to time in accordance with the DGCL and shall notify the Corporation’s stockholders of such change as required by the DGCL or other applicable law.</w:t>
      </w:r>
    </w:p>
    <w:p>
      <w:pPr>
        <w:spacing w:after="0" w:line="107" w:lineRule="exact"/>
        <w:rPr>
          <w:sz w:val="20"/>
          <w:szCs w:val="20"/>
          <w:color w:val="auto"/>
        </w:rPr>
      </w:pPr>
    </w:p>
    <w:p>
      <w:pPr>
        <w:ind w:right="180"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The registered office of the Corporation in the State of Delaware shall be located at Corporation Trust Center, 1209 Orange Street, Wilmington, New Castle County, Delaware 19801, and the registered agent for service of process on the Corporation in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645160</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91" w:right="299" w:bottom="1440" w:gutter="0" w:footer="0" w:header="0"/>
        </w:sectPr>
      </w:pPr>
    </w:p>
    <w:bookmarkStart w:id="147" w:name="page148"/>
    <w:bookmarkEnd w:id="147"/>
    <w:p>
      <w:pPr>
        <w:ind w:right="200"/>
        <w:spacing w:after="0" w:line="275" w:lineRule="auto"/>
        <w:rPr>
          <w:sz w:val="20"/>
          <w:szCs w:val="20"/>
          <w:color w:val="auto"/>
        </w:rPr>
      </w:pPr>
      <w:r>
        <w:rPr>
          <w:rFonts w:ascii="Times New Roman" w:cs="Times New Roman" w:eastAsia="Times New Roman" w:hAnsi="Times New Roman"/>
          <w:sz w:val="14"/>
          <w:szCs w:val="14"/>
          <w:color w:val="auto"/>
        </w:rPr>
        <w:t>of Delaware at such registered office shall be The Corporation Trust Company. The principal office of the Corporation shall be located at 111 W. 19th Street, 8th Floor, New York, New York 10011 or such other place as the Board of Directors may from time to time designate by notice to the stockholders. The Corporation may maintain offices at such other place or places within or outside the State of Delaware as the Board of Directors determines to be necessary or appropriate.</w:t>
      </w:r>
    </w:p>
    <w:p>
      <w:pPr>
        <w:spacing w:after="0" w:line="113"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4"/>
          <w:szCs w:val="14"/>
          <w:u w:val="single" w:color="auto"/>
          <w:color w:val="auto"/>
        </w:rPr>
        <w:t>THIRD</w:t>
      </w:r>
      <w:r>
        <w:rPr>
          <w:rFonts w:ascii="Times New Roman" w:cs="Times New Roman" w:eastAsia="Times New Roman" w:hAnsi="Times New Roman"/>
          <w:sz w:val="14"/>
          <w:szCs w:val="14"/>
          <w:color w:val="auto"/>
        </w:rPr>
        <w:t>: The purposes of the Corporation shall be to (a) promote, conduct or engage in, directly or indirectly, any lawful act or activity for which a corporation may be organized under the DGCL, (b) acquire, hold and dispose of interests in any corporation, partnership, joint venture, limited liability company or other entity, and, in connection therewith, to exercise all of the rights and powers conferred upon the Corporation with respect to its interests therein, and (c) conduct any and all activities related or incidental to the foregoing purposes. The Corporation shall be empowered to do any and all acts and things necessary and appropriate for the furtherance and accomplishment of the purposes described in this Article THIRD. The Corporation’s term shall be perpetual, unless and until it is dissolved in accordance with the provisions of the DGCL.</w:t>
      </w:r>
    </w:p>
    <w:p>
      <w:pPr>
        <w:spacing w:after="0" w:line="119"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4"/>
          <w:szCs w:val="14"/>
          <w:u w:val="single" w:color="auto"/>
          <w:color w:val="auto"/>
        </w:rPr>
        <w:t>FOURTH</w:t>
      </w:r>
      <w:r>
        <w:rPr>
          <w:rFonts w:ascii="Times New Roman" w:cs="Times New Roman" w:eastAsia="Times New Roman" w:hAnsi="Times New Roman"/>
          <w:sz w:val="14"/>
          <w:szCs w:val="14"/>
          <w:color w:val="auto"/>
        </w:rPr>
        <w:t>: The total number of shares of capital stock that the Corporation shall be authorized to issue is 950 million shares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consisting of: (a) 750 million shares of Class A common stock (“</w:t>
      </w:r>
      <w:r>
        <w:rPr>
          <w:rFonts w:ascii="Times New Roman" w:cs="Times New Roman" w:eastAsia="Times New Roman" w:hAnsi="Times New Roman"/>
          <w:sz w:val="14"/>
          <w:szCs w:val="14"/>
          <w:u w:val="single" w:color="auto"/>
          <w:color w:val="auto"/>
        </w:rPr>
        <w:t>Class A Shares</w:t>
      </w:r>
      <w:r>
        <w:rPr>
          <w:rFonts w:ascii="Times New Roman" w:cs="Times New Roman" w:eastAsia="Times New Roman" w:hAnsi="Times New Roman"/>
          <w:sz w:val="14"/>
          <w:szCs w:val="14"/>
          <w:color w:val="auto"/>
        </w:rPr>
        <w:t>”), each having a par value of one cent ($0.01), and (b) 200 million shares of preferred stock (“</w:t>
      </w:r>
      <w:r>
        <w:rPr>
          <w:rFonts w:ascii="Times New Roman" w:cs="Times New Roman" w:eastAsia="Times New Roman" w:hAnsi="Times New Roman"/>
          <w:sz w:val="14"/>
          <w:szCs w:val="14"/>
          <w:u w:val="single" w:color="auto"/>
          <w:color w:val="auto"/>
        </w:rPr>
        <w:t>Preferred Shares</w:t>
      </w:r>
      <w:r>
        <w:rPr>
          <w:rFonts w:ascii="Times New Roman" w:cs="Times New Roman" w:eastAsia="Times New Roman" w:hAnsi="Times New Roman"/>
          <w:sz w:val="14"/>
          <w:szCs w:val="14"/>
          <w:color w:val="auto"/>
        </w:rPr>
        <w:t>”), each having a par value of one cent ($0.01). All Shares issued pursuant to, and in accordance with the requirements of, this Article FOURTH shall be validly issued, fully paid and nonassessable Shares in the Corporation, except to the extent otherwise provided in the DGCL or this Certificate of Incorporation (including the Convertible Preferred Stock Certificate of Designations and any other applicable Share Designation (as defined below)).</w:t>
      </w:r>
    </w:p>
    <w:p>
      <w:pPr>
        <w:spacing w:after="0" w:line="11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4"/>
          <w:szCs w:val="14"/>
          <w:color w:val="auto"/>
        </w:rPr>
        <w:t>Subject to applicable law and the rights, if any, of holders of the Convertible Preferred Stock (as defined in the Convertible Preferred Stock Certificate of Designations) and any other Shares issued pursuant to any other applicable Share Designation, the Corporation may issue Shares, and options, rights, warrants and appreciation rights relating to Shares, for any corporate purpose at any time and from time to time to such Persons for such consideration (which may be cash, property, services or any other lawful consideration) and on such terms and conditions as the Board of Directors shall determine in accordance with the DGCL, all without the approval of any stockholders to the extent permitted by applicable law. Each Share shall have the rights and be governed by the provisions set forth in this Certificate of Incorporation (including the Convertible Preferred Stock Certificate of Designations and any other applicable Share Designation). Except to the extent expressly provided in this Certificate of Incorporation (including the Convertible Preferred Stock Certificate of Designations or any other applicable Share Designation), no Shares shall entitle any stockholder to any preemptive, preferential or similar rights with respect to the issuance of Shares.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Class A Shares shall entitle the Record Holders thereof to one vote per Share on any and all matters submitted for the consent or approval of stockholders generally. The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3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color w:val="auto"/>
        </w:rPr>
        <w:t>rights with respect to the Convertible Preferred Stock are set forth in full in the Convertible Preferred Stock Certificate of Designations.</w:t>
      </w:r>
    </w:p>
    <w:p>
      <w:pPr>
        <w:spacing w:after="0" w:line="15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4"/>
          <w:szCs w:val="14"/>
          <w:color w:val="auto"/>
        </w:rPr>
        <w:t>Subject to applicable law and the rights, if any, of holders of the Convertible Preferred Stock and any other Shares issued pursuant to any other applicable Share Designation, in addition to the Shares outstanding on the date hereof, and without the consent or approval of any stockholders to the extent permitted by applicable law, additional Shares may be issued by the Corporation in one or more classes, with such designations, preferences, rights, powers and duties (which may be junior to, equivalent to, or senior or superior to, any existing classes of Shares), as shall be fixed by the Board of Directors and reflected in a written action or actions approved by the Board of Directors (each, a “</w:t>
      </w:r>
      <w:r>
        <w:rPr>
          <w:rFonts w:ascii="Times New Roman" w:cs="Times New Roman" w:eastAsia="Times New Roman" w:hAnsi="Times New Roman"/>
          <w:sz w:val="14"/>
          <w:szCs w:val="14"/>
          <w:u w:val="single" w:color="auto"/>
          <w:color w:val="auto"/>
        </w:rPr>
        <w:t>Share Designation</w:t>
      </w:r>
      <w:r>
        <w:rPr>
          <w:rFonts w:ascii="Times New Roman" w:cs="Times New Roman" w:eastAsia="Times New Roman" w:hAnsi="Times New Roman"/>
          <w:sz w:val="14"/>
          <w:szCs w:val="14"/>
          <w:color w:val="auto"/>
        </w:rPr>
        <w:t>”), including, without limitation, (a) the right to share Corporation profits and losses or items thereof; (b) the right to share in Corporation distributions, the dates distributions will be payable and whether distributions with respect to such series or class will be cumulative or non-cumulative; (c) rights upon dissolution and liquidation of the Corporation; (d) whether, and the terms and conditions upon which, the Corporation may redeem such Shares; (e) whether such Shares are issued with the privilege of conversion or exchange and, if so, the conversion or exchange price or prices or rate or rates, or any adjustments thereto, the date or dates on which, or the period or periods during which, the Shares will be convertible or exchangeable and all other terms and conditions upon which the conversion or exchange may be made; (f) the terms and conditions upon which such Shares will be issued, evidenced by certificates and assigned or transferred; (g) the terms and amounts of any sinking fund provided for the purchase or redemption of Shares of the class or series; (h) whether there will be restrictions on the issuance of Shares of the same class or series or any other class or series; and (i) the right, if any, of the holder of each such Share to vote on Corporation matters, including matters relating to the relative rights, preferences and privileges of such Shares. Unless otherwise provided in the Convertible Preferred Stock Certificate of Designations or any other applicable Share Designation, the Board of Directors may at any time increase or decrease the amount of Preferred Shares of any class or series then outstanding, but not (a) below the number of Shares of Convertible Preferred Stock or any other class or series of Preferred Shares of such class or series then outstanding or (b) above the total number of authorized Convertible Preferred Stock (together with all other authorized Preferred Shares).</w:t>
      </w:r>
    </w:p>
    <w:p>
      <w:pPr>
        <w:spacing w:after="0" w:line="114" w:lineRule="exact"/>
        <w:rPr>
          <w:sz w:val="20"/>
          <w:szCs w:val="20"/>
          <w:color w:val="auto"/>
        </w:rPr>
      </w:pPr>
    </w:p>
    <w:p>
      <w:pPr>
        <w:ind w:right="60" w:firstLine="432"/>
        <w:spacing w:after="0" w:line="263" w:lineRule="auto"/>
        <w:rPr>
          <w:sz w:val="20"/>
          <w:szCs w:val="20"/>
          <w:color w:val="auto"/>
        </w:rPr>
      </w:pPr>
      <w:r>
        <w:rPr>
          <w:rFonts w:ascii="Times New Roman" w:cs="Times New Roman" w:eastAsia="Times New Roman" w:hAnsi="Times New Roman"/>
          <w:sz w:val="14"/>
          <w:szCs w:val="14"/>
          <w:color w:val="auto"/>
        </w:rPr>
        <w:t>Upon the Effective Time and without any further action of the Corporation or any stockholder of the Corporation, each fifty (50) shares of Class A Shares issued and outstanding immediately prior to the Effective Time shall automatically be reclassified and combined into one (1) validly issued, fully paid and non-assessable Class A Share, subject to the treatment of fractional share interests as described below (the “</w:t>
      </w:r>
      <w:r>
        <w:rPr>
          <w:rFonts w:ascii="Times New Roman" w:cs="Times New Roman" w:eastAsia="Times New Roman" w:hAnsi="Times New Roman"/>
          <w:sz w:val="14"/>
          <w:szCs w:val="14"/>
          <w:u w:val="single" w:color="auto"/>
          <w:color w:val="auto"/>
        </w:rPr>
        <w:t>Reverse Stock Split</w:t>
      </w:r>
      <w:r>
        <w:rPr>
          <w:rFonts w:ascii="Times New Roman" w:cs="Times New Roman" w:eastAsia="Times New Roman" w:hAnsi="Times New Roman"/>
          <w:sz w:val="14"/>
          <w:szCs w:val="14"/>
          <w:color w:val="auto"/>
        </w:rPr>
        <w:t>”). As of the Effective Time, there are no longer any Shares designated as “Class B” Shares issued and outstanding. No fractional shares shall be issued at the Effective Time and, in lieu thereof, the stockholders who would otherwise be issued fractional shares will be entitled to receive from the Corporation’s transfer agent, upon receipt by the Corporation’s transfer agent of a properly completed and duly executed transmittal letter, cash (without interest or deduction) in an amount equal to the product obtained by multiplying (a) the closing price per share of the Class A Shares on the date of the Effective Time as reported on the Nasdaq Stock Market by (b) the fraction of the Class A Share that would otherwise be issued to such stockholder, in each case, after giving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38" w:right="319" w:bottom="1440" w:gutter="0" w:footer="0" w:header="0"/>
        </w:sectPr>
      </w:pPr>
    </w:p>
    <w:bookmarkStart w:id="149" w:name="page150"/>
    <w:bookmarkEnd w:id="149"/>
    <w:p>
      <w:pPr>
        <w:spacing w:after="0" w:line="266" w:lineRule="auto"/>
        <w:rPr>
          <w:sz w:val="20"/>
          <w:szCs w:val="20"/>
          <w:color w:val="auto"/>
        </w:rPr>
      </w:pPr>
      <w:r>
        <w:rPr>
          <w:rFonts w:ascii="Times New Roman" w:cs="Times New Roman" w:eastAsia="Times New Roman" w:hAnsi="Times New Roman"/>
          <w:sz w:val="14"/>
          <w:szCs w:val="14"/>
          <w:color w:val="auto"/>
        </w:rPr>
        <w:t xml:space="preserve">Reverse Stock Split. Each stock certificate or book-entry position that represented Class A Shares that were issued and outstanding immediately prior to the Effective Time shall, from and after the Effective Time, automatically and without the necessity of presenting the same for the exchange, represent that number of whole shares of Class A Shares into which the Shares formerly represented by such certificate or book-entry position have been automatically reclassified and combined;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each stockholder of record holding a certificate that represented shares of Class A Shares that were issued and outstanding immediately prior to the Effective Time shall receive, upon surrender of such certificate, a new book-entry position evidencing and representing the number of whole shares of Class A Shares after the Effective Time into which the Shares of Class A Shares formerly represented by such certificate shall have been reclassified and combined.</w:t>
      </w:r>
    </w:p>
    <w:p>
      <w:pPr>
        <w:spacing w:after="0" w:line="287"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4"/>
          <w:szCs w:val="14"/>
          <w:color w:val="auto"/>
        </w:rPr>
        <w:t>To the extent permitted by the DGCL, but subject to the rights, if any, of holders of the Convertible Preferred Stock and any other Shares issued pursuant to any other applicable Share Designation, the Board of Directors may, without the consent or approval of any stockholders, amend this Certificate of Incorporation and make any filings under the DGCL or otherwise to the extent the Board of Directors determines that it is necessary or desirable in order to reflect any Share Designation of Preferred Shares pursuant to this Article FOURTH.</w:t>
      </w:r>
    </w:p>
    <w:p>
      <w:pPr>
        <w:spacing w:after="0" w:line="99"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4"/>
          <w:szCs w:val="14"/>
          <w:u w:val="single" w:color="auto"/>
          <w:color w:val="auto"/>
        </w:rPr>
        <w:t>FIFTH</w:t>
      </w:r>
      <w:r>
        <w:rPr>
          <w:rFonts w:ascii="Times New Roman" w:cs="Times New Roman" w:eastAsia="Times New Roman" w:hAnsi="Times New Roman"/>
          <w:sz w:val="14"/>
          <w:szCs w:val="14"/>
          <w:color w:val="auto"/>
        </w:rPr>
        <w:t xml:space="preserve"> : Subject to the rights and preferences, if any, applicable to Preferred Shares or any series thereof, the holders of Class A Shares shall be entitled to receive ratably in proportion to the number of Class A Shares held by them such dividends and distributions (payable in cash, stock or otherwise), if any, as may be declared thereon by the Board of Directors at any time and from time to time out of any funds of the Corporation legally available therefor. Each distribution in respect of a Class A Share shall be paid by the Corporation, directly or through the Transfer Agent or through any other Person or agent, only to the Record Holder of such Class A Share as of the Record Date set for such distribution. Such payment shall constitute full payment and satisfaction of the Corporation’s liability in respect of such payment, regardless of any claim of any Person who may have an interest in such payment by reason of an assignment or otherwise.</w:t>
      </w:r>
    </w:p>
    <w:p>
      <w:pPr>
        <w:spacing w:after="0" w:line="119" w:lineRule="exact"/>
        <w:rPr>
          <w:sz w:val="20"/>
          <w:szCs w:val="20"/>
          <w:color w:val="auto"/>
        </w:rPr>
      </w:pPr>
    </w:p>
    <w:p>
      <w:pPr>
        <w:ind w:right="140"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SIXTH</w:t>
      </w:r>
      <w:r>
        <w:rPr>
          <w:rFonts w:ascii="Times New Roman" w:cs="Times New Roman" w:eastAsia="Times New Roman" w:hAnsi="Times New Roman"/>
          <w:sz w:val="14"/>
          <w:szCs w:val="14"/>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90" w:lineRule="exact"/>
        <w:rPr>
          <w:sz w:val="20"/>
          <w:szCs w:val="20"/>
          <w:color w:val="auto"/>
        </w:rPr>
      </w:pPr>
    </w:p>
    <w:p>
      <w:pPr>
        <w:ind w:left="760" w:hanging="336"/>
        <w:spacing w:after="0"/>
        <w:tabs>
          <w:tab w:leader="none" w:pos="76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and affairs of the Corporation shall be managed by or under the direction of the Board of Directors.</w:t>
      </w:r>
    </w:p>
    <w:p>
      <w:pPr>
        <w:spacing w:after="0" w:line="154" w:lineRule="exact"/>
        <w:rPr>
          <w:rFonts w:ascii="Times New Roman" w:cs="Times New Roman" w:eastAsia="Times New Roman" w:hAnsi="Times New Roman"/>
          <w:sz w:val="14"/>
          <w:szCs w:val="14"/>
          <w:color w:val="auto"/>
        </w:rPr>
      </w:pPr>
    </w:p>
    <w:p>
      <w:pPr>
        <w:ind w:left="860" w:right="80" w:hanging="436"/>
        <w:spacing w:after="0" w:line="272" w:lineRule="auto"/>
        <w:tabs>
          <w:tab w:leader="none" w:pos="773"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shall consist of not fewer than three nor more than fifteen members, the exact number of which shall be determined from time to time by resolution adopted by a majority of the Board of Directors then in office. Each Director shall be elected to serve a term expiring at the next annual meeting of stockholders following such Director’s election and until such Director’s successor is duly elected or appointed and qualified, or until such Director’s earlier death, resignation, incapacity or removal in the manner herein provided. Directors need not be stockholders. The Directors shall be elected at the annual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38" w:right="319" w:bottom="1440" w:gutter="0" w:footer="0" w:header="0"/>
        </w:sectPr>
      </w:pPr>
    </w:p>
    <w:bookmarkStart w:id="150" w:name="page151"/>
    <w:bookmarkEnd w:id="150"/>
    <w:p>
      <w:pPr>
        <w:ind w:left="860"/>
        <w:spacing w:after="0" w:line="272" w:lineRule="auto"/>
        <w:rPr>
          <w:sz w:val="20"/>
          <w:szCs w:val="20"/>
          <w:color w:val="auto"/>
        </w:rPr>
      </w:pPr>
      <w:r>
        <w:rPr>
          <w:rFonts w:ascii="Times New Roman" w:cs="Times New Roman" w:eastAsia="Times New Roman" w:hAnsi="Times New Roman"/>
          <w:sz w:val="14"/>
          <w:szCs w:val="14"/>
          <w:color w:val="auto"/>
        </w:rPr>
        <w:t>meeting of stockholders, except as provided in clause (3) of this Article SIXTH. Directors shall be elected by the majority of the votes cast affirmatively or negatively by stockholders of the issued and outstanding Voting Shares, which action may be taken without a meeting by written consent in accordance with Section 9 of Article II of the By-Laws (as defined below). Any Director or the whole Board of Directors may be removed, with or without cause, at any time, by the affirmative vote of holders of a Share Majority. The vacancy in the Board of Directors caused by any such removal shall be filled by the Board of Directors as provided in clause (3) of this Article SIXTH.</w:t>
      </w:r>
    </w:p>
    <w:p>
      <w:pPr>
        <w:spacing w:after="0" w:line="107" w:lineRule="exact"/>
        <w:rPr>
          <w:sz w:val="20"/>
          <w:szCs w:val="20"/>
          <w:color w:val="auto"/>
        </w:rPr>
      </w:pPr>
    </w:p>
    <w:p>
      <w:pPr>
        <w:ind w:left="860" w:right="20" w:hanging="436"/>
        <w:spacing w:after="0" w:line="261" w:lineRule="auto"/>
        <w:tabs>
          <w:tab w:leader="none" w:pos="74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otherwise required by law and subject to clause (2) of this Article SIXTH, any vacancy on the Board of Directors that results from newly created directorships resulting from any increase in the authorized number of Directors may be filled by the affirmative vote of a majority of the remaining Directors then in office;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quorum is present, and any other vacancies, including as a result of the resignation, removal (with or without cause), death or incapacity of a Director, may be filled by the affirmative vote of a majority of the remaining Directors then in office, though less than a quorum, or by the affirmative vote of a sole remaining Director. Any Director elected to fill a vacancy resulting from an increase in the authorized number of Directors on the Board of the Directors pursuant to the foregoing sentence shall have a term expiring at the next annual meeting of stockholders and until such Director’s successor is duly elected or appointed and qualified, or until such Director’s earlier death, resignation, incapacity or removal in the manner herein provided. Any Director elected to fill a vacancy not resulting from an increase in the number of Directors shall have the same remaining term as that of such Director’s predecessor and until such Director’s successor is duly elected or appointed and qualified, or until his or her earlier death, resignation, incapacity or removal. If there are no Directors in office, then an election of Directors may be held in the manner provided by the DGCL.</w:t>
      </w:r>
    </w:p>
    <w:p>
      <w:pPr>
        <w:spacing w:after="0" w:line="116" w:lineRule="exact"/>
        <w:rPr>
          <w:rFonts w:ascii="Times New Roman" w:cs="Times New Roman" w:eastAsia="Times New Roman" w:hAnsi="Times New Roman"/>
          <w:sz w:val="14"/>
          <w:szCs w:val="14"/>
          <w:color w:val="auto"/>
        </w:rPr>
      </w:pPr>
    </w:p>
    <w:p>
      <w:pPr>
        <w:ind w:left="860" w:right="20" w:hanging="436"/>
        <w:spacing w:after="0" w:line="270" w:lineRule="auto"/>
        <w:tabs>
          <w:tab w:leader="none" w:pos="74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(including the Convertible Preferred Stock Certificate of Designations and any other applicable Share Designation), and any by-laws of the Corporation (the “</w:t>
      </w:r>
      <w:r>
        <w:rPr>
          <w:rFonts w:ascii="Times New Roman" w:cs="Times New Roman" w:eastAsia="Times New Roman" w:hAnsi="Times New Roman"/>
          <w:sz w:val="14"/>
          <w:szCs w:val="14"/>
          <w:u w:val="single" w:color="auto"/>
          <w:color w:val="auto"/>
        </w:rPr>
        <w:t>By-Laws</w:t>
      </w:r>
      <w:r>
        <w:rPr>
          <w:rFonts w:ascii="Times New Roman" w:cs="Times New Roman" w:eastAsia="Times New Roman" w:hAnsi="Times New Roman"/>
          <w:sz w:val="14"/>
          <w:szCs w:val="14"/>
          <w:color w:val="auto"/>
        </w:rPr>
        <w:t xml:space="preserve">”) adopted by the stockholders;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By-Laws hereafter adopted by the stockholders shall invalidate any prior act of the Directors which would have been valid if such By-Laws had not been adopted.</w:t>
      </w:r>
    </w:p>
    <w:p>
      <w:pPr>
        <w:spacing w:after="0" w:line="284" w:lineRule="exact"/>
        <w:rPr>
          <w:sz w:val="20"/>
          <w:szCs w:val="20"/>
          <w:color w:val="auto"/>
        </w:rPr>
      </w:pPr>
    </w:p>
    <w:p>
      <w:pPr>
        <w:ind w:right="480" w:firstLine="432"/>
        <w:spacing w:after="0" w:line="309" w:lineRule="auto"/>
        <w:rPr>
          <w:sz w:val="20"/>
          <w:szCs w:val="20"/>
          <w:color w:val="auto"/>
        </w:rPr>
      </w:pPr>
      <w:r>
        <w:rPr>
          <w:rFonts w:ascii="Times New Roman" w:cs="Times New Roman" w:eastAsia="Times New Roman" w:hAnsi="Times New Roman"/>
          <w:sz w:val="14"/>
          <w:szCs w:val="14"/>
          <w:u w:val="single" w:color="auto"/>
          <w:color w:val="auto"/>
        </w:rPr>
        <w:t>SEVENTH</w:t>
      </w:r>
      <w:r>
        <w:rPr>
          <w:rFonts w:ascii="Times New Roman" w:cs="Times New Roman" w:eastAsia="Times New Roman" w:hAnsi="Times New Roman"/>
          <w:sz w:val="14"/>
          <w:szCs w:val="14"/>
          <w:color w:val="auto"/>
        </w:rPr>
        <w:t>: Meetings of stockholders may be held within or without the State of Delaware, as the By-Laws may provide. The books of the Corporation may be kept (subject to any provision contained in the DGCL) outside the State of Delaware at such place or places as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38"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color w:val="auto"/>
        </w:rPr>
        <w:t>may be designated from time to time by the Board of Directors or in the By-Laws of the Corporation.</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4"/>
          <w:szCs w:val="14"/>
          <w:u w:val="single" w:color="auto"/>
          <w:color w:val="auto"/>
        </w:rPr>
        <w:t>EIGHTH</w:t>
      </w:r>
      <w:r>
        <w:rPr>
          <w:rFonts w:ascii="Times New Roman" w:cs="Times New Roman" w:eastAsia="Times New Roman" w:hAnsi="Times New Roman"/>
          <w:sz w:val="14"/>
          <w:szCs w:val="14"/>
          <w:color w:val="auto"/>
        </w:rPr>
        <w:t>: No Director or officer shall be personally liable to the Corporation or any of its stockholders for monetary damages for breach of fiduciary duty as a Director or officer, except to the extent such exemption from liability or limitation thereof is not permitted under the DGCL as the same exists or may hereafter be amended. If the DGCL is amended hereafter to authorize the further elimination or limitation of the liability of directors or officers, then the liability of a Director or officer of the Corporation shall be eliminated or limited to the fullest extent authorized by the DGCL, as so amended. Any repeal or modification of this Article EIGHTH shall not adversely affect any right or protection of a Director or officer of the Corporation existing at the time of such repeal or modification with respect to acts or omissions occurring prior to such repeal or modification. All references in this Article EIGHTH to an “officer” shall mean only a person who, at the time of an act or omission as to which liability is asserted, falls within the meaning of the term “officer,” as defined in Section 102(b)(7) of the DGCL.</w:t>
      </w:r>
    </w:p>
    <w:p>
      <w:pPr>
        <w:spacing w:after="0" w:line="11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4"/>
          <w:szCs w:val="14"/>
          <w:color w:val="auto"/>
        </w:rPr>
        <w:t>The Corporation shall indemnify any Indemnified Person who was or is a party or is threatened to be made a party to any threatened, pending or completed action, suit or proceeding, whether civil, criminal, administrative, or investigative (each, a “</w:t>
      </w:r>
      <w:r>
        <w:rPr>
          <w:rFonts w:ascii="Times New Roman" w:cs="Times New Roman" w:eastAsia="Times New Roman" w:hAnsi="Times New Roman"/>
          <w:sz w:val="14"/>
          <w:szCs w:val="14"/>
          <w:u w:val="single" w:color="auto"/>
          <w:color w:val="auto"/>
        </w:rPr>
        <w:t>Proceeding</w:t>
      </w:r>
      <w:r>
        <w:rPr>
          <w:rFonts w:ascii="Times New Roman" w:cs="Times New Roman" w:eastAsia="Times New Roman" w:hAnsi="Times New Roman"/>
          <w:sz w:val="14"/>
          <w:szCs w:val="14"/>
          <w:color w:val="auto"/>
        </w:rPr>
        <w:t xml:space="preserve">”), by reason of the Indemnified Person’s status as such, to the fullest extent authorized or permitted by applicable law, as now or hereafter in effect, and such right to indemnification shall continue as to a Person who has ceased to be an Indemnified Person and shall inure to the benefit of his or her heirs, executors and personal and legal representatives;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for Proceedings to enforce rights to indemnification, the Corporation shall not be obligated to indemnify any Indemnified Person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EIGHTH shall include the right to be paid by the Corporation the expenses incurred in defending or otherwise participating in any proceeding in advance of its final disposition upon receipt by the Corporation of a written undertaking by or on behalf of the Indemnified Person receiving advancement to repay the amount advanced if it shall ultimately be determined that such Indemnified Person is not entitled to be indemnified by the Corporation under this Article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EIGHTH.</w:t>
      </w:r>
    </w:p>
    <w:p>
      <w:pPr>
        <w:spacing w:after="0" w:line="138" w:lineRule="exact"/>
        <w:rPr>
          <w:sz w:val="20"/>
          <w:szCs w:val="20"/>
          <w:color w:val="auto"/>
        </w:rPr>
      </w:pPr>
    </w:p>
    <w:p>
      <w:pPr>
        <w:ind w:right="80" w:firstLine="432"/>
        <w:spacing w:after="0" w:line="295" w:lineRule="auto"/>
        <w:rPr>
          <w:sz w:val="20"/>
          <w:szCs w:val="20"/>
          <w:color w:val="auto"/>
        </w:rPr>
      </w:pPr>
      <w:r>
        <w:rPr>
          <w:rFonts w:ascii="Times New Roman" w:cs="Times New Roman" w:eastAsia="Times New Roman" w:hAnsi="Times New Roman"/>
          <w:sz w:val="14"/>
          <w:szCs w:val="14"/>
          <w:color w:val="auto"/>
        </w:rPr>
        <w:t>The Corporation may, to the extent authorized from time to time by the Board of Directors, provide rights to indemnification and to the advancement of expenses to employees and agents of the Corporation similar to those conferred in this Article EIGHTH to Indemnified Persons.</w:t>
      </w:r>
    </w:p>
    <w:p>
      <w:pPr>
        <w:spacing w:after="0" w:line="90" w:lineRule="exact"/>
        <w:rPr>
          <w:sz w:val="20"/>
          <w:szCs w:val="20"/>
          <w:color w:val="auto"/>
        </w:rPr>
      </w:pPr>
    </w:p>
    <w:p>
      <w:pPr>
        <w:ind w:right="360" w:firstLine="432"/>
        <w:spacing w:after="0" w:line="309" w:lineRule="auto"/>
        <w:rPr>
          <w:sz w:val="20"/>
          <w:szCs w:val="20"/>
          <w:color w:val="auto"/>
        </w:rPr>
      </w:pPr>
      <w:r>
        <w:rPr>
          <w:rFonts w:ascii="Times New Roman" w:cs="Times New Roman" w:eastAsia="Times New Roman" w:hAnsi="Times New Roman"/>
          <w:sz w:val="14"/>
          <w:szCs w:val="14"/>
          <w:color w:val="auto"/>
        </w:rPr>
        <w:t>The rights to indemnification and to the advancement of expenses conferred in this Article EIGHTH shall not be exclusive of any other right which any Person may have or hereafter acquire under this Certificate of Incorporation, the By-Laws, any statute, agreement, vote of stockholders or disinterested Directors or otherwise.</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Any repeal or modification of this Article EIGHTH by the stockholders of the Corporation shall not adversely affect any rights to indemnification and to the advancement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138"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color w:val="auto"/>
        </w:rPr>
        <w:t>expenses of an Indemnified Person existing at the time of such repeal or modification with respect to any acts or omissions occurring prior to such repeal or modification.</w:t>
      </w:r>
    </w:p>
    <w:p>
      <w:pPr>
        <w:spacing w:after="0" w:line="154"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4"/>
          <w:szCs w:val="14"/>
          <w:u w:val="single" w:color="auto"/>
          <w:color w:val="auto"/>
        </w:rPr>
        <w:t>NINTH</w:t>
      </w:r>
      <w:r>
        <w:rPr>
          <w:rFonts w:ascii="Times New Roman" w:cs="Times New Roman" w:eastAsia="Times New Roman" w:hAnsi="Times New Roman"/>
          <w:sz w:val="14"/>
          <w:szCs w:val="14"/>
          <w:color w:val="auto"/>
        </w:rPr>
        <w:t>: The Corporation hereby renounces, to the fullest extent permitted by Section 122(17) of the DGCL, any interest or expectancy of the Corporation in, or in being offered, an opportunity to participate in, any Business Opportunity. A “</w:t>
      </w:r>
      <w:r>
        <w:rPr>
          <w:rFonts w:ascii="Times New Roman" w:cs="Times New Roman" w:eastAsia="Times New Roman" w:hAnsi="Times New Roman"/>
          <w:sz w:val="14"/>
          <w:szCs w:val="14"/>
          <w:u w:val="single" w:color="auto"/>
          <w:color w:val="auto"/>
        </w:rPr>
        <w:t>Business Opportunity</w:t>
      </w:r>
      <w:r>
        <w:rPr>
          <w:rFonts w:ascii="Times New Roman" w:cs="Times New Roman" w:eastAsia="Times New Roman" w:hAnsi="Times New Roman"/>
          <w:sz w:val="14"/>
          <w:szCs w:val="14"/>
          <w:color w:val="auto"/>
        </w:rPr>
        <w:t>” is any matter, transaction or interest that is presented to, or acquired, created or developed by, or which otherwise comes into the possession of, any Director of the Corporation who is not an employee of the Corporation or any of its Subsidiaries (collectively, “</w:t>
      </w:r>
      <w:r>
        <w:rPr>
          <w:rFonts w:ascii="Times New Roman" w:cs="Times New Roman" w:eastAsia="Times New Roman" w:hAnsi="Times New Roman"/>
          <w:sz w:val="14"/>
          <w:szCs w:val="14"/>
          <w:u w:val="single" w:color="auto"/>
          <w:color w:val="auto"/>
        </w:rPr>
        <w:t>Covered Persons</w:t>
      </w:r>
      <w:r>
        <w:rPr>
          <w:rFonts w:ascii="Times New Roman" w:cs="Times New Roman" w:eastAsia="Times New Roman" w:hAnsi="Times New Roman"/>
          <w:sz w:val="14"/>
          <w:szCs w:val="14"/>
          <w:color w:val="auto"/>
        </w:rPr>
        <w:t>”), unless such matter, transaction or interest is presented to, or acquired, created or developed by, or otherwise comes into the possession of, a Covered Person solely in such Covered Person’s capacity as a Director of the Corporation. To the fullest extent permitted by law, the Corporation hereby waives any claim against a Covered Person, and agrees to indemnify all Covered Persons against any claim, that is based on fiduciary duties, the corporate opportunity doctrine or any other legal theory which could limit any Covered Person from pursuing or engaging in any Business Opportunity. Directors shall have no obligation hereunder or as a result of any duty expressed or implied by law to present Business Opportunities to the Corporation that may become available to Affiliates of such Director. None of any Group Member, any stockholder or any other Person shall have any rights by virtue of a Director’s duties as a director, this Certificate of Incorporation or any Group Member Agreement in any business ventures of any Director.</w:t>
      </w:r>
    </w:p>
    <w:p>
      <w:pPr>
        <w:spacing w:after="0" w:line="113" w:lineRule="exact"/>
        <w:rPr>
          <w:sz w:val="20"/>
          <w:szCs w:val="20"/>
          <w:color w:val="auto"/>
        </w:rPr>
      </w:pPr>
    </w:p>
    <w:p>
      <w:pPr>
        <w:ind w:right="20" w:firstLine="432"/>
        <w:spacing w:after="0" w:line="275" w:lineRule="auto"/>
        <w:rPr>
          <w:sz w:val="20"/>
          <w:szCs w:val="20"/>
          <w:color w:val="auto"/>
        </w:rPr>
      </w:pPr>
      <w:r>
        <w:rPr>
          <w:rFonts w:ascii="Times New Roman" w:cs="Times New Roman" w:eastAsia="Times New Roman" w:hAnsi="Times New Roman"/>
          <w:sz w:val="14"/>
          <w:szCs w:val="14"/>
          <w:u w:val="single" w:color="auto"/>
          <w:color w:val="auto"/>
        </w:rPr>
        <w:t>TENTH</w:t>
      </w:r>
      <w:r>
        <w:rPr>
          <w:rFonts w:ascii="Times New Roman" w:cs="Times New Roman" w:eastAsia="Times New Roman" w:hAnsi="Times New Roman"/>
          <w:sz w:val="14"/>
          <w:szCs w:val="14"/>
          <w:color w:val="auto"/>
        </w:rPr>
        <w:t>: Unless otherwise required by law, special meetings of the stockholders may be called only by the Chairman of the Board or a majority of the Board of Directors or a committee of the Board of Directors that has been duly designated by the Board of Directors and whose powers include the authority to call such meetings. No stockholders or group of stockholders, acting in its or their capacity as stockholders, shall have the right to call a special meeting of the stockholders.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ELEVENTH</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left="860" w:hanging="436"/>
        <w:spacing w:after="0" w:line="263" w:lineRule="auto"/>
        <w:tabs>
          <w:tab w:leader="none" w:pos="776"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clauses (2) and (3) of this Article ELEVENTH and subject to the Convertible Preferred Stock Certificate of Designations and any other applicable Share Designation, the Board of Directors may amend any of the terms of this Certificate of Incorporation or the By-Laws but only in compliance with the terms, conditions and procedures set forth in this clause (1). If the Board of Directors desires to amend any provision of this Certificate of Incorporation or the By-Laws other than, with respect to the By-Laws, pursuant to Section 3 of Article X of the By-Laws, then it shall first adopt a resolution setting forth the amendment proposed, declaring its advisability, and then, to the extent required by the DGCL, (a) call a special meeting of the stockholders entitled to vote in respect thereof for the consideration of such amendment, (b) direct that the amendment proposed be considered at the next annual meeting of the stockholders or (c) seek the written consent of the stockholders. Amendments to this Certificate of Incorporation may be proposed only by or with the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38" w:right="339" w:bottom="1440" w:gutter="0" w:footer="0" w:header="0"/>
        </w:sectPr>
      </w:pPr>
    </w:p>
    <w:bookmarkStart w:id="153" w:name="page154"/>
    <w:bookmarkEnd w:id="153"/>
    <w:p>
      <w:pPr>
        <w:ind w:left="720"/>
        <w:spacing w:after="0" w:line="268" w:lineRule="auto"/>
        <w:rPr>
          <w:sz w:val="20"/>
          <w:szCs w:val="20"/>
          <w:color w:val="auto"/>
        </w:rPr>
      </w:pPr>
      <w:r>
        <w:rPr>
          <w:rFonts w:ascii="Times New Roman" w:cs="Times New Roman" w:eastAsia="Times New Roman" w:hAnsi="Times New Roman"/>
          <w:sz w:val="14"/>
          <w:szCs w:val="14"/>
          <w:color w:val="auto"/>
        </w:rPr>
        <w:t>Board of Directors. Such special or annual meeting shall be called and held upon notice in accordance with the By-Laws. The notice shall set forth such amendment in full or a brief summary of the changes to be effected thereby, as the Board of Directors shall deem advisable. At the meeting, a vote of stockholders entitled to vote thereon shall be taken for and against the proposed amendment. A proposed amendment shall be effective upon its approval by a Share Majority, unless a greater percentage is required under this Certificate of Incorporation (including the Convertible Preferred Stock Certificate of Designations and any other applicable Share Designation), the By-Laws, applicable law or the rules and regulations of any securities exchange or quotation system on which the Corporation’s securities are listed or quoted for trading.</w:t>
      </w:r>
    </w:p>
    <w:p>
      <w:pPr>
        <w:spacing w:after="0" w:line="109" w:lineRule="exact"/>
        <w:rPr>
          <w:sz w:val="20"/>
          <w:szCs w:val="20"/>
          <w:color w:val="auto"/>
        </w:rPr>
      </w:pPr>
    </w:p>
    <w:p>
      <w:pPr>
        <w:ind w:left="720" w:right="20" w:hanging="436"/>
        <w:spacing w:after="0" w:line="275" w:lineRule="auto"/>
        <w:tabs>
          <w:tab w:leader="none" w:pos="6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clause (1) of this Article ELEVENTH, the affirmative vote of the holders of the issued and outstanding Voting Shares representing at least two-thirds of the total votes that may be cast by all the issued and outstanding Voting Shares in the election of Directors, voting together as a single class, shall be required to alter or amend any provision of this clause (2) or clause (3)(b) of this Article ELEVENTH.</w:t>
      </w:r>
    </w:p>
    <w:p>
      <w:pPr>
        <w:spacing w:after="0" w:line="1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(3)</w:t>
      </w:r>
    </w:p>
    <w:p>
      <w:pPr>
        <w:spacing w:after="0" w:line="154" w:lineRule="exact"/>
        <w:rPr>
          <w:sz w:val="20"/>
          <w:szCs w:val="20"/>
          <w:color w:val="auto"/>
        </w:rPr>
      </w:pPr>
    </w:p>
    <w:p>
      <w:pPr>
        <w:ind w:left="1140" w:right="140" w:hanging="424"/>
        <w:spacing w:after="0" w:line="268" w:lineRule="auto"/>
        <w:tabs>
          <w:tab w:leader="none" w:pos="1012"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of clause (1) of this Article ELEVENTH, no provision of this Certificate of Incorporation or the By-Laws that establishes a percentage of Outstanding Voting Shares required to take any action shall be amended, altered, changed, repealed or rescinded in any respect that would have the effect of reducing such voting percentage unless such amendment is approved by the affirmative vote (including by written consent) of holders of Outstanding Voting Shares whose aggregate Outstanding Voting Shares constitute not less than the voting requirement sought to be reduced.</w:t>
      </w:r>
    </w:p>
    <w:p>
      <w:pPr>
        <w:spacing w:after="0" w:line="108" w:lineRule="exact"/>
        <w:rPr>
          <w:rFonts w:ascii="Times New Roman" w:cs="Times New Roman" w:eastAsia="Times New Roman" w:hAnsi="Times New Roman"/>
          <w:sz w:val="14"/>
          <w:szCs w:val="14"/>
          <w:color w:val="auto"/>
        </w:rPr>
      </w:pPr>
    </w:p>
    <w:p>
      <w:pPr>
        <w:ind w:left="1140" w:right="380" w:hanging="424"/>
        <w:spacing w:after="0" w:line="282" w:lineRule="auto"/>
        <w:tabs>
          <w:tab w:leader="none" w:pos="10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of clause (1) of this Article ELEVENTH, but subject to the provisions of clause (2) of this Article ELEVENTH, no amendment to this Certificate of Incorporation or the By-Laws may (i) enlarge the obligations of any stockholder without its consent, unless such shall occur as a result of an amendment approved pursuant to clause (3)(c) of this Article ELEVENTH or (ii) change the term of the Corporation.</w:t>
      </w:r>
    </w:p>
    <w:p>
      <w:pPr>
        <w:spacing w:after="0" w:line="98" w:lineRule="exact"/>
        <w:rPr>
          <w:rFonts w:ascii="Times New Roman" w:cs="Times New Roman" w:eastAsia="Times New Roman" w:hAnsi="Times New Roman"/>
          <w:sz w:val="14"/>
          <w:szCs w:val="14"/>
          <w:color w:val="auto"/>
        </w:rPr>
      </w:pPr>
    </w:p>
    <w:p>
      <w:pPr>
        <w:ind w:left="1140" w:right="200" w:hanging="424"/>
        <w:spacing w:after="0" w:line="275" w:lineRule="auto"/>
        <w:tabs>
          <w:tab w:leader="none" w:pos="1009"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limitation of the Board of Directors’ authority to adopt amendments to this Certificate of Incorporation or the By-Laws without the approval of any stockholders as contemplated in clause (1) of this Article ELEVENTH, and notwithstanding the provisions of clause (1) of this Article ELEVENTH, any amendment that would have a material adverse effect on the rights or preferences of any class or series of Shares in relation to other classes or series of Shares must be approved by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50800</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440" w:top="1138" w:right="339" w:bottom="1440" w:gutter="0" w:footer="0" w:header="0"/>
        </w:sectPr>
      </w:pPr>
    </w:p>
    <w:bookmarkStart w:id="154" w:name="page155"/>
    <w:bookmarkEnd w:id="154"/>
    <w:p>
      <w:pPr>
        <w:ind w:left="1140"/>
        <w:spacing w:after="0"/>
        <w:rPr>
          <w:sz w:val="20"/>
          <w:szCs w:val="20"/>
          <w:color w:val="auto"/>
        </w:rPr>
      </w:pPr>
      <w:r>
        <w:rPr>
          <w:rFonts w:ascii="Times New Roman" w:cs="Times New Roman" w:eastAsia="Times New Roman" w:hAnsi="Times New Roman"/>
          <w:sz w:val="14"/>
          <w:szCs w:val="14"/>
          <w:color w:val="auto"/>
        </w:rPr>
        <w:t>holders of a majority of the issued and outstanding shares of the class or series affected.</w:t>
      </w:r>
    </w:p>
    <w:p>
      <w:pPr>
        <w:spacing w:after="0" w:line="154" w:lineRule="exact"/>
        <w:rPr>
          <w:sz w:val="20"/>
          <w:szCs w:val="20"/>
          <w:color w:val="auto"/>
        </w:rPr>
      </w:pPr>
    </w:p>
    <w:p>
      <w:pPr>
        <w:ind w:left="1140" w:hanging="424"/>
        <w:spacing w:after="0" w:line="265" w:lineRule="auto"/>
        <w:tabs>
          <w:tab w:leader="none" w:pos="1053"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limitation of the Board of Directors’ authority to adopt amendments to this Certificate of Incorporation or the By-Laws without the approval of any stockholders as contemplated in clause (1) of this Article ELEVENTH, and notwithstanding the provisions of clause (1) of this Article ELEVENTH, holders of Class A Shares will not be entitled to vote on any amendment to this Certificate of Incorporation (including the Convertible Preferred Stock Certificate of Designations and any other applicable Share Designation) that relates solely to the terms of one or more outstanding series of Preferred Shares or other classes or series of Shares if the holders of such affected classes or series are entitled, either separately or together with the holders of one or more other such classes or series, to vote thereon pursuant to this Certificate of Incorporation (including the Convertible Preferred Stock Certificate of Designations and any other applicable Share Designation) or pursuant to the DGCL.</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u w:val="single" w:color="auto"/>
          <w:color w:val="auto"/>
        </w:rPr>
        <w:t>TWELFTH</w:t>
      </w:r>
      <w:r>
        <w:rPr>
          <w:rFonts w:ascii="Times New Roman" w:cs="Times New Roman" w:eastAsia="Times New Roman" w:hAnsi="Times New Roman"/>
          <w:sz w:val="14"/>
          <w:szCs w:val="14"/>
          <w:color w:val="auto"/>
        </w:rPr>
        <w:t>: For purposes of this Certificate of Incorporation:</w:t>
      </w:r>
    </w:p>
    <w:p>
      <w:pPr>
        <w:spacing w:after="0" w:line="163" w:lineRule="exact"/>
        <w:rPr>
          <w:sz w:val="20"/>
          <w:szCs w:val="20"/>
          <w:color w:val="auto"/>
        </w:rPr>
      </w:pPr>
    </w:p>
    <w:p>
      <w:pPr>
        <w:ind w:left="280" w:firstLine="432"/>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that directly or indirectly through one or more intermediaries Controls, is Controlled by or is under common Control with the Person in question. As used herein, the term “</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means the possession, direct or indirect, of the power to direct or cause the direction of the management and policies of a Person, whether through ownership of voting securities, by contract or otherwise.</w:t>
      </w:r>
    </w:p>
    <w:p>
      <w:pPr>
        <w:spacing w:after="0" w:line="104" w:lineRule="exact"/>
        <w:rPr>
          <w:sz w:val="20"/>
          <w:szCs w:val="20"/>
          <w:color w:val="auto"/>
        </w:rPr>
      </w:pPr>
    </w:p>
    <w:p>
      <w:pPr>
        <w:ind w:left="280" w:right="14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 day other than a Saturday, Sunday or other day on which commercial banks are authorized to close under the laws of, or are in fact closed in, the State of New York.</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Group</w:t>
      </w:r>
      <w:r>
        <w:rPr>
          <w:rFonts w:ascii="Times New Roman" w:cs="Times New Roman" w:eastAsia="Times New Roman" w:hAnsi="Times New Roman"/>
          <w:sz w:val="14"/>
          <w:szCs w:val="14"/>
          <w:color w:val="auto"/>
        </w:rPr>
        <w:t>” means the Corporation and each Subsidiary of the Corporation.</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Director</w:t>
      </w:r>
      <w:r>
        <w:rPr>
          <w:rFonts w:ascii="Times New Roman" w:cs="Times New Roman" w:eastAsia="Times New Roman" w:hAnsi="Times New Roman"/>
          <w:sz w:val="14"/>
          <w:szCs w:val="14"/>
          <w:color w:val="auto"/>
        </w:rPr>
        <w:t>” means a member of the Board of Directors of the Corporation.</w:t>
      </w:r>
    </w:p>
    <w:p>
      <w:pPr>
        <w:spacing w:after="0" w:line="154" w:lineRule="exact"/>
        <w:rPr>
          <w:sz w:val="20"/>
          <w:szCs w:val="20"/>
          <w:color w:val="auto"/>
        </w:rPr>
      </w:pPr>
    </w:p>
    <w:p>
      <w:pPr>
        <w:ind w:left="280" w:right="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Entity</w:t>
      </w:r>
      <w:r>
        <w:rPr>
          <w:rFonts w:ascii="Times New Roman" w:cs="Times New Roman" w:eastAsia="Times New Roman" w:hAnsi="Times New Roman"/>
          <w:sz w:val="14"/>
          <w:szCs w:val="14"/>
          <w:color w:val="auto"/>
        </w:rPr>
        <w:t>” means any court, administrative agency, regulatory body, commission or other governmental authority, board, bureau or instrumentality, domestic or foreign and any subdivision thereof.</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Group Member</w:t>
      </w:r>
      <w:r>
        <w:rPr>
          <w:rFonts w:ascii="Times New Roman" w:cs="Times New Roman" w:eastAsia="Times New Roman" w:hAnsi="Times New Roman"/>
          <w:sz w:val="14"/>
          <w:szCs w:val="14"/>
          <w:color w:val="auto"/>
        </w:rPr>
        <w:t>” means a member of the Company Group.</w:t>
      </w:r>
    </w:p>
    <w:p>
      <w:pPr>
        <w:spacing w:after="0" w:line="154" w:lineRule="exact"/>
        <w:rPr>
          <w:sz w:val="20"/>
          <w:szCs w:val="20"/>
          <w:color w:val="auto"/>
        </w:rPr>
      </w:pPr>
    </w:p>
    <w:p>
      <w:pPr>
        <w:ind w:left="280" w:right="40" w:firstLine="432"/>
        <w:spacing w:after="0" w:line="30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Group Member Agreement</w:t>
      </w:r>
      <w:r>
        <w:rPr>
          <w:rFonts w:ascii="Times New Roman" w:cs="Times New Roman" w:eastAsia="Times New Roman" w:hAnsi="Times New Roman"/>
          <w:sz w:val="14"/>
          <w:szCs w:val="14"/>
          <w:color w:val="auto"/>
        </w:rPr>
        <w:t>” means the partnership agreement of any Group Member that is a limited or general partnership, the limited liability company agreement of any Group Member, other than the Corporation, that is a limited liability company, the certificate of incorporation and by-laws or similar organizational documents of 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720344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440" w:top="1138" w:right="339" w:bottom="1440" w:gutter="0" w:footer="0" w:header="0"/>
        </w:sectPr>
      </w:pPr>
    </w:p>
    <w:bookmarkStart w:id="155" w:name="page156"/>
    <w:bookmarkEnd w:id="155"/>
    <w:p>
      <w:pPr>
        <w:ind w:left="280" w:right="80"/>
        <w:spacing w:after="0" w:line="275" w:lineRule="auto"/>
        <w:rPr>
          <w:sz w:val="20"/>
          <w:szCs w:val="20"/>
          <w:color w:val="auto"/>
        </w:rPr>
      </w:pPr>
      <w:r>
        <w:rPr>
          <w:rFonts w:ascii="Times New Roman" w:cs="Times New Roman" w:eastAsia="Times New Roman" w:hAnsi="Times New Roman"/>
          <w:sz w:val="14"/>
          <w:szCs w:val="14"/>
          <w:color w:val="auto"/>
        </w:rPr>
        <w:t>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supplemented or restated from time to time.</w:t>
      </w:r>
    </w:p>
    <w:p>
      <w:pPr>
        <w:spacing w:after="0" w:line="113" w:lineRule="exact"/>
        <w:rPr>
          <w:sz w:val="20"/>
          <w:szCs w:val="20"/>
          <w:color w:val="auto"/>
        </w:rPr>
      </w:pPr>
    </w:p>
    <w:p>
      <w:pPr>
        <w:ind w:left="280" w:right="28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Person</w:t>
      </w:r>
      <w:r>
        <w:rPr>
          <w:rFonts w:ascii="Times New Roman" w:cs="Times New Roman" w:eastAsia="Times New Roman" w:hAnsi="Times New Roman"/>
          <w:sz w:val="14"/>
          <w:szCs w:val="14"/>
          <w:color w:val="auto"/>
        </w:rPr>
        <w:t xml:space="preserve">” means (a) any Person who is or was a Director or officer of the Corporation or its predecessor, (b) any Person who is or was serving at the request of the Corporation or its predecessor as an officer, director, member, manager, partner, fiduciary or trustee of another Person (including any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Person shall not be an Indemnified Person by reason of providing, on a fee-for-services basis, trustee, fiduciary or custodial services and (c) any Person the Board of Directors designates as an “Indemnified Person” for purposes of this Certificate of Incorporation following the effectiveness of this Certificate of Incorporation.</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Fortress Intermediate</w:t>
      </w:r>
      <w:r>
        <w:rPr>
          <w:rFonts w:ascii="Times New Roman" w:cs="Times New Roman" w:eastAsia="Times New Roman" w:hAnsi="Times New Roman"/>
          <w:sz w:val="14"/>
          <w:szCs w:val="14"/>
          <w:color w:val="auto"/>
        </w:rPr>
        <w:t>” means New Fortress Intermediate LLC, a Delaware limited liability company.</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corporation, firm, partnership, joint venture, limited liability company, estate, trust, business association, organization, Governmental Entity or other</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entity.</w:t>
      </w:r>
    </w:p>
    <w:p>
      <w:pPr>
        <w:spacing w:after="0" w:line="138" w:lineRule="exact"/>
        <w:rPr>
          <w:sz w:val="20"/>
          <w:szCs w:val="20"/>
          <w:color w:val="auto"/>
        </w:rPr>
      </w:pPr>
    </w:p>
    <w:p>
      <w:pPr>
        <w:ind w:left="280" w:firstLine="432"/>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means the date established by the Board of Directors for determining (a) the identity of the Record Holders entitled to notice of, or to vote at, any meeting of stockholders or entitled to exercise rights in respect of any lawful action of stockholders or (b) the identity of Record Holders entitled to receive any report or distribution or to participate in any offer.</w:t>
      </w:r>
    </w:p>
    <w:p>
      <w:pPr>
        <w:spacing w:after="0" w:line="272" w:lineRule="exact"/>
        <w:rPr>
          <w:sz w:val="20"/>
          <w:szCs w:val="20"/>
          <w:color w:val="auto"/>
        </w:rPr>
      </w:pPr>
    </w:p>
    <w:p>
      <w:pPr>
        <w:ind w:left="280" w:right="460" w:firstLine="43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Record 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means (a) with respect to any Class A Shares, the Person in whose name such Shares are registered on the books of the Transfer Agent as of the opening of business on a particular Business Day, and (b) with respect to any Shares of any other class, the Person in whose name such Shares are registered on the books that the Corporation has caused to be kept as of the opening of business on such Business Day.</w:t>
      </w:r>
    </w:p>
    <w:p>
      <w:pPr>
        <w:spacing w:after="0" w:line="99" w:lineRule="exact"/>
        <w:rPr>
          <w:sz w:val="20"/>
          <w:szCs w:val="20"/>
          <w:color w:val="auto"/>
        </w:rPr>
      </w:pPr>
    </w:p>
    <w:p>
      <w:pPr>
        <w:ind w:left="280" w:right="58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 supplemented or restated from time to time and any successor to such statute, and the rules and regulations promulgated thereunder.</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 Majority</w:t>
      </w:r>
      <w:r>
        <w:rPr>
          <w:rFonts w:ascii="Times New Roman" w:cs="Times New Roman" w:eastAsia="Times New Roman" w:hAnsi="Times New Roman"/>
          <w:sz w:val="14"/>
          <w:szCs w:val="14"/>
          <w:color w:val="auto"/>
        </w:rPr>
        <w:t>” means a majority of the total votes that may be cast in the election of Directors by holders of all the issued and outstanding Voting Shares.</w:t>
      </w:r>
    </w:p>
    <w:p>
      <w:pPr>
        <w:spacing w:after="0" w:line="163" w:lineRule="exact"/>
        <w:rPr>
          <w:sz w:val="20"/>
          <w:szCs w:val="20"/>
          <w:color w:val="auto"/>
        </w:rPr>
      </w:pPr>
    </w:p>
    <w:p>
      <w:pPr>
        <w:ind w:left="280" w:right="3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with respect to any Person, as of any date of determination, any other Person as to which such Person owns or otherwise controls, directly or indirectly, (a) more than 50% of the (1) voting shares or other similar interests or (2) economic interest, (b) a sole general partner interest or managing member or similar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720344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440" w:top="1138" w:right="299" w:bottom="1440" w:gutter="0" w:footer="0" w:header="0"/>
        </w:sectPr>
      </w:pPr>
    </w:p>
    <w:bookmarkStart w:id="156" w:name="page157"/>
    <w:bookmarkEnd w:id="156"/>
    <w:p>
      <w:pPr>
        <w:ind w:left="280" w:right="260"/>
        <w:spacing w:after="0" w:line="295" w:lineRule="auto"/>
        <w:rPr>
          <w:sz w:val="20"/>
          <w:szCs w:val="20"/>
          <w:color w:val="auto"/>
        </w:rPr>
      </w:pPr>
      <w:r>
        <w:rPr>
          <w:rFonts w:ascii="Times New Roman" w:cs="Times New Roman" w:eastAsia="Times New Roman" w:hAnsi="Times New Roman"/>
          <w:sz w:val="14"/>
          <w:szCs w:val="14"/>
          <w:color w:val="auto"/>
        </w:rPr>
        <w:t>interest of such Person, (c) the right to appoint a majority of the members of the governing body of such Person or (iv) the power affirmatively to direct the policies and management of such Person. For the avoidance of doubt, New Fortress Intermediate and its Subsidiaries shall be deemed to be Subsidiaries of the Corporation.</w:t>
      </w:r>
    </w:p>
    <w:p>
      <w:pPr>
        <w:spacing w:after="0" w:line="90" w:lineRule="exact"/>
        <w:rPr>
          <w:sz w:val="20"/>
          <w:szCs w:val="20"/>
          <w:color w:val="auto"/>
        </w:rPr>
      </w:pPr>
    </w:p>
    <w:p>
      <w:pPr>
        <w:ind w:left="280" w:firstLine="432"/>
        <w:spacing w:after="0" w:line="30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means, with respect to a Share, a transaction by which the Record Holder of a Share assigns such Share to another Person who is or becomes a stockholder, and includes a sale, assignment, gift, exchange or any other disposition by law or otherwise, including any transfer upon foreclosure of any pledge, encumbrance, hypothecation or mortgage.</w:t>
      </w:r>
    </w:p>
    <w:p>
      <w:pPr>
        <w:spacing w:after="0" w:line="80" w:lineRule="exact"/>
        <w:rPr>
          <w:sz w:val="20"/>
          <w:szCs w:val="20"/>
          <w:color w:val="auto"/>
        </w:rPr>
      </w:pPr>
    </w:p>
    <w:p>
      <w:pPr>
        <w:ind w:left="280" w:right="20" w:firstLine="432"/>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xml:space="preserve">” means, with respect to any class of Shares, such bank, trust company or other Person (including the Corporation or one of its Affiliates) as shall be appointed from time to time by the Corporation to act as registrar and transfer agent for such class of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no Transfer Agent is specifically designated for such class of Shares, the Corporation shall act in such capacity.</w:t>
      </w:r>
    </w:p>
    <w:p>
      <w:pPr>
        <w:spacing w:after="0" w:line="104" w:lineRule="exact"/>
        <w:rPr>
          <w:sz w:val="20"/>
          <w:szCs w:val="20"/>
          <w:color w:val="auto"/>
        </w:rPr>
      </w:pPr>
    </w:p>
    <w:p>
      <w:pPr>
        <w:ind w:left="280" w:right="120" w:firstLine="43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Shares</w:t>
      </w:r>
      <w:r>
        <w:rPr>
          <w:rFonts w:ascii="Times New Roman" w:cs="Times New Roman" w:eastAsia="Times New Roman" w:hAnsi="Times New Roman"/>
          <w:sz w:val="14"/>
          <w:szCs w:val="14"/>
          <w:color w:val="auto"/>
        </w:rPr>
        <w:t>” means the Class A Shares, the Convertible Preferred Stock (on an as-converted basis as specified in the Convertible Preferred Stock Certificate of Designations) and any other class of Shares issued after the date of this Certificate of Incorporation in accordance with the terms hereof, the Convertible Preferred Stock Certificate of Designations, and any other applicable Share Designation that entitles the Record Holder thereof to vote on any matter submitted for consent or approval of stockholders.</w:t>
      </w:r>
    </w:p>
    <w:p>
      <w:pPr>
        <w:spacing w:after="0" w:line="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 * * *</w:t>
      </w:r>
    </w:p>
    <w:p>
      <w:pPr>
        <w:spacing w:after="0" w:line="15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color w:val="auto"/>
        </w:rPr>
        <w:t>This Certificate of Incorporation shall become effective at</w:t>
      </w:r>
    </w:p>
    <w:p>
      <w:pPr>
        <w:spacing w:after="0" w:line="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the Effective Time.</w:t>
      </w:r>
    </w:p>
    <w:p>
      <w:pPr>
        <w:spacing w:after="0" w:line="1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rest of this page is intentionally blank</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50800</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40"/>
          </w:cols>
          <w:pgMar w:left="440" w:top="1138" w:right="319" w:bottom="1440" w:gutter="0" w:footer="0" w:header="0"/>
        </w:sectPr>
      </w:pPr>
    </w:p>
    <w:bookmarkStart w:id="157" w:name="page158"/>
    <w:bookmarkEnd w:id="157"/>
    <w:p>
      <w:pPr>
        <w:ind w:left="280"/>
        <w:spacing w:after="0"/>
        <w:rPr>
          <w:sz w:val="20"/>
          <w:szCs w:val="20"/>
          <w:color w:val="auto"/>
        </w:rPr>
      </w:pPr>
      <w:r>
        <w:rPr>
          <w:rFonts w:ascii="Times New Roman" w:cs="Times New Roman" w:eastAsia="Times New Roman" w:hAnsi="Times New Roman"/>
          <w:sz w:val="14"/>
          <w:szCs w:val="14"/>
          <w:color w:val="auto"/>
        </w:rPr>
        <w:t>IN WITNESS WHEREOF, the undersigned has duly executed this Amended and Restated Certificate of Incorporation,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1826260</wp:posOffset>
            </wp:positionH>
            <wp:positionV relativeFrom="paragraph">
              <wp:posOffset>676275</wp:posOffset>
            </wp:positionV>
            <wp:extent cx="27432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43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color w:val="auto"/>
        </w:rPr>
        <w:t>Name: Kevin Sullivan</w:t>
      </w:r>
    </w:p>
    <w:p>
      <w:pPr>
        <w:spacing w:after="0" w:line="2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Amended &amp; Restated Certificate of Incorporation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019"/>
          </w:cols>
          <w:pgMar w:left="440" w:top="1138" w:right="1440"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of Designations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Series A Mandatorily Convertible Preferred Stock</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New Fortress Energy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See attached</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594995</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4"/>
          <w:szCs w:val="14"/>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2019 OMNIBUS INCENTIVE PLAN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amended and restated as of [●], 2026)</w:t>
      </w:r>
    </w:p>
    <w:p>
      <w:pPr>
        <w:spacing w:after="0" w:line="13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w:t>
      </w:r>
      <w:r>
        <w:rPr>
          <w:sz w:val="20"/>
          <w:szCs w:val="20"/>
          <w:color w:val="auto"/>
        </w:rPr>
        <w:tab/>
      </w:r>
      <w:r>
        <w:rPr>
          <w:rFonts w:ascii="Times New Roman" w:cs="Times New Roman" w:eastAsia="Times New Roman" w:hAnsi="Times New Roman"/>
          <w:sz w:val="14"/>
          <w:szCs w:val="14"/>
          <w:b w:val="1"/>
          <w:bCs w:val="1"/>
          <w:color w:val="auto"/>
        </w:rPr>
        <w:t>Purpose of Plan.</w:t>
      </w:r>
    </w:p>
    <w:p>
      <w:pPr>
        <w:spacing w:after="0" w:line="147" w:lineRule="exact"/>
        <w:rPr>
          <w:sz w:val="20"/>
          <w:szCs w:val="20"/>
          <w:color w:val="auto"/>
        </w:rPr>
      </w:pPr>
    </w:p>
    <w:p>
      <w:pPr>
        <w:ind w:right="60" w:firstLine="864"/>
        <w:spacing w:after="0" w:line="265" w:lineRule="auto"/>
        <w:rPr>
          <w:sz w:val="20"/>
          <w:szCs w:val="20"/>
          <w:color w:val="auto"/>
        </w:rPr>
      </w:pPr>
      <w:r>
        <w:rPr>
          <w:rFonts w:ascii="Times New Roman" w:cs="Times New Roman" w:eastAsia="Times New Roman" w:hAnsi="Times New Roman"/>
          <w:sz w:val="14"/>
          <w:szCs w:val="14"/>
          <w:color w:val="auto"/>
        </w:rPr>
        <w:t>The name of the Plan is the Amended and Restated New Fortress Energy Inc. 2019 Omnibus Incentive Plan (the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The purposes of the Plan are to provide an additional incentive to selected officers, employees, non-employee directors, independent contractors, and consultants of the Company or its Affiliates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Share Appreciation Rights, Restricted Shares, Restricted Share Units, Share Bonuses, Other Share-Based Awards, Cash Awards or any combination of the foregoing.</w:t>
      </w:r>
    </w:p>
    <w:p>
      <w:pPr>
        <w:spacing w:after="0" w:line="9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w:t>
      </w:r>
      <w:r>
        <w:rPr>
          <w:sz w:val="20"/>
          <w:szCs w:val="20"/>
          <w:color w:val="auto"/>
        </w:rPr>
        <w:tab/>
      </w:r>
      <w:r>
        <w:rPr>
          <w:rFonts w:ascii="Times New Roman" w:cs="Times New Roman" w:eastAsia="Times New Roman" w:hAnsi="Times New Roman"/>
          <w:sz w:val="14"/>
          <w:szCs w:val="14"/>
          <w:b w:val="1"/>
          <w:bCs w:val="1"/>
          <w:color w:val="auto"/>
        </w:rPr>
        <w:t>Definitions.</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For purposes of the Plan, the following terms shall be defined as set forth below:</w:t>
      </w:r>
    </w:p>
    <w:p>
      <w:pPr>
        <w:spacing w:after="0" w:line="135" w:lineRule="exact"/>
        <w:rPr>
          <w:sz w:val="20"/>
          <w:szCs w:val="20"/>
          <w:color w:val="auto"/>
        </w:rPr>
      </w:pPr>
    </w:p>
    <w:p>
      <w:pPr>
        <w:ind w:left="1720" w:hanging="432"/>
        <w:spacing w:after="0"/>
        <w:tabs>
          <w:tab w:leader="none" w:pos="17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Administrator</w:t>
      </w:r>
      <w:r>
        <w:rPr>
          <w:rFonts w:ascii="Times New Roman" w:cs="Times New Roman" w:eastAsia="Times New Roman" w:hAnsi="Times New Roman"/>
          <w:sz w:val="14"/>
          <w:szCs w:val="14"/>
          <w:color w:val="auto"/>
        </w:rPr>
        <w:t>” means the Board, or, if and to the extent the Board does not administer the Plan, the Committee, which shall administer the Plan in accordance with</w:t>
      </w:r>
    </w:p>
    <w:p>
      <w:pPr>
        <w:spacing w:after="0"/>
        <w:rPr>
          <w:sz w:val="20"/>
          <w:szCs w:val="20"/>
          <w:color w:val="auto"/>
        </w:rPr>
      </w:pPr>
      <w:r>
        <w:rPr>
          <w:rFonts w:ascii="Times New Roman" w:cs="Times New Roman" w:eastAsia="Times New Roman" w:hAnsi="Times New Roman"/>
          <w:sz w:val="14"/>
          <w:szCs w:val="14"/>
          <w:color w:val="auto"/>
        </w:rPr>
        <w:t>Section 3 hereof.</w:t>
      </w:r>
    </w:p>
    <w:p>
      <w:pPr>
        <w:spacing w:after="0" w:line="110" w:lineRule="exact"/>
        <w:rPr>
          <w:sz w:val="20"/>
          <w:szCs w:val="20"/>
          <w:color w:val="auto"/>
        </w:rPr>
      </w:pPr>
    </w:p>
    <w:p>
      <w:pPr>
        <w:ind w:left="1720" w:hanging="432"/>
        <w:spacing w:after="0"/>
        <w:tabs>
          <w:tab w:leader="none" w:pos="17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a Person that directly, or indirectly through one or more intermediaries, controls, or is controlled by, or is under common control with, the Person</w:t>
      </w:r>
    </w:p>
    <w:p>
      <w:pPr>
        <w:spacing w:after="0"/>
        <w:rPr>
          <w:sz w:val="20"/>
          <w:szCs w:val="20"/>
          <w:color w:val="auto"/>
        </w:rPr>
      </w:pPr>
      <w:r>
        <w:rPr>
          <w:rFonts w:ascii="Times New Roman" w:cs="Times New Roman" w:eastAsia="Times New Roman" w:hAnsi="Times New Roman"/>
          <w:sz w:val="14"/>
          <w:szCs w:val="14"/>
          <w:color w:val="auto"/>
        </w:rPr>
        <w:t>specified.</w:t>
      </w:r>
    </w:p>
    <w:p>
      <w:pPr>
        <w:spacing w:after="0" w:line="110" w:lineRule="exact"/>
        <w:rPr>
          <w:sz w:val="20"/>
          <w:szCs w:val="20"/>
          <w:color w:val="auto"/>
        </w:rPr>
      </w:pPr>
    </w:p>
    <w:p>
      <w:pPr>
        <w:ind w:left="1720" w:hanging="432"/>
        <w:spacing w:after="0"/>
        <w:tabs>
          <w:tab w:leader="none" w:pos="172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Award</w:t>
      </w:r>
      <w:r>
        <w:rPr>
          <w:rFonts w:ascii="Times New Roman" w:cs="Times New Roman" w:eastAsia="Times New Roman" w:hAnsi="Times New Roman"/>
          <w:sz w:val="14"/>
          <w:szCs w:val="14"/>
          <w:color w:val="auto"/>
        </w:rPr>
        <w:t>” means any Option, Share Appreciation Right, Restricted Share, Restricted Share Unit, Share Bonus, Other Share-Based Award or Cash Award granted under</w:t>
      </w:r>
    </w:p>
    <w:p>
      <w:pPr>
        <w:spacing w:after="0"/>
        <w:rPr>
          <w:sz w:val="20"/>
          <w:szCs w:val="20"/>
          <w:color w:val="auto"/>
        </w:rPr>
      </w:pPr>
      <w:r>
        <w:rPr>
          <w:rFonts w:ascii="Times New Roman" w:cs="Times New Roman" w:eastAsia="Times New Roman" w:hAnsi="Times New Roman"/>
          <w:sz w:val="14"/>
          <w:szCs w:val="14"/>
          <w:color w:val="auto"/>
        </w:rPr>
        <w:t>the Plan.</w:t>
      </w:r>
    </w:p>
    <w:p>
      <w:pPr>
        <w:spacing w:after="0" w:line="111" w:lineRule="exact"/>
        <w:rPr>
          <w:sz w:val="20"/>
          <w:szCs w:val="20"/>
          <w:color w:val="auto"/>
        </w:rPr>
      </w:pPr>
    </w:p>
    <w:p>
      <w:pPr>
        <w:ind w:right="40" w:firstLine="1288"/>
        <w:spacing w:after="0" w:line="236" w:lineRule="auto"/>
        <w:tabs>
          <w:tab w:leader="none" w:pos="1725"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Award Agreement</w:t>
      </w:r>
      <w:r>
        <w:rPr>
          <w:rFonts w:ascii="Times New Roman" w:cs="Times New Roman" w:eastAsia="Times New Roman" w:hAnsi="Times New Roman"/>
          <w:sz w:val="14"/>
          <w:szCs w:val="14"/>
          <w:color w:val="auto"/>
        </w:rPr>
        <w:t>” means any written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101"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Price</w:t>
      </w:r>
      <w:r>
        <w:rPr>
          <w:rFonts w:ascii="Times New Roman" w:cs="Times New Roman" w:eastAsia="Times New Roman" w:hAnsi="Times New Roman"/>
          <w:sz w:val="14"/>
          <w:szCs w:val="14"/>
          <w:color w:val="auto"/>
        </w:rPr>
        <w:t>” has the meaning set forth in Section 8(b) hereof.</w:t>
      </w:r>
    </w:p>
    <w:p>
      <w:pPr>
        <w:spacing w:after="0" w:line="127"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w:t>
      </w:r>
      <w:r>
        <w:rPr>
          <w:rFonts w:ascii="Times New Roman" w:cs="Times New Roman" w:eastAsia="Times New Roman" w:hAnsi="Times New Roman"/>
          <w:sz w:val="14"/>
          <w:szCs w:val="14"/>
          <w:color w:val="auto"/>
        </w:rPr>
        <w:t>” (or any variant thereof) has the meaning defined in Rule 13d-3 under the Exchange Act.</w:t>
      </w:r>
    </w:p>
    <w:p>
      <w:pPr>
        <w:spacing w:after="0" w:line="127"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4" w:right="299" w:bottom="1440" w:gutter="0" w:footer="0" w:header="0"/>
        </w:sectPr>
      </w:pPr>
    </w:p>
    <w:bookmarkStart w:id="160" w:name="page161"/>
    <w:bookmarkEnd w:id="160"/>
    <w:p>
      <w:pPr>
        <w:ind w:left="1720" w:hanging="432"/>
        <w:spacing w:after="0"/>
        <w:tabs>
          <w:tab w:leader="none" w:pos="17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Award</w:t>
      </w:r>
      <w:r>
        <w:rPr>
          <w:rFonts w:ascii="Times New Roman" w:cs="Times New Roman" w:eastAsia="Times New Roman" w:hAnsi="Times New Roman"/>
          <w:sz w:val="14"/>
          <w:szCs w:val="14"/>
          <w:color w:val="auto"/>
        </w:rPr>
        <w:t>” means an Award granted pursuant to Section 12 hereof.</w:t>
      </w:r>
    </w:p>
    <w:p>
      <w:pPr>
        <w:spacing w:after="0" w:line="127" w:lineRule="exact"/>
        <w:rPr>
          <w:rFonts w:ascii="Times New Roman" w:cs="Times New Roman" w:eastAsia="Times New Roman" w:hAnsi="Times New Roman"/>
          <w:sz w:val="14"/>
          <w:szCs w:val="14"/>
          <w:color w:val="auto"/>
        </w:rPr>
      </w:pPr>
    </w:p>
    <w:p>
      <w:pPr>
        <w:ind w:right="60" w:firstLine="1288"/>
        <w:spacing w:after="0" w:line="220" w:lineRule="auto"/>
        <w:tabs>
          <w:tab w:leader="none" w:pos="17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xml:space="preserve">” has the meaning assigned to such term in the Award Agreement or in any individual employment or severance agreement with the Participant or, if any such agreement does not define “Cause,” Cause means (i) the commission of an act of fraud or dishonesty by the Participant in the course of the Participant’s employment or service; (ii) the indictment of, or conviction of, or entering of a plea of guilty or nolo contendere by, the Participant for a crime constituting a felony or in respect of any act of fraud or dishonesty; (iii) the commission of an act by the Participant which would make the Participant or the Company (including any of its Subsidiaries or Affiliates) subject to being enjoined, suspended, barred or otherwise disciplined for violation of federal or state securities laws, rules or regulations, including a statutory disqualification; (iv) gross negligence or willful misconduct in connection with the Participant’s performance of his or her duties in connection with the Participant’s employment by or service with the Company (including any Subsidiary or Affiliate for whom the Participant may be employed by or providing services to at the time) or the Participant’s failure to comply with any of the restrictive covenants to which the Participant is subject; (v) the Participant’s willful failure to comply with any material policies or procedures of the Company as in effect from time to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Participant shall have been delivered a copy of such policies or notice that they have been posted on a Company website prior to such compliance failure; or (vi) the Participant’s failure to perform the material duties in connection with the Participant’s position, unless the Participant remedies the failure referenced in this clause (vi) no later than ten (10) days following delivery to the Participant of a written notice from the Company (including any of its Subsidiaries or Affiliates) describing such failure in reasonable detail (provided that the Participant shall not be given more than one opportunity in the aggregate to remedy failures described in this clause (vi)).</w:t>
      </w:r>
    </w:p>
    <w:p>
      <w:pPr>
        <w:spacing w:after="0" w:line="104" w:lineRule="exact"/>
        <w:rPr>
          <w:rFonts w:ascii="Times New Roman" w:cs="Times New Roman" w:eastAsia="Times New Roman" w:hAnsi="Times New Roman"/>
          <w:sz w:val="14"/>
          <w:szCs w:val="14"/>
          <w:color w:val="auto"/>
        </w:rPr>
      </w:pPr>
    </w:p>
    <w:p>
      <w:pPr>
        <w:jc w:val="both"/>
        <w:ind w:right="80" w:firstLine="1288"/>
        <w:spacing w:after="0" w:line="231" w:lineRule="auto"/>
        <w:tabs>
          <w:tab w:leader="none" w:pos="17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Capitalization</w:t>
      </w:r>
      <w:r>
        <w:rPr>
          <w:rFonts w:ascii="Times New Roman" w:cs="Times New Roman" w:eastAsia="Times New Roman" w:hAnsi="Times New Roman"/>
          <w:sz w:val="14"/>
          <w:szCs w:val="14"/>
          <w:color w:val="auto"/>
        </w:rPr>
        <w:t>” means any (1) merger, consolidation, reclassification, recapitalization, spin-off, spin-out, repurchase or other reorganization or corporate transaction or event, (2) special or extraordinary dividend or other extraordinary distribution (whether in the form of cash, Shares, or other property), share split, reverse share split, subdivision or consolidation, (3) combination or exchange of shares, or (4) other change in corporate structure or sale or disposition of assets, which, in any such case, the Administrator determines, in its sole discretion, affects the Shares, the Company or any Award such that an adjustment pursuant to Section 5 hereof is appropriate.</w:t>
      </w:r>
    </w:p>
    <w:p>
      <w:pPr>
        <w:spacing w:after="0" w:line="100"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means an event set forth in any one of the following clauses shall have occurred:</w:t>
      </w:r>
    </w:p>
    <w:p>
      <w:pPr>
        <w:spacing w:after="0" w:line="127" w:lineRule="exact"/>
        <w:rPr>
          <w:rFonts w:ascii="Times New Roman" w:cs="Times New Roman" w:eastAsia="Times New Roman" w:hAnsi="Times New Roman"/>
          <w:sz w:val="14"/>
          <w:szCs w:val="14"/>
          <w:color w:val="auto"/>
        </w:rPr>
      </w:pPr>
    </w:p>
    <w:p>
      <w:pPr>
        <w:jc w:val="both"/>
        <w:ind w:left="420" w:right="240" w:firstLine="1628"/>
        <w:spacing w:after="0" w:line="236" w:lineRule="auto"/>
        <w:tabs>
          <w:tab w:leader="none" w:pos="2572"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or group of Persons is or becomes the Beneficial Owner of Company securities (not including any securities acquired directly from the Company or its Affiliates) representing 50% or more of the combined voting power of the Company’s then outstanding securities, excluding any Person who becomes such a Beneficial Owner in a transaction described in clause (A) of paragraph (2) below;</w:t>
      </w:r>
    </w:p>
    <w:p>
      <w:pPr>
        <w:spacing w:after="0" w:line="101" w:lineRule="exact"/>
        <w:rPr>
          <w:rFonts w:ascii="Times New Roman" w:cs="Times New Roman" w:eastAsia="Times New Roman" w:hAnsi="Times New Roman"/>
          <w:sz w:val="14"/>
          <w:szCs w:val="14"/>
          <w:color w:val="auto"/>
        </w:rPr>
      </w:pPr>
    </w:p>
    <w:p>
      <w:pPr>
        <w:ind w:left="420" w:firstLine="1628"/>
        <w:spacing w:after="0" w:line="227" w:lineRule="auto"/>
        <w:tabs>
          <w:tab w:leader="none" w:pos="2572"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consummated a merger or consolidation of the Company or any direct or indirect Subsidiary with any other entity, other than (A) a merger or consolidation (i) which results in the Company’s voting securities outstanding immediately prior to such merger or consolidation continuing to represent (either by remaining outstanding or by being converted into voting securities of the surviving entity or any parent thereof) more than 50% of the combined voting power of the securities of the Company or such surviving entity or any parent thereof outstanding immediately after such merger or consolidation and (ii) immediately following which the individuals who comprise the Board immediately prior thereto constitute at least a majority of the board 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61" w:name="page162"/>
    <w:bookmarkEnd w:id="161"/>
    <w:p>
      <w:pPr>
        <w:ind w:left="420" w:right="20"/>
        <w:spacing w:after="0" w:line="231" w:lineRule="auto"/>
        <w:rPr>
          <w:sz w:val="20"/>
          <w:szCs w:val="20"/>
          <w:color w:val="auto"/>
        </w:rPr>
      </w:pPr>
      <w:r>
        <w:rPr>
          <w:rFonts w:ascii="Times New Roman" w:cs="Times New Roman" w:eastAsia="Times New Roman" w:hAnsi="Times New Roman"/>
          <w:sz w:val="14"/>
          <w:szCs w:val="14"/>
          <w:color w:val="auto"/>
        </w:rPr>
        <w:t>directors of the Company, the entity surviving such merger or consolidation or, if the Company or the entity surviving such merger or consolidation is then a Subsidiary, the ultimate parent thereof, or (B) a merger or consolidation effected to implement a recapitalization of the Company (or similar transaction) in which no person is or becomes the Beneficial Owner of the Company’s securities (not including any securities acquired directly from the Company or its Affiliates) representing 50% or more of the combined voting power of the Company’s then outstanding securities; or</w:t>
      </w:r>
    </w:p>
    <w:p>
      <w:pPr>
        <w:spacing w:after="0" w:line="100" w:lineRule="exact"/>
        <w:rPr>
          <w:sz w:val="20"/>
          <w:szCs w:val="20"/>
          <w:color w:val="auto"/>
        </w:rPr>
      </w:pPr>
    </w:p>
    <w:p>
      <w:pPr>
        <w:ind w:left="420" w:right="40" w:firstLine="1628"/>
        <w:spacing w:after="0" w:line="225" w:lineRule="auto"/>
        <w:tabs>
          <w:tab w:leader="none" w:pos="2572"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of the Company approve a plan of complete liquidation or dissolution of the Company or there is consummated an agreement for the sale or disposition by the Company of all or substantially all of the Company’s assets, other than (i) a sale or disposition by the Company of all or substantially all of the Company’s assets to an entity, at least 50% of the combined voting power of the voting securities of which are owned by stockholders of the Company following the completion of such transaction in substantially the same proportions as their ownership of the Company immediately prior to such sale or (ii)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Notwithstanding the foregoing, for each Award that constitutes deferred compensation under 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spacing w:after="0" w:line="95" w:lineRule="exact"/>
        <w:rPr>
          <w:sz w:val="20"/>
          <w:szCs w:val="20"/>
          <w:color w:val="auto"/>
        </w:rPr>
      </w:pPr>
    </w:p>
    <w:p>
      <w:pPr>
        <w:ind w:left="1720" w:hanging="432"/>
        <w:spacing w:after="0"/>
        <w:tabs>
          <w:tab w:leader="none" w:pos="17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Class A Shares</w:t>
      </w:r>
      <w:r>
        <w:rPr>
          <w:rFonts w:ascii="Times New Roman" w:cs="Times New Roman" w:eastAsia="Times New Roman" w:hAnsi="Times New Roman"/>
          <w:sz w:val="14"/>
          <w:szCs w:val="14"/>
          <w:color w:val="auto"/>
        </w:rPr>
        <w:t>” means Class A shares of common stock of the Company.</w:t>
      </w:r>
    </w:p>
    <w:p>
      <w:pPr>
        <w:spacing w:after="0" w:line="127"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 from time to time, or any successor thereto.</w:t>
      </w:r>
    </w:p>
    <w:p>
      <w:pPr>
        <w:spacing w:after="0" w:line="127" w:lineRule="exact"/>
        <w:rPr>
          <w:rFonts w:ascii="Times New Roman" w:cs="Times New Roman" w:eastAsia="Times New Roman" w:hAnsi="Times New Roman"/>
          <w:sz w:val="14"/>
          <w:szCs w:val="14"/>
          <w:color w:val="auto"/>
        </w:rPr>
      </w:pPr>
    </w:p>
    <w:p>
      <w:pPr>
        <w:ind w:right="100" w:firstLine="1288"/>
        <w:spacing w:after="0" w:line="227" w:lineRule="auto"/>
        <w:tabs>
          <w:tab w:leader="none" w:pos="1725"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Shares are traded. If at any time or to any extent the Board shall not administer the Plan, then the functions of the Administrator specified in the Plan shall be exercised by the Committee. Except as otherwise provided in the organizational documents of the Company, any action of the Committee with respect to the administration of the Plan shall be taken by a majority vote at a meeting at which a quorum is duly constituted or unanimous written consent of the Committee’s members.</w:t>
      </w:r>
    </w:p>
    <w:p>
      <w:pPr>
        <w:spacing w:after="0" w:line="102"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New Fortress Energy Inc., a Delaware corporation or any successor company.</w:t>
      </w:r>
    </w:p>
    <w:p>
      <w:pPr>
        <w:spacing w:after="0" w:line="127" w:lineRule="exact"/>
        <w:rPr>
          <w:rFonts w:ascii="Times New Roman" w:cs="Times New Roman" w:eastAsia="Times New Roman" w:hAnsi="Times New Roman"/>
          <w:sz w:val="14"/>
          <w:szCs w:val="14"/>
          <w:color w:val="auto"/>
        </w:rPr>
      </w:pPr>
    </w:p>
    <w:p>
      <w:pPr>
        <w:ind w:right="100" w:firstLine="1288"/>
        <w:spacing w:after="0" w:line="255" w:lineRule="auto"/>
        <w:tabs>
          <w:tab w:leader="none" w:pos="1725"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has the meaning assigned to such term in the Award Agreement or in any individual employment or severance agreement with the Participant or, if any such agreement does not define “Disability,” Disability means, with respect to any Participant, that such Participant, as determined by the Administrator in its sole discretion, is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62" w:name="page163"/>
    <w:bookmarkEnd w:id="162"/>
    <w:p>
      <w:pPr>
        <w:spacing w:after="0" w:line="231" w:lineRule="auto"/>
        <w:rPr>
          <w:sz w:val="20"/>
          <w:szCs w:val="20"/>
          <w:color w:val="auto"/>
        </w:rPr>
      </w:pPr>
      <w:r>
        <w:rPr>
          <w:rFonts w:ascii="Times New Roman" w:cs="Times New Roman" w:eastAsia="Times New Roman" w:hAnsi="Times New Roman"/>
          <w:sz w:val="14"/>
          <w:szCs w:val="14"/>
          <w:color w:val="auto"/>
        </w:rPr>
        <w:t>unable to engage in any substantial gainful activity by reason of any medically determinable physical or mental impairment which can be expected to result in death or can be expected to last for a continuous period of not less than twelve (12) months, or (ii)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00" w:lineRule="exact"/>
        <w:rPr>
          <w:sz w:val="20"/>
          <w:szCs w:val="20"/>
          <w:color w:val="auto"/>
        </w:rPr>
      </w:pPr>
    </w:p>
    <w:p>
      <w:pPr>
        <w:ind w:left="1720" w:hanging="432"/>
        <w:spacing w:after="0"/>
        <w:tabs>
          <w:tab w:leader="none" w:pos="17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has the meaning set forth in Section 20 hereof.</w:t>
      </w:r>
    </w:p>
    <w:p>
      <w:pPr>
        <w:spacing w:after="0" w:line="127" w:lineRule="exact"/>
        <w:rPr>
          <w:rFonts w:ascii="Times New Roman" w:cs="Times New Roman" w:eastAsia="Times New Roman" w:hAnsi="Times New Roman"/>
          <w:sz w:val="14"/>
          <w:szCs w:val="14"/>
          <w:color w:val="auto"/>
        </w:rPr>
      </w:pPr>
    </w:p>
    <w:p>
      <w:pPr>
        <w:ind w:right="40" w:firstLine="1288"/>
        <w:spacing w:after="0" w:line="227" w:lineRule="auto"/>
        <w:tabs>
          <w:tab w:leader="none" w:pos="1728"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Eligible Recipient</w:t>
      </w:r>
      <w:r>
        <w:rPr>
          <w:rFonts w:ascii="Times New Roman" w:cs="Times New Roman" w:eastAsia="Times New Roman" w:hAnsi="Times New Roman"/>
          <w:sz w:val="14"/>
          <w:szCs w:val="14"/>
          <w:color w:val="auto"/>
        </w:rPr>
        <w:t xml:space="preserve">” means an officer, employee, non-employee director, independent contractor or consultant of the Company or any Affiliate of the Company who has been selected as an eligible participant by the Administrator;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to the extent required to avoid accelerated taxation and/or tax penalties under Section 409A of the Code, an Eligible Recipient of an Option or a Share Appreciation Right means an employee, non-employee director, independent contractor or consultant of the Company or any Affiliate of the Company with respect to whom the Company is an “eligible issuer of service recipient stock” within the meaning of Section 409A of the Code;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 Eligible Recipient must be an “employee” of the Company or any of its parents or subsidiaries within the meaning of General Instruction A.1(a) to Form S-8 if such individual is granted an Award that may be settled in Shares.</w:t>
      </w:r>
    </w:p>
    <w:p>
      <w:pPr>
        <w:spacing w:after="0" w:line="102"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 from time to time.</w:t>
      </w:r>
    </w:p>
    <w:p>
      <w:pPr>
        <w:spacing w:after="0" w:line="126"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means, with respect to any Option, the per share price at which a holder of such Option may purchase such Class A Shares issuable upon the</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of such Option.</w:t>
      </w:r>
    </w:p>
    <w:p>
      <w:pPr>
        <w:spacing w:after="0" w:line="111" w:lineRule="exact"/>
        <w:rPr>
          <w:rFonts w:ascii="Times New Roman" w:cs="Times New Roman" w:eastAsia="Times New Roman" w:hAnsi="Times New Roman"/>
          <w:sz w:val="14"/>
          <w:szCs w:val="14"/>
          <w:color w:val="auto"/>
        </w:rPr>
      </w:pPr>
    </w:p>
    <w:p>
      <w:pPr>
        <w:ind w:right="180" w:firstLine="1288"/>
        <w:spacing w:after="0" w:line="227" w:lineRule="auto"/>
        <w:tabs>
          <w:tab w:leader="none" w:pos="1725"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xml:space="preserve">” of Shares or another security as of a particular date shall mean the fair market value as determined by the Administrator in its sole discretion;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except as otherwise determined by the Administrator, (i) if the Shares or other security are admitted to trading on a national securities exchange, the fair market value on any date shall be the closing sale price reported on such date, or if no Shares or other securities were traded on such date, on the last preceding date for which there was a sale of a Share or other security on such exchange, or (ii) if the Shares or other security are then traded in an over-the-counter market, the fair market value on any date shall be the average of the closing bid and asked prices for such share in such over-the-counter market for the last preceding date on which there was a sale of such share in such market.</w:t>
      </w:r>
    </w:p>
    <w:p>
      <w:pPr>
        <w:spacing w:after="0" w:line="102"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Free Standing Right</w:t>
      </w:r>
      <w:r>
        <w:rPr>
          <w:rFonts w:ascii="Times New Roman" w:cs="Times New Roman" w:eastAsia="Times New Roman" w:hAnsi="Times New Roman"/>
          <w:sz w:val="14"/>
          <w:szCs w:val="14"/>
          <w:color w:val="auto"/>
        </w:rPr>
        <w:t>” has the meaning set forth in Section 8(a) hereof.</w:t>
      </w:r>
    </w:p>
    <w:p>
      <w:pPr>
        <w:spacing w:after="0" w:line="127" w:lineRule="exact"/>
        <w:rPr>
          <w:rFonts w:ascii="Times New Roman" w:cs="Times New Roman" w:eastAsia="Times New Roman" w:hAnsi="Times New Roman"/>
          <w:sz w:val="14"/>
          <w:szCs w:val="14"/>
          <w:color w:val="auto"/>
        </w:rPr>
      </w:pPr>
    </w:p>
    <w:p>
      <w:pPr>
        <w:ind w:right="160" w:firstLine="1288"/>
        <w:spacing w:after="0" w:line="255" w:lineRule="auto"/>
        <w:tabs>
          <w:tab w:leader="none" w:pos="1721"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has the meaning assigned to such term in the Award Agreement or in any individual employment or severance agreement with the Participant or, if any such agreement does not define “Good Reason,” Good Reason and any provision of this Plan that refers to Good Reason shall not be applicable to such Participant.</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ISO</w:t>
      </w:r>
      <w:r>
        <w:rPr>
          <w:rFonts w:ascii="Times New Roman" w:cs="Times New Roman" w:eastAsia="Times New Roman" w:hAnsi="Times New Roman"/>
          <w:sz w:val="14"/>
          <w:szCs w:val="14"/>
          <w:color w:val="auto"/>
        </w:rPr>
        <w:t>” means an Option intended to be and designated as an “incentive stock option” within the meaning of Section 422 of the Code.</w:t>
      </w:r>
    </w:p>
    <w:p>
      <w:pPr>
        <w:spacing w:after="0" w:line="127"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Nonqualified Share Option</w:t>
      </w:r>
      <w:r>
        <w:rPr>
          <w:rFonts w:ascii="Times New Roman" w:cs="Times New Roman" w:eastAsia="Times New Roman" w:hAnsi="Times New Roman"/>
          <w:sz w:val="14"/>
          <w:szCs w:val="14"/>
          <w:color w:val="auto"/>
        </w:rPr>
        <w:t>” means an Option that is not designated as an ISO.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63" w:name="page164"/>
    <w:bookmarkEnd w:id="163"/>
    <w:p>
      <w:pPr>
        <w:ind w:left="1720" w:hanging="432"/>
        <w:spacing w:after="0"/>
        <w:tabs>
          <w:tab w:leader="none" w:pos="17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means an option to purchase Class A Shares granted pursuant to Section 7 hereof. The term “Option” as used in the Plan includes the terms “Nonqualified</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Option” and “ISO.”</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(aa)</w:t>
            </w:r>
          </w:p>
        </w:tc>
        <w:tc>
          <w:tcPr>
            <w:tcW w:w="96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“Other Share-Based Award” means an Award granted pursuant to Section 10 hereof.</w:t>
            </w:r>
          </w:p>
        </w:tc>
      </w:tr>
      <w:tr>
        <w:trPr>
          <w:trHeight w:val="20"/>
        </w:trPr>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68"/>
        </w:trPr>
        <w:tc>
          <w:tcPr>
            <w:tcW w:w="16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(ab)</w:t>
            </w:r>
          </w:p>
        </w:tc>
        <w:tc>
          <w:tcPr>
            <w:tcW w:w="96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“Participant” means any Eligible Recipient selected by the Administrator, pursuant to the Administrator’s authority provided for in Section 3 hereof, to receive grants</w:t>
            </w:r>
          </w:p>
        </w:tc>
      </w:tr>
      <w:tr>
        <w:trPr>
          <w:trHeight w:val="177"/>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of Awards, and, upon his or her</w:t>
            </w: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death, his</w:t>
            </w:r>
          </w:p>
        </w:tc>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or her successors, heirs, executors and administrators, as the case may be.</w:t>
            </w:r>
          </w:p>
        </w:tc>
      </w:tr>
      <w:tr>
        <w:trPr>
          <w:trHeight w:val="241"/>
        </w:trPr>
        <w:tc>
          <w:tcPr>
            <w:tcW w:w="16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(ac)</w:t>
            </w:r>
          </w:p>
        </w:tc>
        <w:tc>
          <w:tcPr>
            <w:tcW w:w="96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means performance goals based on criteria selected by the Administrator in its sole discretion. Where applicable, the Performance Goals may</w:t>
            </w:r>
          </w:p>
        </w:tc>
      </w:tr>
    </w:tbl>
    <w:p>
      <w:pPr>
        <w:ind w:right="40"/>
        <w:spacing w:after="0" w:line="221" w:lineRule="auto"/>
        <w:rPr>
          <w:sz w:val="20"/>
          <w:szCs w:val="20"/>
          <w:color w:val="auto"/>
        </w:rPr>
      </w:pPr>
      <w:r>
        <w:rPr>
          <w:rFonts w:ascii="Times New Roman" w:cs="Times New Roman" w:eastAsia="Times New Roman" w:hAnsi="Times New Roman"/>
          <w:sz w:val="14"/>
          <w:szCs w:val="14"/>
          <w:color w:val="auto"/>
        </w:rPr>
        <w:t>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The Administrator shall have the authority to make equitable adjustments to the Performance Goals as may be determined by the Administrator, in its sole discretion.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(ad)</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“Person” has the meaning given in Section 3(a)(9) of the Exchange Act, as modified and used in Sections 13(d) and 14(d) thereof.</w:t>
            </w:r>
          </w:p>
        </w:tc>
      </w:tr>
      <w:tr>
        <w:trPr>
          <w:trHeight w:val="20"/>
        </w:trPr>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68"/>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(ae)</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“Plan” has the meaning set forth in Section 1 hereof.</w:t>
            </w:r>
          </w:p>
        </w:tc>
      </w:tr>
      <w:tr>
        <w:trPr>
          <w:trHeight w:val="20"/>
        </w:trPr>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68"/>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(af)</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“Preferred Shares” means shares of convertible preferred stock of the Company with an aggregate liquidation preference of up to $2.5 billion.</w:t>
            </w:r>
          </w:p>
        </w:tc>
      </w:tr>
      <w:tr>
        <w:trPr>
          <w:trHeight w:val="20"/>
        </w:trPr>
        <w:tc>
          <w:tcPr>
            <w:tcW w:w="16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68"/>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(ag)</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“Related Right” has the meaning set forth in Section 8(a) hereof.</w:t>
            </w:r>
          </w:p>
        </w:tc>
      </w:tr>
      <w:tr>
        <w:trPr>
          <w:trHeight w:val="20"/>
        </w:trPr>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68"/>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(ah)</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“Restricted Shares” means Shares granted pursuant to Section 9 hereof subject to certain restrictions that lapse at the end of a specified period or periods.</w:t>
            </w:r>
          </w:p>
        </w:tc>
      </w:tr>
      <w:tr>
        <w:trPr>
          <w:trHeight w:val="20"/>
        </w:trPr>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68"/>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(ai)</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“Restricted Share Unit” means the right, granted pursuant to Section 9 hereof, to receive an amount in cash or Shares (or any combination thereof) equal to the Fair</w:t>
            </w:r>
          </w:p>
        </w:tc>
      </w:tr>
      <w:tr>
        <w:trPr>
          <w:trHeight w:val="177"/>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Market Value of a Share subject</w:t>
            </w:r>
          </w:p>
        </w:tc>
        <w:tc>
          <w:tcPr>
            <w:tcW w:w="1200" w:type="dxa"/>
            <w:vAlign w:val="bottom"/>
            <w:tcBorders>
              <w:top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color w:val="auto"/>
                <w:w w:val="94"/>
              </w:rPr>
              <w:t>to certain restrictions</w:t>
            </w:r>
          </w:p>
        </w:tc>
        <w:tc>
          <w:tcPr>
            <w:tcW w:w="8280" w:type="dxa"/>
            <w:vAlign w:val="bottom"/>
            <w:gridSpan w:val="2"/>
          </w:tcPr>
          <w:p>
            <w:pPr>
              <w:jc w:val="right"/>
              <w:ind w:right="5160"/>
              <w:spacing w:after="0"/>
              <w:rPr>
                <w:sz w:val="20"/>
                <w:szCs w:val="20"/>
                <w:color w:val="auto"/>
              </w:rPr>
            </w:pPr>
            <w:r>
              <w:rPr>
                <w:rFonts w:ascii="Times New Roman" w:cs="Times New Roman" w:eastAsia="Times New Roman" w:hAnsi="Times New Roman"/>
                <w:sz w:val="14"/>
                <w:szCs w:val="14"/>
                <w:color w:val="auto"/>
              </w:rPr>
              <w:t>that lapse at the end of a specified period or periods.</w:t>
            </w:r>
          </w:p>
        </w:tc>
      </w:tr>
      <w:tr>
        <w:trPr>
          <w:trHeight w:val="235"/>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(aj)</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“Rule 16b-3” has the meaning set forth in Section 3(a) hereof.</w:t>
            </w:r>
          </w:p>
        </w:tc>
      </w:tr>
      <w:tr>
        <w:trPr>
          <w:trHeight w:val="20"/>
        </w:trPr>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68"/>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(ak)</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“Shares” means Class A Shares and Preferred Shares, as applicable.</w:t>
            </w:r>
          </w:p>
        </w:tc>
      </w:tr>
      <w:tr>
        <w:trPr>
          <w:trHeight w:val="20"/>
        </w:trPr>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68"/>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(al)</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“Share Appreciation Right” means the right to receive, upon exercise of the right, the applicable amounts as described in Section 8 hereof.</w:t>
            </w:r>
          </w:p>
        </w:tc>
      </w:tr>
      <w:tr>
        <w:trPr>
          <w:trHeight w:val="20"/>
        </w:trPr>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68"/>
        </w:trPr>
        <w:tc>
          <w:tcPr>
            <w:tcW w:w="16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(am)</w:t>
            </w:r>
          </w:p>
        </w:tc>
        <w:tc>
          <w:tcPr>
            <w:tcW w:w="9660" w:type="dxa"/>
            <w:vAlign w:val="bottom"/>
            <w:gridSpan w:val="11"/>
          </w:tcPr>
          <w:p>
            <w:pPr>
              <w:ind w:left="80"/>
              <w:spacing w:after="0"/>
              <w:rPr>
                <w:sz w:val="20"/>
                <w:szCs w:val="20"/>
                <w:color w:val="auto"/>
              </w:rPr>
            </w:pPr>
            <w:r>
              <w:rPr>
                <w:rFonts w:ascii="Times New Roman" w:cs="Times New Roman" w:eastAsia="Times New Roman" w:hAnsi="Times New Roman"/>
                <w:sz w:val="14"/>
                <w:szCs w:val="14"/>
                <w:color w:val="auto"/>
              </w:rPr>
              <w:t>“Share Bonus” means a bonus payable in fully vested Shares granted pursuant to Section 11 hereof.</w:t>
            </w:r>
          </w:p>
        </w:tc>
      </w:tr>
      <w:tr>
        <w:trPr>
          <w:trHeight w:val="852"/>
        </w:trPr>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gridSpan w:val="4"/>
          </w:tcPr>
          <w:p>
            <w:pPr>
              <w:spacing w:after="0"/>
              <w:rPr>
                <w:sz w:val="24"/>
                <w:szCs w:val="24"/>
                <w:color w:val="auto"/>
              </w:rPr>
            </w:pPr>
          </w:p>
        </w:tc>
        <w:tc>
          <w:tcPr>
            <w:tcW w:w="8800" w:type="dxa"/>
            <w:vAlign w:val="bottom"/>
            <w:gridSpan w:val="6"/>
          </w:tcPr>
          <w:p>
            <w:pPr>
              <w:jc w:val="right"/>
              <w:ind w:right="5580"/>
              <w:spacing w:after="0"/>
              <w:rPr>
                <w:sz w:val="20"/>
                <w:szCs w:val="20"/>
                <w:color w:val="auto"/>
              </w:rPr>
            </w:pPr>
            <w:r>
              <w:rPr>
                <w:rFonts w:ascii="Times New Roman" w:cs="Times New Roman" w:eastAsia="Times New Roman" w:hAnsi="Times New Roman"/>
                <w:sz w:val="14"/>
                <w:szCs w:val="14"/>
                <w:color w:val="auto"/>
              </w:rPr>
              <w:t>21</w:t>
            </w:r>
          </w:p>
        </w:tc>
      </w:tr>
      <w:tr>
        <w:trPr>
          <w:trHeight w:val="226"/>
        </w:trPr>
        <w:tc>
          <w:tcPr>
            <w:tcW w:w="16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8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19" w:right="2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61"/>
        </w:trPr>
        <w:tc>
          <w:tcPr>
            <w:tcW w:w="16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(an)</w:t>
            </w:r>
          </w:p>
        </w:tc>
        <w:tc>
          <w:tcPr>
            <w:tcW w:w="95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“Subsidiary” means, with respect to any Person, as of any date of determination, any other Person as to which such first Person owns or otherwise controls, directly</w:t>
            </w:r>
          </w:p>
        </w:tc>
      </w:tr>
      <w:tr>
        <w:trPr>
          <w:trHeight w:val="177"/>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or indirectly, more than 50% of</w:t>
            </w:r>
          </w:p>
        </w:tc>
        <w:tc>
          <w:tcPr>
            <w:tcW w:w="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w w:val="95"/>
              </w:rPr>
              <w:t>the voting</w:t>
            </w:r>
          </w:p>
        </w:tc>
        <w:tc>
          <w:tcPr>
            <w:tcW w:w="8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or other similar interests or a sole general partner interest or managing member or similar interest of such other Person.</w:t>
            </w:r>
          </w:p>
        </w:tc>
      </w:tr>
      <w:tr>
        <w:trPr>
          <w:trHeight w:val="235"/>
        </w:trPr>
        <w:tc>
          <w:tcPr>
            <w:tcW w:w="16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(ao)</w:t>
            </w:r>
          </w:p>
        </w:tc>
        <w:tc>
          <w:tcPr>
            <w:tcW w:w="95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“Transfer” has the meaning set forth in Section 18 hereof.</w:t>
            </w:r>
          </w:p>
        </w:tc>
      </w:tr>
      <w:tr>
        <w:trPr>
          <w:trHeight w:val="20"/>
        </w:trPr>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3.</w:t>
      </w:r>
      <w:r>
        <w:rPr>
          <w:sz w:val="20"/>
          <w:szCs w:val="20"/>
          <w:color w:val="auto"/>
        </w:rPr>
        <w:tab/>
      </w:r>
      <w:r>
        <w:rPr>
          <w:rFonts w:ascii="Times New Roman" w:cs="Times New Roman" w:eastAsia="Times New Roman" w:hAnsi="Times New Roman"/>
          <w:sz w:val="14"/>
          <w:szCs w:val="14"/>
          <w:b w:val="1"/>
          <w:bCs w:val="1"/>
          <w:color w:val="auto"/>
        </w:rPr>
        <w:t>Administration</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right="260" w:firstLine="1288"/>
        <w:spacing w:after="0" w:line="255" w:lineRule="auto"/>
        <w:tabs>
          <w:tab w:leader="none" w:pos="1726"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shall be administered by the Administrator and shall be administered in accordance with the requirements of Rule 16b-3 under the Exchange Act (“</w:t>
      </w:r>
      <w:r>
        <w:rPr>
          <w:rFonts w:ascii="Times New Roman" w:cs="Times New Roman" w:eastAsia="Times New Roman" w:hAnsi="Times New Roman"/>
          <w:sz w:val="14"/>
          <w:szCs w:val="14"/>
          <w:u w:val="single" w:color="auto"/>
          <w:color w:val="auto"/>
        </w:rPr>
        <w:t>Rule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16b-3</w:t>
      </w:r>
      <w:r>
        <w:rPr>
          <w:rFonts w:ascii="Times New Roman" w:cs="Times New Roman" w:eastAsia="Times New Roman" w:hAnsi="Times New Roman"/>
          <w:sz w:val="14"/>
          <w:szCs w:val="14"/>
          <w:color w:val="auto"/>
        </w:rPr>
        <w:t>”), to the extent applicable.</w:t>
      </w:r>
    </w:p>
    <w:p>
      <w:pPr>
        <w:spacing w:after="0" w:line="89" w:lineRule="exact"/>
        <w:rPr>
          <w:rFonts w:ascii="Times New Roman" w:cs="Times New Roman" w:eastAsia="Times New Roman" w:hAnsi="Times New Roman"/>
          <w:sz w:val="14"/>
          <w:szCs w:val="14"/>
          <w:color w:val="auto"/>
        </w:rPr>
      </w:pPr>
    </w:p>
    <w:p>
      <w:pPr>
        <w:ind w:right="40" w:firstLine="1288"/>
        <w:spacing w:after="0" w:line="255" w:lineRule="auto"/>
        <w:tabs>
          <w:tab w:leader="none" w:pos="1725"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the Plan, the Administrator, subject, in the case of any Committee, to any restrictions on the authority delegated to it by the Board, shall have the power and authority, without limitation:</w:t>
      </w:r>
    </w:p>
    <w:p>
      <w:pPr>
        <w:spacing w:after="0" w:line="89" w:lineRule="exact"/>
        <w:rPr>
          <w:rFonts w:ascii="Times New Roman" w:cs="Times New Roman" w:eastAsia="Times New Roman" w:hAnsi="Times New Roman"/>
          <w:sz w:val="14"/>
          <w:szCs w:val="14"/>
          <w:color w:val="auto"/>
        </w:rPr>
      </w:pPr>
    </w:p>
    <w:p>
      <w:pPr>
        <w:ind w:left="2580" w:hanging="532"/>
        <w:spacing w:after="0"/>
        <w:tabs>
          <w:tab w:leader="none" w:pos="258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select those Eligible Recipients who shall be Participants;</w:t>
      </w:r>
    </w:p>
    <w:p>
      <w:pPr>
        <w:spacing w:after="0" w:line="127" w:lineRule="exact"/>
        <w:rPr>
          <w:rFonts w:ascii="Times New Roman" w:cs="Times New Roman" w:eastAsia="Times New Roman" w:hAnsi="Times New Roman"/>
          <w:sz w:val="14"/>
          <w:szCs w:val="14"/>
          <w:color w:val="auto"/>
        </w:rPr>
      </w:pPr>
    </w:p>
    <w:p>
      <w:pPr>
        <w:ind w:left="2580" w:hanging="532"/>
        <w:spacing w:after="0"/>
        <w:tabs>
          <w:tab w:leader="none" w:pos="258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whether and to what extent Awards are to be granted hereunder to Participants;</w:t>
      </w:r>
    </w:p>
    <w:p>
      <w:pPr>
        <w:spacing w:after="0" w:line="127" w:lineRule="exact"/>
        <w:rPr>
          <w:rFonts w:ascii="Times New Roman" w:cs="Times New Roman" w:eastAsia="Times New Roman" w:hAnsi="Times New Roman"/>
          <w:sz w:val="14"/>
          <w:szCs w:val="14"/>
          <w:color w:val="auto"/>
        </w:rPr>
      </w:pPr>
    </w:p>
    <w:p>
      <w:pPr>
        <w:ind w:left="2580" w:hanging="532"/>
        <w:spacing w:after="0"/>
        <w:tabs>
          <w:tab w:leader="none" w:pos="258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the number and type of Shares to be covered by each Award granted hereunder;</w:t>
      </w:r>
    </w:p>
    <w:p>
      <w:pPr>
        <w:spacing w:after="0" w:line="127" w:lineRule="exact"/>
        <w:rPr>
          <w:rFonts w:ascii="Times New Roman" w:cs="Times New Roman" w:eastAsia="Times New Roman" w:hAnsi="Times New Roman"/>
          <w:sz w:val="14"/>
          <w:szCs w:val="14"/>
          <w:color w:val="auto"/>
        </w:rPr>
      </w:pPr>
    </w:p>
    <w:p>
      <w:pPr>
        <w:ind w:left="420" w:firstLine="1628"/>
        <w:spacing w:after="0" w:line="225" w:lineRule="auto"/>
        <w:tabs>
          <w:tab w:leader="none" w:pos="2572"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the terms and conditions, not inconsistent with the terms of the Plan, of each Award granted hereunder (including, but not limited to, (i) the restrictions applicable to Awards and the conditions under which restrictions applicable to such Awards shall lapse, (ii) the Performance Goals and periods applicable to Awards, (iii) the Exercise Price of each Option and the Base Price of each Share Appreciation Right, (iv) the vesting schedule applicable to each Award, (v) the type of Shares subject to each Award, (vi) the number of Shares or amount of cash or other property subject to each Award and (vii) subject to the requirements of Section 409A of the Code (to the extent applicable), any amendments to the terms and conditions of outstanding Awards, including, but not limited to, extending the exercise period of such Awards and accelerating or waiving the vesting schedule or other conditions of such Awards);</w:t>
      </w:r>
    </w:p>
    <w:p>
      <w:pPr>
        <w:spacing w:after="0" w:line="102" w:lineRule="exact"/>
        <w:rPr>
          <w:rFonts w:ascii="Times New Roman" w:cs="Times New Roman" w:eastAsia="Times New Roman" w:hAnsi="Times New Roman"/>
          <w:sz w:val="14"/>
          <w:szCs w:val="14"/>
          <w:color w:val="auto"/>
        </w:rPr>
      </w:pPr>
    </w:p>
    <w:p>
      <w:pPr>
        <w:ind w:left="2580" w:hanging="532"/>
        <w:spacing w:after="0"/>
        <w:tabs>
          <w:tab w:leader="none" w:pos="258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the terms and conditions, not inconsistent with the terms of the Plan, which shall govern all written instruments evidencing Awards;</w:t>
      </w:r>
    </w:p>
    <w:p>
      <w:pPr>
        <w:spacing w:after="0" w:line="127" w:lineRule="exact"/>
        <w:rPr>
          <w:rFonts w:ascii="Times New Roman" w:cs="Times New Roman" w:eastAsia="Times New Roman" w:hAnsi="Times New Roman"/>
          <w:sz w:val="14"/>
          <w:szCs w:val="14"/>
          <w:color w:val="auto"/>
        </w:rPr>
      </w:pPr>
    </w:p>
    <w:p>
      <w:pPr>
        <w:ind w:left="2580" w:hanging="532"/>
        <w:spacing w:after="0"/>
        <w:tabs>
          <w:tab w:leader="none" w:pos="258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the Fair Market Value in accordance with the terms of the Plan;</w:t>
      </w:r>
    </w:p>
    <w:p>
      <w:pPr>
        <w:spacing w:after="0" w:line="127" w:lineRule="exact"/>
        <w:rPr>
          <w:rFonts w:ascii="Times New Roman" w:cs="Times New Roman" w:eastAsia="Times New Roman" w:hAnsi="Times New Roman"/>
          <w:sz w:val="14"/>
          <w:szCs w:val="14"/>
          <w:color w:val="auto"/>
        </w:rPr>
      </w:pPr>
    </w:p>
    <w:p>
      <w:pPr>
        <w:ind w:left="420" w:right="100" w:firstLine="1628"/>
        <w:spacing w:after="0" w:line="255" w:lineRule="auto"/>
        <w:tabs>
          <w:tab w:leader="none" w:pos="2572"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determine the duration and purpose of leaves of absence which may be granted to a Participant without constituting termination of the Participant’s employment or service for purposes of Awards granted under the Plan;</w:t>
      </w:r>
    </w:p>
    <w:p>
      <w:pPr>
        <w:spacing w:after="0" w:line="89" w:lineRule="exact"/>
        <w:rPr>
          <w:rFonts w:ascii="Times New Roman" w:cs="Times New Roman" w:eastAsia="Times New Roman" w:hAnsi="Times New Roman"/>
          <w:sz w:val="14"/>
          <w:szCs w:val="14"/>
          <w:color w:val="auto"/>
        </w:rPr>
      </w:pPr>
    </w:p>
    <w:p>
      <w:pPr>
        <w:ind w:left="2580" w:hanging="532"/>
        <w:spacing w:after="0"/>
        <w:tabs>
          <w:tab w:leader="none" w:pos="258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adopt, alter and repeal such administrative rules, guidelines and practices governing the Plan as it shall from time to time deem advisable;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3" w:right="299" w:bottom="1440" w:gutter="0" w:footer="0" w:header="0"/>
        </w:sectPr>
      </w:pPr>
    </w:p>
    <w:bookmarkStart w:id="165" w:name="page166"/>
    <w:bookmarkEnd w:id="165"/>
    <w:p>
      <w:pPr>
        <w:ind w:left="428" w:right="260" w:firstLine="1628"/>
        <w:spacing w:after="0" w:line="255" w:lineRule="auto"/>
        <w:tabs>
          <w:tab w:leader="none" w:pos="2580"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prescribe, amend and rescind rules and regulations relating to sub-plans established for the purpose of satisfying applicable foreign laws or qualifying for favorable tax treatment under applicable foreign laws, which rules and regulations may be set forth in an appendix or appendices to the Plan or an Award Agreement; and</w:t>
      </w:r>
    </w:p>
    <w:p>
      <w:pPr>
        <w:spacing w:after="0" w:line="89" w:lineRule="exact"/>
        <w:rPr>
          <w:rFonts w:ascii="Times New Roman" w:cs="Times New Roman" w:eastAsia="Times New Roman" w:hAnsi="Times New Roman"/>
          <w:sz w:val="14"/>
          <w:szCs w:val="14"/>
          <w:color w:val="auto"/>
        </w:rPr>
      </w:pPr>
    </w:p>
    <w:p>
      <w:pPr>
        <w:jc w:val="both"/>
        <w:ind w:left="428" w:firstLine="1628"/>
        <w:spacing w:after="0" w:line="236" w:lineRule="auto"/>
        <w:tabs>
          <w:tab w:leader="none" w:pos="2580"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101" w:lineRule="exact"/>
        <w:rPr>
          <w:rFonts w:ascii="Times New Roman" w:cs="Times New Roman" w:eastAsia="Times New Roman" w:hAnsi="Times New Roman"/>
          <w:sz w:val="14"/>
          <w:szCs w:val="14"/>
          <w:color w:val="auto"/>
        </w:rPr>
      </w:pPr>
    </w:p>
    <w:p>
      <w:pPr>
        <w:ind w:left="8" w:firstLine="1288"/>
        <w:spacing w:after="0" w:line="225" w:lineRule="auto"/>
        <w:tabs>
          <w:tab w:leader="none" w:pos="1734"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decisions made by the Administrator pursuant to the provisions of the Plan shall be final, conclusive and binding on all persons, including the Company and the Participants. The provisions and administration of each Award need not be the same with respect to each Participant. No member of the Board or the Committee, nor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consistent with the Company’s Certificate of Incorporation and to the maximum extent permitted by applicable law (as it now exists or may hereafter be amended), be fully indemnified and protected by the Company in respect of any such action, omission, determination or interpretation.</w:t>
      </w:r>
    </w:p>
    <w:p>
      <w:pPr>
        <w:spacing w:after="0" w:line="102" w:lineRule="exact"/>
        <w:rPr>
          <w:rFonts w:ascii="Times New Roman" w:cs="Times New Roman" w:eastAsia="Times New Roman" w:hAnsi="Times New Roman"/>
          <w:sz w:val="14"/>
          <w:szCs w:val="14"/>
          <w:color w:val="auto"/>
        </w:rPr>
      </w:pPr>
    </w:p>
    <w:p>
      <w:pPr>
        <w:ind w:left="8" w:right="180" w:firstLine="1288"/>
        <w:spacing w:after="0" w:line="236" w:lineRule="auto"/>
        <w:tabs>
          <w:tab w:leader="none" w:pos="1733"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Shares are traded.</w:t>
      </w:r>
    </w:p>
    <w:p>
      <w:pPr>
        <w:spacing w:after="0" w:line="99"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Section 4.</w:t>
      </w:r>
      <w:r>
        <w:rPr>
          <w:sz w:val="20"/>
          <w:szCs w:val="20"/>
          <w:color w:val="auto"/>
        </w:rPr>
        <w:tab/>
      </w:r>
      <w:r>
        <w:rPr>
          <w:rFonts w:ascii="Times New Roman" w:cs="Times New Roman" w:eastAsia="Times New Roman" w:hAnsi="Times New Roman"/>
          <w:sz w:val="14"/>
          <w:szCs w:val="14"/>
          <w:b w:val="1"/>
          <w:bCs w:val="1"/>
          <w:color w:val="auto"/>
        </w:rPr>
        <w:t>Shares Reserved for Issuance; Certain Limitations</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ind w:left="1728" w:hanging="432"/>
        <w:spacing w:after="0"/>
        <w:tabs>
          <w:tab w:leader="none" w:pos="1728"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adjustment as provided in Section 5 hereof, the maximum number of Shares reserved for issuance under the Plan shall be (i)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Class A Shares and (ii)</w:t>
      </w: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Preferred Shares.</w:t>
      </w:r>
    </w:p>
    <w:p>
      <w:pPr>
        <w:spacing w:after="0" w:line="74" w:lineRule="exact"/>
        <w:rPr>
          <w:sz w:val="20"/>
          <w:szCs w:val="20"/>
          <w:color w:val="auto"/>
        </w:rPr>
      </w:pPr>
    </w:p>
    <w:p>
      <w:pPr>
        <w:ind w:left="8" w:right="120" w:firstLine="1288"/>
        <w:spacing w:after="0" w:line="227" w:lineRule="auto"/>
        <w:tabs>
          <w:tab w:leader="none" w:pos="1733"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issued under the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Awards under the Plan. Additionally, Shares that are exchanged by a Participant or withheld by the Company as full or partial payment in connection with the exercise of any Option or Share Appreciation Right under the Plan or the payment of any purchase price with respect to any other Award under the Plan, as well as any Shares</w:t>
      </w:r>
    </w:p>
    <w:p>
      <w:pPr>
        <w:spacing w:after="0" w:line="187" w:lineRule="exact"/>
        <w:rPr>
          <w:rFonts w:ascii="Times New Roman" w:cs="Times New Roman" w:eastAsia="Times New Roman" w:hAnsi="Times New Roman"/>
          <w:sz w:val="14"/>
          <w:szCs w:val="14"/>
          <w:color w:val="auto"/>
        </w:rPr>
      </w:pPr>
    </w:p>
    <w:p>
      <w:pPr>
        <w:ind w:left="208" w:right="160" w:hanging="216"/>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NTD: To represent (i) 10% of the total number of Class A Shares outstanding as of the Restructuring Effective Date plus (ii) the number of shares of Class A Shares subject to outstanding Awards as of the Restructuring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-227330</wp:posOffset>
            </wp:positionV>
            <wp:extent cx="10972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58" w:lineRule="exact"/>
        <w:rPr>
          <w:sz w:val="20"/>
          <w:szCs w:val="20"/>
          <w:color w:val="auto"/>
        </w:rPr>
      </w:pPr>
    </w:p>
    <w:p>
      <w:pPr>
        <w:ind w:left="188" w:hanging="188"/>
        <w:spacing w:after="0"/>
        <w:tabs>
          <w:tab w:leader="none" w:pos="188" w:val="left"/>
        </w:tabs>
        <w:numPr>
          <w:ilvl w:val="0"/>
          <w:numId w:val="20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represent 7% of the total number of Preferred Shares outstanding as of the Restructuring Effective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20" w:right="299" w:bottom="1440" w:gutter="0" w:footer="0" w:header="0"/>
        </w:sectPr>
      </w:pPr>
    </w:p>
    <w:bookmarkStart w:id="166" w:name="page167"/>
    <w:bookmarkEnd w:id="166"/>
    <w:p>
      <w:pPr>
        <w:ind w:right="80"/>
        <w:spacing w:after="0" w:line="224" w:lineRule="auto"/>
        <w:rPr>
          <w:sz w:val="20"/>
          <w:szCs w:val="20"/>
          <w:color w:val="auto"/>
        </w:rPr>
      </w:pPr>
      <w:r>
        <w:rPr>
          <w:rFonts w:ascii="Times New Roman" w:cs="Times New Roman" w:eastAsia="Times New Roman" w:hAnsi="Times New Roman"/>
          <w:sz w:val="14"/>
          <w:szCs w:val="14"/>
          <w:color w:val="auto"/>
        </w:rPr>
        <w:t>exchanged by a Participant or withheld by the Company or any Subsidiary to satisfy the tax withholding obligations related to any Award under the Plan, shall also be available for subsequent Awards under the Plan. Upon the exercise of any Award granted in tandem with any other Awards, such related Awards shall be cancelled to the extent of the number of Shares as to which the Award is exercised and, notwithstanding the foregoing, such number of Shares shall no longer be available for Awards under the Plan. Shares, if any, that are repurchased by the Company using the proceeds received by the Company from the exercise of any Option or Share Appreciation Right or from the payment of any purchase price with respect to any other Award shall not be added to the aggregate number of Shares available for Awards under the Plan. In addition, (i) to the extent an Award is denominated in Shares, but paid or settled in cash, the number of Shares with respect to which such payment or settlement is made shall again be available for grants of Awards pursuant to the Plan and (ii) Shares underlying Awards that can only be settled in cash shall not be counted against the aggregate number of Shares available for Awards under the Plan.</w:t>
      </w:r>
    </w:p>
    <w:p>
      <w:pPr>
        <w:spacing w:after="0" w:line="9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5.</w:t>
      </w:r>
      <w:r>
        <w:rPr>
          <w:sz w:val="20"/>
          <w:szCs w:val="20"/>
          <w:color w:val="auto"/>
        </w:rPr>
        <w:tab/>
      </w:r>
      <w:r>
        <w:rPr>
          <w:rFonts w:ascii="Times New Roman" w:cs="Times New Roman" w:eastAsia="Times New Roman" w:hAnsi="Times New Roman"/>
          <w:sz w:val="14"/>
          <w:szCs w:val="14"/>
          <w:b w:val="1"/>
          <w:bCs w:val="1"/>
          <w:color w:val="auto"/>
        </w:rPr>
        <w:t>Equitable Adjustments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right="200" w:firstLine="1288"/>
        <w:spacing w:after="0" w:line="225" w:lineRule="auto"/>
        <w:tabs>
          <w:tab w:leader="none" w:pos="1726"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any Change in Capitalization, an equitable substitution or proportionate adjustment shall be made, in each case, in the manner determined by the Administrator, in its sole discretion, in (i) the aggregate number of Shares reserved for issuance under the Plan, (ii) the kind and number of securities subject to, and the Exercise Price or Base Price of, any outstanding Options and Share Appreciation Rights granted under the Plan, (iii) the kind, number and purchase price of Shares, or the amount of cash or amount or type of other property, subject to outstanding Restricted Shares, Restricted Share Units, Share Bonuses and Other Share-Based Awards granted under the Plan or (iv) the Performance Goals and performance periods applicable to any Awards granted under the Plan;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fractional Shares resulting from the adjustment shall be eliminated. Such other equitable substitutions or adjustments shall be made in the manner determined by the Administrator, in its sole discretion.</w:t>
      </w:r>
    </w:p>
    <w:p>
      <w:pPr>
        <w:spacing w:after="0" w:line="102" w:lineRule="exact"/>
        <w:rPr>
          <w:rFonts w:ascii="Times New Roman" w:cs="Times New Roman" w:eastAsia="Times New Roman" w:hAnsi="Times New Roman"/>
          <w:sz w:val="14"/>
          <w:szCs w:val="14"/>
          <w:color w:val="auto"/>
        </w:rPr>
      </w:pPr>
    </w:p>
    <w:p>
      <w:pPr>
        <w:ind w:firstLine="1288"/>
        <w:spacing w:after="0" w:line="227" w:lineRule="auto"/>
        <w:tabs>
          <w:tab w:leader="none" w:pos="1725"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generality of the foregoing, in connection with a Change in Capitalization,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cash or other property covered by such Award, reduced by the aggregate Exercise Price or Base Price thereof, if 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Exercise Price or Base Price of any outstanding Award is equal to or greater than the Fair Market Value of the Shares, cash or other property covered by such Award, the Board may cancel such Award without the payment of any consideration to the Participant.</w:t>
      </w:r>
    </w:p>
    <w:p>
      <w:pPr>
        <w:spacing w:after="0" w:line="102"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determinations made by the Administrator pursuant to this Section 5 shall be final, binding and conclusive.</w:t>
      </w:r>
    </w:p>
    <w:p>
      <w:pPr>
        <w:spacing w:after="0" w:line="1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6.</w:t>
      </w:r>
      <w:r>
        <w:rPr>
          <w:sz w:val="20"/>
          <w:szCs w:val="20"/>
          <w:color w:val="auto"/>
        </w:rPr>
        <w:tab/>
      </w:r>
      <w:r>
        <w:rPr>
          <w:rFonts w:ascii="Times New Roman" w:cs="Times New Roman" w:eastAsia="Times New Roman" w:hAnsi="Times New Roman"/>
          <w:sz w:val="14"/>
          <w:szCs w:val="14"/>
          <w:b w:val="1"/>
          <w:bCs w:val="1"/>
          <w:color w:val="auto"/>
        </w:rPr>
        <w:t>Eligibility</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The Participants under the Plan shall be selected from time to time by the Administrator, in its sole discretion, from those individuals that qualify as Eligible Recipients.</w:t>
      </w:r>
    </w:p>
    <w:p>
      <w:pPr>
        <w:spacing w:after="0" w:line="13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7.</w:t>
      </w:r>
      <w:r>
        <w:rPr>
          <w:sz w:val="20"/>
          <w:szCs w:val="20"/>
          <w:color w:val="auto"/>
        </w:rPr>
        <w:tab/>
      </w: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right="760" w:firstLine="1288"/>
        <w:spacing w:after="0" w:line="255" w:lineRule="auto"/>
        <w:tabs>
          <w:tab w:leader="none" w:pos="1726"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Each Participant who is granted an Option shall enter into an Award Agreement with the Company, containing such terms and conditions as the Administrator shall determine, in its sole discretion, which Award Agreement shall set forth,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67" w:name="page168"/>
    <w:bookmarkEnd w:id="167"/>
    <w:p>
      <w:pPr>
        <w:spacing w:after="0" w:line="231" w:lineRule="auto"/>
        <w:rPr>
          <w:sz w:val="20"/>
          <w:szCs w:val="20"/>
          <w:color w:val="auto"/>
        </w:rPr>
      </w:pPr>
      <w:r>
        <w:rPr>
          <w:rFonts w:ascii="Times New Roman" w:cs="Times New Roman" w:eastAsia="Times New Roman" w:hAnsi="Times New Roman"/>
          <w:sz w:val="14"/>
          <w:szCs w:val="14"/>
          <w:color w:val="auto"/>
        </w:rPr>
        <w:t>among other things, the Exercise Price of the Option, the term of the Option and provisions regarding exercisability of the Option, and whether the Option is intended to be an ISO or a Nonqualified Share Option (and in the event the Award Agreement has no such designation, the Option shall be a Nonqualified Share Option).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00" w:lineRule="exact"/>
        <w:rPr>
          <w:sz w:val="20"/>
          <w:szCs w:val="20"/>
          <w:color w:val="auto"/>
        </w:rPr>
      </w:pPr>
    </w:p>
    <w:p>
      <w:pPr>
        <w:ind w:right="40" w:firstLine="1288"/>
        <w:spacing w:after="0" w:line="255" w:lineRule="auto"/>
        <w:tabs>
          <w:tab w:leader="none" w:pos="1725"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The Exercise Price of Class A Shares purchasable under an Option shall be determined by the Administrator in its sole discretion at the time of grant, but in no event shall the exercise price of an Option be less than one hundred percent (100%) of the Fair Market Value of the related Class A Shares on the date of grant.</w:t>
      </w:r>
    </w:p>
    <w:p>
      <w:pPr>
        <w:spacing w:after="0" w:line="89" w:lineRule="exact"/>
        <w:rPr>
          <w:rFonts w:ascii="Times New Roman" w:cs="Times New Roman" w:eastAsia="Times New Roman" w:hAnsi="Times New Roman"/>
          <w:sz w:val="14"/>
          <w:szCs w:val="14"/>
          <w:color w:val="auto"/>
        </w:rPr>
      </w:pPr>
    </w:p>
    <w:p>
      <w:pPr>
        <w:ind w:right="80" w:firstLine="1288"/>
        <w:spacing w:after="0" w:line="255" w:lineRule="auto"/>
        <w:tabs>
          <w:tab w:leader="none" w:pos="1726"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Term</w:t>
      </w:r>
      <w:r>
        <w:rPr>
          <w:rFonts w:ascii="Times New Roman" w:cs="Times New Roman" w:eastAsia="Times New Roman" w:hAnsi="Times New Roman"/>
          <w:sz w:val="14"/>
          <w:szCs w:val="14"/>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w:t>
      </w:r>
    </w:p>
    <w:p>
      <w:pPr>
        <w:spacing w:after="0" w:line="89" w:lineRule="exact"/>
        <w:rPr>
          <w:rFonts w:ascii="Times New Roman" w:cs="Times New Roman" w:eastAsia="Times New Roman" w:hAnsi="Times New Roman"/>
          <w:sz w:val="14"/>
          <w:szCs w:val="14"/>
          <w:color w:val="auto"/>
        </w:rPr>
      </w:pPr>
    </w:p>
    <w:p>
      <w:pPr>
        <w:ind w:right="60" w:firstLine="1288"/>
        <w:spacing w:after="0" w:line="231" w:lineRule="auto"/>
        <w:tabs>
          <w:tab w:leader="none" w:pos="1725"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w:t>
      </w:r>
      <w:r>
        <w:rPr>
          <w:rFonts w:ascii="Times New Roman" w:cs="Times New Roman" w:eastAsia="Times New Roman" w:hAnsi="Times New Roman"/>
          <w:sz w:val="14"/>
          <w:szCs w:val="14"/>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Class A Share.</w:t>
      </w:r>
    </w:p>
    <w:p>
      <w:pPr>
        <w:spacing w:after="0" w:line="100" w:lineRule="exact"/>
        <w:rPr>
          <w:rFonts w:ascii="Times New Roman" w:cs="Times New Roman" w:eastAsia="Times New Roman" w:hAnsi="Times New Roman"/>
          <w:sz w:val="14"/>
          <w:szCs w:val="14"/>
          <w:color w:val="auto"/>
        </w:rPr>
      </w:pPr>
    </w:p>
    <w:p>
      <w:pPr>
        <w:ind w:right="240" w:firstLine="1288"/>
        <w:spacing w:after="0" w:line="225" w:lineRule="auto"/>
        <w:tabs>
          <w:tab w:leader="none" w:pos="1726"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Exercise</w:t>
      </w:r>
      <w:r>
        <w:rPr>
          <w:rFonts w:ascii="Times New Roman" w:cs="Times New Roman" w:eastAsia="Times New Roman" w:hAnsi="Times New Roman"/>
          <w:sz w:val="14"/>
          <w:szCs w:val="14"/>
          <w:color w:val="auto"/>
        </w:rPr>
        <w:t>. Options may be exercised in whole or in part by giving written notice of exercise to the Company specifying the number of whole Class A Shares to be purchased, accompanied by payment in full of the aggregate Exercise Price of the Class A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Class A Shares otherwise issuable upon exercise), (ii) in the form of unrestricted Class A Shares already owned by the Participant which have a Fair Market Value on the date of surrender equal to the aggregate exercise price of the Class A Shares as to which such Option shall be exercised, (iii) any other form of consideration approved by the Administrator and permitted by applicable law or (iv) any combination of the foregoing.</w:t>
      </w:r>
    </w:p>
    <w:p>
      <w:pPr>
        <w:spacing w:after="0" w:line="102" w:lineRule="exact"/>
        <w:rPr>
          <w:rFonts w:ascii="Times New Roman" w:cs="Times New Roman" w:eastAsia="Times New Roman" w:hAnsi="Times New Roman"/>
          <w:sz w:val="14"/>
          <w:szCs w:val="14"/>
          <w:color w:val="auto"/>
        </w:rPr>
      </w:pPr>
    </w:p>
    <w:p>
      <w:pPr>
        <w:ind w:right="60" w:firstLine="1288"/>
        <w:spacing w:after="0" w:line="231" w:lineRule="auto"/>
        <w:tabs>
          <w:tab w:leader="none" w:pos="1728"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ISOs</w:t>
      </w:r>
      <w:r>
        <w:rPr>
          <w:rFonts w:ascii="Times New Roman" w:cs="Times New Roman" w:eastAsia="Times New Roman" w:hAnsi="Times New Roman"/>
          <w:sz w:val="14"/>
          <w:szCs w:val="14"/>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 All of the Class A Shares reserved for issuance under the Plan as of the Effective Date pursuant to Section 4(a) hereof (subject to adjustment as provided in Section 5 hereof) may be granted as ISOs.</w:t>
      </w:r>
    </w:p>
    <w:p>
      <w:pPr>
        <w:spacing w:after="0" w:line="100" w:lineRule="exact"/>
        <w:rPr>
          <w:rFonts w:ascii="Times New Roman" w:cs="Times New Roman" w:eastAsia="Times New Roman" w:hAnsi="Times New Roman"/>
          <w:sz w:val="14"/>
          <w:szCs w:val="14"/>
          <w:color w:val="auto"/>
        </w:rPr>
      </w:pPr>
    </w:p>
    <w:p>
      <w:pPr>
        <w:ind w:left="420" w:right="260" w:firstLine="1516"/>
        <w:spacing w:after="0" w:line="255" w:lineRule="auto"/>
        <w:tabs>
          <w:tab w:leader="none" w:pos="2140"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ISO Grants to 10% Shareholders</w:t>
      </w:r>
      <w:r>
        <w:rPr>
          <w:rFonts w:ascii="Times New Roman" w:cs="Times New Roman" w:eastAsia="Times New Roman" w:hAnsi="Times New Roman"/>
          <w:sz w:val="14"/>
          <w:szCs w:val="14"/>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68" w:name="page169"/>
    <w:bookmarkEnd w:id="168"/>
    <w:p>
      <w:pPr>
        <w:ind w:left="420" w:right="280"/>
        <w:spacing w:after="0" w:line="255" w:lineRule="auto"/>
        <w:rPr>
          <w:sz w:val="20"/>
          <w:szCs w:val="20"/>
          <w:color w:val="auto"/>
        </w:rPr>
      </w:pPr>
      <w:r>
        <w:rPr>
          <w:rFonts w:ascii="Times New Roman" w:cs="Times New Roman" w:eastAsia="Times New Roman" w:hAnsi="Times New Roman"/>
          <w:sz w:val="14"/>
          <w:szCs w:val="14"/>
          <w:color w:val="auto"/>
        </w:rPr>
        <w:t>Code) or “subsidiary corporation” (as such term is defined in Section 424(f) of the Code), the term of the ISO shall not exceed five (5) years from the time of grant of such ISO and the Exercise Price shall be at least one hundred and ten percent (110%) of the Fair Market Value of the Class A Shares on the date of grant.</w:t>
      </w:r>
    </w:p>
    <w:p>
      <w:pPr>
        <w:spacing w:after="0" w:line="90" w:lineRule="exact"/>
        <w:rPr>
          <w:sz w:val="20"/>
          <w:szCs w:val="20"/>
          <w:color w:val="auto"/>
        </w:rPr>
      </w:pPr>
    </w:p>
    <w:p>
      <w:pPr>
        <w:ind w:left="420" w:right="20" w:firstLine="1516"/>
        <w:spacing w:after="0" w:line="236" w:lineRule="auto"/>
        <w:tabs>
          <w:tab w:leader="none" w:pos="2144"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$100,000 Per Year Limitation For ISOs</w:t>
      </w:r>
      <w:r>
        <w:rPr>
          <w:rFonts w:ascii="Times New Roman" w:cs="Times New Roman" w:eastAsia="Times New Roman" w:hAnsi="Times New Roman"/>
          <w:sz w:val="14"/>
          <w:szCs w:val="14"/>
          <w:color w:val="auto"/>
        </w:rPr>
        <w:t>. To the extent the aggregate Fair Market Value (determined on the date of grant) of the Class A Shares for which ISOs are exercisable for the first time by any Participant during any calendar year (under all plans of the Company and its Affiliates) exceeds $100,000, such excess ISOs shall be treated as Nonqualified Share Options.</w:t>
      </w:r>
    </w:p>
    <w:p>
      <w:pPr>
        <w:spacing w:after="0" w:line="101" w:lineRule="exact"/>
        <w:rPr>
          <w:sz w:val="20"/>
          <w:szCs w:val="20"/>
          <w:color w:val="auto"/>
        </w:rPr>
      </w:pPr>
    </w:p>
    <w:p>
      <w:pPr>
        <w:ind w:left="420" w:right="60" w:firstLine="1512"/>
        <w:spacing w:after="0"/>
        <w:rPr>
          <w:sz w:val="20"/>
          <w:szCs w:val="20"/>
          <w:color w:val="auto"/>
        </w:rPr>
      </w:pPr>
      <w:r>
        <w:rPr>
          <w:rFonts w:ascii="Times New Roman" w:cs="Times New Roman" w:eastAsia="Times New Roman" w:hAnsi="Times New Roman"/>
          <w:sz w:val="14"/>
          <w:szCs w:val="14"/>
          <w:color w:val="auto"/>
        </w:rPr>
        <w:t>(iii)</w:t>
      </w:r>
      <w:r>
        <w:rPr>
          <w:rFonts w:ascii="Times New Roman" w:cs="Times New Roman" w:eastAsia="Times New Roman" w:hAnsi="Times New Roman"/>
          <w:sz w:val="14"/>
          <w:szCs w:val="14"/>
          <w:u w:val="single" w:color="auto"/>
          <w:color w:val="auto"/>
        </w:rPr>
        <w:t>Disqualifying Dispositions</w:t>
      </w:r>
      <w:r>
        <w:rPr>
          <w:rFonts w:ascii="Times New Roman" w:cs="Times New Roman" w:eastAsia="Times New Roman" w:hAnsi="Times New Roman"/>
          <w:sz w:val="14"/>
          <w:szCs w:val="14"/>
          <w:color w:val="auto"/>
        </w:rPr>
        <w:t>. Each Participant awarded an ISO under the Plan shall notify the Company in writing immediately after the date the Participant makes a “disqualifying disposition” of any Class A Share acquired pursuant to the exercise of such ISO. A “disqualifying disposition” is any disposition (including any sale) of such Class A Shares before the later of (i) two years after the date of grant of the ISO and (ii) one year after the date the Participant acquired the Class A Shares by exercising the ISO. The Company may, if determined by the Administrator and in accordance with procedures established by it, retain possession of any Class A Shares acquired pursuant to the exercise of an ISO as agent for the applicable Participant until the end of the period described in the preceding sentence, subject to complying with any instructions from such Participant as to the sale of such Class A Shares.</w:t>
      </w:r>
    </w:p>
    <w:p>
      <w:pPr>
        <w:spacing w:after="0" w:line="203" w:lineRule="exact"/>
        <w:rPr>
          <w:sz w:val="20"/>
          <w:szCs w:val="20"/>
          <w:color w:val="auto"/>
        </w:rPr>
      </w:pPr>
    </w:p>
    <w:p>
      <w:pPr>
        <w:ind w:left="420" w:right="540" w:firstLine="1512"/>
        <w:spacing w:after="0" w:line="255" w:lineRule="auto"/>
        <w:rPr>
          <w:sz w:val="20"/>
          <w:szCs w:val="20"/>
          <w:color w:val="auto"/>
        </w:rPr>
      </w:pPr>
      <w:r>
        <w:rPr>
          <w:rFonts w:ascii="Times New Roman" w:cs="Times New Roman" w:eastAsia="Times New Roman" w:hAnsi="Times New Roman"/>
          <w:sz w:val="14"/>
          <w:szCs w:val="14"/>
          <w:color w:val="auto"/>
        </w:rPr>
        <w:t>(iv)</w:t>
      </w:r>
      <w:r>
        <w:rPr>
          <w:rFonts w:ascii="Times New Roman" w:cs="Times New Roman" w:eastAsia="Times New Roman" w:hAnsi="Times New Roman"/>
          <w:sz w:val="14"/>
          <w:szCs w:val="14"/>
          <w:u w:val="single" w:color="auto"/>
          <w:color w:val="auto"/>
        </w:rPr>
        <w:t>No Liability</w:t>
      </w:r>
      <w:r>
        <w:rPr>
          <w:rFonts w:ascii="Times New Roman" w:cs="Times New Roman" w:eastAsia="Times New Roman" w:hAnsi="Times New Roman"/>
          <w:sz w:val="14"/>
          <w:szCs w:val="14"/>
          <w:color w:val="auto"/>
        </w:rPr>
        <w:t>. Neither the Company nor the Administrator will be liable to a Participant, or to any other party, if an ISO fails or ceases to qualify as an “incentive stock option” under Section 422 of the Code.</w:t>
      </w:r>
    </w:p>
    <w:p>
      <w:pPr>
        <w:spacing w:after="0" w:line="90" w:lineRule="exact"/>
        <w:rPr>
          <w:sz w:val="20"/>
          <w:szCs w:val="20"/>
          <w:color w:val="auto"/>
        </w:rPr>
      </w:pPr>
    </w:p>
    <w:p>
      <w:pPr>
        <w:ind w:right="180" w:firstLine="1288"/>
        <w:spacing w:after="0" w:line="236" w:lineRule="auto"/>
        <w:tabs>
          <w:tab w:leader="none" w:pos="1725"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as Shareholder</w:t>
      </w:r>
      <w:r>
        <w:rPr>
          <w:rFonts w:ascii="Times New Roman" w:cs="Times New Roman" w:eastAsia="Times New Roman" w:hAnsi="Times New Roman"/>
          <w:sz w:val="14"/>
          <w:szCs w:val="14"/>
          <w:color w:val="auto"/>
        </w:rPr>
        <w:t>. A Participant shall have no rights to dividends, dividend equivalents or distributions or any other rights of a shareholder with respect to the Class A Shares subject to an Option until the Participant has given written notice of the exercise thereof, has paid in full for such Class A Shares and has satisfied the requirements of Section 17 hereof.</w:t>
      </w:r>
    </w:p>
    <w:p>
      <w:pPr>
        <w:spacing w:after="0" w:line="101" w:lineRule="exact"/>
        <w:rPr>
          <w:rFonts w:ascii="Times New Roman" w:cs="Times New Roman" w:eastAsia="Times New Roman" w:hAnsi="Times New Roman"/>
          <w:sz w:val="14"/>
          <w:szCs w:val="14"/>
          <w:color w:val="auto"/>
        </w:rPr>
      </w:pPr>
    </w:p>
    <w:p>
      <w:pPr>
        <w:ind w:firstLine="1288"/>
        <w:spacing w:after="0" w:line="255" w:lineRule="auto"/>
        <w:tabs>
          <w:tab w:leader="none" w:pos="1725"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or Service</w:t>
      </w:r>
      <w:r>
        <w:rPr>
          <w:rFonts w:ascii="Times New Roman" w:cs="Times New Roman" w:eastAsia="Times New Roman" w:hAnsi="Times New Roman"/>
          <w:sz w:val="14"/>
          <w:szCs w:val="14"/>
          <w:color w:val="auto"/>
        </w:rPr>
        <w:t>. In the event of the termination of employment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89" w:lineRule="exact"/>
        <w:rPr>
          <w:rFonts w:ascii="Times New Roman" w:cs="Times New Roman" w:eastAsia="Times New Roman" w:hAnsi="Times New Roman"/>
          <w:sz w:val="14"/>
          <w:szCs w:val="14"/>
          <w:color w:val="auto"/>
        </w:rPr>
      </w:pPr>
    </w:p>
    <w:p>
      <w:pPr>
        <w:jc w:val="both"/>
        <w:ind w:right="180" w:firstLine="1288"/>
        <w:spacing w:after="0" w:line="236" w:lineRule="auto"/>
        <w:tabs>
          <w:tab w:leader="none" w:pos="17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Change in Employment or Service Status</w:t>
      </w:r>
      <w:r>
        <w:rPr>
          <w:rFonts w:ascii="Times New Roman" w:cs="Times New Roman" w:eastAsia="Times New Roman" w:hAnsi="Times New Roman"/>
          <w:sz w:val="14"/>
          <w:szCs w:val="14"/>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9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8.</w:t>
      </w:r>
      <w:r>
        <w:rPr>
          <w:sz w:val="20"/>
          <w:szCs w:val="20"/>
          <w:color w:val="auto"/>
        </w:rPr>
        <w:tab/>
      </w:r>
      <w:r>
        <w:rPr>
          <w:rFonts w:ascii="Times New Roman" w:cs="Times New Roman" w:eastAsia="Times New Roman" w:hAnsi="Times New Roman"/>
          <w:sz w:val="14"/>
          <w:szCs w:val="14"/>
          <w:b w:val="1"/>
          <w:bCs w:val="1"/>
          <w:color w:val="auto"/>
        </w:rPr>
        <w:t>Share Appreciation Rights</w:t>
      </w:r>
      <w:r>
        <w:rPr>
          <w:rFonts w:ascii="Times New Roman" w:cs="Times New Roman" w:eastAsia="Times New Roman" w:hAnsi="Times New Roman"/>
          <w:sz w:val="14"/>
          <w:szCs w:val="14"/>
          <w:color w:val="auto"/>
        </w:rPr>
        <w:t>.</w:t>
      </w:r>
    </w:p>
    <w:p>
      <w:pPr>
        <w:spacing w:after="0" w:line="128" w:lineRule="exact"/>
        <w:rPr>
          <w:sz w:val="20"/>
          <w:szCs w:val="20"/>
          <w:color w:val="auto"/>
        </w:rPr>
      </w:pPr>
    </w:p>
    <w:p>
      <w:pPr>
        <w:ind w:left="1720" w:hanging="432"/>
        <w:spacing w:after="0"/>
        <w:tabs>
          <w:tab w:leader="none" w:pos="17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Share Appreciation Rights may be granted either alone (“</w:t>
      </w:r>
      <w:r>
        <w:rPr>
          <w:rFonts w:ascii="Times New Roman" w:cs="Times New Roman" w:eastAsia="Times New Roman" w:hAnsi="Times New Roman"/>
          <w:sz w:val="14"/>
          <w:szCs w:val="14"/>
          <w:u w:val="single" w:color="auto"/>
          <w:color w:val="auto"/>
        </w:rPr>
        <w:t>Free Standing Rights</w:t>
      </w:r>
      <w:r>
        <w:rPr>
          <w:rFonts w:ascii="Times New Roman" w:cs="Times New Roman" w:eastAsia="Times New Roman" w:hAnsi="Times New Roman"/>
          <w:sz w:val="14"/>
          <w:szCs w:val="14"/>
          <w:color w:val="auto"/>
        </w:rPr>
        <w:t>”) or in conjunction with all or part of any Option granted under the Plan</w:t>
      </w:r>
    </w:p>
    <w:p>
      <w:pPr>
        <w:jc w:val="both"/>
        <w:ind w:right="80"/>
        <w:spacing w:after="0" w:line="22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Rights</w:t>
      </w:r>
      <w:r>
        <w:rPr>
          <w:rFonts w:ascii="Times New Roman" w:cs="Times New Roman" w:eastAsia="Times New Roman" w:hAnsi="Times New Roman"/>
          <w:sz w:val="14"/>
          <w:szCs w:val="14"/>
          <w:color w:val="auto"/>
        </w:rPr>
        <w:t>”). Related Rights may be granted either at or after the time of the grant of such Option. The Administrator shall determine the Eligible Recipients to whom, and the time or times at which, grants of Share Appreciation Rights shall be made, the number of Class A Shares to be awarded, the Base Price, and all other conditions of Share Appreciation Rights. Notwithstanding the foregoing, no Related Right may be granted for more Class A Shares than are subject to the Option to which it relates. Share Appreciation Rights granted under the Plan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69" w:name="page170"/>
    <w:bookmarkEnd w:id="169"/>
    <w:p>
      <w:pPr>
        <w:ind w:right="660"/>
        <w:spacing w:after="0" w:line="255" w:lineRule="auto"/>
        <w:rPr>
          <w:sz w:val="20"/>
          <w:szCs w:val="20"/>
          <w:color w:val="auto"/>
        </w:rPr>
      </w:pPr>
      <w:r>
        <w:rPr>
          <w:rFonts w:ascii="Times New Roman" w:cs="Times New Roman" w:eastAsia="Times New Roman" w:hAnsi="Times New Roman"/>
          <w:sz w:val="14"/>
          <w:szCs w:val="14"/>
          <w:color w:val="auto"/>
        </w:rPr>
        <w:t>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90" w:lineRule="exact"/>
        <w:rPr>
          <w:sz w:val="20"/>
          <w:szCs w:val="20"/>
          <w:color w:val="auto"/>
        </w:rPr>
      </w:pPr>
    </w:p>
    <w:p>
      <w:pPr>
        <w:ind w:right="60" w:firstLine="1288"/>
        <w:spacing w:after="0" w:line="255" w:lineRule="auto"/>
        <w:tabs>
          <w:tab w:leader="none" w:pos="1725"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Price</w:t>
      </w:r>
      <w:r>
        <w:rPr>
          <w:rFonts w:ascii="Times New Roman" w:cs="Times New Roman" w:eastAsia="Times New Roman" w:hAnsi="Times New Roman"/>
          <w:sz w:val="14"/>
          <w:szCs w:val="14"/>
          <w:color w:val="auto"/>
        </w:rPr>
        <w:t>. Each Share Appreciation Right shall be granted with a base price that is not less than one hundred percent (100%) of the Fair Market Value of the related Class A Shares on the date of grant (such amount, the “</w:t>
      </w:r>
      <w:r>
        <w:rPr>
          <w:rFonts w:ascii="Times New Roman" w:cs="Times New Roman" w:eastAsia="Times New Roman" w:hAnsi="Times New Roman"/>
          <w:sz w:val="14"/>
          <w:szCs w:val="14"/>
          <w:u w:val="single" w:color="auto"/>
          <w:color w:val="auto"/>
        </w:rPr>
        <w:t>Base Price</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right="60" w:firstLine="1288"/>
        <w:spacing w:after="0" w:line="255" w:lineRule="auto"/>
        <w:tabs>
          <w:tab w:leader="none" w:pos="1726"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as Shareholder</w:t>
      </w:r>
      <w:r>
        <w:rPr>
          <w:rFonts w:ascii="Times New Roman" w:cs="Times New Roman" w:eastAsia="Times New Roman" w:hAnsi="Times New Roman"/>
          <w:sz w:val="14"/>
          <w:szCs w:val="14"/>
          <w:color w:val="auto"/>
        </w:rPr>
        <w:t>. A Participant shall have no rights to dividends, dividend equivalents or any other rights of a shareholder with respect to the Class A Shares, if any, subject to a Share Appreciation Right until the Participant has given written notice of the exercise thereof and has satisfied the requirements of Section 17 hereof.</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420" w:right="60" w:firstLine="1628"/>
        <w:spacing w:after="0" w:line="255" w:lineRule="auto"/>
        <w:tabs>
          <w:tab w:leader="none" w:pos="2572"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Appreciation Rights that are Free Standing Rights shall be exercisable at such time or times and subject to such terms and conditions as shall be determined by the Administrator in the applicable Award Agreement.</w:t>
      </w:r>
    </w:p>
    <w:p>
      <w:pPr>
        <w:spacing w:after="0" w:line="89" w:lineRule="exact"/>
        <w:rPr>
          <w:rFonts w:ascii="Times New Roman" w:cs="Times New Roman" w:eastAsia="Times New Roman" w:hAnsi="Times New Roman"/>
          <w:sz w:val="14"/>
          <w:szCs w:val="14"/>
          <w:color w:val="auto"/>
        </w:rPr>
      </w:pPr>
    </w:p>
    <w:p>
      <w:pPr>
        <w:ind w:left="420" w:firstLine="1628"/>
        <w:spacing w:after="0" w:line="255" w:lineRule="auto"/>
        <w:tabs>
          <w:tab w:leader="none" w:pos="2572"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Consideration Upon Exercise</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left="420" w:firstLine="1628"/>
        <w:spacing w:after="0" w:line="236" w:lineRule="auto"/>
        <w:tabs>
          <w:tab w:leader="none" w:pos="2572"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exercise of a Free Standing Right, the Participant shall be entitled to receive up to, but not more than, that number of Class A Shares equal in value to (i) the excess of the Fair Market Value of a Class A Share as of the date of exercise over the Base Price per Class A Share specified in the Free Standing Right,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number of Class A Shares in respect of which the Free Standing Right is being exercised.</w:t>
      </w:r>
    </w:p>
    <w:p>
      <w:pPr>
        <w:spacing w:after="0" w:line="101" w:lineRule="exact"/>
        <w:rPr>
          <w:rFonts w:ascii="Times New Roman" w:cs="Times New Roman" w:eastAsia="Times New Roman" w:hAnsi="Times New Roman"/>
          <w:sz w:val="14"/>
          <w:szCs w:val="14"/>
          <w:color w:val="auto"/>
        </w:rPr>
      </w:pPr>
    </w:p>
    <w:p>
      <w:pPr>
        <w:ind w:left="420" w:right="60" w:firstLine="1628"/>
        <w:spacing w:after="0" w:line="231" w:lineRule="auto"/>
        <w:tabs>
          <w:tab w:leader="none" w:pos="2572"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Related Right may be exercised by a Participant by surrendering the applicable portion of the related Option. Upon such exercise and surrender, the Participant shall be entitled to receive up to, but not more than, that number of Class A Shares equal in value to (i) the excess of the Fair Market Value of a Class A Share as of the date of exercise over the Exercise Price specified in the related Option,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number of Class A Shares in respect of which the Related Right is being exercised. Options which have been so surrendered, in whole or in part, shall no longer be exercisable to the extent the Related Rights have been so exercised.</w:t>
      </w:r>
    </w:p>
    <w:p>
      <w:pPr>
        <w:spacing w:after="0" w:line="99" w:lineRule="exact"/>
        <w:rPr>
          <w:rFonts w:ascii="Times New Roman" w:cs="Times New Roman" w:eastAsia="Times New Roman" w:hAnsi="Times New Roman"/>
          <w:sz w:val="14"/>
          <w:szCs w:val="14"/>
          <w:color w:val="auto"/>
        </w:rPr>
      </w:pPr>
    </w:p>
    <w:p>
      <w:pPr>
        <w:ind w:left="2580" w:hanging="532"/>
        <w:spacing w:after="0"/>
        <w:tabs>
          <w:tab w:leader="none" w:pos="2580"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the Administrator may determine to settle the exercise of a Share Appreciation Right in cash (or in any combination of</w:t>
      </w: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Shares and cash).</w:t>
      </w:r>
    </w:p>
    <w:p>
      <w:pPr>
        <w:spacing w:after="0" w:line="111"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or Service</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420" w:right="300" w:firstLine="1628"/>
        <w:spacing w:after="0" w:line="255" w:lineRule="auto"/>
        <w:tabs>
          <w:tab w:leader="none" w:pos="2572"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the termination of employment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70" w:name="page171"/>
    <w:bookmarkEnd w:id="170"/>
    <w:p>
      <w:pPr>
        <w:ind w:left="420" w:right="300" w:firstLine="1628"/>
        <w:spacing w:after="0" w:line="255" w:lineRule="auto"/>
        <w:tabs>
          <w:tab w:leader="none" w:pos="2572"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89"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auto"/>
        </w:rPr>
      </w:pPr>
    </w:p>
    <w:p>
      <w:pPr>
        <w:ind w:left="2580" w:hanging="532"/>
        <w:spacing w:after="0"/>
        <w:tabs>
          <w:tab w:leader="none" w:pos="258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of each Free Standing Right shall be fixed by the Administrator, but no Free Standing Right shall be exercisable more than ten (10) years</w:t>
      </w: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date such right is granted.</w:t>
      </w:r>
    </w:p>
    <w:p>
      <w:pPr>
        <w:spacing w:after="0" w:line="110" w:lineRule="exact"/>
        <w:rPr>
          <w:rFonts w:ascii="Times New Roman" w:cs="Times New Roman" w:eastAsia="Times New Roman" w:hAnsi="Times New Roman"/>
          <w:sz w:val="14"/>
          <w:szCs w:val="14"/>
          <w:color w:val="auto"/>
        </w:rPr>
      </w:pPr>
    </w:p>
    <w:p>
      <w:pPr>
        <w:ind w:left="2580" w:hanging="532"/>
        <w:spacing w:after="0"/>
        <w:tabs>
          <w:tab w:leader="none" w:pos="258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of each Related Right shall be the term of the Option to which it relates, but no Related Right shall be exercisable more than ten (10) years</w:t>
      </w: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date such right is granted.</w:t>
      </w:r>
    </w:p>
    <w:p>
      <w:pPr>
        <w:spacing w:after="0" w:line="111" w:lineRule="exact"/>
        <w:rPr>
          <w:rFonts w:ascii="Times New Roman" w:cs="Times New Roman" w:eastAsia="Times New Roman" w:hAnsi="Times New Roman"/>
          <w:sz w:val="14"/>
          <w:szCs w:val="14"/>
          <w:color w:val="auto"/>
        </w:rPr>
      </w:pPr>
    </w:p>
    <w:p>
      <w:pPr>
        <w:ind w:right="140" w:firstLine="1288"/>
        <w:spacing w:after="0" w:line="236" w:lineRule="auto"/>
        <w:tabs>
          <w:tab w:leader="none" w:pos="1725"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Change in Employment or Service Status</w:t>
      </w:r>
      <w:r>
        <w:rPr>
          <w:rFonts w:ascii="Times New Roman" w:cs="Times New Roman" w:eastAsia="Times New Roman" w:hAnsi="Times New Roman"/>
          <w:sz w:val="14"/>
          <w:szCs w:val="14"/>
          <w:color w:val="auto"/>
        </w:rPr>
        <w:t>. Share Appreciation Rights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9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9.</w:t>
      </w:r>
      <w:r>
        <w:rPr>
          <w:sz w:val="20"/>
          <w:szCs w:val="20"/>
          <w:color w:val="auto"/>
        </w:rPr>
        <w:tab/>
      </w:r>
      <w:r>
        <w:rPr>
          <w:rFonts w:ascii="Times New Roman" w:cs="Times New Roman" w:eastAsia="Times New Roman" w:hAnsi="Times New Roman"/>
          <w:sz w:val="14"/>
          <w:szCs w:val="14"/>
          <w:b w:val="1"/>
          <w:bCs w:val="1"/>
          <w:color w:val="auto"/>
        </w:rPr>
        <w:t>Restricted Shares and Restricted Share Units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firstLine="1288"/>
        <w:spacing w:after="0" w:line="227" w:lineRule="auto"/>
        <w:tabs>
          <w:tab w:leader="none" w:pos="1726"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Restricted Shares and Restricted Share Units may be issued under the Plan. The Administrator shall determine the Eligible Recipients to whom, and the time or times at which, Restricted Shares or Restricted Share Units shall be made; the number of Shares to be awarded; the price, if any, to be paid by the Participant for the acquisition of Restricted Shares or Restricted Share Units; the period of time prior to which Restricted Shares or Restricted Share Units become vested and free of restrictions on Transfer (the “</w:t>
      </w:r>
      <w:r>
        <w:rPr>
          <w:rFonts w:ascii="Times New Roman" w:cs="Times New Roman" w:eastAsia="Times New Roman" w:hAnsi="Times New Roman"/>
          <w:sz w:val="14"/>
          <w:szCs w:val="14"/>
          <w:u w:val="single" w:color="auto"/>
          <w:color w:val="auto"/>
        </w:rPr>
        <w:t>Restricted Period</w:t>
      </w:r>
      <w:r>
        <w:rPr>
          <w:rFonts w:ascii="Times New Roman" w:cs="Times New Roman" w:eastAsia="Times New Roman" w:hAnsi="Times New Roman"/>
          <w:sz w:val="14"/>
          <w:szCs w:val="14"/>
          <w:color w:val="auto"/>
        </w:rPr>
        <w:t>”); the Performance Goals (if any); and all other conditions of the Restricted Shares and Restricted Share Units. If the restrictions, Performance Goals and/or conditions established by the Administrator are not attained, a Participant shall forfeit his or her Restricted Shares or Restricted Share Units, in accordance with the terms of the grant.</w:t>
      </w:r>
    </w:p>
    <w:p>
      <w:pPr>
        <w:spacing w:after="0" w:line="102"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Awards and Certificates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420" w:right="160" w:firstLine="1628"/>
        <w:spacing w:after="0" w:line="225" w:lineRule="auto"/>
        <w:tabs>
          <w:tab w:leader="none" w:pos="2572"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Section 9(c) hereof, (i) each Participant who is granted an Award of Restricted Shares may, in the Company’s sole discretion, be issued a share certificate in respect of such Restricted Shares; and (ii) any such certificate so issued shall be registered in the name of the Participant, and shall bear an appropriate legend referring to the terms, conditions, and restrictions applicable to any such Award. 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transfer form, endorsed in blank, relating to the Shares covered by such award. Certificates for unrestricted Shares may, in the Company’s sole discretion, be delivered to the Participant only after the Restricted Period has expired without forfeiture in respect of such Restricted Shares.</w:t>
      </w:r>
    </w:p>
    <w:p>
      <w:pPr>
        <w:spacing w:after="0" w:line="102" w:lineRule="exact"/>
        <w:rPr>
          <w:rFonts w:ascii="Times New Roman" w:cs="Times New Roman" w:eastAsia="Times New Roman" w:hAnsi="Times New Roman"/>
          <w:sz w:val="14"/>
          <w:szCs w:val="14"/>
          <w:color w:val="auto"/>
        </w:rPr>
      </w:pPr>
    </w:p>
    <w:p>
      <w:pPr>
        <w:jc w:val="both"/>
        <w:ind w:left="420" w:right="40" w:firstLine="1628"/>
        <w:spacing w:after="0" w:line="236" w:lineRule="auto"/>
        <w:tabs>
          <w:tab w:leader="none" w:pos="2572"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 Award of Restricted Share Units to be settled in Shares, at the expiration of the Restricted Period, share certificates in respect of the Shares underlying such Restricted Share Units may, in the Company’s sole discretion, be delivered to the Participant, or his legal representative, in a number equal to the number of Shares underlying the Award of Restricted Share Units.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71" w:name="page172"/>
    <w:bookmarkEnd w:id="171"/>
    <w:p>
      <w:pPr>
        <w:ind w:left="400" w:right="200" w:firstLine="1628"/>
        <w:spacing w:after="0" w:line="255" w:lineRule="auto"/>
        <w:tabs>
          <w:tab w:leader="none" w:pos="2552"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the Plan to the contrary, any Restricted Shares or Restricted Share Units to be settled in Shares (at the expiration of the Restricted Period) may, in the Company’s sole discretion, be issued in uncertificated form.</w:t>
      </w:r>
    </w:p>
    <w:p>
      <w:pPr>
        <w:spacing w:after="0" w:line="89" w:lineRule="exact"/>
        <w:rPr>
          <w:rFonts w:ascii="Times New Roman" w:cs="Times New Roman" w:eastAsia="Times New Roman" w:hAnsi="Times New Roman"/>
          <w:sz w:val="14"/>
          <w:szCs w:val="14"/>
          <w:color w:val="auto"/>
        </w:rPr>
      </w:pPr>
    </w:p>
    <w:p>
      <w:pPr>
        <w:jc w:val="both"/>
        <w:ind w:left="400" w:right="120" w:firstLine="1628"/>
        <w:spacing w:after="0" w:line="231" w:lineRule="auto"/>
        <w:tabs>
          <w:tab w:leader="none" w:pos="2552"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notwithstanding anything in the Plan to the contrary, with respect to Restricted Share Units, at the expiration of the Restricted Period,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100" w:lineRule="exact"/>
        <w:rPr>
          <w:rFonts w:ascii="Times New Roman" w:cs="Times New Roman" w:eastAsia="Times New Roman" w:hAnsi="Times New Roman"/>
          <w:sz w:val="14"/>
          <w:szCs w:val="14"/>
          <w:color w:val="auto"/>
        </w:rPr>
      </w:pPr>
    </w:p>
    <w:p>
      <w:pPr>
        <w:ind w:left="-20" w:right="280" w:firstLine="1288"/>
        <w:spacing w:after="0" w:line="255" w:lineRule="auto"/>
        <w:tabs>
          <w:tab w:leader="none" w:pos="1706"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and Conditions</w:t>
      </w:r>
      <w:r>
        <w:rPr>
          <w:rFonts w:ascii="Times New Roman" w:cs="Times New Roman" w:eastAsia="Times New Roman" w:hAnsi="Times New Roman"/>
          <w:sz w:val="14"/>
          <w:szCs w:val="14"/>
          <w:color w:val="auto"/>
        </w:rPr>
        <w:t>. The Restricted Shares and Restricted Share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89" w:lineRule="exact"/>
        <w:rPr>
          <w:rFonts w:ascii="Times New Roman" w:cs="Times New Roman" w:eastAsia="Times New Roman" w:hAnsi="Times New Roman"/>
          <w:sz w:val="14"/>
          <w:szCs w:val="14"/>
          <w:color w:val="auto"/>
        </w:rPr>
      </w:pPr>
    </w:p>
    <w:p>
      <w:pPr>
        <w:jc w:val="both"/>
        <w:ind w:left="400" w:right="60" w:firstLine="1628"/>
        <w:spacing w:after="0" w:line="231" w:lineRule="auto"/>
        <w:tabs>
          <w:tab w:leader="none" w:pos="2552"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or service with the Company or any Affiliate thereof, or the Participant’s death or Disability. Notwithstanding the foregoing, upon a Change in Control, the outstanding Awards shall be subject to Section 13 hereof.</w:t>
      </w:r>
    </w:p>
    <w:p>
      <w:pPr>
        <w:spacing w:after="0" w:line="100" w:lineRule="exact"/>
        <w:rPr>
          <w:rFonts w:ascii="Times New Roman" w:cs="Times New Roman" w:eastAsia="Times New Roman" w:hAnsi="Times New Roman"/>
          <w:sz w:val="14"/>
          <w:szCs w:val="14"/>
          <w:color w:val="auto"/>
        </w:rPr>
      </w:pPr>
    </w:p>
    <w:p>
      <w:pPr>
        <w:ind w:left="400" w:firstLine="1628"/>
        <w:spacing w:after="0" w:line="224" w:lineRule="auto"/>
        <w:tabs>
          <w:tab w:leader="none" w:pos="2552"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provided in the applicable Award Agreement, the Participant shall generally have the rights of a shareholder of the Company with respect to Restricted Shares during the Restricted Period, including the right to vote such Shares and to receive any dividends declared with respect to such Shares (to the extent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except as provided in the applicable Award Agreement, any dividends declared during the Restricted Period with respect to such Shares shall only become payable if (and to the extent) the underlying Restricted Shares vests. Except as provided in the applicable Award Agreement, the Participant shall generally not have the rights of a shareholder with respect to Shares subject to Restricted Share Units during the Restricted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subject to Section 409A of the Code, an amount equal to any dividends declared during the Restricted Period with respect to the number of Shares covered by Restricted Share Units may, to the extent set forth in an Award Agreement, be paid or distributed to the Participant when accrued, or at the time (and to the extent) that Shares in respect of the related Restricted Share Units are delivered to the Participant.</w:t>
      </w:r>
    </w:p>
    <w:p>
      <w:pPr>
        <w:spacing w:after="0" w:line="100" w:lineRule="exact"/>
        <w:rPr>
          <w:rFonts w:ascii="Times New Roman" w:cs="Times New Roman" w:eastAsia="Times New Roman" w:hAnsi="Times New Roman"/>
          <w:sz w:val="14"/>
          <w:szCs w:val="14"/>
          <w:color w:val="auto"/>
        </w:rPr>
      </w:pPr>
    </w:p>
    <w:p>
      <w:pPr>
        <w:ind w:left="-20" w:right="240" w:firstLine="1288"/>
        <w:spacing w:after="0" w:line="255" w:lineRule="auto"/>
        <w:tabs>
          <w:tab w:leader="none" w:pos="1705"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or Service</w:t>
      </w:r>
      <w:r>
        <w:rPr>
          <w:rFonts w:ascii="Times New Roman" w:cs="Times New Roman" w:eastAsia="Times New Roman" w:hAnsi="Times New Roman"/>
          <w:sz w:val="14"/>
          <w:szCs w:val="14"/>
          <w:color w:val="auto"/>
        </w:rPr>
        <w:t>. The rights of Participants granted Restricted Shares or Restricted Share Units upon termination of employment or service with the Company and all Affiliates thereof for any reason during the Restricted Period shall be set forth in the Award Agreement.</w:t>
      </w:r>
    </w:p>
    <w:p>
      <w:pPr>
        <w:spacing w:after="0" w:line="89" w:lineRule="exact"/>
        <w:rPr>
          <w:rFonts w:ascii="Times New Roman" w:cs="Times New Roman" w:eastAsia="Times New Roman" w:hAnsi="Times New Roman"/>
          <w:sz w:val="14"/>
          <w:szCs w:val="14"/>
          <w:color w:val="auto"/>
        </w:rPr>
      </w:pPr>
    </w:p>
    <w:p>
      <w:pPr>
        <w:ind w:left="-20" w:right="20" w:firstLine="1288"/>
        <w:spacing w:after="0" w:line="255" w:lineRule="auto"/>
        <w:tabs>
          <w:tab w:leader="none" w:pos="1706"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of Settlement</w:t>
      </w:r>
      <w:r>
        <w:rPr>
          <w:rFonts w:ascii="Times New Roman" w:cs="Times New Roman" w:eastAsia="Times New Roman" w:hAnsi="Times New Roman"/>
          <w:sz w:val="14"/>
          <w:szCs w:val="14"/>
          <w:color w:val="auto"/>
        </w:rPr>
        <w:t>. The Administrator reserves the right in its sole discretion to provide (either at or after the grant thereof) that any Restricted Share Unit represents the right to receive the amount of cash per unit that is determined by the Administrator in connection with the Award.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147955</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1120" w:right="319" w:bottom="1440" w:gutter="0" w:footer="0" w:header="0"/>
        </w:sectPr>
      </w:pPr>
    </w:p>
    <w:bookmarkStart w:id="172" w:name="page173"/>
    <w:bookmarkEnd w:id="172"/>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10.</w:t>
        <w:tab/>
        <w:t>Other Share-Based Awards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right="80" w:firstLine="864"/>
        <w:spacing w:after="0" w:line="263" w:lineRule="auto"/>
        <w:rPr>
          <w:sz w:val="20"/>
          <w:szCs w:val="20"/>
          <w:color w:val="auto"/>
        </w:rPr>
      </w:pPr>
      <w:r>
        <w:rPr>
          <w:rFonts w:ascii="Times New Roman" w:cs="Times New Roman" w:eastAsia="Times New Roman" w:hAnsi="Times New Roman"/>
          <w:sz w:val="14"/>
          <w:szCs w:val="14"/>
          <w:color w:val="auto"/>
        </w:rPr>
        <w:t>Other forms of Awards valued in whole or in part by reference to, or otherwise based on, Shares, including, but not limited to, dividend equivalents, may be granted either alone or in addition to other Awards (other than in connection with Options or Share Appreciation Rights) under the Plan. Dividends or dividend equivalents awarded hereunder may be paid or distributed when accrued, or may be subject to the same restrictions, conditions and risks of forfeiture as the underlying Awards and only become payable if (and to the extent) the underlying Awards vest.</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Subject to the provisions of the Plan, the Administrator shall have sole and complete authority to determine the individuals to whom and the time or times at which such Other Share-Based Awards shall be granted, the number of Shares to be granted pursuant to such Other Share-Based Awards, or the manner in which such Other Share-Based Awards shall be settled (e.g., in Shares, cash or other property), or the conditions to the vesting and/or payment or settlement of such Other Share-Based Awards (which may include, but not be limited to, achievement of performance criteria) and all other terms and conditions of such Other Share-Based Awards.</w:t>
      </w:r>
    </w:p>
    <w:p>
      <w:pPr>
        <w:spacing w:after="0" w:line="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Section 11.</w:t>
        <w:tab/>
        <w:t>Share Bonuses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4"/>
          <w:szCs w:val="14"/>
          <w:color w:val="auto"/>
        </w:rPr>
        <w:t>In the event that the Administrator grants a Share Bonus, the Shares constituting such Share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Share Bonus is payable.</w:t>
      </w:r>
    </w:p>
    <w:p>
      <w:pPr>
        <w:spacing w:after="0" w:line="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12.</w:t>
      </w:r>
      <w:r>
        <w:rPr>
          <w:sz w:val="20"/>
          <w:szCs w:val="20"/>
          <w:color w:val="auto"/>
        </w:rPr>
        <w:tab/>
      </w:r>
      <w:r>
        <w:rPr>
          <w:rFonts w:ascii="Times New Roman" w:cs="Times New Roman" w:eastAsia="Times New Roman" w:hAnsi="Times New Roman"/>
          <w:sz w:val="13"/>
          <w:szCs w:val="13"/>
          <w:b w:val="1"/>
          <w:bCs w:val="1"/>
          <w:color w:val="auto"/>
        </w:rPr>
        <w:t>Cash Awards</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ind w:right="100" w:firstLine="864"/>
        <w:spacing w:after="0" w:line="275" w:lineRule="auto"/>
        <w:rPr>
          <w:sz w:val="20"/>
          <w:szCs w:val="20"/>
          <w:color w:val="auto"/>
        </w:rPr>
      </w:pPr>
      <w:r>
        <w:rPr>
          <w:rFonts w:ascii="Times New Roman" w:cs="Times New Roman" w:eastAsia="Times New Roman" w:hAnsi="Times New Roman"/>
          <w:sz w:val="14"/>
          <w:szCs w:val="14"/>
          <w:color w:val="auto"/>
        </w:rPr>
        <w:t>The Administrator may grant Awards that are payable solely in cash, as deemed by the Administrator to be consistent with the purposes of the Plan, and such Cash Awards shall be subject to the terms, conditions, restrictions and limitations determined by the Administrator, in its sole discretion, from time to time. Cash Awards may be granted with value and payment contingent upon the achievement of Performance Goals.</w:t>
      </w:r>
    </w:p>
    <w:p>
      <w:pPr>
        <w:spacing w:after="0" w:line="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13.</w:t>
        <w:tab/>
        <w:t>Change in Control Provisions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40" w:firstLine="864"/>
        <w:spacing w:after="0" w:line="282" w:lineRule="auto"/>
        <w:rPr>
          <w:sz w:val="20"/>
          <w:szCs w:val="20"/>
          <w:color w:val="auto"/>
        </w:rPr>
      </w:pPr>
      <w:r>
        <w:rPr>
          <w:rFonts w:ascii="Times New Roman" w:cs="Times New Roman" w:eastAsia="Times New Roman" w:hAnsi="Times New Roman"/>
          <w:sz w:val="14"/>
          <w:szCs w:val="14"/>
          <w:color w:val="auto"/>
        </w:rPr>
        <w:t>Unless otherwise determined by the Administrator prior to a Change in Control or evidenced in an Award Agreement, in the event that (a) a Change in Control occurs and (b)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w:t>
      </w:r>
    </w:p>
    <w:p>
      <w:pPr>
        <w:spacing w:after="0" w:line="81" w:lineRule="exact"/>
        <w:rPr>
          <w:sz w:val="20"/>
          <w:szCs w:val="20"/>
          <w:color w:val="auto"/>
        </w:rPr>
      </w:pPr>
    </w:p>
    <w:p>
      <w:pPr>
        <w:ind w:left="1720" w:hanging="432"/>
        <w:spacing w:after="0"/>
        <w:tabs>
          <w:tab w:leader="none" w:pos="17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unvested or unexercisable portion of any Award carrying a right to exercise shall become fully vested and exercisable; and</w:t>
      </w:r>
    </w:p>
    <w:p>
      <w:pPr>
        <w:spacing w:after="0" w:line="127"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deferral limitations, payment conditions and forfeiture conditions applicable to an Award granted under the Plan shall lapse and such Awards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color w:val="auto"/>
        </w:rPr>
        <w:t>shall be deemed fully vested and any performance conditions imposed with respect to such Awards shall be deemed to be fully achieved.</w:t>
      </w:r>
    </w:p>
    <w:p>
      <w:pPr>
        <w:spacing w:after="0" w:line="1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14.</w:t>
        <w:tab/>
        <w:t>Voting Proxy</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firstLine="864"/>
        <w:spacing w:after="0" w:line="268" w:lineRule="auto"/>
        <w:rPr>
          <w:sz w:val="20"/>
          <w:szCs w:val="20"/>
          <w:color w:val="auto"/>
        </w:rPr>
      </w:pPr>
      <w:r>
        <w:rPr>
          <w:rFonts w:ascii="Times New Roman" w:cs="Times New Roman" w:eastAsia="Times New Roman" w:hAnsi="Times New Roman"/>
          <w:sz w:val="14"/>
          <w:szCs w:val="14"/>
          <w:color w:val="auto"/>
        </w:rPr>
        <w:t>The Company reserves the right to require the Participant, to the fullest extent permitted by applicable law, to appoint the Company’s Secretary (or another person at the request of the Administrator) as the Participant’s proxy with respect to all applicable unvested Awards of which the Participant may be the record holder of from time to time to (A) attend all meetings of the holders of Shares,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Shares in the same manner and extent that the Participant might but for the proxy granted pursuant to this sentence.</w:t>
      </w:r>
    </w:p>
    <w:p>
      <w:pPr>
        <w:spacing w:after="0" w:line="8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15.</w:t>
        <w:tab/>
        <w:t>Amendment and Termination</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80" w:firstLine="864"/>
        <w:spacing w:after="0" w:line="268" w:lineRule="auto"/>
        <w:rPr>
          <w:sz w:val="20"/>
          <w:szCs w:val="20"/>
          <w:color w:val="auto"/>
        </w:rPr>
      </w:pPr>
      <w:r>
        <w:rPr>
          <w:rFonts w:ascii="Times New Roman" w:cs="Times New Roman" w:eastAsia="Times New Roman" w:hAnsi="Times New Roman"/>
          <w:sz w:val="14"/>
          <w:szCs w:val="14"/>
          <w:color w:val="auto"/>
        </w:rPr>
        <w:t>The Board may amend, alter or terminate the Plan, but no amendment, alteration, or termination shall be made that would impair the rights of a Participant under any Award theretofore granted without such Participant’s consent. Unless the Board determines otherwise, the Board shall obtain approval of the Company’s shareholders for any amendment to the Plan that would require such approval in order to satisfy any rules of the stock exchange on which the Shares is traded or other applicable law. The Administrator may amend the terms of any Award theretofore granted, prospectively or retroactively, but, subject to Section 5 hereof and the immediately preceding sentence, no such amendment shall impair the rights of any Participant without his or her consent.</w:t>
      </w:r>
    </w:p>
    <w:p>
      <w:pPr>
        <w:spacing w:after="0" w:line="8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16.</w:t>
        <w:tab/>
        <w:t>Unfunded Status of Plan</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160" w:firstLine="864"/>
        <w:spacing w:after="0" w:line="295" w:lineRule="auto"/>
        <w:rPr>
          <w:sz w:val="20"/>
          <w:szCs w:val="20"/>
          <w:color w:val="auto"/>
        </w:rPr>
      </w:pPr>
      <w:r>
        <w:rPr>
          <w:rFonts w:ascii="Times New Roman" w:cs="Times New Roman" w:eastAsia="Times New Roman" w:hAnsi="Times New Roman"/>
          <w:sz w:val="14"/>
          <w:szCs w:val="14"/>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17.</w:t>
        <w:tab/>
        <w:t>Withholding Taxes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firstLine="864"/>
        <w:spacing w:after="0" w:line="265" w:lineRule="auto"/>
        <w:rPr>
          <w:sz w:val="20"/>
          <w:szCs w:val="20"/>
          <w:color w:val="auto"/>
        </w:rPr>
      </w:pPr>
      <w:r>
        <w:rPr>
          <w:rFonts w:ascii="Times New Roman" w:cs="Times New Roman" w:eastAsia="Times New Roman" w:hAnsi="Times New Roman"/>
          <w:sz w:val="14"/>
          <w:szCs w:val="14"/>
          <w:color w:val="auto"/>
        </w:rPr>
        <w:t>Each Participant shall, no later than the date as of which the value of an Award first becomes includible in the gross income of such Participant for purposes of applicable taxes, pay to the Company, or make arrangements satisfactory to the Company regarding payment of, 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74" w:name="page175"/>
    <w:bookmarkEnd w:id="174"/>
    <w:p>
      <w:pPr>
        <w:ind w:right="20"/>
        <w:spacing w:after="0" w:line="263" w:lineRule="auto"/>
        <w:rPr>
          <w:sz w:val="20"/>
          <w:szCs w:val="20"/>
          <w:color w:val="auto"/>
        </w:rPr>
      </w:pPr>
      <w:r>
        <w:rPr>
          <w:rFonts w:ascii="Times New Roman" w:cs="Times New Roman" w:eastAsia="Times New Roman" w:hAnsi="Times New Roman"/>
          <w:sz w:val="14"/>
          <w:szCs w:val="14"/>
          <w:color w:val="auto"/>
        </w:rPr>
        <w:t>pursuant to an Award, the Company shall have the right to (i) require the Participant to remit to the Company in cash an amount sufficient to satisfy any related taxes to be withheld and applied to the tax obligations as determined by the Company, (ii) withhold from delivery of Shares or other property, or (iii) accept delivery of already owned unrestricted Shares, in each case in the sole and absolute discretion of the Administrator. The Shares withheld or accepted as payment for taxes must have a value not exceeding the applicable taxes to be withheld, determined based on the greatest withholding rates for federal, state, foreign and/or local tax purposes, including payroll taxes, that may be utilized without creating adverse accounting treatment with respect to such Award, as determined by the Company. For purposes of this Section 17, Shares shall be valued at their Fair Market Value on the date on which the amount of tax to be withheld is determined and any fractional share amounts resulting therefrom shall be settled in cash. The Company may also use any other method of obtaining the necessary payment or proceeds, as permitted by law, to satisfy its withholding obligation with respect to any Award as determined by the Company.</w:t>
      </w:r>
    </w:p>
    <w:p>
      <w:pPr>
        <w:spacing w:after="0" w:line="9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18.</w:t>
        <w:tab/>
        <w:t>Transfer of Awards.</w:t>
      </w:r>
    </w:p>
    <w:p>
      <w:pPr>
        <w:spacing w:after="0" w:line="147" w:lineRule="exact"/>
        <w:rPr>
          <w:sz w:val="20"/>
          <w:szCs w:val="20"/>
          <w:color w:val="auto"/>
        </w:rPr>
      </w:pPr>
    </w:p>
    <w:p>
      <w:pPr>
        <w:ind w:firstLine="864"/>
        <w:spacing w:after="0" w:line="264" w:lineRule="auto"/>
        <w:rPr>
          <w:sz w:val="20"/>
          <w:szCs w:val="20"/>
          <w:color w:val="auto"/>
        </w:rPr>
      </w:pPr>
      <w:r>
        <w:rPr>
          <w:rFonts w:ascii="Times New Roman" w:cs="Times New Roman" w:eastAsia="Times New Roman" w:hAnsi="Times New Roman"/>
          <w:sz w:val="14"/>
          <w:szCs w:val="14"/>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 Shares or other property underlying such Award. Unless otherwise determined by the Administrator in accordance with the provisions of the immediately preceding sentence, an Option or Share Appreciation Right may be exercised, during the lifetime of the Participant, only by the Participant or, during any period during which the Participant is under a legal disability, by the Participant’s guardian or legal representative.</w:t>
      </w:r>
    </w:p>
    <w:p>
      <w:pPr>
        <w:spacing w:after="0" w:line="9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19.</w:t>
        <w:tab/>
        <w:t>Continued Employment or Service</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160" w:firstLine="864"/>
        <w:spacing w:after="0" w:line="275" w:lineRule="auto"/>
        <w:rPr>
          <w:sz w:val="20"/>
          <w:szCs w:val="20"/>
          <w:color w:val="auto"/>
        </w:rPr>
      </w:pPr>
      <w:r>
        <w:rPr>
          <w:rFonts w:ascii="Times New Roman" w:cs="Times New Roman" w:eastAsia="Times New Roman" w:hAnsi="Times New Roman"/>
          <w:sz w:val="14"/>
          <w:szCs w:val="14"/>
          <w:color w:val="auto"/>
        </w:rPr>
        <w:t>Neither the adoption of the Plan nor the grant of an Award hereunder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38" w:right="339" w:bottom="1440" w:gutter="0" w:footer="0" w:header="0"/>
        </w:sectPr>
      </w:pPr>
    </w:p>
    <w:bookmarkStart w:id="175" w:name="page176"/>
    <w:bookmarkEnd w:id="175"/>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20.</w:t>
        <w:tab/>
        <w:t>Effective Date</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60" w:firstLine="864"/>
        <w:spacing w:after="0" w:line="295" w:lineRule="auto"/>
        <w:rPr>
          <w:sz w:val="20"/>
          <w:szCs w:val="20"/>
          <w:color w:val="auto"/>
        </w:rPr>
      </w:pPr>
      <w:r>
        <w:rPr>
          <w:rFonts w:ascii="Times New Roman" w:cs="Times New Roman" w:eastAsia="Times New Roman" w:hAnsi="Times New Roman"/>
          <w:sz w:val="14"/>
          <w:szCs w:val="14"/>
          <w:color w:val="auto"/>
        </w:rPr>
        <w:t>The Plan was adopted by the Board on May 6, 2026 and shall become effective without further action as of the closing of the Company’s Restructuring Transaction (as described in the Company’s Definitive Proxy Statement on Schedule 14A, dated as of [●], 2026)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subject to approval by the Company’s stockholders of the Plan.</w:t>
      </w:r>
    </w:p>
    <w:p>
      <w:pPr>
        <w:spacing w:after="0" w:line="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21.</w:t>
        <w:tab/>
        <w:t>Term of Plan</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No Award shall be granted pursuant to the Plan on or after the tenth anniversary of the Effective Date, but Awards theretofore granted may extend beyond that date.</w:t>
      </w:r>
    </w:p>
    <w:p>
      <w:pPr>
        <w:spacing w:after="0" w:line="14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22.</w:t>
        <w:tab/>
        <w:t>Securities Matters and Regulations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ind w:firstLine="1288"/>
        <w:spacing w:after="0" w:line="227" w:lineRule="auto"/>
        <w:tabs>
          <w:tab w:leader="none" w:pos="1726"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herein to the contrary, the obligation of the Company to sell or deliver Shares with respect to any Award granted under the Plan shall be subject to all applicable laws, rules and regulations, including all applicable federal and state securities laws, the obtaining of all such approvals by governmental agencies as may be deemed necessary or appropriate by the Administrator and the listing requirements of any securities exchange on which the Shares are traded. The Administrator may require, as a condition of the issuance and delivery of certificates evidencing Shares pursuant to the terms hereof, that the recipient of such Shares make such agreements and representations, and that such certificates bear such legends, as the Administrator, in its sole discretion, deems necessary or advisable.</w:t>
      </w:r>
    </w:p>
    <w:p>
      <w:pPr>
        <w:spacing w:after="0" w:line="102" w:lineRule="exact"/>
        <w:rPr>
          <w:rFonts w:ascii="Times New Roman" w:cs="Times New Roman" w:eastAsia="Times New Roman" w:hAnsi="Times New Roman"/>
          <w:sz w:val="14"/>
          <w:szCs w:val="14"/>
          <w:color w:val="auto"/>
        </w:rPr>
      </w:pPr>
    </w:p>
    <w:p>
      <w:pPr>
        <w:ind w:right="120" w:firstLine="1288"/>
        <w:spacing w:after="0" w:line="231" w:lineRule="auto"/>
        <w:tabs>
          <w:tab w:leader="none" w:pos="1725"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Award is subject to the requirement that, if at any time the Administrator determines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such Award shall be granted or payment made or Shares issued, in whole or in part, unless such listing, registration, qualification, consent or approval has been effected or obtained free of any conditions not acceptable to the Administrator.</w:t>
      </w:r>
    </w:p>
    <w:p>
      <w:pPr>
        <w:spacing w:after="0" w:line="100" w:lineRule="exact"/>
        <w:rPr>
          <w:rFonts w:ascii="Times New Roman" w:cs="Times New Roman" w:eastAsia="Times New Roman" w:hAnsi="Times New Roman"/>
          <w:sz w:val="14"/>
          <w:szCs w:val="14"/>
          <w:color w:val="auto"/>
        </w:rPr>
      </w:pPr>
    </w:p>
    <w:p>
      <w:pPr>
        <w:ind w:right="40" w:firstLine="1288"/>
        <w:spacing w:after="0" w:line="231" w:lineRule="auto"/>
        <w:tabs>
          <w:tab w:leader="none" w:pos="1726"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Administrator may require a Participant receiving Shares pursuant to the Plan, as a condition precedent to receipt of such Shares, to represent to the Company in writing that the Shares acquired by such Participant is acquired for investment only and not with a view to distribution.</w:t>
      </w:r>
    </w:p>
    <w:p>
      <w:pPr>
        <w:spacing w:after="0" w:line="9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23.</w:t>
        <w:tab/>
        <w:t>Notification of Election Under Section 83(b) of the Code</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180" w:firstLine="864"/>
        <w:spacing w:after="0" w:line="295" w:lineRule="auto"/>
        <w:rPr>
          <w:sz w:val="20"/>
          <w:szCs w:val="20"/>
          <w:color w:val="auto"/>
        </w:rPr>
      </w:pPr>
      <w:r>
        <w:rPr>
          <w:rFonts w:ascii="Times New Roman" w:cs="Times New Roman" w:eastAsia="Times New Roman" w:hAnsi="Times New Roman"/>
          <w:sz w:val="14"/>
          <w:szCs w:val="14"/>
          <w:color w:val="auto"/>
        </w:rPr>
        <w:t>If any Participant shall, in connection with the acquisition of Shares under the Plan, make the election permitted under Section 83(b) of the Code, such Participant shall notify the Company of such election within ten (10) days after filing notice of the election with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8" w:right="319" w:bottom="1440" w:gutter="0" w:footer="0" w:header="0"/>
        </w:sectPr>
      </w:pPr>
    </w:p>
    <w:bookmarkStart w:id="176" w:name="page177"/>
    <w:bookmarkEnd w:id="176"/>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24.</w:t>
        <w:tab/>
        <w:t>No Fractional Shares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firstLine="864"/>
        <w:spacing w:after="0" w:line="295" w:lineRule="auto"/>
        <w:rPr>
          <w:sz w:val="20"/>
          <w:szCs w:val="20"/>
          <w:color w:val="auto"/>
        </w:rPr>
      </w:pPr>
      <w:r>
        <w:rPr>
          <w:rFonts w:ascii="Times New Roman" w:cs="Times New Roman" w:eastAsia="Times New Roman" w:hAnsi="Times New Roman"/>
          <w:sz w:val="14"/>
          <w:szCs w:val="14"/>
          <w:color w:val="auto"/>
        </w:rPr>
        <w:t>No fractional Shares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25.</w:t>
        <w:tab/>
        <w:t>Beneficiary</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120" w:firstLine="864"/>
        <w:spacing w:after="0" w:line="309" w:lineRule="auto"/>
        <w:rPr>
          <w:sz w:val="20"/>
          <w:szCs w:val="20"/>
          <w:color w:val="auto"/>
        </w:rPr>
      </w:pPr>
      <w:r>
        <w:rPr>
          <w:rFonts w:ascii="Times New Roman" w:cs="Times New Roman" w:eastAsia="Times New Roman" w:hAnsi="Times New Roman"/>
          <w:sz w:val="14"/>
          <w:szCs w:val="14"/>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6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26.</w:t>
        <w:tab/>
        <w:t>Paperless Administration</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right="340" w:firstLine="864"/>
        <w:spacing w:after="0" w:line="275" w:lineRule="auto"/>
        <w:rPr>
          <w:sz w:val="20"/>
          <w:szCs w:val="20"/>
          <w:color w:val="auto"/>
        </w:rPr>
      </w:pPr>
      <w:r>
        <w:rPr>
          <w:rFonts w:ascii="Times New Roman" w:cs="Times New Roman" w:eastAsia="Times New Roman" w:hAnsi="Times New Roman"/>
          <w:sz w:val="14"/>
          <w:szCs w:val="14"/>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27.</w:t>
        <w:tab/>
        <w:t>Severability</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500" w:firstLine="864"/>
        <w:spacing w:after="0" w:line="309" w:lineRule="auto"/>
        <w:rPr>
          <w:sz w:val="20"/>
          <w:szCs w:val="20"/>
          <w:color w:val="auto"/>
        </w:rPr>
      </w:pPr>
      <w:r>
        <w:rPr>
          <w:rFonts w:ascii="Times New Roman" w:cs="Times New Roman" w:eastAsia="Times New Roman" w:hAnsi="Times New Roman"/>
          <w:sz w:val="14"/>
          <w:szCs w:val="14"/>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6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28.</w:t>
        <w:tab/>
        <w:t>Clawback</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40" w:firstLine="864"/>
        <w:spacing w:after="0" w:line="268" w:lineRule="auto"/>
        <w:rPr>
          <w:sz w:val="20"/>
          <w:szCs w:val="20"/>
          <w:color w:val="auto"/>
        </w:rPr>
      </w:pPr>
      <w:r>
        <w:rPr>
          <w:rFonts w:ascii="Times New Roman" w:cs="Times New Roman" w:eastAsia="Times New Roman" w:hAnsi="Times New Roman"/>
          <w:sz w:val="14"/>
          <w:szCs w:val="14"/>
          <w:color w:val="auto"/>
        </w:rPr>
        <w:t>Notwithstanding any other provisions in this Plan, any Award, including any Shares, cash or other property subject to or purchased or received pursuant to an Award, which is subject to recovery under any law, government regulation, stock exchange listing requirement or pursuant to any policy adopted by the Company, as approved by the Board, will be subject to such deductions and clawback as may be required to be made pursuant to such law, government regulation, stock exchange listing requirement or policy adopted by the Company, including, without limitation, the Company’s Clawback Policy, as may be amended and/or restated from time to time, and any successor thereto.</w:t>
      </w:r>
    </w:p>
    <w:p>
      <w:pPr>
        <w:spacing w:after="0" w:line="8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29.</w:t>
        <w:tab/>
        <w:t>Section 409A of the Code</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160" w:firstLine="864"/>
        <w:spacing w:after="0" w:line="282" w:lineRule="auto"/>
        <w:rPr>
          <w:sz w:val="20"/>
          <w:szCs w:val="20"/>
          <w:color w:val="auto"/>
        </w:rPr>
      </w:pPr>
      <w:r>
        <w:rPr>
          <w:rFonts w:ascii="Times New Roman" w:cs="Times New Roman" w:eastAsia="Times New Roman" w:hAnsi="Times New Roman"/>
          <w:sz w:val="14"/>
          <w:szCs w:val="14"/>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8" w:right="319" w:bottom="1440" w:gutter="0" w:footer="0" w:header="0"/>
        </w:sectPr>
      </w:pPr>
    </w:p>
    <w:bookmarkStart w:id="177" w:name="page178"/>
    <w:bookmarkEnd w:id="177"/>
    <w:p>
      <w:pPr>
        <w:ind w:right="20"/>
        <w:spacing w:after="0" w:line="260" w:lineRule="auto"/>
        <w:rPr>
          <w:sz w:val="20"/>
          <w:szCs w:val="20"/>
          <w:color w:val="auto"/>
        </w:rPr>
      </w:pPr>
      <w:r>
        <w:rPr>
          <w:rFonts w:ascii="Times New Roman" w:cs="Times New Roman" w:eastAsia="Times New Roman" w:hAnsi="Times New Roman"/>
          <w:sz w:val="14"/>
          <w:szCs w:val="14"/>
          <w:color w:val="auto"/>
        </w:rPr>
        <w:t>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of the Code. The Administrator shall have the sole authority to make any accelerated distributions permissible under Treas.</w:t>
      </w:r>
    </w:p>
    <w:p>
      <w:pPr>
        <w:spacing w:after="0" w:line="1"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 xml:space="preserve">Reg. Section 1.409A-3(j)(4) to Participants with respect to any deferred amounts,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xml:space="preserve"> such distributions meets the requirements of Treas. Reg. Section 1.409A-3(j)(4).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8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30.</w:t>
        <w:tab/>
        <w:t>Governing Law</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The Plan shall be governed by and construed in accordance with the laws of the State of Delaware, without giving effect to the principles of conflicts of law of such state.</w:t>
      </w:r>
    </w:p>
    <w:p>
      <w:pPr>
        <w:spacing w:after="0" w:line="13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31.</w:t>
        <w:tab/>
        <w:t>Titles and Headings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The titles and headings of the sections in the Plan are for convenience of reference only and, in the event of any conflict, the text of the Plan, rather than such titles or headings, shall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control.</w:t>
      </w:r>
    </w:p>
    <w:p>
      <w:pPr>
        <w:spacing w:after="0" w:line="11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32.</w:t>
        <w:tab/>
        <w:t>Successors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120" w:firstLine="864"/>
        <w:spacing w:after="0" w:line="309" w:lineRule="auto"/>
        <w:rPr>
          <w:sz w:val="20"/>
          <w:szCs w:val="20"/>
          <w:color w:val="auto"/>
        </w:rPr>
      </w:pPr>
      <w:r>
        <w:rPr>
          <w:rFonts w:ascii="Times New Roman" w:cs="Times New Roman" w:eastAsia="Times New Roman" w:hAnsi="Times New Roman"/>
          <w:sz w:val="14"/>
          <w:szCs w:val="14"/>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6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Section 33.</w:t>
        <w:tab/>
        <w:t>Relationship to other Benefits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right="200" w:firstLine="864"/>
        <w:spacing w:after="0" w:line="295" w:lineRule="auto"/>
        <w:rPr>
          <w:sz w:val="20"/>
          <w:szCs w:val="20"/>
          <w:color w:val="auto"/>
        </w:rPr>
      </w:pPr>
      <w:r>
        <w:rPr>
          <w:rFonts w:ascii="Times New Roman" w:cs="Times New Roman" w:eastAsia="Times New Roman" w:hAnsi="Times New Roman"/>
          <w:sz w:val="14"/>
          <w:szCs w:val="14"/>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38" w:right="3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4"/>
          <w:szCs w:val="14"/>
          <w:color w:val="auto"/>
        </w:rPr>
        <w:t>ANNEX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Certificate of Designations</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Series A Mandatorily Convertible Preferred Stock</w:t>
      </w:r>
    </w:p>
    <w:p>
      <w:pPr>
        <w:spacing w:after="0" w:line="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of New Fortress Energy Inc.</w:t>
      </w:r>
    </w:p>
    <w:p>
      <w:pPr>
        <w:spacing w:after="0" w:line="1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 2026</w:t>
      </w:r>
    </w:p>
    <w:p>
      <w:pPr>
        <w:spacing w:after="0" w:line="154" w:lineRule="exact"/>
        <w:rPr>
          <w:sz w:val="20"/>
          <w:szCs w:val="20"/>
          <w:color w:val="auto"/>
        </w:rPr>
      </w:pPr>
    </w:p>
    <w:p>
      <w:pPr>
        <w:ind w:left="8" w:right="20" w:firstLine="432"/>
        <w:spacing w:after="0" w:line="269" w:lineRule="auto"/>
        <w:rPr>
          <w:sz w:val="20"/>
          <w:szCs w:val="20"/>
          <w:color w:val="auto"/>
        </w:rPr>
      </w:pPr>
      <w:r>
        <w:rPr>
          <w:rFonts w:ascii="Times New Roman" w:cs="Times New Roman" w:eastAsia="Times New Roman" w:hAnsi="Times New Roman"/>
          <w:sz w:val="14"/>
          <w:szCs w:val="14"/>
          <w:color w:val="auto"/>
        </w:rPr>
        <w:t>On [•], 2026, the Board of Directors of New Fortress Energy Inc., a Delaware corporation (the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 adopted the following resolution designating and creating, subject to and conditioned upon the consummation of the transactions contemplated by the Restructuring Support Agreement, dated as of March 17, 2026 (the “</w:t>
      </w:r>
      <w:r>
        <w:rPr>
          <w:rFonts w:ascii="Times New Roman" w:cs="Times New Roman" w:eastAsia="Times New Roman" w:hAnsi="Times New Roman"/>
          <w:sz w:val="14"/>
          <w:szCs w:val="14"/>
          <w:b w:val="1"/>
          <w:bCs w:val="1"/>
          <w:color w:val="auto"/>
        </w:rPr>
        <w:t>Restructuring Support Agreement</w:t>
      </w:r>
      <w:r>
        <w:rPr>
          <w:rFonts w:ascii="Times New Roman" w:cs="Times New Roman" w:eastAsia="Times New Roman" w:hAnsi="Times New Roman"/>
          <w:sz w:val="14"/>
          <w:szCs w:val="14"/>
          <w:color w:val="auto"/>
        </w:rPr>
        <w:t>”), among the Corporation, certain of its subsidiaries, the information agent and certain of the Corporation’s supporting creditors and the English law restructuring plan under Part 26A of the Companies Act proposed by NFE Global Holdings Limited, out of the authorized and unissued Preferred Shares (as defined in the Certificate of Incorporation) of the Corporation, 2,456,178 authorized shares of a series of Preferred Shares of the Corporation titled the “Series A Mandatorily Convertible Preferred Stock”:</w:t>
      </w:r>
    </w:p>
    <w:p>
      <w:pPr>
        <w:spacing w:after="0" w:line="106" w:lineRule="exact"/>
        <w:rPr>
          <w:sz w:val="20"/>
          <w:szCs w:val="20"/>
          <w:color w:val="auto"/>
        </w:rPr>
      </w:pPr>
    </w:p>
    <w:p>
      <w:pPr>
        <w:ind w:left="8" w:right="80" w:firstLine="432"/>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RESOLVED </w:t>
      </w:r>
      <w:r>
        <w:rPr>
          <w:rFonts w:ascii="Times New Roman" w:cs="Times New Roman" w:eastAsia="Times New Roman" w:hAnsi="Times New Roman"/>
          <w:sz w:val="14"/>
          <w:szCs w:val="14"/>
          <w:color w:val="auto"/>
        </w:rPr>
        <w:t>that, pursuant to the authority of the Board of Directors pursuant to the Certificate of Incorporation, the Bylaws and applicable law, a series of Preferred Shares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titled the “Series A Mandatorily Convertible Preferred Stock,” and having a par value of $0.01 per share and an initial number of authorized shares equal to 2,641,052, is hereby designated and created, subject to and conditioned upon the consummation of the transactions contemplated by the Restructuring Support Agreement, out of the authorized and unissued Preferred Shares of the Corporation, which series has the rights, designations, preferences, voting powers and other provisions set forth below:</w:t>
      </w:r>
    </w:p>
    <w:p>
      <w:pPr>
        <w:spacing w:after="0" w:line="90" w:lineRule="exact"/>
        <w:rPr>
          <w:sz w:val="20"/>
          <w:szCs w:val="20"/>
          <w:color w:val="auto"/>
        </w:rPr>
      </w:pPr>
    </w:p>
    <w:p>
      <w:pPr>
        <w:ind w:left="428" w:hanging="428"/>
        <w:spacing w:after="0"/>
        <w:tabs>
          <w:tab w:leader="none" w:pos="428"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DEFINITIONS.</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of any Person means any Person, directly or indirectly, Controlling, Controlled by or under common Control with such Person.</w:t>
      </w:r>
    </w:p>
    <w:p>
      <w:pPr>
        <w:spacing w:after="0" w:line="127" w:lineRule="exact"/>
        <w:rPr>
          <w:sz w:val="20"/>
          <w:szCs w:val="20"/>
          <w:color w:val="auto"/>
        </w:rPr>
      </w:pPr>
    </w:p>
    <w:p>
      <w:pPr>
        <w:ind w:left="8" w:right="4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Asset Sale</w:t>
      </w:r>
      <w:r>
        <w:rPr>
          <w:rFonts w:ascii="Times New Roman" w:cs="Times New Roman" w:eastAsia="Times New Roman" w:hAnsi="Times New Roman"/>
          <w:sz w:val="14"/>
          <w:szCs w:val="14"/>
          <w:color w:val="auto"/>
        </w:rPr>
        <w:t>” means a Disposition of assets by the Corporation or any of its Subsidiaries or the issuance or sale of Capital Stock (other than directors’ qualifying shares and shares issued to foreign nationals or other third parties to the extent required by applicable law) of any of the Corporation’s Subsidiaries, in each case to a third party.</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Bankruptcy Event</w:t>
      </w:r>
      <w:r>
        <w:rPr>
          <w:rFonts w:ascii="Times New Roman" w:cs="Times New Roman" w:eastAsia="Times New Roman" w:hAnsi="Times New Roman"/>
          <w:sz w:val="14"/>
          <w:szCs w:val="14"/>
          <w:color w:val="auto"/>
        </w:rPr>
        <w:t>” means the occurrence of any of the following with respect to the Corporation or any Material Subsidiary:</w:t>
      </w:r>
    </w:p>
    <w:p>
      <w:pPr>
        <w:spacing w:after="0" w:line="129" w:lineRule="exact"/>
        <w:rPr>
          <w:sz w:val="20"/>
          <w:szCs w:val="20"/>
          <w:color w:val="auto"/>
        </w:rPr>
      </w:pPr>
    </w:p>
    <w:p>
      <w:pPr>
        <w:ind w:left="1288" w:hanging="424"/>
        <w:spacing w:after="0"/>
        <w:tabs>
          <w:tab w:leader="none" w:pos="1288"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voluntary or involuntary liquidation, dissolution or winding up;</w:t>
      </w:r>
    </w:p>
    <w:p>
      <w:pPr>
        <w:spacing w:after="0" w:line="127" w:lineRule="exact"/>
        <w:rPr>
          <w:rFonts w:ascii="Times New Roman" w:cs="Times New Roman" w:eastAsia="Times New Roman" w:hAnsi="Times New Roman"/>
          <w:sz w:val="14"/>
          <w:szCs w:val="14"/>
          <w:color w:val="auto"/>
        </w:rPr>
      </w:pPr>
    </w:p>
    <w:p>
      <w:pPr>
        <w:ind w:left="8" w:right="160" w:firstLine="856"/>
        <w:spacing w:after="0" w:line="231" w:lineRule="auto"/>
        <w:tabs>
          <w:tab w:leader="none" w:pos="13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of an involuntary case or proceeding or the filing of an involuntary petition in a court of competent jurisdiction seeking (A) an order for relief entered with respect to it, or seeking to adjudicate it bankrupt or insolvent, or seeking liquidation, arrangement, adjustment, reorganization, dissolution, composition or other relief in respect of the Corporation or a Material Subsidiary, or a substantial part of the property or assets of the Corporation or its Subsidiaries, under Title 11 of the United States Code, as now constituted or hereafter amended, or any other federal, state or foreign bankruptcy, insolvency, receivership or similar law, or other relief with respect to it or its debts or (B) the appointment of a receiver,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662940</wp:posOffset>
            </wp:positionV>
            <wp:extent cx="720344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0" w:right="299" w:bottom="1440" w:gutter="0" w:footer="0" w:header="0"/>
        </w:sectPr>
      </w:pPr>
    </w:p>
    <w:bookmarkStart w:id="179" w:name="page180"/>
    <w:bookmarkEnd w:id="179"/>
    <w:p>
      <w:pPr>
        <w:ind w:left="8" w:right="20"/>
        <w:spacing w:after="0" w:line="231" w:lineRule="auto"/>
        <w:rPr>
          <w:sz w:val="20"/>
          <w:szCs w:val="20"/>
          <w:color w:val="auto"/>
        </w:rPr>
      </w:pPr>
      <w:r>
        <w:rPr>
          <w:rFonts w:ascii="Times New Roman" w:cs="Times New Roman" w:eastAsia="Times New Roman" w:hAnsi="Times New Roman"/>
          <w:sz w:val="14"/>
          <w:szCs w:val="14"/>
          <w:color w:val="auto"/>
        </w:rPr>
        <w:t>administrator, administrative receiver, liquidator, trustee, custodian, sequestrator, conservator or similar official for the Corporation or a Material Subsidiary, or a substantial part of the property or assets of the Corporation or a Material Subsidiary; in each case if such involuntary case, proceeding or involuntary petition continues undismissed and unstayed for 75 days or an order for relief or order appointing such receiver, administrator, administrative receiver, liquidator, trustee, custodian, sequestrator, conservator or similar official, as the case may be, is entered in such involuntary case or proceeding or with respect to such involuntary petition; or</w:t>
      </w:r>
    </w:p>
    <w:p>
      <w:pPr>
        <w:spacing w:after="0" w:line="100" w:lineRule="exact"/>
        <w:rPr>
          <w:sz w:val="20"/>
          <w:szCs w:val="20"/>
          <w:color w:val="auto"/>
        </w:rPr>
      </w:pPr>
    </w:p>
    <w:p>
      <w:pPr>
        <w:ind w:left="8" w:firstLine="856"/>
        <w:spacing w:after="0" w:line="222" w:lineRule="auto"/>
        <w:tabs>
          <w:tab w:leader="none" w:pos="1304"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 voluntary commencement by the Corporation or any Material Subsidiary of any case or proceeding, or any other voluntary action seeking an order for relief entered with respect to it, or seeking to adjudicate it bankrupt or insolvent, or seeking liquidation, arrangement, adjustment, reorganization, dissolution, composition or other relief in respect of the Corporation or a Material Subsidiary, or a substantial part of the property or assets of the Corporation or its Subsidiaries, under Title 11 of the United States Code, as now constituted or hereafter amended, or any other federal, state or foreign bankruptcy, insolvency, receivership or similar law, or other relief with respect to it or its debts, (B) application for or consent by the Corporation to the institution of, or failure to contest in a timely and appropriate manner, any proceeding or the filing of any petition described in clause (ii) above, (C) application for or consent or acquiescence to the appointment of a receiver, administrator, administrative receiver, liquidator, trustee, custodian, sequestrator, conservator or similar official for the Corporation or any Material Subsidiary, or a substantial part of the property or assets of the Corporation, (D) filing by the Corporation or any Material Subsidiary of an answer admitting the material allegations of a petition filed against it in any such proceeding or other action, (E) making by the Corporation or a Material Subsidiary of a general assignment for the benefit of creditors or (F) the inability or admission in writing of the Corporation or a Material Subsidiary of its inability or failure generally to pay its debts as they become due.</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 of Directors</w:t>
      </w:r>
      <w:r>
        <w:rPr>
          <w:rFonts w:ascii="Times New Roman" w:cs="Times New Roman" w:eastAsia="Times New Roman" w:hAnsi="Times New Roman"/>
          <w:sz w:val="14"/>
          <w:szCs w:val="14"/>
          <w:color w:val="auto"/>
        </w:rPr>
        <w:t>” means the Corporation’s board of directors or a committee of such board duly authorized to act with the authority of such board.</w:t>
      </w:r>
    </w:p>
    <w:p>
      <w:pPr>
        <w:spacing w:after="0" w:line="127" w:lineRule="exact"/>
        <w:rPr>
          <w:sz w:val="20"/>
          <w:szCs w:val="20"/>
          <w:color w:val="auto"/>
        </w:rPr>
      </w:pPr>
    </w:p>
    <w:p>
      <w:pPr>
        <w:ind w:left="8" w:right="12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any calendar day other than a Saturday, a Sunday or any day on which the Federal Reserve Bank of New York is authorized or required by law or executive order to close or be closed.</w:t>
      </w:r>
    </w:p>
    <w:p>
      <w:pPr>
        <w:spacing w:after="0" w:line="85" w:lineRule="exact"/>
        <w:rPr>
          <w:sz w:val="20"/>
          <w:szCs w:val="20"/>
          <w:color w:val="auto"/>
        </w:rPr>
      </w:pPr>
    </w:p>
    <w:p>
      <w:pPr>
        <w:ind w:left="8" w:right="20"/>
        <w:spacing w:after="0" w:line="21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Bylaws</w:t>
      </w:r>
      <w:r>
        <w:rPr>
          <w:rFonts w:ascii="Times New Roman" w:cs="Times New Roman" w:eastAsia="Times New Roman" w:hAnsi="Times New Roman"/>
          <w:sz w:val="14"/>
          <w:szCs w:val="14"/>
          <w:color w:val="auto"/>
        </w:rPr>
        <w:t>” means the Amended and Restated Bylaws of the Corporation, effective as of [•], 2026</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as the same may be further amended, amended and restated, supplemented or otherwise modified from time to time.</w:t>
      </w:r>
    </w:p>
    <w:p>
      <w:pPr>
        <w:spacing w:after="0" w:line="99" w:lineRule="exact"/>
        <w:rPr>
          <w:sz w:val="20"/>
          <w:szCs w:val="20"/>
          <w:color w:val="auto"/>
        </w:rPr>
      </w:pPr>
    </w:p>
    <w:p>
      <w:pPr>
        <w:ind w:left="8" w:right="8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 Stock</w:t>
      </w:r>
      <w:r>
        <w:rPr>
          <w:rFonts w:ascii="Times New Roman" w:cs="Times New Roman" w:eastAsia="Times New Roman" w:hAnsi="Times New Roman"/>
          <w:sz w:val="14"/>
          <w:szCs w:val="14"/>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Flow from Operations</w:t>
      </w:r>
      <w:r>
        <w:rPr>
          <w:rFonts w:ascii="Times New Roman" w:cs="Times New Roman" w:eastAsia="Times New Roman" w:hAnsi="Times New Roman"/>
          <w:sz w:val="14"/>
          <w:szCs w:val="14"/>
          <w:color w:val="auto"/>
        </w:rPr>
        <w:t>” means cash provided by operating activities of the Corporation and its Subsidiaries as reported under GAAP.</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 of Designations</w:t>
      </w:r>
      <w:r>
        <w:rPr>
          <w:rFonts w:ascii="Times New Roman" w:cs="Times New Roman" w:eastAsia="Times New Roman" w:hAnsi="Times New Roman"/>
          <w:sz w:val="14"/>
          <w:szCs w:val="14"/>
          <w:color w:val="auto"/>
        </w:rPr>
        <w:t>” means this Certificate of Designations, as amended, amended and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0972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68" w:lineRule="exact"/>
        <w:rPr>
          <w:sz w:val="20"/>
          <w:szCs w:val="20"/>
          <w:color w:val="auto"/>
        </w:rPr>
      </w:pPr>
    </w:p>
    <w:p>
      <w:pPr>
        <w:ind w:left="68" w:hanging="68"/>
        <w:spacing w:after="0"/>
        <w:tabs>
          <w:tab w:leader="none" w:pos="68" w:val="left"/>
        </w:tabs>
        <w:numPr>
          <w:ilvl w:val="0"/>
          <w:numId w:val="2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Initial Issue Date.</w:t>
      </w:r>
    </w:p>
    <w:p>
      <w:pPr>
        <w:spacing w:after="0" w:line="200" w:lineRule="exact"/>
        <w:rPr>
          <w:sz w:val="20"/>
          <w:szCs w:val="20"/>
          <w:color w:val="auto"/>
        </w:rPr>
      </w:pPr>
    </w:p>
    <w:p>
      <w:pPr>
        <w:spacing w:after="0" w:line="3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20344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20" w:right="319" w:bottom="1440" w:gutter="0" w:footer="0" w:header="0"/>
        </w:sectPr>
      </w:pPr>
    </w:p>
    <w:bookmarkStart w:id="180" w:name="page181"/>
    <w:bookmarkEnd w:id="180"/>
    <w:p>
      <w:pPr>
        <w:ind w:left="8" w:right="180"/>
        <w:spacing w:after="0" w:line="21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 of Incorporation</w:t>
      </w:r>
      <w:r>
        <w:rPr>
          <w:rFonts w:ascii="Times New Roman" w:cs="Times New Roman" w:eastAsia="Times New Roman" w:hAnsi="Times New Roman"/>
          <w:sz w:val="14"/>
          <w:szCs w:val="14"/>
          <w:color w:val="auto"/>
        </w:rPr>
        <w:t>” means the Corporation’s Amended and Restated Certificate of Incorporation, dated as of [•], 2026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as the same has been and may be further amended, amended and restated, supplemented or otherwise modified from time to time.</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Close of Business</w:t>
      </w:r>
      <w:r>
        <w:rPr>
          <w:rFonts w:ascii="Times New Roman" w:cs="Times New Roman" w:eastAsia="Times New Roman" w:hAnsi="Times New Roman"/>
          <w:sz w:val="14"/>
          <w:szCs w:val="14"/>
          <w:color w:val="auto"/>
        </w:rPr>
        <w:t>” means 5:00 p.m., New York City time.</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xml:space="preserve">” means the Class A common stock, $0.01 par value per share, of the Corporation, subject to </w:t>
      </w:r>
      <w:r>
        <w:rPr>
          <w:rFonts w:ascii="Times New Roman" w:cs="Times New Roman" w:eastAsia="Times New Roman" w:hAnsi="Times New Roman"/>
          <w:sz w:val="14"/>
          <w:szCs w:val="14"/>
          <w:b w:val="1"/>
          <w:bCs w:val="1"/>
          <w:color w:val="auto"/>
        </w:rPr>
        <w:t>Section 9(f)</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Common Stock Change Event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9(f)</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Common Stock Equivalents</w:t>
      </w:r>
      <w:r>
        <w:rPr>
          <w:rFonts w:ascii="Times New Roman" w:cs="Times New Roman" w:eastAsia="Times New Roman" w:hAnsi="Times New Roman"/>
          <w:sz w:val="14"/>
          <w:szCs w:val="14"/>
          <w:color w:val="auto"/>
        </w:rPr>
        <w:t>” means any securities (directly or indirectly) convertible into or exchangeable or exercisable for shares of Common Stock.</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Compounded Dividends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5(b)</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Total Debt</w:t>
      </w:r>
      <w:r>
        <w:rPr>
          <w:rFonts w:ascii="Times New Roman" w:cs="Times New Roman" w:eastAsia="Times New Roman" w:hAnsi="Times New Roman"/>
          <w:sz w:val="14"/>
          <w:szCs w:val="14"/>
          <w:color w:val="auto"/>
        </w:rPr>
        <w:t>” means, at any date of determination, an amount equal to the aggregate principal amount of all Indebtedness (plus the amount of any accrued but unpaid interest, unpaid fees, premiums and other amounts thereon) of the Corporation and its Subsidiaries on a consolidated basis and determined in accordance with GAAP.</w:t>
      </w:r>
    </w:p>
    <w:p>
      <w:pPr>
        <w:spacing w:after="0" w:line="86" w:lineRule="exact"/>
        <w:rPr>
          <w:sz w:val="20"/>
          <w:szCs w:val="20"/>
          <w:color w:val="auto"/>
        </w:rPr>
      </w:pPr>
    </w:p>
    <w:p>
      <w:pPr>
        <w:ind w:left="8" w:right="14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Control</w:t>
      </w:r>
      <w:r>
        <w:rPr>
          <w:rFonts w:ascii="Times New Roman" w:cs="Times New Roman" w:eastAsia="Times New Roman" w:hAnsi="Times New Roman"/>
          <w:sz w:val="14"/>
          <w:szCs w:val="14"/>
          <w:color w:val="auto"/>
        </w:rPr>
        <w:t>” (including its correlative meanings “under common Control with” and “Controlled by”) means, with respect to any Person, the possession, directly or indirectly, of the power to direct or cause the direction of the management or policies of such Person, whether through ownership of securities or partnership or other interests, by contract or otherwise.</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Conversion Agent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3(e).</w:t>
      </w:r>
    </w:p>
    <w:p>
      <w:pPr>
        <w:spacing w:after="0" w:line="127" w:lineRule="exact"/>
        <w:rPr>
          <w:sz w:val="20"/>
          <w:szCs w:val="20"/>
          <w:color w:val="auto"/>
        </w:rPr>
      </w:pPr>
    </w:p>
    <w:p>
      <w:pPr>
        <w:ind w:left="8" w:right="28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Conversion Consideration</w:t>
      </w:r>
      <w:r>
        <w:rPr>
          <w:rFonts w:ascii="Times New Roman" w:cs="Times New Roman" w:eastAsia="Times New Roman" w:hAnsi="Times New Roman"/>
          <w:sz w:val="14"/>
          <w:szCs w:val="14"/>
          <w:color w:val="auto"/>
        </w:rPr>
        <w:t xml:space="preserve">” means, with respect to the conversion of any Convertible Preferred Stock, the type and amount of consideration payable or deliverable to settle such conversion, determined in accordance with </w:t>
      </w:r>
      <w:r>
        <w:rPr>
          <w:rFonts w:ascii="Times New Roman" w:cs="Times New Roman" w:eastAsia="Times New Roman" w:hAnsi="Times New Roman"/>
          <w:sz w:val="14"/>
          <w:szCs w:val="14"/>
          <w:b w:val="1"/>
          <w:bCs w:val="1"/>
          <w:color w:val="auto"/>
        </w:rPr>
        <w:t>Section 9</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ind w:left="8" w:right="120"/>
        <w:spacing w:after="0" w:line="2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Conversion Rate</w:t>
      </w:r>
      <w:r>
        <w:rPr>
          <w:rFonts w:ascii="Times New Roman" w:cs="Times New Roman" w:eastAsia="Times New Roman" w:hAnsi="Times New Roman"/>
          <w:sz w:val="14"/>
          <w:szCs w:val="14"/>
          <w:color w:val="auto"/>
        </w:rPr>
        <w:t xml:space="preserve">” initially means 52.821415 shares of Common Stock for each share of Convertible Preferred Stock, subject to adjustment pursuant to </w:t>
      </w:r>
      <w:r>
        <w:rPr>
          <w:rFonts w:ascii="Times New Roman" w:cs="Times New Roman" w:eastAsia="Times New Roman" w:hAnsi="Times New Roman"/>
          <w:sz w:val="14"/>
          <w:szCs w:val="14"/>
          <w:b w:val="1"/>
          <w:bCs w:val="1"/>
          <w:color w:val="auto"/>
        </w:rPr>
        <w:t>Section 9(c)(i)</w:t>
      </w:r>
      <w:r>
        <w:rPr>
          <w:rFonts w:ascii="Times New Roman" w:cs="Times New Roman" w:eastAsia="Times New Roman" w:hAnsi="Times New Roman"/>
          <w:sz w:val="14"/>
          <w:szCs w:val="14"/>
          <w:color w:val="auto"/>
        </w:rPr>
        <w:t>. Each reference in this Certificate of Designations to the Conversion Rate as of a particular date without setting forth a particular time on such date will be deemed to be a reference to the Conversion Rate immediately before the Close of Business on such date.</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Conversion Share</w:t>
      </w:r>
      <w:r>
        <w:rPr>
          <w:rFonts w:ascii="Times New Roman" w:cs="Times New Roman" w:eastAsia="Times New Roman" w:hAnsi="Times New Roman"/>
          <w:sz w:val="14"/>
          <w:szCs w:val="14"/>
          <w:color w:val="auto"/>
        </w:rPr>
        <w:t>” means any share of Common Stock delivered or deliverable upon conversion of any Convertible Preferred Stock.</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Convertible Preferred Stock</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3(a)</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 has the meaning set forth in the preliminary paragraph hereto.</w:t>
      </w:r>
    </w:p>
    <w:p>
      <w:pPr>
        <w:spacing w:after="0" w:line="127" w:lineRule="exact"/>
        <w:rPr>
          <w:sz w:val="20"/>
          <w:szCs w:val="20"/>
          <w:color w:val="auto"/>
        </w:rPr>
      </w:pPr>
    </w:p>
    <w:p>
      <w:pPr>
        <w:ind w:left="8"/>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Current Market Price</w:t>
      </w:r>
      <w:r>
        <w:rPr>
          <w:rFonts w:ascii="Times New Roman" w:cs="Times New Roman" w:eastAsia="Times New Roman" w:hAnsi="Times New Roman"/>
          <w:sz w:val="14"/>
          <w:szCs w:val="14"/>
          <w:color w:val="auto"/>
        </w:rPr>
        <w:t>” means the Volume-Weighted Average Price per share of Common Stock for the twenty (20) Trading Days ending on, but excluding, the date in question. If the Common Stock is not traded on any U.S. national or regional securities exchange or quotation system, the Current Market Price shall be the price per share of Common Stock that the Corporation could obtain from a willing buyer for shares of Common Stock sold by the Corporation from authorized but unissued shares of Common Stock, as such price shall be reasonably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10972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42" w:lineRule="exact"/>
        <w:rPr>
          <w:sz w:val="20"/>
          <w:szCs w:val="20"/>
          <w:color w:val="auto"/>
        </w:rPr>
      </w:pPr>
    </w:p>
    <w:p>
      <w:pPr>
        <w:ind w:left="68" w:hanging="68"/>
        <w:spacing w:after="0"/>
        <w:tabs>
          <w:tab w:leader="none" w:pos="68" w:val="left"/>
        </w:tabs>
        <w:numPr>
          <w:ilvl w:val="0"/>
          <w:numId w:val="2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Initial Issue Date.</w:t>
      </w:r>
    </w:p>
    <w:p>
      <w:pPr>
        <w:spacing w:after="0" w:line="200" w:lineRule="exact"/>
        <w:rPr>
          <w:sz w:val="20"/>
          <w:szCs w:val="20"/>
          <w:color w:val="auto"/>
        </w:rPr>
      </w:pPr>
    </w:p>
    <w:p>
      <w:pPr>
        <w:spacing w:after="0" w:line="3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20344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17" w:right="319" w:bottom="1440" w:gutter="0" w:footer="0" w:header="0"/>
        </w:sectPr>
      </w:pPr>
    </w:p>
    <w:bookmarkStart w:id="181" w:name="page182"/>
    <w:bookmarkEnd w:id="181"/>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Deficit Shares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9(e)(i)</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Depositary</w:t>
      </w:r>
      <w:r>
        <w:rPr>
          <w:rFonts w:ascii="Times New Roman" w:cs="Times New Roman" w:eastAsia="Times New Roman" w:hAnsi="Times New Roman"/>
          <w:sz w:val="14"/>
          <w:szCs w:val="14"/>
          <w:color w:val="auto"/>
        </w:rPr>
        <w:t>” means DTC or its nominee or any successor appointed by the Corporation.</w:t>
      </w:r>
    </w:p>
    <w:p>
      <w:pPr>
        <w:spacing w:after="0" w:line="127" w:lineRule="exact"/>
        <w:rPr>
          <w:sz w:val="20"/>
          <w:szCs w:val="20"/>
          <w:color w:val="auto"/>
        </w:rPr>
      </w:pPr>
    </w:p>
    <w:p>
      <w:pPr>
        <w:jc w:val="both"/>
        <w:ind w:left="8" w:right="420"/>
        <w:spacing w:after="0" w:line="2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Disposition</w:t>
      </w:r>
      <w:r>
        <w:rPr>
          <w:rFonts w:ascii="Times New Roman" w:cs="Times New Roman" w:eastAsia="Times New Roman" w:hAnsi="Times New Roman"/>
          <w:sz w:val="14"/>
          <w:szCs w:val="14"/>
          <w:color w:val="auto"/>
        </w:rPr>
        <w:t>” means, with respect to any property, any sale, assignment, conveyance, transfer, exclusive license, lease, sale and leaseback, conveyance, transfer or other disposition thereof (including, to the extent applicable based on the use of the term in this Certificate of Designations, any sale or issuance of Capital Stock by such Person or by a Subsidiary of such Person), including any sale, assignment, conveyance, transfer or other disposal, with or without recourse, of any notes or accounts receivable or any rights and claims associated therewith.</w:t>
      </w:r>
    </w:p>
    <w:p>
      <w:pPr>
        <w:spacing w:after="0" w:line="98" w:lineRule="exact"/>
        <w:rPr>
          <w:sz w:val="20"/>
          <w:szCs w:val="20"/>
          <w:color w:val="auto"/>
        </w:rPr>
      </w:pPr>
    </w:p>
    <w:p>
      <w:pPr>
        <w:ind w:left="8" w:right="20"/>
        <w:spacing w:after="0" w:line="22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Dividend Rate</w:t>
      </w:r>
      <w:r>
        <w:rPr>
          <w:rFonts w:ascii="Times New Roman" w:cs="Times New Roman" w:eastAsia="Times New Roman" w:hAnsi="Times New Roman"/>
          <w:sz w:val="14"/>
          <w:szCs w:val="14"/>
          <w:color w:val="auto"/>
        </w:rPr>
        <w:t>” means (i) three percent (3.0%) per annum from the Initial Issue Date to, but not including, [•], 2027</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(ii) five percent (5.0%) per annum from [•], 2027</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to, but not including, [•], 2028</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and (iii) seven percent (7.0%) per annum thereafter to, but not including, the Mandatory Conversion Date.</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Dividends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5(a)</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right="14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Interests</w:t>
      </w:r>
      <w:r>
        <w:rPr>
          <w:rFonts w:ascii="Times New Roman" w:cs="Times New Roman" w:eastAsia="Times New Roman" w:hAnsi="Times New Roman"/>
          <w:sz w:val="14"/>
          <w:szCs w:val="14"/>
          <w:color w:val="auto"/>
        </w:rPr>
        <w:t>” means the Capital Stock of the Corporation, and all warrants, options or other rights to acquire such Capital Stock, but excluding any debt security that is convertible into, or exchangeable for, such Capital Stock.</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Treatment Limitation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9(e)(i)</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U.S. Securities Exchange Act of 1934, as amended.</w:t>
      </w:r>
    </w:p>
    <w:p>
      <w:pPr>
        <w:spacing w:after="0" w:line="127" w:lineRule="exact"/>
        <w:rPr>
          <w:sz w:val="20"/>
          <w:szCs w:val="20"/>
          <w:color w:val="auto"/>
        </w:rPr>
      </w:pPr>
    </w:p>
    <w:p>
      <w:pPr>
        <w:ind w:left="8"/>
        <w:spacing w:after="0" w:line="22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Exempt Issuance</w:t>
      </w:r>
      <w:r>
        <w:rPr>
          <w:rFonts w:ascii="Times New Roman" w:cs="Times New Roman" w:eastAsia="Times New Roman" w:hAnsi="Times New Roman"/>
          <w:sz w:val="14"/>
          <w:szCs w:val="14"/>
          <w:color w:val="auto"/>
        </w:rPr>
        <w:t>” means (a) the Corporation’s issuance or grant of shares of Common Stock or Common Stock Equivalents directly or upon the exercise of options or by way of other forms of equity compensation awarded to directors, officers, employees, or consultants of the Corporation in connection with their service as directors of the Corporation, their employment by the Corporation or their retention as consultants by the Corporation; and (b) the Corporation’s issuance of securities upon the exercise, exchange or conversion of any securities that are exercisable or exchangeable for, or convertible into, shares of Common Stock and are outstanding as of the Initial Issue Date; (c) the Corporation’s issuance of the Convertible Preferred Stock and any shares of Common Stock upon conversion thereof; and (d) securities issued pursuant to acquisitions or strategic transactions, provided any such issuance shall only be to a Person which is, itself or through its subsidiaries, an operating company in a business synergistic with the business of the Corporation and in which the Corporation receives benefits in addition to the investment of funds, but shall not include a transaction in which the Corporation is issuing securities primarily for the purpose of raising capital or to an entity whose primary business is investing in securities. For purposes of this definition, “consultant” means a consultant that may participate in an “employee benefit plan” in accordance with the definition of such term in Rule 405 under the Securities Act.</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means U.S. generally accepted accounting principles, consistently applied and as in effect from time to time.</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Global Preferred Certificate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13(a)</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Global Preferred Shares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13(a)</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0972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62" w:lineRule="exact"/>
        <w:rPr>
          <w:sz w:val="20"/>
          <w:szCs w:val="20"/>
          <w:color w:val="auto"/>
        </w:rPr>
      </w:pPr>
    </w:p>
    <w:p>
      <w:pPr>
        <w:ind w:left="68" w:hanging="68"/>
        <w:spacing w:after="0"/>
        <w:tabs>
          <w:tab w:leader="none" w:pos="68" w:val="left"/>
        </w:tabs>
        <w:numPr>
          <w:ilvl w:val="0"/>
          <w:numId w:val="22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Initial Issue Date.</w:t>
      </w:r>
    </w:p>
    <w:p>
      <w:pPr>
        <w:ind w:left="68" w:hanging="68"/>
        <w:spacing w:after="0" w:line="187" w:lineRule="auto"/>
        <w:tabs>
          <w:tab w:leader="none" w:pos="68" w:val="left"/>
        </w:tabs>
        <w:numPr>
          <w:ilvl w:val="0"/>
          <w:numId w:val="2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first anniversary of the Initial Issue Date.</w:t>
      </w:r>
    </w:p>
    <w:p>
      <w:pPr>
        <w:ind w:left="68" w:hanging="68"/>
        <w:spacing w:after="0" w:line="197" w:lineRule="auto"/>
        <w:tabs>
          <w:tab w:leader="none" w:pos="68" w:val="left"/>
        </w:tabs>
        <w:numPr>
          <w:ilvl w:val="0"/>
          <w:numId w:val="2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second anniversary of the Initial Issue Date.</w:t>
      </w:r>
    </w:p>
    <w:p>
      <w:pPr>
        <w:spacing w:after="0" w:line="200" w:lineRule="exact"/>
        <w:rPr>
          <w:sz w:val="20"/>
          <w:szCs w:val="20"/>
          <w:color w:val="auto"/>
        </w:rPr>
      </w:pPr>
    </w:p>
    <w:p>
      <w:pPr>
        <w:spacing w:after="0" w:line="313"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20344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118" w:right="3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means a person in whose name any Convertible Preferred Stock is registered on the Register.</w:t>
      </w:r>
    </w:p>
    <w:p>
      <w:pPr>
        <w:spacing w:after="0" w:line="127"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Indebtedness</w:t>
      </w:r>
      <w:r>
        <w:rPr>
          <w:rFonts w:ascii="Times New Roman" w:cs="Times New Roman" w:eastAsia="Times New Roman" w:hAnsi="Times New Roman"/>
          <w:sz w:val="14"/>
          <w:szCs w:val="14"/>
          <w:color w:val="auto"/>
        </w:rPr>
        <w:t>” means (a) indebtedness for borrowed money or the deferred price of property or services, such as reimbursement and other obligations for surety bonds and letters of credit, (b) obligations evidenced by notes, bonds, debentures, loan agreements or similar instruments, (c) capital lease obligations, (d) other short- and long-term obligations under debt agreements, lines of credit and extensions of credit,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and (f) all guarantees of such Person in respect of any of the foregoing.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Issue Date</w:t>
      </w:r>
      <w:r>
        <w:rPr>
          <w:rFonts w:ascii="Times New Roman" w:cs="Times New Roman" w:eastAsia="Times New Roman" w:hAnsi="Times New Roman"/>
          <w:sz w:val="14"/>
          <w:szCs w:val="14"/>
          <w:color w:val="auto"/>
        </w:rPr>
        <w:t>” means [•],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 Date Consolidated Total Debt</w:t>
      </w:r>
      <w:r>
        <w:rPr>
          <w:rFonts w:ascii="Times New Roman" w:cs="Times New Roman" w:eastAsia="Times New Roman" w:hAnsi="Times New Roman"/>
          <w:sz w:val="14"/>
          <w:szCs w:val="14"/>
          <w:color w:val="auto"/>
        </w:rPr>
        <w:t>” means the $[•] aggregate principal amount of Consolidated Total Debt outstanding immediately following the closing of the Restructuring.</w:t>
      </w:r>
    </w:p>
    <w:p>
      <w:pPr>
        <w:spacing w:after="0" w:line="127"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Junior Securities</w:t>
      </w:r>
      <w:r>
        <w:rPr>
          <w:rFonts w:ascii="Times New Roman" w:cs="Times New Roman" w:eastAsia="Times New Roman" w:hAnsi="Times New Roman"/>
          <w:sz w:val="14"/>
          <w:szCs w:val="14"/>
          <w:color w:val="auto"/>
        </w:rPr>
        <w:t>” means collectively, the Common Stock and each other class or series of Capital Stock now existing or hereafter authorized, classified or reclassified, the terms of which do not expressly provide that such class or series ranks on a parity basis with or senior to the Convertible Preferred Stock as to dividend rights and rights on the distribution of assets on any voluntary or involuntary liquidation, dissolution or winding up of the affairs of the Corporation.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Last Reported Sale Price</w:t>
      </w:r>
      <w:r>
        <w:rPr>
          <w:rFonts w:ascii="Times New Roman" w:cs="Times New Roman" w:eastAsia="Times New Roman" w:hAnsi="Times New Roman"/>
          <w:sz w:val="14"/>
          <w:szCs w:val="14"/>
          <w:color w:val="auto"/>
        </w:rPr>
        <w:t>” of the Common Stock or the Convertible Preferred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the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the Corporation selects.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Liquidation Event</w:t>
      </w:r>
      <w:r>
        <w:rPr>
          <w:rFonts w:ascii="Times New Roman" w:cs="Times New Roman" w:eastAsia="Times New Roman" w:hAnsi="Times New Roman"/>
          <w:sz w:val="14"/>
          <w:szCs w:val="14"/>
          <w:color w:val="auto"/>
        </w:rPr>
        <w:t>” means the occurrence of any of the following:</w:t>
      </w:r>
    </w:p>
    <w:p>
      <w:pPr>
        <w:spacing w:after="0" w:line="129" w:lineRule="exact"/>
        <w:rPr>
          <w:sz w:val="20"/>
          <w:szCs w:val="20"/>
          <w:color w:val="auto"/>
        </w:rPr>
      </w:pPr>
    </w:p>
    <w:p>
      <w:pPr>
        <w:ind w:right="20" w:firstLine="856"/>
        <w:spacing w:after="0" w:line="224" w:lineRule="auto"/>
        <w:tabs>
          <w:tab w:leader="none" w:pos="1288"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 consolidation, merger, statutory conversion, statutory exchange, transfer, domestication, continuance or similar business combination or transaction to which the Corporation is a party (whether or not the Corporation is the surviving corporation) or (B) a consolidation, merger, statutory conversion, statutory exchange, transfer, domestication, continuance or similar business combination or transaction to which a Subsidiary is a party, if approved by the Board of Directors or if the Corporation issues shares of its Capital Stock pursuant to such transaction (in either (A) or (B) of this clause (i)), other than an applicable transaction involving the Corporation or a Subsidiary in which the shares of Capital Stock of the Corporation outstanding immediately prior to such transaction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transaction, the parent corporation of such surviving or resulting corporation;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18" w:right="319" w:bottom="1440" w:gutter="0" w:footer="0" w:header="0"/>
        </w:sectPr>
      </w:pPr>
    </w:p>
    <w:bookmarkStart w:id="183" w:name="page184"/>
    <w:bookmarkEnd w:id="183"/>
    <w:p>
      <w:pPr>
        <w:ind w:left="8" w:right="100" w:firstLine="856"/>
        <w:spacing w:after="0" w:line="236" w:lineRule="auto"/>
        <w:tabs>
          <w:tab w:leader="none" w:pos="1301"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Disposition of assets of the Corporation or its Subsidiaries that, taken as a whole, represent greater than 80% of the aggregate book value of the consolidated assets of the Corporation and its Subsidiaries as determined at the time of such Disposition in accordance with GAAP (including the Disposition of one or more Subsidiaries if the sale of all of the assets of such Subsidiary or Subsidiaries would meet or exceed the foregoing threshold described in this clause (ii), except where such Disposition is to a Wholly Owned Subsidiary of the Corporation);</w:t>
      </w:r>
    </w:p>
    <w:p>
      <w:pPr>
        <w:spacing w:after="0" w:line="101" w:lineRule="exact"/>
        <w:rPr>
          <w:rFonts w:ascii="Times New Roman" w:cs="Times New Roman" w:eastAsia="Times New Roman" w:hAnsi="Times New Roman"/>
          <w:sz w:val="14"/>
          <w:szCs w:val="14"/>
          <w:color w:val="auto"/>
        </w:rPr>
      </w:pPr>
    </w:p>
    <w:p>
      <w:pPr>
        <w:ind w:left="8" w:firstLine="856"/>
        <w:spacing w:after="0" w:line="225" w:lineRule="auto"/>
        <w:tabs>
          <w:tab w:leader="none" w:pos="1296"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consummating a stock purchase agreement or other business combination (including, without limitation, a reorganization, recapitalization, spin-off or scheme of arrangement) with another entity whereby such other entity acquires more than 50% of the outstanding shares of Voting Stock (not including any shares of Voting Stock held by the “person” or “group” (as such terms are used in Sections 13(d) and 14(d) of the Exchange Act) making or party to, or associated or affiliated with such other “person” or “group” making or party to, such stock purchase agreement or other business combination) of the Corporation;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any repurchase, redemption, or acquisition by one or more of the Corporation and its Affiliates of the capital stock of the Corporation, whether by open market purchase, tender offer, or otherwise, that results in a person acquiring at least a majority, by voting power, of the capital stock of the Corporation shall not be deemed to be a Liquidation Event; or</w:t>
      </w:r>
    </w:p>
    <w:p>
      <w:pPr>
        <w:spacing w:after="0" w:line="102"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Bankruptcy Event.</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Liquidation Preference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5(a)</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Mandatory Conversion Date</w:t>
      </w:r>
      <w:r>
        <w:rPr>
          <w:rFonts w:ascii="Times New Roman" w:cs="Times New Roman" w:eastAsia="Times New Roman" w:hAnsi="Times New Roman"/>
          <w:sz w:val="14"/>
          <w:szCs w:val="14"/>
          <w:color w:val="auto"/>
        </w:rPr>
        <w:t>” means [•], 2029.</w:t>
      </w:r>
      <w:r>
        <w:rPr>
          <w:rFonts w:ascii="Times New Roman" w:cs="Times New Roman" w:eastAsia="Times New Roman" w:hAnsi="Times New Roman"/>
          <w:sz w:val="18"/>
          <w:szCs w:val="18"/>
          <w:color w:val="auto"/>
          <w:vertAlign w:val="superscript"/>
        </w:rPr>
        <w:t>6</w:t>
      </w:r>
    </w:p>
    <w:p>
      <w:pPr>
        <w:spacing w:after="0" w:line="82" w:lineRule="exact"/>
        <w:rPr>
          <w:sz w:val="20"/>
          <w:szCs w:val="20"/>
          <w:color w:val="auto"/>
        </w:rPr>
      </w:pPr>
    </w:p>
    <w:p>
      <w:pPr>
        <w:ind w:left="8" w:right="80"/>
        <w:spacing w:after="0" w:line="2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Market Disruption Event</w:t>
      </w:r>
      <w:r>
        <w:rPr>
          <w:rFonts w:ascii="Times New Roman" w:cs="Times New Roman" w:eastAsia="Times New Roman" w:hAnsi="Times New Roman"/>
          <w:sz w:val="14"/>
          <w:szCs w:val="14"/>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99" w:lineRule="exact"/>
        <w:rPr>
          <w:sz w:val="20"/>
          <w:szCs w:val="20"/>
          <w:color w:val="auto"/>
        </w:rPr>
      </w:pPr>
    </w:p>
    <w:p>
      <w:pPr>
        <w:ind w:left="8" w:right="120"/>
        <w:spacing w:after="0" w:line="2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Material Subsidiary</w:t>
      </w:r>
      <w:r>
        <w:rPr>
          <w:rFonts w:ascii="Times New Roman" w:cs="Times New Roman" w:eastAsia="Times New Roman" w:hAnsi="Times New Roman"/>
          <w:sz w:val="14"/>
          <w:szCs w:val="14"/>
          <w:color w:val="auto"/>
        </w:rPr>
        <w:t>” means, as of any date of determination, any Subsidiary of the Corporation that, together with its respective Subsidiaries on a consolidated basis: (a) contributed or is otherwise directly or indirectly responsible for 80% or more of the consolidated revenue of the Corporation and its Subsidiaries at any point during the eighteen-month (18-month) period ending on the date of the most recent audited financial statements of the Corporation; (b) owned, leased, licensed, used, or held for use assets with an aggregate fair market value representing 80% or more of the consolidated total assets of the Corporation and its Subsidiaries at any point during the eighteen (18) month period prior to the date of determination.</w:t>
      </w:r>
    </w:p>
    <w:p>
      <w:pPr>
        <w:spacing w:after="0" w:line="100" w:lineRule="exact"/>
        <w:rPr>
          <w:sz w:val="20"/>
          <w:szCs w:val="20"/>
          <w:color w:val="auto"/>
        </w:rPr>
      </w:pPr>
    </w:p>
    <w:p>
      <w:pPr>
        <w:ind w:left="8" w:right="46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Number of Reserved Shares</w:t>
      </w:r>
      <w:r>
        <w:rPr>
          <w:rFonts w:ascii="Times New Roman" w:cs="Times New Roman" w:eastAsia="Times New Roman" w:hAnsi="Times New Roman"/>
          <w:sz w:val="14"/>
          <w:szCs w:val="14"/>
          <w:color w:val="auto"/>
        </w:rPr>
        <w:t>” means, as of any time, the number of shares of Common Stock that, at such time, the Corporation has reserved (out of its authorized but unissued shares of Common Stock that are not reserved for any other purpose) for delivery upon conversion of the Convertible Preferred Stock.</w:t>
      </w:r>
    </w:p>
    <w:p>
      <w:pPr>
        <w:spacing w:after="0" w:line="86" w:lineRule="exact"/>
        <w:rPr>
          <w:sz w:val="20"/>
          <w:szCs w:val="20"/>
          <w:color w:val="auto"/>
        </w:rPr>
      </w:pPr>
    </w:p>
    <w:p>
      <w:pPr>
        <w:ind w:left="8" w:right="22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Original Liquidation Preference</w:t>
      </w:r>
      <w:r>
        <w:rPr>
          <w:rFonts w:ascii="Times New Roman" w:cs="Times New Roman" w:eastAsia="Times New Roman" w:hAnsi="Times New Roman"/>
          <w:sz w:val="14"/>
          <w:szCs w:val="14"/>
          <w:color w:val="auto"/>
        </w:rPr>
        <w:t>” means, with respect to any share of Convertible Preferred Stock, as of the Initial Issue Date, $1,000, subject to adjustment for any stock split, reverse split, stock dividend or similar transaction, in each case, of the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10972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27" w:lineRule="exact"/>
        <w:rPr>
          <w:sz w:val="20"/>
          <w:szCs w:val="20"/>
          <w:color w:val="auto"/>
        </w:rPr>
      </w:pPr>
    </w:p>
    <w:p>
      <w:pPr>
        <w:ind w:left="68" w:hanging="68"/>
        <w:spacing w:after="0"/>
        <w:tabs>
          <w:tab w:leader="none" w:pos="68" w:val="left"/>
        </w:tabs>
        <w:numPr>
          <w:ilvl w:val="0"/>
          <w:numId w:val="2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third anniversary of the Initial Issue Date.</w:t>
      </w:r>
    </w:p>
    <w:p>
      <w:pPr>
        <w:spacing w:after="0" w:line="200" w:lineRule="exact"/>
        <w:rPr>
          <w:sz w:val="20"/>
          <w:szCs w:val="20"/>
          <w:color w:val="auto"/>
        </w:rPr>
      </w:pPr>
    </w:p>
    <w:p>
      <w:pPr>
        <w:spacing w:after="0" w:line="31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20344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120" w:right="339" w:bottom="1440" w:gutter="0" w:footer="0" w:header="0"/>
        </w:sectPr>
      </w:pPr>
    </w:p>
    <w:bookmarkStart w:id="184" w:name="page185"/>
    <w:bookmarkEnd w:id="184"/>
    <w:p>
      <w:pPr>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Parity Interests</w:t>
      </w:r>
      <w:r>
        <w:rPr>
          <w:rFonts w:ascii="Times New Roman" w:cs="Times New Roman" w:eastAsia="Times New Roman" w:hAnsi="Times New Roman"/>
          <w:sz w:val="14"/>
          <w:szCs w:val="14"/>
          <w:color w:val="auto"/>
        </w:rPr>
        <w:t xml:space="preserve">” means, subject to the consent rights over issuance thereof under </w:t>
      </w:r>
      <w:r>
        <w:rPr>
          <w:rFonts w:ascii="Times New Roman" w:cs="Times New Roman" w:eastAsia="Times New Roman" w:hAnsi="Times New Roman"/>
          <w:sz w:val="14"/>
          <w:szCs w:val="14"/>
          <w:u w:val="single" w:color="auto"/>
          <w:color w:val="auto"/>
        </w:rPr>
        <w:t>Section 8(a)(i)(2)</w:t>
      </w:r>
      <w:r>
        <w:rPr>
          <w:rFonts w:ascii="Times New Roman" w:cs="Times New Roman" w:eastAsia="Times New Roman" w:hAnsi="Times New Roman"/>
          <w:sz w:val="14"/>
          <w:szCs w:val="14"/>
          <w:color w:val="auto"/>
        </w:rPr>
        <w:t>, Parity Securities of the Corporation, and all warrants, options or other rights to acquire such Parity Securities, but excluding any debt security that is convertible into, or exchangeable for, such Parity Securities.</w:t>
      </w:r>
    </w:p>
    <w:p>
      <w:pPr>
        <w:spacing w:after="0" w:line="8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Parity Securities</w:t>
      </w:r>
      <w:r>
        <w:rPr>
          <w:rFonts w:ascii="Times New Roman" w:cs="Times New Roman" w:eastAsia="Times New Roman" w:hAnsi="Times New Roman"/>
          <w:sz w:val="14"/>
          <w:szCs w:val="14"/>
          <w:color w:val="auto"/>
        </w:rPr>
        <w:t xml:space="preserve">” means, subject to the consent rights over issuance thereof under </w:t>
      </w:r>
      <w:r>
        <w:rPr>
          <w:rFonts w:ascii="Times New Roman" w:cs="Times New Roman" w:eastAsia="Times New Roman" w:hAnsi="Times New Roman"/>
          <w:sz w:val="14"/>
          <w:szCs w:val="14"/>
          <w:u w:val="single" w:color="auto"/>
          <w:color w:val="auto"/>
        </w:rPr>
        <w:t>Section 8(a)(i)(2)</w:t>
      </w:r>
      <w:r>
        <w:rPr>
          <w:rFonts w:ascii="Times New Roman" w:cs="Times New Roman" w:eastAsia="Times New Roman" w:hAnsi="Times New Roman"/>
          <w:sz w:val="14"/>
          <w:szCs w:val="14"/>
          <w:color w:val="auto"/>
        </w:rPr>
        <w:t xml:space="preserve">, any class or series of Capital Stock of the Corporation (other than Convertible Preferred Stock), the terms of which expressly provide that such class ranks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Convertible Preferred Stock as to dividend rights and rights on the distribution of assets on any voluntary or involuntary bankruptcy, liquidation, dissolution or winding up of the affairs of the Corporation.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Paying Agent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3(e)(h)</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Certificate of Designations.</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Record Date</w:t>
      </w:r>
      <w:r>
        <w:rPr>
          <w:rFonts w:ascii="Times New Roman" w:cs="Times New Roman" w:eastAsia="Times New Roman" w:hAnsi="Times New Roman"/>
          <w:sz w:val="14"/>
          <w:szCs w:val="14"/>
          <w:color w:val="auto"/>
        </w:rPr>
        <w:t>” means, with respect to any dividend or distribution on, or issuance to holders of, Convertible Preferred Stock or Common Stock, the date fixed (whether by law, contract or the Board of Directors or otherwise) to determine the Holders or the holders of Common Stock, as applicable, that are entitled to such dividend, distribution or issuance.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Redemption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7(a)</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Redemption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7(a)</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Redemption Notice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7(c)</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Redemption Price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7(b).</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Reference Property</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9(f)(i)</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Reference Property Unit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9(f)(i)</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3(e)(ii)</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Registrar</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3(e)(i)</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Requisite Holders</w:t>
      </w:r>
      <w:r>
        <w:rPr>
          <w:rFonts w:ascii="Times New Roman" w:cs="Times New Roman" w:eastAsia="Times New Roman" w:hAnsi="Times New Roman"/>
          <w:sz w:val="14"/>
          <w:szCs w:val="14"/>
          <w:color w:val="auto"/>
        </w:rPr>
        <w:t>” means, as of any relevant time, the Holders constituting at least two-thirds (2/3) of the outstanding voting power of the Convertible Preferred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Restructuring</w:t>
      </w:r>
      <w:r>
        <w:rPr>
          <w:rFonts w:ascii="Times New Roman" w:cs="Times New Roman" w:eastAsia="Times New Roman" w:hAnsi="Times New Roman"/>
          <w:sz w:val="14"/>
          <w:szCs w:val="14"/>
          <w:color w:val="auto"/>
        </w:rPr>
        <w:t>” has the meaning set forth in the Restructuring Support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Restructuring Support Agreement</w:t>
      </w:r>
      <w:r>
        <w:rPr>
          <w:rFonts w:ascii="Times New Roman" w:cs="Times New Roman" w:eastAsia="Times New Roman" w:hAnsi="Times New Roman"/>
          <w:sz w:val="14"/>
          <w:szCs w:val="14"/>
          <w:color w:val="auto"/>
        </w:rPr>
        <w:t>” has the meaning set forth in the preliminary paragraph hereto.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Rule 144</w:t>
      </w:r>
      <w:r>
        <w:rPr>
          <w:rFonts w:ascii="Times New Roman" w:cs="Times New Roman" w:eastAsia="Times New Roman" w:hAnsi="Times New Roman"/>
          <w:sz w:val="14"/>
          <w:szCs w:val="14"/>
          <w:color w:val="auto"/>
        </w:rPr>
        <w:t>” means Rule 144 under the Securities Act (or any successor rule thereto), as the same may be amended from time to time.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118" w:right="4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U.S. Securities Act of 1933, as amended.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w:t>
      </w:r>
      <w:r>
        <w:rPr>
          <w:rFonts w:ascii="Times New Roman" w:cs="Times New Roman" w:eastAsia="Times New Roman" w:hAnsi="Times New Roman"/>
          <w:sz w:val="14"/>
          <w:szCs w:val="14"/>
          <w:color w:val="auto"/>
        </w:rPr>
        <w:t>” means any share of Convertible Preferred Stock or Conversion Share.</w:t>
      </w:r>
    </w:p>
    <w:p>
      <w:pPr>
        <w:spacing w:after="0" w:line="1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Senior Interests</w:t>
      </w:r>
      <w:r>
        <w:rPr>
          <w:rFonts w:ascii="Times New Roman" w:cs="Times New Roman" w:eastAsia="Times New Roman" w:hAnsi="Times New Roman"/>
          <w:sz w:val="14"/>
          <w:szCs w:val="14"/>
          <w:color w:val="auto"/>
        </w:rPr>
        <w:t xml:space="preserve">” means, subject to the consent rights over issuance thereof under </w:t>
      </w:r>
      <w:r>
        <w:rPr>
          <w:rFonts w:ascii="Times New Roman" w:cs="Times New Roman" w:eastAsia="Times New Roman" w:hAnsi="Times New Roman"/>
          <w:sz w:val="14"/>
          <w:szCs w:val="14"/>
          <w:u w:val="single" w:color="auto"/>
          <w:color w:val="auto"/>
        </w:rPr>
        <w:t>Section 8(a)(i)(2)</w:t>
      </w:r>
      <w:r>
        <w:rPr>
          <w:rFonts w:ascii="Times New Roman" w:cs="Times New Roman" w:eastAsia="Times New Roman" w:hAnsi="Times New Roman"/>
          <w:sz w:val="14"/>
          <w:szCs w:val="14"/>
          <w:color w:val="auto"/>
        </w:rPr>
        <w:t>, Senior Securities of the Corporation, and all warrants, options or other rights to acquire such Senior Securities, but excluding any debt security that is convertible into, or exchangeable for, such Senior Securities.</w:t>
      </w:r>
    </w:p>
    <w:p>
      <w:pPr>
        <w:spacing w:after="0" w:line="8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Senior Securities</w:t>
      </w:r>
      <w:r>
        <w:rPr>
          <w:rFonts w:ascii="Times New Roman" w:cs="Times New Roman" w:eastAsia="Times New Roman" w:hAnsi="Times New Roman"/>
          <w:sz w:val="14"/>
          <w:szCs w:val="14"/>
          <w:color w:val="auto"/>
        </w:rPr>
        <w:t xml:space="preserve">” means, subject to the consent rights over issuance thereof under </w:t>
      </w:r>
      <w:r>
        <w:rPr>
          <w:rFonts w:ascii="Times New Roman" w:cs="Times New Roman" w:eastAsia="Times New Roman" w:hAnsi="Times New Roman"/>
          <w:sz w:val="14"/>
          <w:szCs w:val="14"/>
          <w:u w:val="single" w:color="auto"/>
          <w:color w:val="auto"/>
        </w:rPr>
        <w:t>Section 8(a)(i)(2)</w:t>
      </w:r>
      <w:r>
        <w:rPr>
          <w:rFonts w:ascii="Times New Roman" w:cs="Times New Roman" w:eastAsia="Times New Roman" w:hAnsi="Times New Roman"/>
          <w:sz w:val="14"/>
          <w:szCs w:val="14"/>
          <w:color w:val="auto"/>
        </w:rPr>
        <w:t>, any class or series of Capital Stock of the Corporation, the terms of which expressly provide that such class or series ranks senior to the Convertible Preferred Stock, has preference or priority over the Convertible Preferred Stock as to dividend rights and rights on the distribution of assets on any voluntary or involuntary liquidation, dissolution or winding up of the affairs of the Corporation.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Agent</w:t>
      </w:r>
      <w:r>
        <w:rPr>
          <w:rFonts w:ascii="Times New Roman" w:cs="Times New Roman" w:eastAsia="Times New Roman" w:hAnsi="Times New Roman"/>
          <w:sz w:val="14"/>
          <w:szCs w:val="14"/>
          <w:color w:val="auto"/>
        </w:rPr>
        <w:t>” means the Transfer Agent or any Registrar, Paying Agent or Conversion Agent.</w:t>
      </w:r>
    </w:p>
    <w:p>
      <w:pPr>
        <w:spacing w:after="0" w:line="12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Reserve Requirement</w:t>
      </w:r>
      <w:r>
        <w:rPr>
          <w:rFonts w:ascii="Times New Roman" w:cs="Times New Roman" w:eastAsia="Times New Roman" w:hAnsi="Times New Roman"/>
          <w:sz w:val="14"/>
          <w:szCs w:val="14"/>
          <w:color w:val="auto"/>
        </w:rPr>
        <w:t>” means, as of any time, a number of shares of Common Stock equal to the number of shares of Common Stock that would be deliverable (without regard to any limitations on conversion) upon conversion of all Convertible Preferred Stock outstanding as of such time (assuming such conversion occurred as of such time).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with respect to any Person:</w:t>
      </w:r>
    </w:p>
    <w:p>
      <w:pPr>
        <w:spacing w:after="0" w:line="129" w:lineRule="exact"/>
        <w:rPr>
          <w:sz w:val="20"/>
          <w:szCs w:val="20"/>
          <w:color w:val="auto"/>
        </w:rPr>
      </w:pPr>
    </w:p>
    <w:p>
      <w:pPr>
        <w:ind w:right="400" w:firstLine="424"/>
        <w:spacing w:after="0" w:line="236" w:lineRule="auto"/>
        <w:tabs>
          <w:tab w:leader="none" w:pos="862"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101"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partnership, joint venture, limited liability company or similar entity of which:</w:t>
      </w:r>
    </w:p>
    <w:p>
      <w:pPr>
        <w:spacing w:after="0" w:line="127" w:lineRule="exact"/>
        <w:rPr>
          <w:rFonts w:ascii="Times New Roman" w:cs="Times New Roman" w:eastAsia="Times New Roman" w:hAnsi="Times New Roman"/>
          <w:sz w:val="14"/>
          <w:szCs w:val="14"/>
          <w:color w:val="auto"/>
        </w:rPr>
      </w:pPr>
    </w:p>
    <w:p>
      <w:pPr>
        <w:ind w:right="80" w:firstLine="856"/>
        <w:spacing w:after="0"/>
        <w:tabs>
          <w:tab w:leader="none" w:pos="1288" w:val="left"/>
        </w:tabs>
        <w:numPr>
          <w:ilvl w:val="1"/>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254"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or any Subsidiary of such Person is a controlling general partner or otherwise controls such entity.</w:t>
      </w:r>
    </w:p>
    <w:p>
      <w:pPr>
        <w:spacing w:after="0" w:line="14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4"/>
          <w:szCs w:val="14"/>
          <w:color w:val="auto"/>
        </w:rPr>
        <w:t>For the avoidance of doubt, any entity that is owned at a 50.0% or less level (as described above) shall not be a “Subsidiary” for any purpose under this Certificate of Designations, regardless of whether such entity is consolidated on the Corporation’s or any of its Subsidiaries’ financial statements. Unless otherwise specified, all references herein to a “Subsidiary” or to “Subsidiaries” shall refer to a Subsidiary or Subsidiaries of the Corporation.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Successor Person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color w:val="auto"/>
        </w:rPr>
        <w:t>Section 9(e)(iii)</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8" w:right="299" w:bottom="1440" w:gutter="0" w:footer="0" w:header="0"/>
        </w:sectPr>
      </w:pPr>
    </w:p>
    <w:bookmarkStart w:id="186" w:name="page187"/>
    <w:bookmarkEnd w:id="186"/>
    <w:p>
      <w:pPr>
        <w:jc w:val="both"/>
        <w:ind w:left="8" w:right="40"/>
        <w:spacing w:after="0" w:line="23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Trading Day</w:t>
      </w:r>
      <w:r>
        <w:rPr>
          <w:rFonts w:ascii="Times New Roman" w:cs="Times New Roman" w:eastAsia="Times New Roman" w:hAnsi="Times New Roman"/>
          <w:sz w:val="14"/>
          <w:szCs w:val="14"/>
          <w:color w:val="auto"/>
        </w:rPr>
        <w:t>” means any calendar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99" w:lineRule="exact"/>
        <w:rPr>
          <w:sz w:val="20"/>
          <w:szCs w:val="20"/>
          <w:color w:val="auto"/>
        </w:rPr>
      </w:pPr>
    </w:p>
    <w:p>
      <w:pPr>
        <w:ind w:left="868" w:hanging="436"/>
        <w:spacing w:after="0"/>
        <w:tabs>
          <w:tab w:leader="none" w:pos="868"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 Agent</w:t>
      </w:r>
      <w:r>
        <w:rPr>
          <w:rFonts w:ascii="Times New Roman" w:cs="Times New Roman" w:eastAsia="Times New Roman" w:hAnsi="Times New Roman"/>
          <w:sz w:val="14"/>
          <w:szCs w:val="14"/>
          <w:color w:val="auto"/>
        </w:rPr>
        <w:t>” shall initially mean Equiniti Trust Company, LLC.</w:t>
      </w:r>
    </w:p>
    <w:p>
      <w:pPr>
        <w:spacing w:after="0" w:line="145" w:lineRule="exact"/>
        <w:rPr>
          <w:sz w:val="20"/>
          <w:szCs w:val="20"/>
          <w:color w:val="auto"/>
        </w:rPr>
      </w:pPr>
    </w:p>
    <w:p>
      <w:pPr>
        <w:ind w:left="8"/>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Volume-Weighted Average Price</w:t>
      </w:r>
      <w:r>
        <w:rPr>
          <w:rFonts w:ascii="Times New Roman" w:cs="Times New Roman" w:eastAsia="Times New Roman" w:hAnsi="Times New Roman"/>
          <w:sz w:val="14"/>
          <w:szCs w:val="14"/>
          <w:color w:val="auto"/>
        </w:rPr>
        <w:t>” means, with respect to any security and a period of Trading Days, (i) the volume weighted average price of such security during the regular trading session of each Trading Day during such period (including any extensions thereof, without regard to pre-open or after hours trading outside of such regular trading session) as reported by the principal U.S. national or regional securities exchange or quotation system on which such security is then listed or quoted, as published by Bloomberg at 4:15 P.M., New York City time (or 15 minutes following the end of any extension of the regular trading session), or (ii) if such volume weighted average price is unavailable or in manifest error as reasonably determined in good faith by the Board of Directors, the market value of one unit of such security during such period determined using a volume weighted average price method by an independent nationally recognized investment bank or other qualified financial institution selected by the Board of Directors.</w:t>
      </w:r>
    </w:p>
    <w:p>
      <w:pPr>
        <w:spacing w:after="0" w:line="90" w:lineRule="exact"/>
        <w:rPr>
          <w:sz w:val="20"/>
          <w:szCs w:val="20"/>
          <w:color w:val="auto"/>
        </w:rPr>
      </w:pPr>
    </w:p>
    <w:p>
      <w:pPr>
        <w:ind w:left="8" w:right="2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Voting Stock</w:t>
      </w:r>
      <w:r>
        <w:rPr>
          <w:rFonts w:ascii="Times New Roman" w:cs="Times New Roman" w:eastAsia="Times New Roman" w:hAnsi="Times New Roman"/>
          <w:sz w:val="14"/>
          <w:szCs w:val="14"/>
          <w:color w:val="auto"/>
        </w:rPr>
        <w:t xml:space="preserve"> ” means, with respect to any Person, shares of such Person’s Capital Stock that are at the time generally entitled, without regard to contingencies, to vote in the election of the board of directors of such Person.</w:t>
      </w:r>
    </w:p>
    <w:p>
      <w:pPr>
        <w:spacing w:after="0" w:line="86" w:lineRule="exact"/>
        <w:rPr>
          <w:sz w:val="20"/>
          <w:szCs w:val="20"/>
          <w:color w:val="auto"/>
        </w:rPr>
      </w:pPr>
    </w:p>
    <w:p>
      <w:pPr>
        <w:ind w:left="8" w:right="4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Wholly Owned Subsidiary</w:t>
      </w:r>
      <w:r>
        <w:rPr>
          <w:rFonts w:ascii="Times New Roman" w:cs="Times New Roman" w:eastAsia="Times New Roman" w:hAnsi="Times New Roman"/>
          <w:sz w:val="14"/>
          <w:szCs w:val="14"/>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88" w:lineRule="exact"/>
        <w:rPr>
          <w:sz w:val="20"/>
          <w:szCs w:val="20"/>
          <w:color w:val="auto"/>
        </w:rPr>
      </w:pPr>
    </w:p>
    <w:p>
      <w:pPr>
        <w:ind w:left="428" w:hanging="428"/>
        <w:spacing w:after="0"/>
        <w:tabs>
          <w:tab w:leader="none" w:pos="428"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OF CONSTRUCTION. For purposes of this Certificate of Designations:</w:t>
      </w:r>
    </w:p>
    <w:p>
      <w:pPr>
        <w:spacing w:after="0" w:line="127"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is not exclusive;</w:t>
      </w:r>
    </w:p>
    <w:p>
      <w:pPr>
        <w:spacing w:after="0" w:line="127"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means “including without limitation”;</w:t>
      </w:r>
    </w:p>
    <w:p>
      <w:pPr>
        <w:spacing w:after="0" w:line="127"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expresses a command;</w:t>
      </w:r>
    </w:p>
    <w:p>
      <w:pPr>
        <w:spacing w:after="0" w:line="127"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of a set of numerical values refers to the arithmetic average of such numerical values;</w:t>
      </w:r>
    </w:p>
    <w:p>
      <w:pPr>
        <w:spacing w:after="0" w:line="127" w:lineRule="exact"/>
        <w:rPr>
          <w:rFonts w:ascii="Times New Roman" w:cs="Times New Roman" w:eastAsia="Times New Roman" w:hAnsi="Times New Roman"/>
          <w:sz w:val="14"/>
          <w:szCs w:val="14"/>
          <w:color w:val="auto"/>
        </w:rPr>
      </w:pPr>
    </w:p>
    <w:p>
      <w:pPr>
        <w:ind w:left="8" w:right="100" w:firstLine="424"/>
        <w:spacing w:after="0" w:line="255" w:lineRule="auto"/>
        <w:tabs>
          <w:tab w:leader="none" w:pos="870"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89"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 unless the context requires otherwise;</w:t>
      </w:r>
    </w:p>
    <w:p>
      <w:pPr>
        <w:spacing w:after="0" w:line="127" w:lineRule="exact"/>
        <w:rPr>
          <w:rFonts w:ascii="Times New Roman" w:cs="Times New Roman" w:eastAsia="Times New Roman" w:hAnsi="Times New Roman"/>
          <w:sz w:val="14"/>
          <w:szCs w:val="14"/>
          <w:color w:val="auto"/>
        </w:rPr>
      </w:pPr>
    </w:p>
    <w:p>
      <w:pPr>
        <w:ind w:left="8" w:right="120" w:firstLine="424"/>
        <w:spacing w:after="0" w:line="255" w:lineRule="auto"/>
        <w:tabs>
          <w:tab w:leader="none" w:pos="869"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“herein,” “hereof” and other words of similar import refer to this Certificate of Designations as a whole and not to any particular Section or other subdivision of this Certificate of Designations,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118" w:right="359" w:bottom="1440" w:gutter="0" w:footer="0" w:header="0"/>
        </w:sectPr>
      </w:pPr>
    </w:p>
    <w:bookmarkStart w:id="187" w:name="page188"/>
    <w:bookmarkEnd w:id="187"/>
    <w:p>
      <w:pPr>
        <w:ind w:left="868" w:hanging="436"/>
        <w:spacing w:after="0"/>
        <w:tabs>
          <w:tab w:leader="none" w:pos="868" w:val="left"/>
        </w:tabs>
        <w:numPr>
          <w:ilvl w:val="1"/>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currency mean the lawful currency of the United States of America, unless the context requires otherwise; and</w:t>
      </w:r>
    </w:p>
    <w:p>
      <w:pPr>
        <w:spacing w:after="0" w:line="127" w:lineRule="exact"/>
        <w:rPr>
          <w:rFonts w:ascii="Times New Roman" w:cs="Times New Roman" w:eastAsia="Times New Roman" w:hAnsi="Times New Roman"/>
          <w:sz w:val="14"/>
          <w:szCs w:val="14"/>
          <w:color w:val="auto"/>
        </w:rPr>
      </w:pPr>
    </w:p>
    <w:p>
      <w:pPr>
        <w:ind w:left="848" w:hanging="416"/>
        <w:spacing w:after="0"/>
        <w:tabs>
          <w:tab w:leader="none" w:pos="848" w:val="left"/>
        </w:tabs>
        <w:numPr>
          <w:ilvl w:val="1"/>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schedules and other attachments to this Certificate of Designations are deemed to form part of this Certificate of Designations.</w:t>
      </w:r>
    </w:p>
    <w:p>
      <w:pPr>
        <w:spacing w:after="0" w:line="127"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CONVERTIBLE PREFERRED STOCK.</w:t>
      </w:r>
    </w:p>
    <w:p>
      <w:pPr>
        <w:spacing w:after="0" w:line="125" w:lineRule="exact"/>
        <w:rPr>
          <w:rFonts w:ascii="Times New Roman" w:cs="Times New Roman" w:eastAsia="Times New Roman" w:hAnsi="Times New Roman"/>
          <w:sz w:val="14"/>
          <w:szCs w:val="14"/>
          <w:color w:val="auto"/>
        </w:rPr>
      </w:pPr>
    </w:p>
    <w:p>
      <w:pPr>
        <w:ind w:left="8" w:right="320" w:firstLine="424"/>
        <w:spacing w:after="0" w:line="258" w:lineRule="auto"/>
        <w:tabs>
          <w:tab w:leader="none" w:pos="87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Designation; Par Value</w:t>
      </w:r>
      <w:r>
        <w:rPr>
          <w:rFonts w:ascii="Times New Roman" w:cs="Times New Roman" w:eastAsia="Times New Roman" w:hAnsi="Times New Roman"/>
          <w:sz w:val="14"/>
          <w:szCs w:val="14"/>
          <w:color w:val="auto"/>
        </w:rPr>
        <w:t>. A series of stock of the Corporation titled the “</w:t>
      </w:r>
      <w:r>
        <w:rPr>
          <w:rFonts w:ascii="Times New Roman" w:cs="Times New Roman" w:eastAsia="Times New Roman" w:hAnsi="Times New Roman"/>
          <w:sz w:val="14"/>
          <w:szCs w:val="14"/>
          <w:b w:val="1"/>
          <w:bCs w:val="1"/>
          <w:color w:val="auto"/>
        </w:rPr>
        <w:t>Series A Mandatorily Convertible Preferred Stock</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Convertible Preferred Stock</w:t>
      </w:r>
      <w:r>
        <w:rPr>
          <w:rFonts w:ascii="Times New Roman" w:cs="Times New Roman" w:eastAsia="Times New Roman" w:hAnsi="Times New Roman"/>
          <w:sz w:val="14"/>
          <w:szCs w:val="14"/>
          <w:color w:val="auto"/>
        </w:rPr>
        <w:t>”) is hereby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designated and created out of the authorized and unissued Preferred Shares of the Corporation. The par value of the Convertible Preferred Stock is $0.01 per share.</w:t>
      </w:r>
    </w:p>
    <w:p>
      <w:pPr>
        <w:spacing w:after="0" w:line="85" w:lineRule="exact"/>
        <w:rPr>
          <w:rFonts w:ascii="Times New Roman" w:cs="Times New Roman" w:eastAsia="Times New Roman" w:hAnsi="Times New Roman"/>
          <w:sz w:val="14"/>
          <w:szCs w:val="14"/>
          <w:color w:val="auto"/>
        </w:rPr>
      </w:pPr>
    </w:p>
    <w:p>
      <w:pPr>
        <w:ind w:left="8" w:right="40" w:firstLine="424"/>
        <w:spacing w:after="0" w:line="237" w:lineRule="auto"/>
        <w:tabs>
          <w:tab w:leader="none" w:pos="869"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Number of Authorized Shares</w:t>
      </w:r>
      <w:r>
        <w:rPr>
          <w:rFonts w:ascii="Times New Roman" w:cs="Times New Roman" w:eastAsia="Times New Roman" w:hAnsi="Times New Roman"/>
          <w:sz w:val="14"/>
          <w:szCs w:val="14"/>
          <w:color w:val="auto"/>
        </w:rPr>
        <w:t>. The total authorized number of shares of Convertible Preferred Stock is two million six hundred forty-one thousand, fifty-two (2,641,052);</w:t>
      </w:r>
      <w:r>
        <w:rPr>
          <w:rFonts w:ascii="Times New Roman" w:cs="Times New Roman" w:eastAsia="Times New Roman" w:hAnsi="Times New Roman"/>
          <w:sz w:val="14"/>
          <w:szCs w:val="14"/>
          <w:i w:val="1"/>
          <w:iCs w:val="1"/>
          <w:color w:val="auto"/>
        </w:rPr>
        <w:t xml:space="preserve"> 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 </w:t>
      </w:r>
      <w:r>
        <w:rPr>
          <w:rFonts w:ascii="Times New Roman" w:cs="Times New Roman" w:eastAsia="Times New Roman" w:hAnsi="Times New Roman"/>
          <w:sz w:val="14"/>
          <w:szCs w:val="14"/>
          <w:color w:val="auto"/>
        </w:rPr>
        <w:t>that,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8</w:t>
      </w:r>
      <w:r>
        <w:rPr>
          <w:rFonts w:ascii="Times New Roman" w:cs="Times New Roman" w:eastAsia="Times New Roman" w:hAnsi="Times New Roman"/>
          <w:sz w:val="14"/>
          <w:szCs w:val="14"/>
          <w:color w:val="auto"/>
        </w:rPr>
        <w:t>, by resolution of the Board of Directors, the total number of shares of Convertible Preferred Stock may be increased (but not above the total number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authorized Preferred Shares) or reduced (but not below the number of shares of Convertible Preferred Stock then outstanding).</w:t>
      </w:r>
    </w:p>
    <w:p>
      <w:pPr>
        <w:spacing w:after="0" w:line="99"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Form, Dating and Denominations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hanging="424"/>
        <w:spacing w:after="0" w:line="258" w:lineRule="auto"/>
        <w:tabs>
          <w:tab w:leader="none" w:pos="1280" w:val="left"/>
        </w:tabs>
        <w:numPr>
          <w:ilvl w:val="2"/>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Uncertificated Shares</w:t>
      </w:r>
      <w:r>
        <w:rPr>
          <w:rFonts w:ascii="Times New Roman" w:cs="Times New Roman" w:eastAsia="Times New Roman" w:hAnsi="Times New Roman"/>
          <w:sz w:val="14"/>
          <w:szCs w:val="14"/>
          <w:color w:val="auto"/>
        </w:rPr>
        <w:t>. The Convertible Preferred Stock will be represented in the form of uncertificated shares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13</w:t>
      </w:r>
      <w:r>
        <w:rPr>
          <w:rFonts w:ascii="Times New Roman" w:cs="Times New Roman" w:eastAsia="Times New Roman" w:hAnsi="Times New Roman"/>
          <w:sz w:val="14"/>
          <w:szCs w:val="14"/>
          <w:color w:val="auto"/>
        </w:rPr>
        <w:t>. The Corporation shall evidence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Convertible Preferred Stock in the form of an electronic book entry maintained by the Corporation or the Transfer Agent.</w:t>
      </w:r>
    </w:p>
    <w:p>
      <w:pPr>
        <w:spacing w:after="0" w:line="85" w:lineRule="exact"/>
        <w:rPr>
          <w:rFonts w:ascii="Times New Roman" w:cs="Times New Roman" w:eastAsia="Times New Roman" w:hAnsi="Times New Roman"/>
          <w:sz w:val="14"/>
          <w:szCs w:val="14"/>
          <w:color w:val="auto"/>
        </w:rPr>
      </w:pPr>
    </w:p>
    <w:p>
      <w:pPr>
        <w:ind w:left="1288" w:right="20" w:hanging="424"/>
        <w:spacing w:after="0" w:line="237" w:lineRule="auto"/>
        <w:tabs>
          <w:tab w:leader="none" w:pos="1284" w:val="left"/>
        </w:tabs>
        <w:numPr>
          <w:ilvl w:val="2"/>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Legend; Interpretation</w:t>
      </w:r>
      <w:r>
        <w:rPr>
          <w:rFonts w:ascii="Times New Roman" w:cs="Times New Roman" w:eastAsia="Times New Roman" w:hAnsi="Times New Roman"/>
          <w:sz w:val="14"/>
          <w:szCs w:val="14"/>
          <w:color w:val="auto"/>
        </w:rPr>
        <w:t>. For purposes of this Certificate of Designations, uncertificated shares will be deemed to include the text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Any reference in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Certificate of Designations to the “delivery” of the shares will be deemed to be satisfied upon the registration of the electronic book entry representing such shares of Convertible Preferred Stock in the name of the applicable Holder.</w:t>
      </w:r>
    </w:p>
    <w:p>
      <w:pPr>
        <w:spacing w:after="0" w:line="99"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2"/>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Bearer Certificates; Denominations</w:t>
      </w:r>
      <w:r>
        <w:rPr>
          <w:rFonts w:ascii="Times New Roman" w:cs="Times New Roman" w:eastAsia="Times New Roman" w:hAnsi="Times New Roman"/>
          <w:sz w:val="14"/>
          <w:szCs w:val="14"/>
          <w:color w:val="auto"/>
        </w:rPr>
        <w:t>. The Convertible Preferred Stock will be issued only in registered form and only in whole numbers of shares.</w:t>
      </w:r>
    </w:p>
    <w:p>
      <w:pPr>
        <w:spacing w:after="0" w:line="127"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Method of Payment; Delay When Payment Date is Not a Business Day</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right="200" w:hanging="424"/>
        <w:spacing w:after="0" w:line="258" w:lineRule="auto"/>
        <w:tabs>
          <w:tab w:leader="none" w:pos="1280" w:val="left"/>
        </w:tabs>
        <w:numPr>
          <w:ilvl w:val="2"/>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Method of Payment</w:t>
      </w:r>
      <w:r>
        <w:rPr>
          <w:rFonts w:ascii="Times New Roman" w:cs="Times New Roman" w:eastAsia="Times New Roman" w:hAnsi="Times New Roman"/>
          <w:sz w:val="14"/>
          <w:szCs w:val="14"/>
          <w:color w:val="auto"/>
        </w:rPr>
        <w:t>. The Corporation will pay (or cause the Paying Agent to pay) all cash amounts due on any Convertible Preferred Stock, out of funds legally available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therefor, by wire transfer of immediately available funds.</w:t>
      </w:r>
    </w:p>
    <w:p>
      <w:pPr>
        <w:spacing w:after="0" w:line="85" w:lineRule="exact"/>
        <w:rPr>
          <w:rFonts w:ascii="Times New Roman" w:cs="Times New Roman" w:eastAsia="Times New Roman" w:hAnsi="Times New Roman"/>
          <w:sz w:val="14"/>
          <w:szCs w:val="14"/>
          <w:color w:val="auto"/>
        </w:rPr>
      </w:pPr>
    </w:p>
    <w:p>
      <w:pPr>
        <w:ind w:left="1288" w:right="320" w:hanging="424"/>
        <w:spacing w:after="0" w:line="231" w:lineRule="auto"/>
        <w:tabs>
          <w:tab w:leader="none" w:pos="1284" w:val="left"/>
        </w:tabs>
        <w:numPr>
          <w:ilvl w:val="2"/>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Delay of Payment when Payment Date is Not a Business Day</w:t>
      </w:r>
      <w:r>
        <w:rPr>
          <w:rFonts w:ascii="Times New Roman" w:cs="Times New Roman" w:eastAsia="Times New Roman" w:hAnsi="Times New Roman"/>
          <w:sz w:val="14"/>
          <w:szCs w:val="14"/>
          <w:color w:val="auto"/>
        </w:rPr>
        <w:t>. If the due date for a payment on any Convertible Preferred Stock as provided in this Certificate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Designations is not a Business Day, then, notwithstanding anything to the contrary in this Certificate of Designations, such payment may be made on the immediately following Business Day and no interest, dividend or other amount will accrue or accumulate on such payment as a result of the related delay. Solely for purposes of the immediately preceding sentence, a day on which the Federal Reserve Bank of New</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120" w:right="359" w:bottom="1440" w:gutter="0" w:footer="0" w:header="0"/>
        </w:sectPr>
      </w:pPr>
    </w:p>
    <w:bookmarkStart w:id="188" w:name="page189"/>
    <w:bookmarkEnd w:id="188"/>
    <w:p>
      <w:pPr>
        <w:ind w:left="1280"/>
        <w:spacing w:after="0"/>
        <w:rPr>
          <w:sz w:val="20"/>
          <w:szCs w:val="20"/>
          <w:color w:val="auto"/>
        </w:rPr>
      </w:pPr>
      <w:r>
        <w:rPr>
          <w:rFonts w:ascii="Times New Roman" w:cs="Times New Roman" w:eastAsia="Times New Roman" w:hAnsi="Times New Roman"/>
          <w:sz w:val="14"/>
          <w:szCs w:val="14"/>
          <w:color w:val="auto"/>
        </w:rPr>
        <w:t>York or the applicable place of payment is authorized or required by law or executive order to close or be closed will be deemed not to be a “</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60" w:hanging="436"/>
        <w:spacing w:after="0"/>
        <w:tabs>
          <w:tab w:leader="none" w:pos="86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 Agent, Registrar, Paying Agent and Conversion Agent</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right="20" w:hanging="424"/>
        <w:spacing w:after="0" w:line="231" w:lineRule="auto"/>
        <w:tabs>
          <w:tab w:leader="none" w:pos="1272"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The Corporation designates its principal U.S. executive offices, and any office of the Transfer Agent in the continental United States, as an office or agency where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Convertible Preferred Stock may be presented for (1) registration of transfer or for exchange (the “</w:t>
      </w:r>
      <w:r>
        <w:rPr>
          <w:rFonts w:ascii="Times New Roman" w:cs="Times New Roman" w:eastAsia="Times New Roman" w:hAnsi="Times New Roman"/>
          <w:sz w:val="14"/>
          <w:szCs w:val="14"/>
          <w:b w:val="1"/>
          <w:bCs w:val="1"/>
          <w:color w:val="auto"/>
        </w:rPr>
        <w:t>Registrar</w:t>
      </w:r>
      <w:r>
        <w:rPr>
          <w:rFonts w:ascii="Times New Roman" w:cs="Times New Roman" w:eastAsia="Times New Roman" w:hAnsi="Times New Roman"/>
          <w:sz w:val="14"/>
          <w:szCs w:val="14"/>
          <w:color w:val="auto"/>
        </w:rPr>
        <w:t>”); (2) payment (the “</w:t>
      </w:r>
      <w:r>
        <w:rPr>
          <w:rFonts w:ascii="Times New Roman" w:cs="Times New Roman" w:eastAsia="Times New Roman" w:hAnsi="Times New Roman"/>
          <w:sz w:val="14"/>
          <w:szCs w:val="14"/>
          <w:b w:val="1"/>
          <w:bCs w:val="1"/>
          <w:color w:val="auto"/>
        </w:rPr>
        <w:t>Paying Agent</w:t>
      </w:r>
      <w:r>
        <w:rPr>
          <w:rFonts w:ascii="Times New Roman" w:cs="Times New Roman" w:eastAsia="Times New Roman" w:hAnsi="Times New Roman"/>
          <w:sz w:val="14"/>
          <w:szCs w:val="14"/>
          <w:color w:val="auto"/>
        </w:rPr>
        <w:t>”); and (3) conversion (the “</w:t>
      </w:r>
      <w:r>
        <w:rPr>
          <w:rFonts w:ascii="Times New Roman" w:cs="Times New Roman" w:eastAsia="Times New Roman" w:hAnsi="Times New Roman"/>
          <w:sz w:val="14"/>
          <w:szCs w:val="14"/>
          <w:b w:val="1"/>
          <w:bCs w:val="1"/>
          <w:color w:val="auto"/>
        </w:rPr>
        <w:t>Conversion Agent</w:t>
      </w:r>
      <w:r>
        <w:rPr>
          <w:rFonts w:ascii="Times New Roman" w:cs="Times New Roman" w:eastAsia="Times New Roman" w:hAnsi="Times New Roman"/>
          <w:sz w:val="14"/>
          <w:szCs w:val="14"/>
          <w:color w:val="auto"/>
        </w:rPr>
        <w:t>”). At all times when any Convertible Preferred Stock is outstanding, the Corporation will maintain an office in the continental United States constituting the Registrar, Paying Agent and Conversion Agent.</w:t>
      </w:r>
    </w:p>
    <w:p>
      <w:pPr>
        <w:spacing w:after="0" w:line="100" w:lineRule="exact"/>
        <w:rPr>
          <w:rFonts w:ascii="Times New Roman" w:cs="Times New Roman" w:eastAsia="Times New Roman" w:hAnsi="Times New Roman"/>
          <w:sz w:val="14"/>
          <w:szCs w:val="14"/>
          <w:color w:val="auto"/>
        </w:rPr>
      </w:pPr>
    </w:p>
    <w:p>
      <w:pPr>
        <w:ind w:left="1280" w:hanging="424"/>
        <w:spacing w:after="0" w:line="231" w:lineRule="auto"/>
        <w:tabs>
          <w:tab w:leader="none" w:pos="1276"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Maintenance of the Register</w:t>
      </w:r>
      <w:r>
        <w:rPr>
          <w:rFonts w:ascii="Times New Roman" w:cs="Times New Roman" w:eastAsia="Times New Roman" w:hAnsi="Times New Roman"/>
          <w:sz w:val="14"/>
          <w:szCs w:val="14"/>
          <w:color w:val="auto"/>
        </w:rPr>
        <w:t>. The Corporation will keep, or cause there to be kept, a record (the “</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 of the names and addresses of the Holders, the number of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Convertible Preferred Stock held by each Holder and the transfer, exchange, repurchase, Redemption and conversion of the Convertible Preferred Stock. Absent manifest error, the entries in the Register will be conclusive and the Corporation and the Transfer Agent may treat each Person whose name is recorded as a Holder in the Register as a Holder for all purposes. The Register will be in written form or in any form capable of being converted into written form reasonably promptly.</w:t>
      </w:r>
    </w:p>
    <w:p>
      <w:pPr>
        <w:spacing w:after="0" w:line="100" w:lineRule="exact"/>
        <w:rPr>
          <w:rFonts w:ascii="Times New Roman" w:cs="Times New Roman" w:eastAsia="Times New Roman" w:hAnsi="Times New Roman"/>
          <w:sz w:val="14"/>
          <w:szCs w:val="14"/>
          <w:color w:val="auto"/>
        </w:rPr>
      </w:pPr>
    </w:p>
    <w:p>
      <w:pPr>
        <w:ind w:left="1280" w:right="20" w:hanging="424"/>
        <w:spacing w:after="0" w:line="228" w:lineRule="auto"/>
        <w:tabs>
          <w:tab w:leader="none" w:pos="128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Subsequent Appointments</w:t>
      </w:r>
      <w:r>
        <w:rPr>
          <w:rFonts w:ascii="Times New Roman" w:cs="Times New Roman" w:eastAsia="Times New Roman" w:hAnsi="Times New Roman"/>
          <w:sz w:val="14"/>
          <w:szCs w:val="14"/>
          <w:color w:val="auto"/>
        </w:rPr>
        <w:t>. By notice to each Holder, the Corporation may, at any time, appoint any Person (including any Subsidiary of the Corporation) to act as Registrar,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Paying Agent or Conversion Agent. If the Corporation or any of its Subsidiaries acts as Paying Agent, then (1) it will segregate for the benefit of the Holders all money and other property held by it as Paying Agent; and (2) references in this Certificate of Designations to the Paying Agent holding cash or other property, or to the delivery of cash or other property to the Paying Agent, in each case, for payment or delivery to any Holders or with respect to the Convertible Preferred Stock, will be deemed to refer to cash or other property so segregated, or to the segregation of such cash or other property, respectively.</w:t>
      </w:r>
    </w:p>
    <w:p>
      <w:pPr>
        <w:spacing w:after="0" w:line="99"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Transfers and Exchanges; Transfer Taxes; Certain Transfer Restrictions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Provisions Applicable to All Transfers and Exchanges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right="220" w:firstLine="1288"/>
        <w:spacing w:after="0" w:line="237" w:lineRule="auto"/>
        <w:tabs>
          <w:tab w:leader="none" w:pos="1725" w:val="left"/>
        </w:tabs>
        <w:numPr>
          <w:ilvl w:val="2"/>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Shares of Convertible Preferred Stock may be transferred or exchanged by a Holder to or with one or more other Persons from time to time without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prior written consent of the Corporation. The Corporation will cause the transfer or exchange to be effected as soon as reasonably practicable but in no event later than the second Business Day after the date of the transfer or exchange request. The Corporation will cause the Registrar to record each such transfer or exchange in the Register.</w:t>
      </w:r>
    </w:p>
    <w:p>
      <w:pPr>
        <w:spacing w:after="0" w:line="99" w:lineRule="exact"/>
        <w:rPr>
          <w:rFonts w:ascii="Times New Roman" w:cs="Times New Roman" w:eastAsia="Times New Roman" w:hAnsi="Times New Roman"/>
          <w:sz w:val="14"/>
          <w:szCs w:val="14"/>
          <w:color w:val="auto"/>
        </w:rPr>
      </w:pPr>
    </w:p>
    <w:p>
      <w:pPr>
        <w:jc w:val="both"/>
        <w:ind w:right="620" w:firstLine="1288"/>
        <w:spacing w:after="0" w:line="258" w:lineRule="auto"/>
        <w:tabs>
          <w:tab w:leader="none" w:pos="1725" w:val="left"/>
        </w:tabs>
        <w:numPr>
          <w:ilvl w:val="2"/>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Services Charge; Transfer Taxes</w:t>
      </w:r>
      <w:r>
        <w:rPr>
          <w:rFonts w:ascii="Times New Roman" w:cs="Times New Roman" w:eastAsia="Times New Roman" w:hAnsi="Times New Roman"/>
          <w:sz w:val="14"/>
          <w:szCs w:val="14"/>
          <w:color w:val="auto"/>
        </w:rPr>
        <w:t>. The Corporation and the Share Agents will not impose any service charge on any Holder for any transfer, exchange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conversion of any Convertible Preferred Stock, but the Corporation, the Transfer Agent, the Registrar and the Conversion Agent may require payment by the applicable Holder of a sum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8" w:right="299" w:bottom="1440" w:gutter="0" w:footer="0" w:header="0"/>
        </w:sectPr>
      </w:pPr>
    </w:p>
    <w:bookmarkStart w:id="189" w:name="page190"/>
    <w:bookmarkEnd w:id="189"/>
    <w:p>
      <w:pPr>
        <w:ind w:left="8"/>
        <w:spacing w:after="0"/>
        <w:rPr>
          <w:sz w:val="20"/>
          <w:szCs w:val="20"/>
          <w:color w:val="auto"/>
        </w:rPr>
      </w:pPr>
      <w:r>
        <w:rPr>
          <w:rFonts w:ascii="Times New Roman" w:cs="Times New Roman" w:eastAsia="Times New Roman" w:hAnsi="Times New Roman"/>
          <w:sz w:val="14"/>
          <w:szCs w:val="14"/>
          <w:color w:val="auto"/>
        </w:rPr>
        <w:t xml:space="preserve">sufficient to cover any transfer tax or similar governmental charge that may be imposed in connection with any transfer, exchange or conversion of Convertible Preferred Stock;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w:t>
      </w:r>
    </w:p>
    <w:p>
      <w:pPr>
        <w:spacing w:after="0" w:line="1" w:lineRule="exact"/>
        <w:rPr>
          <w:sz w:val="20"/>
          <w:szCs w:val="20"/>
          <w:color w:val="auto"/>
        </w:rPr>
      </w:pPr>
    </w:p>
    <w:p>
      <w:pPr>
        <w:ind w:left="8" w:right="40" w:hanging="8"/>
        <w:spacing w:after="0"/>
        <w:tabs>
          <w:tab w:leader="none" w:pos="244"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such taxes or charges incurred in connection with the original issuance of the Convertible Preferred Stock that are legally required to be paid by the Corporation shall be paid and borne by the Corporation; and (B) any such taxes or charges incurred in connection with a conversion of the Convertible Preferred Stock pursuant to </w:t>
      </w:r>
      <w:r>
        <w:rPr>
          <w:rFonts w:ascii="Times New Roman" w:cs="Times New Roman" w:eastAsia="Times New Roman" w:hAnsi="Times New Roman"/>
          <w:sz w:val="14"/>
          <w:szCs w:val="14"/>
          <w:b w:val="1"/>
          <w:bCs w:val="1"/>
          <w:color w:val="auto"/>
        </w:rPr>
        <w:t>Section 9</w:t>
      </w:r>
      <w:r>
        <w:rPr>
          <w:rFonts w:ascii="Times New Roman" w:cs="Times New Roman" w:eastAsia="Times New Roman" w:hAnsi="Times New Roman"/>
          <w:sz w:val="14"/>
          <w:szCs w:val="14"/>
          <w:color w:val="auto"/>
        </w:rPr>
        <w:t xml:space="preserve"> shall be paid and borne as provided in </w:t>
      </w:r>
      <w:r>
        <w:rPr>
          <w:rFonts w:ascii="Times New Roman" w:cs="Times New Roman" w:eastAsia="Times New Roman" w:hAnsi="Times New Roman"/>
          <w:sz w:val="14"/>
          <w:szCs w:val="14"/>
          <w:b w:val="1"/>
          <w:bCs w:val="1"/>
          <w:color w:val="auto"/>
        </w:rPr>
        <w:t>Section 11(b)</w:t>
      </w:r>
      <w:r>
        <w:rPr>
          <w:rFonts w:ascii="Times New Roman" w:cs="Times New Roman" w:eastAsia="Times New Roman" w:hAnsi="Times New Roman"/>
          <w:sz w:val="14"/>
          <w:szCs w:val="14"/>
          <w:color w:val="auto"/>
        </w:rPr>
        <w:t>.</w:t>
      </w:r>
    </w:p>
    <w:p>
      <w:pPr>
        <w:spacing w:after="0" w:line="236" w:lineRule="exact"/>
        <w:rPr>
          <w:rFonts w:ascii="Times New Roman" w:cs="Times New Roman" w:eastAsia="Times New Roman" w:hAnsi="Times New Roman"/>
          <w:sz w:val="14"/>
          <w:szCs w:val="14"/>
          <w:color w:val="auto"/>
        </w:rPr>
      </w:pPr>
    </w:p>
    <w:p>
      <w:pPr>
        <w:ind w:left="8" w:right="20" w:firstLine="1288"/>
        <w:spacing w:after="0"/>
        <w:tabs>
          <w:tab w:leader="none" w:pos="1733" w:val="left"/>
        </w:tabs>
        <w:numPr>
          <w:ilvl w:val="3"/>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Transfers or Exchanges of Fractional Shares</w:t>
      </w:r>
      <w:r>
        <w:rPr>
          <w:rFonts w:ascii="Times New Roman" w:cs="Times New Roman" w:eastAsia="Times New Roman" w:hAnsi="Times New Roman"/>
          <w:sz w:val="14"/>
          <w:szCs w:val="14"/>
          <w:color w:val="auto"/>
        </w:rPr>
        <w:t>. Notwithstanding anything to the contrary in this Certificate of Designations, all transfers and exchanges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Convertible Preferred Stock must be in an amount representing a whole number of shares of Convertible Preferred Stock, and no fractional share of Convertible Preferred Stock may be transferred or exchanged.</w:t>
      </w:r>
    </w:p>
    <w:p>
      <w:pPr>
        <w:spacing w:after="0" w:line="254" w:lineRule="exact"/>
        <w:rPr>
          <w:rFonts w:ascii="Times New Roman" w:cs="Times New Roman" w:eastAsia="Times New Roman" w:hAnsi="Times New Roman"/>
          <w:sz w:val="14"/>
          <w:szCs w:val="14"/>
          <w:color w:val="auto"/>
        </w:rPr>
      </w:pPr>
    </w:p>
    <w:p>
      <w:pPr>
        <w:ind w:left="1288" w:right="120" w:hanging="424"/>
        <w:spacing w:after="0" w:line="264" w:lineRule="auto"/>
        <w:tabs>
          <w:tab w:leader="none" w:pos="1284" w:val="left"/>
        </w:tabs>
        <w:numPr>
          <w:ilvl w:val="2"/>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Transfers of Shares Subject to Redemption or Conversion</w:t>
      </w:r>
      <w:r>
        <w:rPr>
          <w:rFonts w:ascii="Times New Roman" w:cs="Times New Roman" w:eastAsia="Times New Roman" w:hAnsi="Times New Roman"/>
          <w:sz w:val="14"/>
          <w:szCs w:val="14"/>
          <w:color w:val="auto"/>
        </w:rPr>
        <w:t>. Notwithstanding anything to the contrary in this Certificate of Designations, the Corporation, the Transfer Agent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Registrar will not be required to register the transfer of or exchange any share of Convertible Preferred Stock that has been called for Redemption.</w:t>
      </w:r>
      <w:r>
        <w:rPr>
          <w:rFonts w:ascii="Times New Roman" w:cs="Times New Roman" w:eastAsia="Times New Roman" w:hAnsi="Times New Roman"/>
          <w:sz w:val="18"/>
          <w:szCs w:val="18"/>
          <w:color w:val="auto"/>
          <w:vertAlign w:val="superscript"/>
        </w:rPr>
        <w:t>7</w:t>
      </w:r>
    </w:p>
    <w:p>
      <w:pPr>
        <w:spacing w:after="0" w:line="27" w:lineRule="exact"/>
        <w:rPr>
          <w:rFonts w:ascii="Times New Roman" w:cs="Times New Roman" w:eastAsia="Times New Roman" w:hAnsi="Times New Roman"/>
          <w:sz w:val="14"/>
          <w:szCs w:val="14"/>
          <w:color w:val="auto"/>
        </w:rPr>
      </w:pPr>
    </w:p>
    <w:p>
      <w:pPr>
        <w:ind w:left="8" w:firstLine="424"/>
        <w:spacing w:after="0" w:line="237" w:lineRule="auto"/>
        <w:tabs>
          <w:tab w:leader="none" w:pos="869"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Status of Retired or Treasury Shares</w:t>
      </w:r>
      <w:r>
        <w:rPr>
          <w:rFonts w:ascii="Times New Roman" w:cs="Times New Roman" w:eastAsia="Times New Roman" w:hAnsi="Times New Roman"/>
          <w:sz w:val="14"/>
          <w:szCs w:val="14"/>
          <w:color w:val="auto"/>
        </w:rPr>
        <w:t>. Upon any share of Convertible Preferred Stock ceasing to be outstanding, such share will be deemed, automatically and without any further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action of the Board of Directors, to be retired and to resume the status of an authorized and unissued Preferred Share of the Corporation, and such share cannot thereafter be reissued as Convertible Preferred Stock.</w:t>
      </w:r>
    </w:p>
    <w:p>
      <w:pPr>
        <w:spacing w:after="0" w:line="99" w:lineRule="exact"/>
        <w:rPr>
          <w:rFonts w:ascii="Times New Roman" w:cs="Times New Roman" w:eastAsia="Times New Roman" w:hAnsi="Times New Roman"/>
          <w:sz w:val="14"/>
          <w:szCs w:val="14"/>
          <w:color w:val="auto"/>
        </w:rPr>
      </w:pPr>
    </w:p>
    <w:p>
      <w:pPr>
        <w:ind w:left="8" w:right="200" w:firstLine="424"/>
        <w:spacing w:after="0" w:line="258" w:lineRule="auto"/>
        <w:tabs>
          <w:tab w:leader="none" w:pos="869"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Registered Holders</w:t>
      </w:r>
      <w:r>
        <w:rPr>
          <w:rFonts w:ascii="Times New Roman" w:cs="Times New Roman" w:eastAsia="Times New Roman" w:hAnsi="Times New Roman"/>
          <w:sz w:val="14"/>
          <w:szCs w:val="14"/>
          <w:color w:val="auto"/>
        </w:rPr>
        <w:t>. Only the Holder of any share of Convertible Preferred Stock will have rights under this Certificate of Designations as the owner of such share of Convertible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Preferred Stock.</w:t>
      </w:r>
    </w:p>
    <w:p>
      <w:pPr>
        <w:spacing w:after="0" w:line="85" w:lineRule="exact"/>
        <w:rPr>
          <w:rFonts w:ascii="Times New Roman" w:cs="Times New Roman" w:eastAsia="Times New Roman" w:hAnsi="Times New Roman"/>
          <w:sz w:val="14"/>
          <w:szCs w:val="14"/>
          <w:color w:val="auto"/>
        </w:rPr>
      </w:pPr>
    </w:p>
    <w:p>
      <w:pPr>
        <w:jc w:val="both"/>
        <w:ind w:left="8" w:right="20" w:firstLine="424"/>
        <w:spacing w:after="0" w:line="237" w:lineRule="auto"/>
        <w:tabs>
          <w:tab w:leader="none" w:pos="864"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Shares Held by the Corporation or its Subsidiaries</w:t>
      </w:r>
      <w:r>
        <w:rPr>
          <w:rFonts w:ascii="Times New Roman" w:cs="Times New Roman" w:eastAsia="Times New Roman" w:hAnsi="Times New Roman"/>
          <w:sz w:val="14"/>
          <w:szCs w:val="14"/>
          <w:color w:val="auto"/>
        </w:rPr>
        <w:t>. Without limiting the generality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3(j)</w:t>
      </w:r>
      <w:r>
        <w:rPr>
          <w:rFonts w:ascii="Times New Roman" w:cs="Times New Roman" w:eastAsia="Times New Roman" w:hAnsi="Times New Roman"/>
          <w:sz w:val="14"/>
          <w:szCs w:val="14"/>
          <w:color w:val="auto"/>
        </w:rPr>
        <w:t>, in determining whether the Holders of the required number of outstanding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Convertible Preferred Stock have concurred in any direction, waiver or consent, shares of Convertible Preferred Stock owned by the Corporation or any of its Subsidiaries will be deemed not to be outstanding.</w:t>
      </w:r>
    </w:p>
    <w:p>
      <w:pPr>
        <w:spacing w:after="0" w:line="99" w:lineRule="exact"/>
        <w:rPr>
          <w:rFonts w:ascii="Times New Roman" w:cs="Times New Roman" w:eastAsia="Times New Roman" w:hAnsi="Times New Roman"/>
          <w:sz w:val="14"/>
          <w:szCs w:val="14"/>
          <w:color w:val="auto"/>
        </w:rPr>
      </w:pPr>
    </w:p>
    <w:p>
      <w:pPr>
        <w:ind w:left="848" w:hanging="416"/>
        <w:spacing w:after="0"/>
        <w:tabs>
          <w:tab w:leader="none" w:pos="848"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Outstanding Shares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right="200" w:hanging="424"/>
        <w:spacing w:after="0"/>
        <w:tabs>
          <w:tab w:leader="none" w:pos="1280" w:val="left"/>
        </w:tabs>
        <w:numPr>
          <w:ilvl w:val="2"/>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The shares of Convertible Preferred Stock that are outstanding at any time will be deemed to be those shares indicated as outstanding in the Register (absent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manifest error), excluding those shares of Convertible Preferred Stock that have theretofore been (1) paid in full upon their conversion or upon their redemption or repurchase in accordance with this Certificate of Designations; or (2) deemed to cease to be outstanding to the extent provided in, and subject to, </w:t>
      </w:r>
      <w:r>
        <w:rPr>
          <w:rFonts w:ascii="Times New Roman" w:cs="Times New Roman" w:eastAsia="Times New Roman" w:hAnsi="Times New Roman"/>
          <w:sz w:val="14"/>
          <w:szCs w:val="14"/>
          <w:b w:val="1"/>
          <w:bCs w:val="1"/>
          <w:color w:val="auto"/>
        </w:rPr>
        <w:t>clause (ii) or (iii)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b w:val="1"/>
          <w:bCs w:val="1"/>
          <w:color w:val="auto"/>
        </w:rPr>
        <w:t>Section 3(j)</w:t>
      </w:r>
      <w:r>
        <w:rPr>
          <w:rFonts w:ascii="Times New Roman" w:cs="Times New Roman" w:eastAsia="Times New Roman" w:hAnsi="Times New Roman"/>
          <w:sz w:val="14"/>
          <w:szCs w:val="14"/>
          <w:color w:val="auto"/>
        </w:rPr>
        <w:t>.</w:t>
      </w:r>
    </w:p>
    <w:p>
      <w:pPr>
        <w:spacing w:after="0" w:line="237" w:lineRule="exact"/>
        <w:rPr>
          <w:sz w:val="20"/>
          <w:szCs w:val="20"/>
          <w:color w:val="auto"/>
        </w:rPr>
      </w:pPr>
    </w:p>
    <w:p>
      <w:pPr>
        <w:jc w:val="both"/>
        <w:ind w:left="1288" w:right="40" w:hanging="424"/>
        <w:spacing w:after="0" w:line="237" w:lineRule="auto"/>
        <w:tabs>
          <w:tab w:leader="none" w:pos="1284"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Shares to Be Redeemed</w:t>
      </w:r>
      <w:r>
        <w:rPr>
          <w:rFonts w:ascii="Times New Roman" w:cs="Times New Roman" w:eastAsia="Times New Roman" w:hAnsi="Times New Roman"/>
          <w:sz w:val="14"/>
          <w:szCs w:val="14"/>
          <w:color w:val="auto"/>
        </w:rPr>
        <w:t>. If, on a Redemption Date, the Paying Agent holds consideration in kind and amount that is sufficient to pay the aggregate Redemption Price due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date, then (unless there occurs a default in the payment of the Redemption Price) (1) the Convertible Preferred Stock to be redeemed on such date will be deemed, as of such date, to cease to be outstanding; and (2) the rights of the Holders of such Convertible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10972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40" w:lineRule="exact"/>
        <w:rPr>
          <w:sz w:val="20"/>
          <w:szCs w:val="20"/>
          <w:color w:val="auto"/>
        </w:rPr>
      </w:pPr>
    </w:p>
    <w:p>
      <w:pPr>
        <w:ind w:left="68" w:hanging="68"/>
        <w:spacing w:after="0"/>
        <w:tabs>
          <w:tab w:leader="none" w:pos="68" w:val="left"/>
        </w:tabs>
        <w:numPr>
          <w:ilvl w:val="0"/>
          <w:numId w:val="2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DTC transfer mechanics to be updated as necessary.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18" w:right="319" w:bottom="1440" w:gutter="0" w:footer="0" w:header="0"/>
        </w:sectPr>
      </w:pPr>
    </w:p>
    <w:bookmarkStart w:id="190" w:name="page191"/>
    <w:bookmarkEnd w:id="190"/>
    <w:p>
      <w:pPr>
        <w:ind w:left="1288"/>
        <w:spacing w:after="0"/>
        <w:rPr>
          <w:sz w:val="20"/>
          <w:szCs w:val="20"/>
          <w:color w:val="auto"/>
        </w:rPr>
      </w:pPr>
      <w:r>
        <w:rPr>
          <w:rFonts w:ascii="Times New Roman" w:cs="Times New Roman" w:eastAsia="Times New Roman" w:hAnsi="Times New Roman"/>
          <w:sz w:val="14"/>
          <w:szCs w:val="14"/>
          <w:color w:val="auto"/>
        </w:rPr>
        <w:t xml:space="preserve">Preferred Stock, as such, will terminate with respect to such Convertible Preferred Stock, other than the right to receive the Redemption Price as provided in </w:t>
      </w:r>
      <w:r>
        <w:rPr>
          <w:rFonts w:ascii="Times New Roman" w:cs="Times New Roman" w:eastAsia="Times New Roman" w:hAnsi="Times New Roman"/>
          <w:sz w:val="14"/>
          <w:szCs w:val="14"/>
          <w:b w:val="1"/>
          <w:bCs w:val="1"/>
          <w:color w:val="auto"/>
        </w:rPr>
        <w:t>Section 7</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1288" w:right="60" w:hanging="424"/>
        <w:spacing w:after="0" w:line="231" w:lineRule="auto"/>
        <w:tabs>
          <w:tab w:leader="none" w:pos="1288" w:val="left"/>
        </w:tabs>
        <w:numPr>
          <w:ilvl w:val="2"/>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Shares to Be Converted</w:t>
      </w:r>
      <w:r>
        <w:rPr>
          <w:rFonts w:ascii="Times New Roman" w:cs="Times New Roman" w:eastAsia="Times New Roman" w:hAnsi="Times New Roman"/>
          <w:sz w:val="14"/>
          <w:szCs w:val="14"/>
          <w:color w:val="auto"/>
        </w:rPr>
        <w:t>. If any shares of Convertible Preferred Stock remain outstanding as of the Close of Business on the Mandatory Conversion Date, then (unless there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occurs a default in the delivery of the Conversion Consideration due pursuant to </w:t>
      </w:r>
      <w:r>
        <w:rPr>
          <w:rFonts w:ascii="Times New Roman" w:cs="Times New Roman" w:eastAsia="Times New Roman" w:hAnsi="Times New Roman"/>
          <w:sz w:val="14"/>
          <w:szCs w:val="14"/>
          <w:b w:val="1"/>
          <w:bCs w:val="1"/>
          <w:color w:val="auto"/>
        </w:rPr>
        <w:t>Section 9</w:t>
      </w:r>
      <w:r>
        <w:rPr>
          <w:rFonts w:ascii="Times New Roman" w:cs="Times New Roman" w:eastAsia="Times New Roman" w:hAnsi="Times New Roman"/>
          <w:sz w:val="14"/>
          <w:szCs w:val="14"/>
          <w:color w:val="auto"/>
        </w:rPr>
        <w:t xml:space="preserve"> upon such conversion): (1) such Convertible Preferred Stock will be deemed to cease to be outstanding; and (2) the rights of the Holders of such Convertible Preferred Stock, as such, will terminate with respect to such Convertible Preferred Stock, other than the right to receive such Conversion Consideration as provided in </w:t>
      </w:r>
      <w:r>
        <w:rPr>
          <w:rFonts w:ascii="Times New Roman" w:cs="Times New Roman" w:eastAsia="Times New Roman" w:hAnsi="Times New Roman"/>
          <w:sz w:val="14"/>
          <w:szCs w:val="14"/>
          <w:b w:val="1"/>
          <w:bCs w:val="1"/>
          <w:color w:val="auto"/>
        </w:rPr>
        <w:t>Section 9</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8" w:right="120" w:firstLine="424"/>
        <w:spacing w:after="0" w:line="258" w:lineRule="auto"/>
        <w:tabs>
          <w:tab w:leader="none" w:pos="869"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Repurchases of Convertible Preferred Stock</w:t>
      </w:r>
      <w:r>
        <w:rPr>
          <w:rFonts w:ascii="Times New Roman" w:cs="Times New Roman" w:eastAsia="Times New Roman" w:hAnsi="Times New Roman"/>
          <w:sz w:val="14"/>
          <w:szCs w:val="14"/>
          <w:color w:val="auto"/>
        </w:rPr>
        <w:t>. The Corporation, its Subsidiaries and its Affiliates may, from time to time and subject to prior authorization of the Board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repurchase Convertible Preferred Stock in open market purchases or in negotiated transactions without delivering prior notice to the Holders.</w:t>
      </w:r>
    </w:p>
    <w:p>
      <w:pPr>
        <w:spacing w:after="0" w:line="87" w:lineRule="exact"/>
        <w:rPr>
          <w:rFonts w:ascii="Times New Roman" w:cs="Times New Roman" w:eastAsia="Times New Roman" w:hAnsi="Times New Roman"/>
          <w:sz w:val="14"/>
          <w:szCs w:val="14"/>
          <w:color w:val="auto"/>
        </w:rPr>
      </w:pPr>
    </w:p>
    <w:p>
      <w:pPr>
        <w:ind w:left="8" w:right="40" w:hanging="8"/>
        <w:spacing w:after="0" w:line="231" w:lineRule="auto"/>
        <w:tabs>
          <w:tab w:leader="none" w:pos="44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RANKING. With respect to payment of dividends and distributions and distribution of assets upon liquidation, dissolution or winding up of the Corporation, whether voluntary or involuntary, all shares of the Convertible Preferred Stock shall rank (a) senior to all Junior Securities, (b)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any Parity Securities in issue from time to time and (c) junior to all Senior Securities. For the avoidance of doubt, all shares of the Convertible Preferred Stock shall rank senior to all existing and future equity securities of the Corporation (including the Common Stock), unless otherwise approved or consented to by the Requisite Holders pursuant to </w:t>
      </w:r>
      <w:r>
        <w:rPr>
          <w:rFonts w:ascii="Times New Roman" w:cs="Times New Roman" w:eastAsia="Times New Roman" w:hAnsi="Times New Roman"/>
          <w:sz w:val="14"/>
          <w:szCs w:val="14"/>
          <w:b w:val="1"/>
          <w:bCs w:val="1"/>
          <w:color w:val="auto"/>
        </w:rPr>
        <w:t>Section 8(a)(i)(2)</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w:t>
      </w:r>
    </w:p>
    <w:p>
      <w:pPr>
        <w:spacing w:after="0" w:line="125" w:lineRule="exact"/>
        <w:rPr>
          <w:rFonts w:ascii="Times New Roman" w:cs="Times New Roman" w:eastAsia="Times New Roman" w:hAnsi="Times New Roman"/>
          <w:sz w:val="14"/>
          <w:szCs w:val="14"/>
          <w:color w:val="auto"/>
        </w:rPr>
      </w:pPr>
    </w:p>
    <w:p>
      <w:pPr>
        <w:ind w:left="8" w:firstLine="424"/>
        <w:spacing w:after="0" w:line="228" w:lineRule="auto"/>
        <w:tabs>
          <w:tab w:leader="none" w:pos="87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Accrual of Dividends</w:t>
      </w:r>
      <w:r>
        <w:rPr>
          <w:rFonts w:ascii="Times New Roman" w:cs="Times New Roman" w:eastAsia="Times New Roman" w:hAnsi="Times New Roman"/>
          <w:sz w:val="14"/>
          <w:szCs w:val="14"/>
          <w:color w:val="auto"/>
        </w:rPr>
        <w:t>. From and after the Initial Issue Date, cumulative dividends (“</w:t>
      </w:r>
      <w:r>
        <w:rPr>
          <w:rFonts w:ascii="Times New Roman" w:cs="Times New Roman" w:eastAsia="Times New Roman" w:hAnsi="Times New Roman"/>
          <w:sz w:val="14"/>
          <w:szCs w:val="14"/>
          <w:b w:val="1"/>
          <w:bCs w:val="1"/>
          <w:color w:val="auto"/>
        </w:rPr>
        <w:t>Dividends</w:t>
      </w:r>
      <w:r>
        <w:rPr>
          <w:rFonts w:ascii="Times New Roman" w:cs="Times New Roman" w:eastAsia="Times New Roman" w:hAnsi="Times New Roman"/>
          <w:sz w:val="14"/>
          <w:szCs w:val="14"/>
          <w:color w:val="auto"/>
        </w:rPr>
        <w:t>”) on each share of Convertible Preferred Stock shall accrue on a daily basis in arrears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the applicable Dividend Rate on the sum of (i) the Original Liquidation Preference thereof plus (ii) once compounded, any Compounded Dividends thereon (the Original Liquidation Preference plus, at any time of determination, the accumulated Compounded Dividends, the “</w:t>
      </w:r>
      <w:r>
        <w:rPr>
          <w:rFonts w:ascii="Times New Roman" w:cs="Times New Roman" w:eastAsia="Times New Roman" w:hAnsi="Times New Roman"/>
          <w:sz w:val="14"/>
          <w:szCs w:val="14"/>
          <w:b w:val="1"/>
          <w:bCs w:val="1"/>
          <w:color w:val="auto"/>
        </w:rPr>
        <w:t>Liquidation Preference</w:t>
      </w:r>
      <w:r>
        <w:rPr>
          <w:rFonts w:ascii="Times New Roman" w:cs="Times New Roman" w:eastAsia="Times New Roman" w:hAnsi="Times New Roman"/>
          <w:sz w:val="14"/>
          <w:szCs w:val="14"/>
          <w:color w:val="auto"/>
        </w:rPr>
        <w:t>”). Dividends on the Convertible Preferred Stock shall accrue on the basis of a 360-day year, consisting of twelve (12), thirty (30) calendar day periods, and shall accrue daily commencing on the Initial Issue Date, and shall be deemed to accrue from such date whether or not earned or declared and whether or not there are profits, surplus or other funds of the Corporation legally available for the payment of dividends.</w:t>
      </w:r>
    </w:p>
    <w:p>
      <w:pPr>
        <w:spacing w:after="0" w:line="99" w:lineRule="exact"/>
        <w:rPr>
          <w:rFonts w:ascii="Times New Roman" w:cs="Times New Roman" w:eastAsia="Times New Roman" w:hAnsi="Times New Roman"/>
          <w:sz w:val="14"/>
          <w:szCs w:val="14"/>
          <w:color w:val="auto"/>
        </w:rPr>
      </w:pPr>
    </w:p>
    <w:p>
      <w:pPr>
        <w:ind w:left="8" w:right="300" w:firstLine="424"/>
        <w:spacing w:after="0" w:line="258" w:lineRule="auto"/>
        <w:tabs>
          <w:tab w:leader="none" w:pos="869"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Compounding of Dividends</w:t>
      </w:r>
      <w:r>
        <w:rPr>
          <w:rFonts w:ascii="Times New Roman" w:cs="Times New Roman" w:eastAsia="Times New Roman" w:hAnsi="Times New Roman"/>
          <w:sz w:val="14"/>
          <w:szCs w:val="14"/>
          <w:color w:val="auto"/>
        </w:rPr>
        <w:t>. All Dividends shall compound quarterly on the last day of March, June, September and December of each calendar year, and shall be automatically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added to the then current Liquidation Preference (“</w:t>
      </w:r>
      <w:r>
        <w:rPr>
          <w:rFonts w:ascii="Times New Roman" w:cs="Times New Roman" w:eastAsia="Times New Roman" w:hAnsi="Times New Roman"/>
          <w:sz w:val="14"/>
          <w:szCs w:val="14"/>
          <w:b w:val="1"/>
          <w:bCs w:val="1"/>
          <w:color w:val="auto"/>
        </w:rPr>
        <w:t>Compounded Dividends</w:t>
      </w:r>
      <w:r>
        <w:rPr>
          <w:rFonts w:ascii="Times New Roman" w:cs="Times New Roman" w:eastAsia="Times New Roman" w:hAnsi="Times New Roman"/>
          <w:sz w:val="14"/>
          <w:szCs w:val="14"/>
          <w:color w:val="auto"/>
        </w:rPr>
        <w:t>”).</w:t>
      </w:r>
    </w:p>
    <w:p>
      <w:pPr>
        <w:spacing w:after="0" w:line="85"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Restriction on Dividends</w:t>
      </w:r>
      <w:r>
        <w:rPr>
          <w:rFonts w:ascii="Times New Roman" w:cs="Times New Roman" w:eastAsia="Times New Roman" w:hAnsi="Times New Roman"/>
          <w:sz w:val="14"/>
          <w:szCs w:val="14"/>
          <w:color w:val="auto"/>
        </w:rPr>
        <w:t>. Without the prior written consent of Requisite Holders, for so long as any shares of Convertible Preferred Stock remain outstanding:</w:t>
      </w:r>
    </w:p>
    <w:p>
      <w:pPr>
        <w:spacing w:after="0" w:line="129" w:lineRule="exact"/>
        <w:rPr>
          <w:rFonts w:ascii="Times New Roman" w:cs="Times New Roman" w:eastAsia="Times New Roman" w:hAnsi="Times New Roman"/>
          <w:sz w:val="14"/>
          <w:szCs w:val="14"/>
          <w:color w:val="auto"/>
        </w:rPr>
      </w:pPr>
    </w:p>
    <w:p>
      <w:pPr>
        <w:ind w:left="1288" w:hanging="424"/>
        <w:spacing w:after="0" w:line="236" w:lineRule="auto"/>
        <w:tabs>
          <w:tab w:leader="none" w:pos="1280" w:val="left"/>
        </w:tabs>
        <w:numPr>
          <w:ilvl w:val="2"/>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dividends or other distributions (other than in shares of Common Stock or in shares of any class or series of convertible Preferred Shares that the Corporation may issue ranking junior to the Convertible Preferred Stock as to dividends and upon liquidation for which an adjustment to the Conversion Rate has been made in accordance with this Certificate 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8" w:right="299" w:bottom="1440" w:gutter="0" w:footer="0" w:header="0"/>
        </w:sectPr>
      </w:pPr>
    </w:p>
    <w:bookmarkStart w:id="191" w:name="page192"/>
    <w:bookmarkEnd w:id="191"/>
    <w:p>
      <w:pPr>
        <w:ind w:left="1288"/>
        <w:spacing w:after="0"/>
        <w:rPr>
          <w:sz w:val="20"/>
          <w:szCs w:val="20"/>
          <w:color w:val="auto"/>
        </w:rPr>
      </w:pPr>
      <w:r>
        <w:rPr>
          <w:rFonts w:ascii="Times New Roman" w:cs="Times New Roman" w:eastAsia="Times New Roman" w:hAnsi="Times New Roman"/>
          <w:sz w:val="14"/>
          <w:szCs w:val="14"/>
          <w:color w:val="auto"/>
        </w:rPr>
        <w:t>Designations) shall be declared or paid or set aside for payment upon any other class or series of capital stock of the Corporation; and</w:t>
      </w:r>
    </w:p>
    <w:p>
      <w:pPr>
        <w:spacing w:after="0" w:line="125" w:lineRule="exact"/>
        <w:rPr>
          <w:sz w:val="20"/>
          <w:szCs w:val="20"/>
          <w:color w:val="auto"/>
        </w:rPr>
      </w:pPr>
    </w:p>
    <w:p>
      <w:pPr>
        <w:ind w:left="1288" w:right="20" w:hanging="424"/>
        <w:spacing w:after="0" w:line="221" w:lineRule="auto"/>
        <w:tabs>
          <w:tab w:leader="none" w:pos="1284" w:val="left"/>
        </w:tabs>
        <w:numPr>
          <w:ilvl w:val="2"/>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shares of capital stock that the Corporation may issue other than, subject to </w:t>
      </w:r>
      <w:r>
        <w:rPr>
          <w:rFonts w:ascii="Times New Roman" w:cs="Times New Roman" w:eastAsia="Times New Roman" w:hAnsi="Times New Roman"/>
          <w:sz w:val="14"/>
          <w:szCs w:val="14"/>
          <w:b w:val="1"/>
          <w:bCs w:val="1"/>
          <w:color w:val="auto"/>
        </w:rPr>
        <w:t>Section 3(k)</w:t>
      </w:r>
      <w:r>
        <w:rPr>
          <w:rFonts w:ascii="Times New Roman" w:cs="Times New Roman" w:eastAsia="Times New Roman" w:hAnsi="Times New Roman"/>
          <w:sz w:val="14"/>
          <w:szCs w:val="14"/>
          <w:color w:val="auto"/>
        </w:rPr>
        <w:t>, the Convertible Preferred Stock, shall not be redeemed, purchased or otherwise acquired for any consideration (or any moneys be paid to or made available for a sinking fund for the redemption of any such shares) by the Corporation, except (a) by conversion into or exchange for shares of, or options, warrants or rights to purchase or subscribe for, other Capital Stock of the Corporation that it may issue ranking junior to the Convertible Preferred Stock as to dividends and upon liquidation, (b) in the case of the distribution of assets upon liquidation, dissolution or winding up,</w:t>
      </w:r>
    </w:p>
    <w:p>
      <w:pPr>
        <w:spacing w:after="0" w:line="1" w:lineRule="exact"/>
        <w:rPr>
          <w:rFonts w:ascii="Times New Roman" w:cs="Times New Roman" w:eastAsia="Times New Roman" w:hAnsi="Times New Roman"/>
          <w:sz w:val="14"/>
          <w:szCs w:val="14"/>
          <w:color w:val="auto"/>
        </w:rPr>
      </w:pPr>
    </w:p>
    <w:p>
      <w:pPr>
        <w:ind w:left="1288" w:right="40" w:firstLine="8"/>
        <w:spacing w:after="0" w:line="214" w:lineRule="auto"/>
        <w:tabs>
          <w:tab w:leader="none" w:pos="1484" w:val="left"/>
        </w:tabs>
        <w:numPr>
          <w:ilvl w:val="3"/>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of fractional shares of Capital Stock of the Corporation upon the exercise of warrants, options or other securities convertible into or exchangeable for Capital Stock of the Corporation or upon the vesting of any profits interests, restricted stock units or similar incentive interests in an aggregate amount not to exceed $1,000,000, or</w:t>
      </w:r>
    </w:p>
    <w:p>
      <w:pPr>
        <w:ind w:left="1288" w:firstLine="8"/>
        <w:spacing w:after="0" w:line="223" w:lineRule="auto"/>
        <w:tabs>
          <w:tab w:leader="none" w:pos="1492" w:val="left"/>
        </w:tabs>
        <w:numPr>
          <w:ilvl w:val="3"/>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or “cashless” exercises of warrants, options or other securities convertible into or exchangeable for Capital Stock of the Corporation (for purposes of exercising such warrants, options or other securities convertible into or exchangeable for Capital Stock of the Corporation, including any transfer for the payment of tax withholdings or remittance payments due as a result of the vesting, settlement or exercise of such warrants, options or other securities convertible into or exchangeable for Capital Stock of the Corporation), in each case if such Capital Stock represents all or a portion of the exercise price of such warrants, options or other securities convertible into or exchangeable for Capital Stock as part of a “cashless” exercise upon such exercise or vesting, as applicable.</w:t>
      </w:r>
    </w:p>
    <w:p>
      <w:pPr>
        <w:spacing w:after="0" w:line="98" w:lineRule="exact"/>
        <w:rPr>
          <w:rFonts w:ascii="Times New Roman" w:cs="Times New Roman" w:eastAsia="Times New Roman" w:hAnsi="Times New Roman"/>
          <w:sz w:val="14"/>
          <w:szCs w:val="14"/>
          <w:color w:val="auto"/>
        </w:rPr>
      </w:pPr>
    </w:p>
    <w:p>
      <w:pPr>
        <w:ind w:left="8" w:right="160" w:firstLine="424"/>
        <w:spacing w:after="0" w:line="237" w:lineRule="auto"/>
        <w:tabs>
          <w:tab w:leader="none" w:pos="869" w:val="left"/>
        </w:tabs>
        <w:numPr>
          <w:ilvl w:val="1"/>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Participation in Common Stock Dividends</w:t>
      </w:r>
      <w:r>
        <w:rPr>
          <w:rFonts w:ascii="Times New Roman" w:cs="Times New Roman" w:eastAsia="Times New Roman" w:hAnsi="Times New Roman"/>
          <w:sz w:val="14"/>
          <w:szCs w:val="14"/>
          <w:color w:val="auto"/>
        </w:rPr>
        <w:t>. Holders shall fully participate in any dividends or distributions declared or paid on Common Stock as if each share of Convertible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Preferred Stock were converted into a number of shares of Common Stock (without regard to any limitations on conversion) equal to the Conversion Rate in effect on such Record Date (an “</w:t>
      </w:r>
      <w:r>
        <w:rPr>
          <w:rFonts w:ascii="Times New Roman" w:cs="Times New Roman" w:eastAsia="Times New Roman" w:hAnsi="Times New Roman"/>
          <w:sz w:val="14"/>
          <w:szCs w:val="14"/>
          <w:b w:val="1"/>
          <w:bCs w:val="1"/>
          <w:color w:val="auto"/>
        </w:rPr>
        <w:t>as-converted basis</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UPON LIQUIDATION, DISSOLUTION OR WINDING UP.</w:t>
      </w:r>
    </w:p>
    <w:p>
      <w:pPr>
        <w:spacing w:after="0" w:line="125" w:lineRule="exact"/>
        <w:rPr>
          <w:rFonts w:ascii="Times New Roman" w:cs="Times New Roman" w:eastAsia="Times New Roman" w:hAnsi="Times New Roman"/>
          <w:sz w:val="14"/>
          <w:szCs w:val="14"/>
          <w:color w:val="auto"/>
        </w:rPr>
      </w:pPr>
    </w:p>
    <w:p>
      <w:pPr>
        <w:ind w:left="8" w:firstLine="424"/>
        <w:spacing w:after="0"/>
        <w:tabs>
          <w:tab w:leader="none" w:pos="870"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Unless waived in whole or in part by the Requisite Holders, upon the occurrence of a Liquidation Event, subject to the rights of any of the Corporation’s creditors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any outstanding Senior Securities, the Corporation shall pay to the Holder of each share of Convertible Preferred Stock the Liquidation Preference of such share of Convertible Preferred Stock in cash, plus any accrued and unpaid Dividends in respect of the Convertible Preferred Stock not previously added to the Liquidation Preference, whether or not declared out of the Corporation’s assets or funds legally available for distribution to the Corporation’s stockholders, before any such assets or funds are distributed to, or set aside for the benefit of, any Junior Securities.</w:t>
      </w:r>
    </w:p>
    <w:p>
      <w:pPr>
        <w:spacing w:after="0" w:line="222" w:lineRule="exact"/>
        <w:rPr>
          <w:rFonts w:ascii="Times New Roman" w:cs="Times New Roman" w:eastAsia="Times New Roman" w:hAnsi="Times New Roman"/>
          <w:sz w:val="14"/>
          <w:szCs w:val="14"/>
          <w:color w:val="auto"/>
        </w:rPr>
      </w:pPr>
    </w:p>
    <w:p>
      <w:pPr>
        <w:ind w:left="8" w:right="100" w:firstLine="424"/>
        <w:spacing w:after="0" w:line="236" w:lineRule="auto"/>
        <w:tabs>
          <w:tab w:leader="none" w:pos="869"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payment of such amount in full in cash on the outstanding Convertible Preferred Stock, Holders of the Convertible Preferred Stock will have no rights to the Corporation’s remaining assets or funds, if any. If such assets or funds are insufficient to fully pay such amount on all outstanding shares of Convertible Preferred Stock and the corresponding amounts payable in respect of all outstanding shares of Parity Securities, if any, then, subject to the rights of any of the Corporation’s creditors or holders of any outstanding Senior Securities,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20" w:right="319" w:bottom="1440" w:gutter="0" w:footer="0" w:header="0"/>
        </w:sectPr>
      </w:pPr>
    </w:p>
    <w:bookmarkStart w:id="192" w:name="page193"/>
    <w:bookmarkEnd w:id="192"/>
    <w:p>
      <w:pPr>
        <w:ind w:left="8" w:right="40"/>
        <w:spacing w:after="0" w:line="255" w:lineRule="auto"/>
        <w:rPr>
          <w:sz w:val="20"/>
          <w:szCs w:val="20"/>
          <w:color w:val="auto"/>
        </w:rPr>
      </w:pPr>
      <w:r>
        <w:rPr>
          <w:rFonts w:ascii="Times New Roman" w:cs="Times New Roman" w:eastAsia="Times New Roman" w:hAnsi="Times New Roman"/>
          <w:sz w:val="14"/>
          <w:szCs w:val="14"/>
          <w:color w:val="auto"/>
        </w:rPr>
        <w:t>such assets or funds will be distributed ratably on the outstanding shares of Convertible Preferred Stock and Parity Securities in proportion to the full respective distributions to which such shares would otherwise be entitled.</w:t>
      </w:r>
    </w:p>
    <w:p>
      <w:pPr>
        <w:spacing w:after="0" w:line="90" w:lineRule="exact"/>
        <w:rPr>
          <w:sz w:val="20"/>
          <w:szCs w:val="20"/>
          <w:color w:val="auto"/>
        </w:rPr>
      </w:pPr>
    </w:p>
    <w:p>
      <w:pPr>
        <w:ind w:left="428" w:hanging="428"/>
        <w:spacing w:after="0"/>
        <w:tabs>
          <w:tab w:leader="none" w:pos="428"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AT THE OPTION OF THE CORPORATION.</w:t>
      </w:r>
    </w:p>
    <w:p>
      <w:pPr>
        <w:spacing w:after="0" w:line="125"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Corporation’s Right to Redeem</w:t>
      </w:r>
      <w:r>
        <w:rPr>
          <w:rFonts w:ascii="Times New Roman" w:cs="Times New Roman" w:eastAsia="Times New Roman" w:hAnsi="Times New Roman"/>
          <w:sz w:val="14"/>
          <w:szCs w:val="14"/>
          <w:color w:val="auto"/>
        </w:rPr>
        <w:t>. The Corporation may redeem the Convertible Preferred Stock in cash by written notice out of funds legally available therefor:</w:t>
      </w:r>
    </w:p>
    <w:p>
      <w:pPr>
        <w:spacing w:after="0" w:line="128"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2"/>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full or in part, at any time and on one or more Redemption Dates, with proceeds from (A) Cash Flow from Operations, (B) Asset Sales, (C) sales of Junior Securities and</w:t>
      </w:r>
    </w:p>
    <w:p>
      <w:pPr>
        <w:ind w:left="1288" w:right="8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incurrence of Indebtedness, to the extent such incurrence (after giving effect to the use of proceeds therefrom) would not result in the Corporation’s Consolidated Total Debt exceeding the Issue Date Consolidated Total Debt; and</w:t>
      </w:r>
    </w:p>
    <w:p>
      <w:pPr>
        <w:spacing w:after="0" w:line="100"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2"/>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full at any time, with proceeds from the incurrence of Indebtedness.</w:t>
      </w:r>
    </w:p>
    <w:p>
      <w:pPr>
        <w:spacing w:after="0" w:line="14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 xml:space="preserve">Each such redemption pursuant to this </w:t>
      </w:r>
      <w:r>
        <w:rPr>
          <w:rFonts w:ascii="Times New Roman" w:cs="Times New Roman" w:eastAsia="Times New Roman" w:hAnsi="Times New Roman"/>
          <w:sz w:val="14"/>
          <w:szCs w:val="14"/>
          <w:b w:val="1"/>
          <w:bCs w:val="1"/>
          <w:color w:val="auto"/>
        </w:rPr>
        <w:t>Section 7(a)</w:t>
      </w:r>
      <w:r>
        <w:rPr>
          <w:rFonts w:ascii="Times New Roman" w:cs="Times New Roman" w:eastAsia="Times New Roman" w:hAnsi="Times New Roman"/>
          <w:sz w:val="14"/>
          <w:szCs w:val="14"/>
          <w:color w:val="auto"/>
        </w:rPr>
        <w:t xml:space="preserve"> shall be referred to as a “</w:t>
      </w:r>
      <w:r>
        <w:rPr>
          <w:rFonts w:ascii="Times New Roman" w:cs="Times New Roman" w:eastAsia="Times New Roman" w:hAnsi="Times New Roman"/>
          <w:sz w:val="14"/>
          <w:szCs w:val="14"/>
          <w:b w:val="1"/>
          <w:bCs w:val="1"/>
          <w:color w:val="auto"/>
        </w:rPr>
        <w:t>Redemption</w:t>
      </w:r>
      <w:r>
        <w:rPr>
          <w:rFonts w:ascii="Times New Roman" w:cs="Times New Roman" w:eastAsia="Times New Roman" w:hAnsi="Times New Roman"/>
          <w:sz w:val="14"/>
          <w:szCs w:val="14"/>
          <w:color w:val="auto"/>
        </w:rPr>
        <w:t>,” and shall occur on a date chosen by the Corporation (each such date, a “</w:t>
      </w:r>
      <w:r>
        <w:rPr>
          <w:rFonts w:ascii="Times New Roman" w:cs="Times New Roman" w:eastAsia="Times New Roman" w:hAnsi="Times New Roman"/>
          <w:sz w:val="14"/>
          <w:szCs w:val="14"/>
          <w:b w:val="1"/>
          <w:bCs w:val="1"/>
          <w:color w:val="auto"/>
        </w:rPr>
        <w:t>Redemption Date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8" w:right="260" w:firstLine="424"/>
        <w:spacing w:after="0" w:line="237" w:lineRule="auto"/>
        <w:tabs>
          <w:tab w:leader="none" w:pos="869"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Redemption Price</w:t>
      </w:r>
      <w:r>
        <w:rPr>
          <w:rFonts w:ascii="Times New Roman" w:cs="Times New Roman" w:eastAsia="Times New Roman" w:hAnsi="Times New Roman"/>
          <w:sz w:val="14"/>
          <w:szCs w:val="14"/>
          <w:color w:val="auto"/>
        </w:rPr>
        <w:t>. The Redemption Price (the “</w:t>
      </w:r>
      <w:r>
        <w:rPr>
          <w:rFonts w:ascii="Times New Roman" w:cs="Times New Roman" w:eastAsia="Times New Roman" w:hAnsi="Times New Roman"/>
          <w:sz w:val="14"/>
          <w:szCs w:val="14"/>
          <w:b w:val="1"/>
          <w:bCs w:val="1"/>
          <w:color w:val="auto"/>
        </w:rPr>
        <w:t>Redemption Price</w:t>
      </w:r>
      <w:r>
        <w:rPr>
          <w:rFonts w:ascii="Times New Roman" w:cs="Times New Roman" w:eastAsia="Times New Roman" w:hAnsi="Times New Roman"/>
          <w:sz w:val="14"/>
          <w:szCs w:val="14"/>
          <w:color w:val="auto"/>
        </w:rPr>
        <w:t>”) with respect to a share of Convertible Preferred Stock shall equal the Liquidation Preference as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Redemption Date, plus any accrued and unpaid Dividends in respect of such share of Convertible Preferred Stock not previously added to the Liquidation Preference to, but not including, the Redemption Date. The Redemption Price shall be payable in cash.</w:t>
      </w:r>
    </w:p>
    <w:p>
      <w:pPr>
        <w:spacing w:after="0" w:line="99" w:lineRule="exact"/>
        <w:rPr>
          <w:rFonts w:ascii="Times New Roman" w:cs="Times New Roman" w:eastAsia="Times New Roman" w:hAnsi="Times New Roman"/>
          <w:sz w:val="14"/>
          <w:szCs w:val="14"/>
          <w:color w:val="auto"/>
        </w:rPr>
      </w:pPr>
    </w:p>
    <w:p>
      <w:pPr>
        <w:ind w:left="8" w:firstLine="424"/>
        <w:spacing w:after="0" w:line="231" w:lineRule="auto"/>
        <w:tabs>
          <w:tab w:leader="none" w:pos="87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Redemption Notices</w:t>
      </w:r>
      <w:r>
        <w:rPr>
          <w:rFonts w:ascii="Times New Roman" w:cs="Times New Roman" w:eastAsia="Times New Roman" w:hAnsi="Times New Roman"/>
          <w:sz w:val="14"/>
          <w:szCs w:val="14"/>
          <w:color w:val="auto"/>
        </w:rPr>
        <w:t>. Any election to redeem shares of Convertible Preferred Stock by the Corporation pursuant to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7(c)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be made by delivery to the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written notice (the “</w:t>
      </w:r>
      <w:r>
        <w:rPr>
          <w:rFonts w:ascii="Times New Roman" w:cs="Times New Roman" w:eastAsia="Times New Roman" w:hAnsi="Times New Roman"/>
          <w:sz w:val="14"/>
          <w:szCs w:val="14"/>
          <w:b w:val="1"/>
          <w:bCs w:val="1"/>
          <w:color w:val="auto"/>
        </w:rPr>
        <w:t>Redemption Notice</w:t>
      </w:r>
      <w:r>
        <w:rPr>
          <w:rFonts w:ascii="Times New Roman" w:cs="Times New Roman" w:eastAsia="Times New Roman" w:hAnsi="Times New Roman"/>
          <w:sz w:val="14"/>
          <w:szCs w:val="14"/>
          <w:color w:val="auto"/>
        </w:rPr>
        <w:t>”) of the Corporation’s election to redeem, at least 10 calendar days but no more than 60 calendar days prior to the applicable Redemption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shares of Convertible Preferred Stock are held in book-entry form through the Depositary, the Corporation may give such notice in any manner permitted by the Depositary), which Redemption Notice shall state:</w:t>
      </w:r>
    </w:p>
    <w:p>
      <w:pPr>
        <w:spacing w:after="0" w:line="102"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 Redemption is being made and the number of shares of Convertible Preferred Stock being redeemed;</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conditions to the consummation of the Redemption; and</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 (or, to the extent not ascertainable at the time of such notice, a good faith estimate of the Redemption Date).</w:t>
      </w:r>
    </w:p>
    <w:p>
      <w:pPr>
        <w:spacing w:after="0" w:line="125" w:lineRule="exact"/>
        <w:rPr>
          <w:rFonts w:ascii="Times New Roman" w:cs="Times New Roman" w:eastAsia="Times New Roman" w:hAnsi="Times New Roman"/>
          <w:sz w:val="14"/>
          <w:szCs w:val="14"/>
          <w:color w:val="auto"/>
        </w:rPr>
      </w:pPr>
    </w:p>
    <w:p>
      <w:pPr>
        <w:ind w:left="8" w:right="20" w:firstLine="424"/>
        <w:spacing w:after="0" w:line="231" w:lineRule="auto"/>
        <w:tabs>
          <w:tab w:leader="none" w:pos="869"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Payment of the Redemption Price</w:t>
      </w:r>
      <w:r>
        <w:rPr>
          <w:rFonts w:ascii="Times New Roman" w:cs="Times New Roman" w:eastAsia="Times New Roman" w:hAnsi="Times New Roman"/>
          <w:sz w:val="14"/>
          <w:szCs w:val="14"/>
          <w:color w:val="auto"/>
        </w:rPr>
        <w:t>. On the Redemption Date, the Corporation shall cause to be paid in cash the aggregate Redemption Price for such shares of Convertible Preferred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to such Holders at an account or accounts designated by such Holders. Upon such payment in full, such shares of Convertible Preferred Stock will be deemed to have been redeemed, and Dividends with respect to such redeemed shares of Convertible Preferred Stock shall cease to accumulate and all designations, rights, preferences, powers, qualifications, restrictions and limitations of such redeemed shares shall forthwith terminate. If any shares of Convertible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120" w:right="379" w:bottom="1440" w:gutter="0" w:footer="0" w:header="0"/>
        </w:sectPr>
      </w:pPr>
    </w:p>
    <w:bookmarkStart w:id="193" w:name="page194"/>
    <w:bookmarkEnd w:id="193"/>
    <w:p>
      <w:pPr>
        <w:ind w:left="8" w:right="60"/>
        <w:spacing w:after="0" w:line="255" w:lineRule="auto"/>
        <w:rPr>
          <w:sz w:val="20"/>
          <w:szCs w:val="20"/>
          <w:color w:val="auto"/>
        </w:rPr>
      </w:pPr>
      <w:r>
        <w:rPr>
          <w:rFonts w:ascii="Times New Roman" w:cs="Times New Roman" w:eastAsia="Times New Roman" w:hAnsi="Times New Roman"/>
          <w:sz w:val="14"/>
          <w:szCs w:val="14"/>
          <w:color w:val="auto"/>
        </w:rPr>
        <w:t>Preferred Stock are not redeemed on the Redemption Date for any reason, until such shares are redeemed, all such unredeemed shares of Convertible Preferred Stock shall remain outstanding and continue to accumulate Dividends thereon until the date on which the Corporation redeems and pays in full the Redemption Price for such Convertible Preferred Stock.</w:t>
      </w:r>
    </w:p>
    <w:p>
      <w:pPr>
        <w:spacing w:after="0" w:line="88" w:lineRule="exact"/>
        <w:rPr>
          <w:sz w:val="20"/>
          <w:szCs w:val="20"/>
          <w:color w:val="auto"/>
        </w:rPr>
      </w:pPr>
    </w:p>
    <w:p>
      <w:pPr>
        <w:ind w:left="868" w:hanging="436"/>
        <w:spacing w:after="0"/>
        <w:tabs>
          <w:tab w:leader="none" w:pos="868"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Conditional Redemption</w:t>
      </w:r>
      <w:r>
        <w:rPr>
          <w:rFonts w:ascii="Times New Roman" w:cs="Times New Roman" w:eastAsia="Times New Roman" w:hAnsi="Times New Roman"/>
          <w:sz w:val="14"/>
          <w:szCs w:val="14"/>
          <w:color w:val="auto"/>
        </w:rPr>
        <w:t>. Any Redemption Notice may, at the Corporation’s discretion, be subject to one or more conditions precedent.</w:t>
      </w:r>
    </w:p>
    <w:p>
      <w:pPr>
        <w:spacing w:after="0" w:line="127" w:lineRule="exact"/>
        <w:rPr>
          <w:rFonts w:ascii="Times New Roman" w:cs="Times New Roman" w:eastAsia="Times New Roman" w:hAnsi="Times New Roman"/>
          <w:sz w:val="14"/>
          <w:szCs w:val="14"/>
          <w:color w:val="auto"/>
        </w:rPr>
      </w:pPr>
    </w:p>
    <w:p>
      <w:pPr>
        <w:ind w:left="8" w:right="80" w:firstLine="424"/>
        <w:spacing w:after="0" w:line="231" w:lineRule="auto"/>
        <w:tabs>
          <w:tab w:leader="none" w:pos="872"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Partial Redemption</w:t>
      </w:r>
      <w:r>
        <w:rPr>
          <w:rFonts w:ascii="Times New Roman" w:cs="Times New Roman" w:eastAsia="Times New Roman" w:hAnsi="Times New Roman"/>
          <w:sz w:val="14"/>
          <w:szCs w:val="14"/>
          <w:color w:val="auto"/>
        </w:rPr>
        <w:t>. All Redemptions shall be made on a pro rata basis among all Holders in proportion to the number of shares of Convertible Preferred Stock held by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treating holders of vested warrants, options or other rights to acquire Convertible Preferred Stock as the Holders thereof. Upon the consummation of a Redemption of less than all of the outstanding Convertible Preferred Stock, the Corporation shall cause the Transfer Agent and Registrar to reduce the number of shares of the Convertible Preferred Stock represented by the global certificate by making a notation on the global certificate or otherwise notating such reduction in the register maintained by such Transfer Agent and Registrar.</w:t>
      </w:r>
    </w:p>
    <w:p>
      <w:pPr>
        <w:spacing w:after="0" w:line="100" w:lineRule="exact"/>
        <w:rPr>
          <w:rFonts w:ascii="Times New Roman" w:cs="Times New Roman" w:eastAsia="Times New Roman" w:hAnsi="Times New Roman"/>
          <w:sz w:val="14"/>
          <w:szCs w:val="14"/>
          <w:color w:val="auto"/>
        </w:rPr>
      </w:pPr>
    </w:p>
    <w:p>
      <w:pPr>
        <w:ind w:left="8" w:right="220" w:hanging="8"/>
        <w:spacing w:after="0" w:line="258" w:lineRule="auto"/>
        <w:tabs>
          <w:tab w:leader="none" w:pos="44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VOTING RIGHTS. The Convertible Preferred Stock will have the voting, consent or waiver rights set forth in this </w:t>
      </w:r>
      <w:r>
        <w:rPr>
          <w:rFonts w:ascii="Times New Roman" w:cs="Times New Roman" w:eastAsia="Times New Roman" w:hAnsi="Times New Roman"/>
          <w:sz w:val="14"/>
          <w:szCs w:val="14"/>
          <w:b w:val="1"/>
          <w:bCs w:val="1"/>
          <w:color w:val="auto"/>
        </w:rPr>
        <w:t>Section 8</w:t>
      </w:r>
      <w:r>
        <w:rPr>
          <w:rFonts w:ascii="Times New Roman" w:cs="Times New Roman" w:eastAsia="Times New Roman" w:hAnsi="Times New Roman"/>
          <w:sz w:val="14"/>
          <w:szCs w:val="14"/>
          <w:color w:val="auto"/>
        </w:rPr>
        <w:t xml:space="preserve"> or as otherwise provided in the Certificate of Incorporation (including this Certificate of Designations) or required by the General Corporation Law of the State of Delaware.</w:t>
      </w:r>
    </w:p>
    <w:p>
      <w:pPr>
        <w:spacing w:after="0" w:line="85"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Voting, Consent and Waiver Rights with Respect to Specified Matters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hanging="424"/>
        <w:spacing w:after="0" w:line="258" w:lineRule="auto"/>
        <w:tabs>
          <w:tab w:leader="none" w:pos="1280" w:val="left"/>
        </w:tabs>
        <w:numPr>
          <w:ilvl w:val="2"/>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Subject to the other provisions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8(a)</w:t>
      </w:r>
      <w:r>
        <w:rPr>
          <w:rFonts w:ascii="Times New Roman" w:cs="Times New Roman" w:eastAsia="Times New Roman" w:hAnsi="Times New Roman"/>
          <w:sz w:val="14"/>
          <w:szCs w:val="14"/>
          <w:color w:val="auto"/>
        </w:rPr>
        <w:t>, each of the following events will require, and cannot be effected without (and any such actions will be void</w:t>
      </w:r>
      <w:r>
        <w:rPr>
          <w:rFonts w:ascii="Times New Roman" w:cs="Times New Roman" w:eastAsia="Times New Roman" w:hAnsi="Times New Roman"/>
          <w:sz w:val="14"/>
          <w:szCs w:val="14"/>
          <w:i w:val="1"/>
          <w:iCs w:val="1"/>
          <w:color w:val="auto"/>
        </w:rPr>
        <w:t xml:space="preserve"> ab initio</w:t>
      </w:r>
      <w:r>
        <w:rPr>
          <w:rFonts w:ascii="Times New Roman" w:cs="Times New Roman" w:eastAsia="Times New Roman" w:hAnsi="Times New Roman"/>
          <w:sz w:val="14"/>
          <w:szCs w:val="14"/>
          <w:color w:val="auto"/>
        </w:rPr>
        <w:t>), the prior written affirmative vote, consent or waiver of Requisite Holders:</w:t>
      </w:r>
    </w:p>
    <w:p>
      <w:pPr>
        <w:spacing w:after="0" w:line="87" w:lineRule="exact"/>
        <w:rPr>
          <w:rFonts w:ascii="Times New Roman" w:cs="Times New Roman" w:eastAsia="Times New Roman" w:hAnsi="Times New Roman"/>
          <w:sz w:val="14"/>
          <w:szCs w:val="14"/>
          <w:color w:val="auto"/>
        </w:rPr>
      </w:pPr>
    </w:p>
    <w:p>
      <w:pPr>
        <w:jc w:val="both"/>
        <w:ind w:left="8" w:right="400" w:firstLine="1288"/>
        <w:spacing w:after="0" w:line="236" w:lineRule="auto"/>
        <w:tabs>
          <w:tab w:leader="none" w:pos="1733" w:val="left"/>
        </w:tabs>
        <w:numPr>
          <w:ilvl w:val="3"/>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amendment, modification, repeal or waiver of any provision of the organizational documents of the Corporation (including the Certificate of Incorporation (including this Certificate of Designations) or Bylaws) that disproportionately and adversely affects the rights, preferences, privileges or powers of the Holders with respect to such Holders’ Convertible Preferred Stock (other than an amendment, modification or repeal permitted by </w:t>
      </w:r>
      <w:r>
        <w:rPr>
          <w:rFonts w:ascii="Times New Roman" w:cs="Times New Roman" w:eastAsia="Times New Roman" w:hAnsi="Times New Roman"/>
          <w:sz w:val="14"/>
          <w:szCs w:val="14"/>
          <w:b w:val="1"/>
          <w:bCs w:val="1"/>
          <w:color w:val="auto"/>
        </w:rPr>
        <w:t>Section 8(a)(ii)</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8" w:right="180" w:firstLine="1288"/>
        <w:spacing w:after="0" w:line="255" w:lineRule="auto"/>
        <w:tabs>
          <w:tab w:leader="none" w:pos="1733" w:val="left"/>
        </w:tabs>
        <w:numPr>
          <w:ilvl w:val="3"/>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authorization or issuance of any Parity Interests or Senior Interests, or reclassification, alteration or amendment of any existing Equity Interests into, or issuance of any Equity Interests or debt securities convertible into or exchangeable or exercisable for, Parity Interests or Senior Interests;</w:t>
      </w:r>
    </w:p>
    <w:p>
      <w:pPr>
        <w:spacing w:after="0" w:line="89" w:lineRule="exact"/>
        <w:rPr>
          <w:rFonts w:ascii="Times New Roman" w:cs="Times New Roman" w:eastAsia="Times New Roman" w:hAnsi="Times New Roman"/>
          <w:sz w:val="14"/>
          <w:szCs w:val="14"/>
          <w:color w:val="auto"/>
        </w:rPr>
      </w:pPr>
    </w:p>
    <w:p>
      <w:pPr>
        <w:ind w:left="8" w:right="320" w:firstLine="1288"/>
        <w:spacing w:after="0" w:line="255" w:lineRule="auto"/>
        <w:tabs>
          <w:tab w:leader="none" w:pos="1733" w:val="left"/>
        </w:tabs>
        <w:numPr>
          <w:ilvl w:val="3"/>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or decrease in the number of authorized but unissued shares of Convertible Preferred Stock or effecting of any stock split, combination, or other similar recapitalization or reorganization with respect to the Convertible Preferred Stock; and</w:t>
      </w:r>
    </w:p>
    <w:p>
      <w:pPr>
        <w:spacing w:after="0" w:line="89"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3"/>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mandatory exchange, reclassification or cancellation of all or part of the Convertible Preferred Stock.</w:t>
      </w:r>
    </w:p>
    <w:p>
      <w:pPr>
        <w:spacing w:after="0" w:line="143" w:lineRule="exact"/>
        <w:rPr>
          <w:sz w:val="20"/>
          <w:szCs w:val="20"/>
          <w:color w:val="auto"/>
        </w:rPr>
      </w:pPr>
    </w:p>
    <w:p>
      <w:pPr>
        <w:ind w:left="8" w:right="240"/>
        <w:spacing w:after="0" w:line="298"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each of the following will be deemed not to adversely affect the special rights, preferences or voting powers of the Convertible Preferred Stock and will not require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vote, consent or waiver pursuant to </w:t>
      </w:r>
      <w:r>
        <w:rPr>
          <w:rFonts w:ascii="Times New Roman" w:cs="Times New Roman" w:eastAsia="Times New Roman" w:hAnsi="Times New Roman"/>
          <w:sz w:val="14"/>
          <w:szCs w:val="14"/>
          <w:b w:val="1"/>
          <w:bCs w:val="1"/>
          <w:color w:val="auto"/>
        </w:rPr>
        <w:t>Section 8(a)(i)(1)</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20" w:right="319" w:bottom="1440" w:gutter="0" w:footer="0" w:header="0"/>
        </w:sectPr>
      </w:pPr>
    </w:p>
    <w:bookmarkStart w:id="194" w:name="page195"/>
    <w:bookmarkEnd w:id="194"/>
    <w:p>
      <w:pPr>
        <w:ind w:left="1288" w:firstLine="440"/>
        <w:spacing w:after="0" w:line="216" w:lineRule="auto"/>
        <w:tabs>
          <w:tab w:leader="none" w:pos="2145" w:val="left"/>
        </w:tabs>
        <w:numPr>
          <w:ilvl w:val="2"/>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increase in the number of authorized shares of Convertible Preferred Stock as necessary with respect to issuances of shares of Convertible Preferred Stock pursuant to the terms of the Corporation’s Amended and Restated 2019 Omnibus Incentive Plan, dated as of [•], 2026</w:t>
      </w: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Incentive Plan</w:t>
      </w:r>
      <w:r>
        <w:rPr>
          <w:rFonts w:ascii="Times New Roman" w:cs="Times New Roman" w:eastAsia="Times New Roman" w:hAnsi="Times New Roman"/>
          <w:sz w:val="14"/>
          <w:szCs w:val="14"/>
          <w:color w:val="auto"/>
        </w:rPr>
        <w:t>”), as may be further amended, amended and restated, supplemented or otherwise modified from time to time;</w:t>
      </w:r>
    </w:p>
    <w:p>
      <w:pPr>
        <w:spacing w:after="0" w:line="97" w:lineRule="exact"/>
        <w:rPr>
          <w:rFonts w:ascii="Times New Roman" w:cs="Times New Roman" w:eastAsia="Times New Roman" w:hAnsi="Times New Roman"/>
          <w:sz w:val="14"/>
          <w:szCs w:val="14"/>
          <w:color w:val="auto"/>
        </w:rPr>
      </w:pPr>
    </w:p>
    <w:p>
      <w:pPr>
        <w:ind w:left="1288" w:right="200" w:firstLine="440"/>
        <w:spacing w:after="0" w:line="258" w:lineRule="auto"/>
        <w:tabs>
          <w:tab w:leader="none" w:pos="2146" w:val="left"/>
        </w:tabs>
        <w:numPr>
          <w:ilvl w:val="2"/>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provisions of Section 242(b)(2) of the DGCL and except as provided in </w:t>
      </w:r>
      <w:r>
        <w:rPr>
          <w:rFonts w:ascii="Times New Roman" w:cs="Times New Roman" w:eastAsia="Times New Roman" w:hAnsi="Times New Roman"/>
          <w:sz w:val="14"/>
          <w:szCs w:val="14"/>
          <w:b w:val="1"/>
          <w:bCs w:val="1"/>
          <w:color w:val="auto"/>
        </w:rPr>
        <w:t>Section 8(a)(i)(3)</w:t>
      </w:r>
      <w:r>
        <w:rPr>
          <w:rFonts w:ascii="Times New Roman" w:cs="Times New Roman" w:eastAsia="Times New Roman" w:hAnsi="Times New Roman"/>
          <w:sz w:val="14"/>
          <w:szCs w:val="14"/>
          <w:color w:val="auto"/>
        </w:rPr>
        <w:t>, the creation and issuance, or increase in the authorized or issued number, of any shares of any class or series of stock; and</w:t>
      </w:r>
    </w:p>
    <w:p>
      <w:pPr>
        <w:spacing w:after="0" w:line="85" w:lineRule="exact"/>
        <w:rPr>
          <w:rFonts w:ascii="Times New Roman" w:cs="Times New Roman" w:eastAsia="Times New Roman" w:hAnsi="Times New Roman"/>
          <w:sz w:val="14"/>
          <w:szCs w:val="14"/>
          <w:color w:val="auto"/>
        </w:rPr>
      </w:pPr>
    </w:p>
    <w:p>
      <w:pPr>
        <w:ind w:left="1288" w:right="100" w:firstLine="440"/>
        <w:spacing w:after="0" w:line="237" w:lineRule="auto"/>
        <w:tabs>
          <w:tab w:leader="none" w:pos="2146" w:val="left"/>
        </w:tabs>
        <w:numPr>
          <w:ilvl w:val="2"/>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application of </w:t>
      </w:r>
      <w:r>
        <w:rPr>
          <w:rFonts w:ascii="Times New Roman" w:cs="Times New Roman" w:eastAsia="Times New Roman" w:hAnsi="Times New Roman"/>
          <w:sz w:val="14"/>
          <w:szCs w:val="14"/>
          <w:b w:val="1"/>
          <w:bCs w:val="1"/>
          <w:color w:val="auto"/>
        </w:rPr>
        <w:t>Section 9(f)</w:t>
      </w:r>
      <w:r>
        <w:rPr>
          <w:rFonts w:ascii="Times New Roman" w:cs="Times New Roman" w:eastAsia="Times New Roman" w:hAnsi="Times New Roman"/>
          <w:sz w:val="14"/>
          <w:szCs w:val="14"/>
          <w:color w:val="auto"/>
        </w:rPr>
        <w:t xml:space="preserve">, including the execution and delivery of any supplemental instruments pursuant to </w:t>
      </w:r>
      <w:r>
        <w:rPr>
          <w:rFonts w:ascii="Times New Roman" w:cs="Times New Roman" w:eastAsia="Times New Roman" w:hAnsi="Times New Roman"/>
          <w:sz w:val="14"/>
          <w:szCs w:val="14"/>
          <w:b w:val="1"/>
          <w:bCs w:val="1"/>
          <w:color w:val="auto"/>
        </w:rPr>
        <w:t>Section 9(f)(ii)</w:t>
      </w:r>
      <w:r>
        <w:rPr>
          <w:rFonts w:ascii="Times New Roman" w:cs="Times New Roman" w:eastAsia="Times New Roman" w:hAnsi="Times New Roman"/>
          <w:sz w:val="14"/>
          <w:szCs w:val="14"/>
          <w:color w:val="auto"/>
        </w:rPr>
        <w:t xml:space="preserve"> solely to give effect to such provision; provided that no such supplemental instrument shall reduce any right, preference, or privilege of the Convertible Preferred Stock or impose any additional obligation on Holders without Requisite Holder consent.</w:t>
      </w:r>
    </w:p>
    <w:p>
      <w:pPr>
        <w:spacing w:after="0" w:line="99" w:lineRule="exact"/>
        <w:rPr>
          <w:rFonts w:ascii="Times New Roman" w:cs="Times New Roman" w:eastAsia="Times New Roman" w:hAnsi="Times New Roman"/>
          <w:sz w:val="14"/>
          <w:szCs w:val="14"/>
          <w:color w:val="auto"/>
        </w:rPr>
      </w:pPr>
    </w:p>
    <w:p>
      <w:pPr>
        <w:ind w:left="1288" w:right="120" w:hanging="424"/>
        <w:spacing w:after="0" w:line="228" w:lineRule="auto"/>
        <w:tabs>
          <w:tab w:leader="none" w:pos="1284"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Certain Amendments Permitted Without Consent</w:t>
      </w:r>
      <w:r>
        <w:rPr>
          <w:rFonts w:ascii="Times New Roman" w:cs="Times New Roman" w:eastAsia="Times New Roman" w:hAnsi="Times New Roman"/>
          <w:sz w:val="14"/>
          <w:szCs w:val="14"/>
          <w:color w:val="auto"/>
        </w:rPr>
        <w:t>. Notwithstanding anything to the contrary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8(a)(i)(1)</w:t>
      </w:r>
      <w:r>
        <w:rPr>
          <w:rFonts w:ascii="Times New Roman" w:cs="Times New Roman" w:eastAsia="Times New Roman" w:hAnsi="Times New Roman"/>
          <w:sz w:val="14"/>
          <w:szCs w:val="14"/>
          <w:color w:val="auto"/>
        </w:rPr>
        <w:t>, the Corporation may amend, modify or repeal any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terms of the Convertible Preferred Stock in a manner that does not, directly or indirectly, disproportionately and adversely affect the rights, preferences or voting powers of the Convertible Preferred Stock without the vote, consent or waiver of any Holder to amend or correct this Certificate of Designations to cure any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ambiguity or correct any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mistake, omission, defect or inconsistency; provided that the Corporation shall provide written notice to the Holders not less than ten (10) Business Days prior to the effectiveness of any such amendment, modification or repeal, along with a description of such amendment, modification or repeal in reasonable detail.</w:t>
      </w:r>
    </w:p>
    <w:p>
      <w:pPr>
        <w:spacing w:after="0" w:line="99" w:lineRule="exact"/>
        <w:rPr>
          <w:rFonts w:ascii="Times New Roman" w:cs="Times New Roman" w:eastAsia="Times New Roman" w:hAnsi="Times New Roman"/>
          <w:sz w:val="14"/>
          <w:szCs w:val="14"/>
          <w:color w:val="auto"/>
        </w:rPr>
      </w:pPr>
    </w:p>
    <w:p>
      <w:pPr>
        <w:ind w:left="8" w:firstLine="424"/>
        <w:spacing w:after="0" w:line="222" w:lineRule="auto"/>
        <w:tabs>
          <w:tab w:leader="none" w:pos="869"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Right to Vote with Holders of Common Stock on an As-Converted Basis</w:t>
      </w:r>
      <w:r>
        <w:rPr>
          <w:rFonts w:ascii="Times New Roman" w:cs="Times New Roman" w:eastAsia="Times New Roman" w:hAnsi="Times New Roman"/>
          <w:sz w:val="14"/>
          <w:szCs w:val="14"/>
          <w:color w:val="auto"/>
        </w:rPr>
        <w:t>. Subject to the other provisions of, and without limiting the other voting rights provided in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8</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Holders will have the right to vote together as a single class with the holders of the Common Stock on each matter submitted for a vote, consent or waiver by the holders of the Common Stock, and, for these purposes, (i) each share of the Convertible Preferred Stock of each Holder will entitle such Holder to be treated in respect of each such share as if such Holder were the holder of record, as of the record or other relevant date for such matter, of a number of shares of Common Stock (without regard to any limitations on conversion) equal to the Conversion Rate in effect on such Record Date; and (ii) the Holders will be entitled to notice of all stockholder meetings or proposed actions by written consent in accordance with the Certificate of Incorporation, the Bylaws of the Corporation, and the General Corporation Law of the State of Delaware as if the Holders were holders of Common Stock. Notwithstanding the foregoing, the aggregate voting power of the Convertible Preferred Stock when voting with the holders of the Common Stock shall be limited to the extent necessary to comply with the NASDAQ Listing Standard Rules, and any resulting limitation on the voting rights of the Convertible Preferred Stock shall apply pro rata among the Holders thereof; provided that the Corporation shall use commercially reasonable efforts to seek any stockholder approval or take any other action necessary to eliminate such limitation at the earliest practicable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10972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41" w:lineRule="exact"/>
        <w:rPr>
          <w:sz w:val="20"/>
          <w:szCs w:val="20"/>
          <w:color w:val="auto"/>
        </w:rPr>
      </w:pPr>
    </w:p>
    <w:p>
      <w:pPr>
        <w:ind w:left="68" w:hanging="68"/>
        <w:spacing w:after="0"/>
        <w:tabs>
          <w:tab w:leader="none" w:pos="68" w:val="left"/>
        </w:tabs>
        <w:numPr>
          <w:ilvl w:val="0"/>
          <w:numId w:val="25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Initial Issue Date.</w:t>
      </w:r>
    </w:p>
    <w:p>
      <w:pPr>
        <w:spacing w:after="0" w:line="200" w:lineRule="exact"/>
        <w:rPr>
          <w:sz w:val="20"/>
          <w:szCs w:val="20"/>
          <w:color w:val="auto"/>
        </w:rPr>
      </w:pPr>
    </w:p>
    <w:p>
      <w:pPr>
        <w:spacing w:after="0" w:line="31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20344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20" w:right="319" w:bottom="1440" w:gutter="0" w:footer="0" w:header="0"/>
        </w:sectPr>
      </w:pPr>
    </w:p>
    <w:bookmarkStart w:id="195" w:name="page196"/>
    <w:bookmarkEnd w:id="195"/>
    <w:p>
      <w:pPr>
        <w:ind w:left="868" w:hanging="436"/>
        <w:spacing w:after="0"/>
        <w:tabs>
          <w:tab w:leader="none" w:pos="868"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Procedures for Voting, Consents and Waivers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right="20" w:hanging="424"/>
        <w:spacing w:after="0" w:line="226" w:lineRule="auto"/>
        <w:tabs>
          <w:tab w:leader="none" w:pos="1280" w:val="left"/>
        </w:tabs>
        <w:numPr>
          <w:ilvl w:val="2"/>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Rules and Procedures Governing Votes, Consents or Waivers</w:t>
      </w:r>
      <w:r>
        <w:rPr>
          <w:rFonts w:ascii="Times New Roman" w:cs="Times New Roman" w:eastAsia="Times New Roman" w:hAnsi="Times New Roman"/>
          <w:sz w:val="14"/>
          <w:szCs w:val="14"/>
          <w:color w:val="auto"/>
        </w:rPr>
        <w:t>. If any vote, consent or waiver of the Holders will be held or solicited, including at an annual meeting 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special meeting of stockholders, then (1) the Board of Directors will adopt customary rules and procedures at its discretion to govern such vote or consent, subject to the other provisions of this </w:t>
      </w:r>
      <w:r>
        <w:rPr>
          <w:rFonts w:ascii="Times New Roman" w:cs="Times New Roman" w:eastAsia="Times New Roman" w:hAnsi="Times New Roman"/>
          <w:sz w:val="14"/>
          <w:szCs w:val="14"/>
          <w:b w:val="1"/>
          <w:bCs w:val="1"/>
          <w:color w:val="auto"/>
        </w:rPr>
        <w:t>Section 8</w:t>
      </w:r>
      <w:r>
        <w:rPr>
          <w:rFonts w:ascii="Times New Roman" w:cs="Times New Roman" w:eastAsia="Times New Roman" w:hAnsi="Times New Roman"/>
          <w:sz w:val="14"/>
          <w:szCs w:val="14"/>
          <w:color w:val="auto"/>
        </w:rPr>
        <w:t xml:space="preserve">; and (2) such rules and procedures may include fixing a record date to determine the Holders that are entitled to vote or provide consent, as applicable, rules governing the solicitation and use of proxies or written consents and customary procedures for the nomination and designation, by Holders, of directors for election; provided, however, that with respect to any rights of the Holders pursuant to </w:t>
      </w:r>
      <w:r>
        <w:rPr>
          <w:rFonts w:ascii="Times New Roman" w:cs="Times New Roman" w:eastAsia="Times New Roman" w:hAnsi="Times New Roman"/>
          <w:sz w:val="14"/>
          <w:szCs w:val="14"/>
          <w:b w:val="1"/>
          <w:bCs w:val="1"/>
          <w:color w:val="auto"/>
        </w:rPr>
        <w:t>Section 8(b)</w:t>
      </w:r>
      <w:r>
        <w:rPr>
          <w:rFonts w:ascii="Times New Roman" w:cs="Times New Roman" w:eastAsia="Times New Roman" w:hAnsi="Times New Roman"/>
          <w:sz w:val="14"/>
          <w:szCs w:val="14"/>
          <w:color w:val="auto"/>
        </w:rPr>
        <w:t xml:space="preserve">, such rules and procedures will be the same rules and procedures that apply to holders of the Common Stock with respect to the applicable matter referred to in </w:t>
      </w:r>
      <w:r>
        <w:rPr>
          <w:rFonts w:ascii="Times New Roman" w:cs="Times New Roman" w:eastAsia="Times New Roman" w:hAnsi="Times New Roman"/>
          <w:sz w:val="14"/>
          <w:szCs w:val="14"/>
          <w:b w:val="1"/>
          <w:bCs w:val="1"/>
          <w:color w:val="auto"/>
        </w:rPr>
        <w:t>Section 8(b)</w:t>
      </w:r>
      <w:r>
        <w:rPr>
          <w:rFonts w:ascii="Times New Roman" w:cs="Times New Roman" w:eastAsia="Times New Roman" w:hAnsi="Times New Roman"/>
          <w:sz w:val="14"/>
          <w:szCs w:val="14"/>
          <w:color w:val="auto"/>
        </w:rPr>
        <w:t>.</w:t>
      </w:r>
    </w:p>
    <w:p>
      <w:pPr>
        <w:spacing w:after="0" w:line="98" w:lineRule="exact"/>
        <w:rPr>
          <w:rFonts w:ascii="Times New Roman" w:cs="Times New Roman" w:eastAsia="Times New Roman" w:hAnsi="Times New Roman"/>
          <w:sz w:val="14"/>
          <w:szCs w:val="14"/>
          <w:color w:val="auto"/>
        </w:rPr>
      </w:pPr>
    </w:p>
    <w:p>
      <w:pPr>
        <w:ind w:left="1288" w:hanging="424"/>
        <w:spacing w:after="0" w:line="258" w:lineRule="auto"/>
        <w:tabs>
          <w:tab w:leader="none" w:pos="1284" w:val="left"/>
        </w:tabs>
        <w:numPr>
          <w:ilvl w:val="2"/>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Voting Power of the Convertible Preferred Stock</w:t>
      </w:r>
      <w:r>
        <w:rPr>
          <w:rFonts w:ascii="Times New Roman" w:cs="Times New Roman" w:eastAsia="Times New Roman" w:hAnsi="Times New Roman"/>
          <w:sz w:val="14"/>
          <w:szCs w:val="14"/>
          <w:color w:val="auto"/>
        </w:rPr>
        <w:t>. Each share of Convertible Preferred Stock outstanding as of the applicable record date will be entitled to one vote on 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matter on which the Holders of the Convertible Preferred Stock are entitled to vote separately as a class and not together with the holders of any other class or series of stock.</w:t>
      </w:r>
    </w:p>
    <w:p>
      <w:pPr>
        <w:spacing w:after="0" w:line="85" w:lineRule="exact"/>
        <w:rPr>
          <w:rFonts w:ascii="Times New Roman" w:cs="Times New Roman" w:eastAsia="Times New Roman" w:hAnsi="Times New Roman"/>
          <w:sz w:val="14"/>
          <w:szCs w:val="14"/>
          <w:color w:val="auto"/>
        </w:rPr>
      </w:pPr>
    </w:p>
    <w:p>
      <w:pPr>
        <w:ind w:left="1288" w:right="20" w:hanging="424"/>
        <w:spacing w:after="0" w:line="258" w:lineRule="auto"/>
        <w:tabs>
          <w:tab w:leader="none" w:pos="1288" w:val="left"/>
        </w:tabs>
        <w:numPr>
          <w:ilvl w:val="2"/>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Written Consent in Lieu of Stockholder Meeting</w:t>
      </w:r>
      <w:r>
        <w:rPr>
          <w:rFonts w:ascii="Times New Roman" w:cs="Times New Roman" w:eastAsia="Times New Roman" w:hAnsi="Times New Roman"/>
          <w:sz w:val="14"/>
          <w:szCs w:val="14"/>
          <w:color w:val="auto"/>
        </w:rPr>
        <w:t>. Notwithstanding anything to the contrary otherwise set forth in the Certificate of Incorporation, the Bylaws or otherwise,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affirmative vote, consent or waiver of the Holders pursuant to </w:t>
      </w:r>
      <w:r>
        <w:rPr>
          <w:rFonts w:ascii="Times New Roman" w:cs="Times New Roman" w:eastAsia="Times New Roman" w:hAnsi="Times New Roman"/>
          <w:sz w:val="14"/>
          <w:szCs w:val="14"/>
          <w:b w:val="1"/>
          <w:bCs w:val="1"/>
          <w:color w:val="auto"/>
        </w:rPr>
        <w:t>Section 8(a)</w:t>
      </w:r>
      <w:r>
        <w:rPr>
          <w:rFonts w:ascii="Times New Roman" w:cs="Times New Roman" w:eastAsia="Times New Roman" w:hAnsi="Times New Roman"/>
          <w:sz w:val="14"/>
          <w:szCs w:val="14"/>
          <w:color w:val="auto"/>
        </w:rPr>
        <w:t xml:space="preserve"> may be given or obtained in writing without a meeting.</w:t>
      </w:r>
    </w:p>
    <w:p>
      <w:pPr>
        <w:spacing w:after="0" w:line="87"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w:t>
      </w:r>
    </w:p>
    <w:p>
      <w:pPr>
        <w:spacing w:after="0" w:line="125" w:lineRule="exact"/>
        <w:rPr>
          <w:rFonts w:ascii="Times New Roman" w:cs="Times New Roman" w:eastAsia="Times New Roman" w:hAnsi="Times New Roman"/>
          <w:sz w:val="14"/>
          <w:szCs w:val="14"/>
          <w:color w:val="auto"/>
        </w:rPr>
      </w:pPr>
    </w:p>
    <w:p>
      <w:pPr>
        <w:ind w:left="8" w:right="60" w:firstLine="424"/>
        <w:spacing w:after="0" w:line="237" w:lineRule="auto"/>
        <w:tabs>
          <w:tab w:leader="none" w:pos="870"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Each outstanding share of the Convertible Preferred Stock shall automatically convert (unless previously repurchased or redeemed pursuant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8</w:t>
      </w:r>
      <w:r>
        <w:rPr>
          <w:rFonts w:ascii="Times New Roman" w:cs="Times New Roman" w:eastAsia="Times New Roman" w:hAnsi="Times New Roman"/>
          <w:sz w:val="14"/>
          <w:szCs w:val="14"/>
          <w:color w:val="auto"/>
        </w:rPr>
        <w:t>)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Mandatory Conversion Date into a number of shares of Common Stock equal to the Conversion Rate as of immediately before the Close of Business on the Business Day immediately prior to the Mandatory Conversion Date.</w:t>
      </w:r>
    </w:p>
    <w:p>
      <w:pPr>
        <w:spacing w:after="0" w:line="99"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Settlement Upon Conversion</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right="60" w:hanging="424"/>
        <w:spacing w:after="0" w:line="237" w:lineRule="auto"/>
        <w:tabs>
          <w:tab w:leader="none" w:pos="1280" w:val="left"/>
        </w:tabs>
        <w:numPr>
          <w:ilvl w:val="2"/>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Payment of Cash in Lieu of any Fractional Share of Common Stock</w:t>
      </w:r>
      <w:r>
        <w:rPr>
          <w:rFonts w:ascii="Times New Roman" w:cs="Times New Roman" w:eastAsia="Times New Roman" w:hAnsi="Times New Roman"/>
          <w:sz w:val="14"/>
          <w:szCs w:val="14"/>
          <w:color w:val="auto"/>
        </w:rPr>
        <w:t>.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12(b)</w:t>
      </w:r>
      <w:r>
        <w:rPr>
          <w:rFonts w:ascii="Times New Roman" w:cs="Times New Roman" w:eastAsia="Times New Roman" w:hAnsi="Times New Roman"/>
          <w:sz w:val="14"/>
          <w:szCs w:val="14"/>
          <w:color w:val="auto"/>
        </w:rPr>
        <w:t>, in lieu of delivering any fractional share of Common Stock otherwise due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conversion of any Convertible Preferred Stock, the Corporation will, to the extent it is legally able to do so and permitted under the terms of its Indebtedness, pay cash equal to such fraction multiplied by the Last Reported Sale Price per share of Common Stock on the Trading Day immediately preceding the Mandatory Conversion Date.</w:t>
      </w:r>
    </w:p>
    <w:p>
      <w:pPr>
        <w:spacing w:after="0" w:line="99" w:lineRule="exact"/>
        <w:rPr>
          <w:rFonts w:ascii="Times New Roman" w:cs="Times New Roman" w:eastAsia="Times New Roman" w:hAnsi="Times New Roman"/>
          <w:sz w:val="14"/>
          <w:szCs w:val="14"/>
          <w:color w:val="auto"/>
        </w:rPr>
      </w:pPr>
    </w:p>
    <w:p>
      <w:pPr>
        <w:ind w:left="1288" w:right="80" w:hanging="424"/>
        <w:spacing w:after="0" w:line="237" w:lineRule="auto"/>
        <w:tabs>
          <w:tab w:leader="none" w:pos="1284" w:val="left"/>
        </w:tabs>
        <w:numPr>
          <w:ilvl w:val="2"/>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Delivery of Conversion Consideration</w:t>
      </w:r>
      <w:r>
        <w:rPr>
          <w:rFonts w:ascii="Times New Roman" w:cs="Times New Roman" w:eastAsia="Times New Roman" w:hAnsi="Times New Roman"/>
          <w:sz w:val="14"/>
          <w:szCs w:val="14"/>
          <w:color w:val="auto"/>
        </w:rPr>
        <w:t>. Except as provided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9(e),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Corporation will pay and deliver the Conversion Consideration due upon conversion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Convertible Preferred Stock through book-entry transfer through the facilities of the Depositary, together with delivery by the Corporation to the Holders of any cash in lieu of fractional share to which the Holders are entitled, on the later of (i) the Mandatory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18" w:right="319" w:bottom="1440" w:gutter="0" w:footer="0" w:header="0"/>
        </w:sectPr>
      </w:pPr>
    </w:p>
    <w:bookmarkStart w:id="196" w:name="page197"/>
    <w:bookmarkEnd w:id="196"/>
    <w:p>
      <w:pPr>
        <w:ind w:left="1280"/>
        <w:spacing w:after="0"/>
        <w:rPr>
          <w:sz w:val="20"/>
          <w:szCs w:val="20"/>
          <w:color w:val="auto"/>
        </w:rPr>
      </w:pPr>
      <w:r>
        <w:rPr>
          <w:rFonts w:ascii="Times New Roman" w:cs="Times New Roman" w:eastAsia="Times New Roman" w:hAnsi="Times New Roman"/>
          <w:sz w:val="14"/>
          <w:szCs w:val="14"/>
          <w:color w:val="auto"/>
        </w:rPr>
        <w:t xml:space="preserve">Conversion Date and (ii) the Business Day after the Holder has paid in full all applicable taxes and duties pursuant to </w:t>
      </w:r>
      <w:r>
        <w:rPr>
          <w:rFonts w:ascii="Times New Roman" w:cs="Times New Roman" w:eastAsia="Times New Roman" w:hAnsi="Times New Roman"/>
          <w:sz w:val="14"/>
          <w:szCs w:val="14"/>
          <w:b w:val="1"/>
          <w:bCs w:val="1"/>
          <w:color w:val="auto"/>
        </w:rPr>
        <w:t>Section 11(b)</w:t>
      </w:r>
      <w:r>
        <w:rPr>
          <w:rFonts w:ascii="Times New Roman" w:cs="Times New Roman" w:eastAsia="Times New Roman" w:hAnsi="Times New Roman"/>
          <w:sz w:val="14"/>
          <w:szCs w:val="14"/>
          <w:color w:val="auto"/>
        </w:rPr>
        <w:t>, if any.</w:t>
      </w:r>
    </w:p>
    <w:p>
      <w:pPr>
        <w:spacing w:after="0" w:line="127" w:lineRule="exact"/>
        <w:rPr>
          <w:sz w:val="20"/>
          <w:szCs w:val="20"/>
          <w:color w:val="auto"/>
        </w:rPr>
      </w:pPr>
    </w:p>
    <w:p>
      <w:pPr>
        <w:ind w:left="860" w:hanging="436"/>
        <w:spacing w:after="0"/>
        <w:tabs>
          <w:tab w:leader="none" w:pos="860"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Conversion Rate Adjustments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Events Requiring an Adjustment to the Conversion Rate</w:t>
      </w:r>
      <w:r>
        <w:rPr>
          <w:rFonts w:ascii="Times New Roman" w:cs="Times New Roman" w:eastAsia="Times New Roman" w:hAnsi="Times New Roman"/>
          <w:sz w:val="14"/>
          <w:szCs w:val="14"/>
          <w:color w:val="auto"/>
        </w:rPr>
        <w:t>. The Conversion Rate will be adjusted from time to time as follows:</w:t>
      </w:r>
    </w:p>
    <w:p>
      <w:pPr>
        <w:spacing w:after="0" w:line="127" w:lineRule="exact"/>
        <w:rPr>
          <w:rFonts w:ascii="Times New Roman" w:cs="Times New Roman" w:eastAsia="Times New Roman" w:hAnsi="Times New Roman"/>
          <w:sz w:val="14"/>
          <w:szCs w:val="14"/>
          <w:color w:val="auto"/>
        </w:rPr>
      </w:pPr>
    </w:p>
    <w:p>
      <w:pPr>
        <w:ind w:right="140" w:firstLine="1288"/>
        <w:spacing w:after="0" w:line="237" w:lineRule="auto"/>
        <w:tabs>
          <w:tab w:leader="none" w:pos="1725" w:val="left"/>
        </w:tabs>
        <w:numPr>
          <w:ilvl w:val="2"/>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 Dividends, Splits and Combinations</w:t>
      </w:r>
      <w:r>
        <w:rPr>
          <w:rFonts w:ascii="Times New Roman" w:cs="Times New Roman" w:eastAsia="Times New Roman" w:hAnsi="Times New Roman"/>
          <w:sz w:val="14"/>
          <w:szCs w:val="14"/>
          <w:color w:val="auto"/>
        </w:rPr>
        <w:t>. If the Corporation issues shares of Common Stock as a dividend or distribution on all or substantially all shares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Common Stock, or if the Corporation effects a stock split or a stock combination of the Common Stock or similar event (in each case, excluding an issuance solely pursuant to a Common Stock Change Event, as to which </w:t>
      </w:r>
      <w:r>
        <w:rPr>
          <w:rFonts w:ascii="Times New Roman" w:cs="Times New Roman" w:eastAsia="Times New Roman" w:hAnsi="Times New Roman"/>
          <w:sz w:val="14"/>
          <w:szCs w:val="14"/>
          <w:b w:val="1"/>
          <w:bCs w:val="1"/>
          <w:color w:val="auto"/>
        </w:rPr>
        <w:t>Section 9(e)</w:t>
      </w:r>
      <w:r>
        <w:rPr>
          <w:rFonts w:ascii="Times New Roman" w:cs="Times New Roman" w:eastAsia="Times New Roman" w:hAnsi="Times New Roman"/>
          <w:sz w:val="14"/>
          <w:szCs w:val="14"/>
          <w:color w:val="auto"/>
        </w:rPr>
        <w:t xml:space="preserve"> will apply), then the Conversion Rate will be adjusted based on the following formula: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w:t>
            </w:r>
            <w:r>
              <w:rPr>
                <w:rFonts w:ascii="Times New Roman" w:cs="Times New Roman" w:eastAsia="Times New Roman" w:hAnsi="Times New Roman"/>
                <w:sz w:val="18"/>
                <w:szCs w:val="18"/>
                <w:color w:val="auto"/>
                <w:vertAlign w:val="subscript"/>
              </w:rPr>
              <w:t>1</w:t>
            </w:r>
            <w:r>
              <w:rPr>
                <w:rFonts w:ascii="Times New Roman" w:cs="Times New Roman" w:eastAsia="Times New Roman" w:hAnsi="Times New Roman"/>
                <w:sz w:val="14"/>
                <w:szCs w:val="14"/>
                <w:color w:val="auto"/>
              </w:rPr>
              <w:t xml:space="preserve"> = CR</w:t>
            </w:r>
            <w:r>
              <w:rPr>
                <w:rFonts w:ascii="Times New Roman" w:cs="Times New Roman" w:eastAsia="Times New Roman" w:hAnsi="Times New Roman"/>
                <w:sz w:val="18"/>
                <w:szCs w:val="18"/>
                <w:color w:val="auto"/>
                <w:vertAlign w:val="subscript"/>
              </w:rPr>
              <w:t>0</w:t>
            </w:r>
            <w:r>
              <w:rPr>
                <w:rFonts w:ascii="Times New Roman" w:cs="Times New Roman" w:eastAsia="Times New Roman" w:hAnsi="Times New Roman"/>
                <w:sz w:val="14"/>
                <w:szCs w:val="14"/>
                <w:color w:val="auto"/>
              </w:rPr>
              <w:t>* OS</w:t>
            </w:r>
            <w:r>
              <w:rPr>
                <w:rFonts w:ascii="Times New Roman" w:cs="Times New Roman" w:eastAsia="Times New Roman" w:hAnsi="Times New Roman"/>
                <w:sz w:val="18"/>
                <w:szCs w:val="18"/>
                <w:color w:val="auto"/>
                <w:vertAlign w:val="subscript"/>
              </w:rPr>
              <w:t>1</w:t>
            </w:r>
            <w:r>
              <w:rPr>
                <w:rFonts w:ascii="Times New Roman" w:cs="Times New Roman" w:eastAsia="Times New Roman" w:hAnsi="Times New Roman"/>
                <w:sz w:val="14"/>
                <w:szCs w:val="14"/>
                <w:color w:val="auto"/>
              </w:rPr>
              <w:t xml:space="preserve"> ÷ OS</w:t>
            </w:r>
            <w:r>
              <w:rPr>
                <w:rFonts w:ascii="Times New Roman" w:cs="Times New Roman" w:eastAsia="Times New Roman" w:hAnsi="Times New Roman"/>
                <w:sz w:val="18"/>
                <w:szCs w:val="18"/>
                <w:color w:val="auto"/>
                <w:vertAlign w:val="subscript"/>
              </w:rPr>
              <w:t>0</w:t>
            </w:r>
          </w:p>
        </w:tc>
      </w:tr>
      <w:tr>
        <w:trPr>
          <w:trHeight w:val="313"/>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where:</w:t>
            </w:r>
          </w:p>
        </w:tc>
      </w:tr>
      <w:tr>
        <w:trPr>
          <w:trHeight w:val="305"/>
        </w:trPr>
        <w:tc>
          <w:tcPr>
            <w:tcW w:w="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CR</w:t>
            </w:r>
            <w:r>
              <w:rPr>
                <w:rFonts w:ascii="Times New Roman" w:cs="Times New Roman" w:eastAsia="Times New Roman" w:hAnsi="Times New Roman"/>
                <w:sz w:val="18"/>
                <w:szCs w:val="18"/>
                <w:i w:val="1"/>
                <w:iCs w:val="1"/>
                <w:color w:val="auto"/>
                <w:vertAlign w:val="subscript"/>
              </w:rPr>
              <w:t>0</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Conversion Rate in effect immediately before the Close of Business on the Record Date for such dividend, distribution or other similar event, or immediately</w:t>
            </w:r>
          </w:p>
        </w:tc>
      </w:tr>
      <w:tr>
        <w:trPr>
          <w:trHeight w:val="188"/>
        </w:trPr>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before the Close of Business on the effective date of such stock split, stock combination or other similar event, as applicable;</w:t>
            </w:r>
          </w:p>
        </w:tc>
      </w:tr>
      <w:tr>
        <w:trPr>
          <w:trHeight w:val="373"/>
        </w:trPr>
        <w:tc>
          <w:tcPr>
            <w:tcW w:w="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CR</w:t>
            </w:r>
            <w:r>
              <w:rPr>
                <w:rFonts w:ascii="Times New Roman" w:cs="Times New Roman" w:eastAsia="Times New Roman" w:hAnsi="Times New Roman"/>
                <w:sz w:val="18"/>
                <w:szCs w:val="18"/>
                <w:i w:val="1"/>
                <w:iCs w:val="1"/>
                <w:color w:val="auto"/>
                <w:vertAlign w:val="subscript"/>
              </w:rPr>
              <w:t>1</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Conversion Rate in effect immediately after the Close of Business on such Record Date or effective date, as applicable;</w:t>
            </w:r>
          </w:p>
        </w:tc>
      </w:tr>
      <w:tr>
        <w:trPr>
          <w:trHeight w:val="330"/>
        </w:trPr>
        <w:tc>
          <w:tcPr>
            <w:tcW w:w="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8"/>
                <w:szCs w:val="18"/>
                <w:i w:val="1"/>
                <w:iCs w:val="1"/>
                <w:color w:val="auto"/>
                <w:vertAlign w:val="subscript"/>
              </w:rPr>
              <w:t>0</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number of shares of Common Stock outstanding immediately before the Close of Business on such Record Date or effective date, as applicable, without giving</w:t>
            </w:r>
          </w:p>
        </w:tc>
      </w:tr>
      <w:tr>
        <w:trPr>
          <w:trHeight w:val="188"/>
        </w:trPr>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effect to such dividend, distribution, stock split, stock combination or other similar event; and</w:t>
            </w: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8"/>
                <w:szCs w:val="18"/>
                <w:i w:val="1"/>
                <w:iCs w:val="1"/>
                <w:color w:val="auto"/>
                <w:vertAlign w:val="subscript"/>
              </w:rPr>
              <w:t>1</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number of shares of Common Stock outstanding immediately after giving effect to such dividend, distribution, stock split, stock combination or other similar</w:t>
            </w:r>
          </w:p>
        </w:tc>
      </w:tr>
      <w:tr>
        <w:trPr>
          <w:trHeight w:val="188"/>
        </w:trPr>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event.</w:t>
            </w:r>
          </w:p>
        </w:tc>
      </w:tr>
    </w:tbl>
    <w:p>
      <w:pPr>
        <w:spacing w:after="0" w:line="18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 xml:space="preserve">If any dividend, distribution, stock split, stock combination or other similar event of the type described in this </w:t>
      </w:r>
      <w:r>
        <w:rPr>
          <w:rFonts w:ascii="Times New Roman" w:cs="Times New Roman" w:eastAsia="Times New Roman" w:hAnsi="Times New Roman"/>
          <w:sz w:val="14"/>
          <w:szCs w:val="14"/>
          <w:b w:val="1"/>
          <w:bCs w:val="1"/>
          <w:color w:val="auto"/>
        </w:rPr>
        <w:t>Section 9(c)(i)(1)</w:t>
      </w:r>
      <w:r>
        <w:rPr>
          <w:rFonts w:ascii="Times New Roman" w:cs="Times New Roman" w:eastAsia="Times New Roman" w:hAnsi="Times New Roman"/>
          <w:sz w:val="14"/>
          <w:szCs w:val="14"/>
          <w:color w:val="auto"/>
        </w:rPr>
        <w:t xml:space="preserve"> is declared or announced, but not so paid or made, then the Conversion Rate will be readjusted, effective as of the date the Corporation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93" w:lineRule="exact"/>
        <w:rPr>
          <w:sz w:val="20"/>
          <w:szCs w:val="20"/>
          <w:color w:val="auto"/>
        </w:rPr>
      </w:pPr>
    </w:p>
    <w:p>
      <w:pPr>
        <w:jc w:val="both"/>
        <w:ind w:right="120" w:firstLine="1288"/>
        <w:spacing w:after="0" w:line="237" w:lineRule="auto"/>
        <w:tabs>
          <w:tab w:leader="none" w:pos="1725"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Certain Issuances of Equity Interests</w:t>
      </w:r>
      <w:r>
        <w:rPr>
          <w:rFonts w:ascii="Times New Roman" w:cs="Times New Roman" w:eastAsia="Times New Roman" w:hAnsi="Times New Roman"/>
          <w:sz w:val="14"/>
          <w:szCs w:val="14"/>
          <w:color w:val="auto"/>
        </w:rPr>
        <w:t>. In the event the Corporation shall at any time after the Initial Issue Date issue Equity Interests, without consideration or for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per share less than the Current Market Price as of the date of issuance of such Equity Interests, then the Conversion Rate shall be increased, concurrently with such issue, to a price determined in accordance with the following formula: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118" w:right="359" w:bottom="1440" w:gutter="0" w:footer="0" w:header="0"/>
        </w:sectPr>
      </w:pPr>
    </w:p>
    <w:bookmarkStart w:id="197" w:name="page198"/>
    <w:bookmarkEnd w:id="197"/>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where: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CMP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w:t>
      </w:r>
      <w:r>
        <w:rPr>
          <w:rFonts w:ascii="Times New Roman" w:cs="Times New Roman" w:eastAsia="Times New Roman" w:hAnsi="Times New Roman"/>
          <w:sz w:val="18"/>
          <w:szCs w:val="18"/>
          <w:i w:val="1"/>
          <w:iCs w:val="1"/>
          <w:color w:val="auto"/>
          <w:vertAlign w:val="subscript"/>
        </w:rPr>
        <w:t>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w:t>
      </w:r>
      <w:r>
        <w:rPr>
          <w:rFonts w:ascii="Times New Roman" w:cs="Times New Roman" w:eastAsia="Times New Roman" w:hAnsi="Times New Roman"/>
          <w:sz w:val="18"/>
          <w:szCs w:val="18"/>
          <w:i w:val="1"/>
          <w:iCs w:val="1"/>
          <w:color w:val="auto"/>
          <w:vertAlign w:val="subscript"/>
        </w:rPr>
        <w:t>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8"/>
          <w:szCs w:val="18"/>
          <w:i w:val="1"/>
          <w:iCs w:val="1"/>
          <w:color w:val="auto"/>
          <w:vertAlign w:val="subscript"/>
        </w:rPr>
        <w:t>0</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8"/>
          <w:szCs w:val="18"/>
          <w:i w:val="1"/>
          <w:iCs w:val="1"/>
          <w:color w:val="auto"/>
          <w:vertAlign w:val="subscript"/>
        </w:rPr>
        <w:t>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w:t>
      </w:r>
    </w:p>
    <w:p>
      <w:pPr>
        <w:spacing w:after="0" w:line="20" w:lineRule="exact"/>
        <w:rPr>
          <w:sz w:val="20"/>
          <w:szCs w:val="20"/>
          <w:color w:val="auto"/>
        </w:rPr>
      </w:pPr>
      <w:r>
        <w:rPr>
          <w:sz w:val="20"/>
          <w:szCs w:val="20"/>
          <w:color w:val="auto"/>
        </w:rPr>
        <w:br w:type="column"/>
      </w:r>
    </w:p>
    <w:p>
      <w:pPr>
        <w:ind w:left="429"/>
        <w:spacing w:after="0"/>
        <w:rPr>
          <w:sz w:val="20"/>
          <w:szCs w:val="20"/>
          <w:color w:val="auto"/>
        </w:rPr>
      </w:pPr>
      <w:r>
        <w:rPr>
          <w:rFonts w:ascii="Times New Roman" w:cs="Times New Roman" w:eastAsia="Times New Roman" w:hAnsi="Times New Roman"/>
          <w:sz w:val="14"/>
          <w:szCs w:val="14"/>
          <w:color w:val="auto"/>
        </w:rPr>
        <w:t>CR</w:t>
      </w:r>
      <w:r>
        <w:rPr>
          <w:rFonts w:ascii="Times New Roman" w:cs="Times New Roman" w:eastAsia="Times New Roman" w:hAnsi="Times New Roman"/>
          <w:sz w:val="18"/>
          <w:szCs w:val="18"/>
          <w:color w:val="auto"/>
          <w:vertAlign w:val="subscript"/>
        </w:rPr>
        <w:t>1</w:t>
      </w:r>
      <w:r>
        <w:rPr>
          <w:rFonts w:ascii="Times New Roman" w:cs="Times New Roman" w:eastAsia="Times New Roman" w:hAnsi="Times New Roman"/>
          <w:sz w:val="14"/>
          <w:szCs w:val="14"/>
          <w:color w:val="auto"/>
        </w:rPr>
        <w:t xml:space="preserve"> = CR</w:t>
      </w:r>
      <w:r>
        <w:rPr>
          <w:rFonts w:ascii="Times New Roman" w:cs="Times New Roman" w:eastAsia="Times New Roman" w:hAnsi="Times New Roman"/>
          <w:sz w:val="18"/>
          <w:szCs w:val="18"/>
          <w:color w:val="auto"/>
          <w:vertAlign w:val="subscript"/>
        </w:rPr>
        <w:t>0</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8"/>
          <w:szCs w:val="18"/>
          <w:i w:val="1"/>
          <w:iCs w:val="1"/>
          <w:color w:val="auto"/>
          <w:vertAlign w:val="subscript"/>
        </w:rPr>
        <w:t>1</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CMP) ÷ [(</w:t>
      </w:r>
      <w:r>
        <w:rPr>
          <w:rFonts w:ascii="Times New Roman" w:cs="Times New Roman" w:eastAsia="Times New Roman" w:hAnsi="Times New Roman"/>
          <w:sz w:val="14"/>
          <w:szCs w:val="14"/>
          <w:i w:val="1"/>
          <w:iCs w:val="1"/>
          <w:color w:val="auto"/>
        </w:rPr>
        <w:t>OS</w:t>
      </w:r>
      <w:r>
        <w:rPr>
          <w:rFonts w:ascii="Times New Roman" w:cs="Times New Roman" w:eastAsia="Times New Roman" w:hAnsi="Times New Roman"/>
          <w:sz w:val="18"/>
          <w:szCs w:val="18"/>
          <w:i w:val="1"/>
          <w:iCs w:val="1"/>
          <w:color w:val="auto"/>
          <w:vertAlign w:val="subscript"/>
        </w:rPr>
        <w:t>0</w:t>
      </w:r>
      <w:r>
        <w:rPr>
          <w:rFonts w:ascii="Times New Roman" w:cs="Times New Roman" w:eastAsia="Times New Roman" w:hAnsi="Times New Roman"/>
          <w:sz w:val="14"/>
          <w:szCs w:val="14"/>
          <w:color w:val="auto"/>
        </w:rPr>
        <w:t>*CMP) + AC]</w:t>
      </w:r>
    </w:p>
    <w:p>
      <w:pPr>
        <w:spacing w:after="0" w:line="200" w:lineRule="exact"/>
        <w:rPr>
          <w:sz w:val="20"/>
          <w:szCs w:val="20"/>
          <w:color w:val="auto"/>
        </w:rPr>
      </w:pPr>
    </w:p>
    <w:p>
      <w:pPr>
        <w:spacing w:after="0" w:line="299" w:lineRule="exact"/>
        <w:rPr>
          <w:sz w:val="20"/>
          <w:szCs w:val="20"/>
          <w:color w:val="auto"/>
        </w:rPr>
      </w:pPr>
    </w:p>
    <w:p>
      <w:pPr>
        <w:ind w:left="889" w:hanging="889"/>
        <w:spacing w:after="0"/>
        <w:tabs>
          <w:tab w:leader="none" w:pos="889"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Market Price</w:t>
      </w:r>
    </w:p>
    <w:p>
      <w:pPr>
        <w:spacing w:after="0" w:line="80" w:lineRule="exact"/>
        <w:rPr>
          <w:rFonts w:ascii="Times New Roman" w:cs="Times New Roman" w:eastAsia="Times New Roman" w:hAnsi="Times New Roman"/>
          <w:sz w:val="14"/>
          <w:szCs w:val="14"/>
          <w:color w:val="auto"/>
        </w:rPr>
      </w:pPr>
    </w:p>
    <w:p>
      <w:pPr>
        <w:ind w:left="889" w:hanging="889"/>
        <w:spacing w:after="0"/>
        <w:tabs>
          <w:tab w:leader="none" w:pos="889" w:val="left"/>
        </w:tabs>
        <w:numPr>
          <w:ilvl w:val="0"/>
          <w:numId w:val="2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the Conversion Rate in effect immediately prior to the Close of Business on the Trading Day immediately prior to the date of announcement of such issuance;</w:t>
      </w:r>
    </w:p>
    <w:p>
      <w:pPr>
        <w:spacing w:after="0" w:line="165" w:lineRule="exact"/>
        <w:rPr>
          <w:rFonts w:ascii="Times New Roman" w:cs="Times New Roman" w:eastAsia="Times New Roman" w:hAnsi="Times New Roman"/>
          <w:sz w:val="29"/>
          <w:szCs w:val="29"/>
          <w:color w:val="auto"/>
          <w:vertAlign w:val="superscript"/>
        </w:rPr>
      </w:pPr>
    </w:p>
    <w:p>
      <w:pPr>
        <w:ind w:left="889" w:hanging="889"/>
        <w:spacing w:after="0" w:line="184" w:lineRule="auto"/>
        <w:tabs>
          <w:tab w:leader="none" w:pos="889" w:val="left"/>
        </w:tabs>
        <w:numPr>
          <w:ilvl w:val="0"/>
          <w:numId w:val="26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the Conversion Rate in effect immediately after the issuance;</w:t>
      </w:r>
    </w:p>
    <w:p>
      <w:pPr>
        <w:spacing w:after="0" w:line="172" w:lineRule="exact"/>
        <w:rPr>
          <w:rFonts w:ascii="Times New Roman" w:cs="Times New Roman" w:eastAsia="Times New Roman" w:hAnsi="Times New Roman"/>
          <w:sz w:val="25"/>
          <w:szCs w:val="25"/>
          <w:color w:val="auto"/>
          <w:vertAlign w:val="superscript"/>
        </w:rPr>
      </w:pPr>
    </w:p>
    <w:p>
      <w:pPr>
        <w:ind w:left="889" w:right="620" w:hanging="889"/>
        <w:spacing w:after="0" w:line="255" w:lineRule="auto"/>
        <w:tabs>
          <w:tab w:leader="none" w:pos="889"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outstanding immediately prior to the issuance (includes outstanding shares of Common Stock, all shares of Convertible Preferred Stock on an as converted basis, and all outstanding options on an as-exercised basis);</w:t>
      </w:r>
    </w:p>
    <w:p>
      <w:pPr>
        <w:spacing w:after="0" w:line="161" w:lineRule="exact"/>
        <w:rPr>
          <w:rFonts w:ascii="Times New Roman" w:cs="Times New Roman" w:eastAsia="Times New Roman" w:hAnsi="Times New Roman"/>
          <w:sz w:val="14"/>
          <w:szCs w:val="14"/>
          <w:color w:val="auto"/>
        </w:rPr>
      </w:pPr>
    </w:p>
    <w:p>
      <w:pPr>
        <w:ind w:left="889" w:right="60" w:hanging="889"/>
        <w:spacing w:after="0" w:line="255" w:lineRule="auto"/>
        <w:tabs>
          <w:tab w:leader="none" w:pos="889"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outstanding immediately after the issuance (includes outstanding shares of Common Stock, all shares of Convertible Preferred Stock on an as converted basis, and all outstanding options on an as-exercised basis);</w:t>
      </w:r>
    </w:p>
    <w:p>
      <w:pPr>
        <w:spacing w:after="0" w:line="179" w:lineRule="exact"/>
        <w:rPr>
          <w:rFonts w:ascii="Times New Roman" w:cs="Times New Roman" w:eastAsia="Times New Roman" w:hAnsi="Times New Roman"/>
          <w:sz w:val="14"/>
          <w:szCs w:val="14"/>
          <w:color w:val="auto"/>
        </w:rPr>
      </w:pPr>
    </w:p>
    <w:p>
      <w:pPr>
        <w:ind w:left="889" w:right="280" w:hanging="889"/>
        <w:spacing w:after="0" w:line="272" w:lineRule="auto"/>
        <w:tabs>
          <w:tab w:leader="none" w:pos="889"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consideration received by the Corporation in respect of the issuance, equal to the sum of (x) the purchase price payable solely in cash of all such securities, plus (y) the minimum aggregate amount, if any, payable upon exercise or conversion of any such convertible securities into shares of Common Stock plus (z) the fair market value (as determined in good faith by the Board of Directors) of any consideration that consists all or in part of property other than cash;</w:t>
      </w:r>
    </w:p>
    <w:p>
      <w:pPr>
        <w:spacing w:after="0" w:line="186" w:lineRule="exact"/>
        <w:rPr>
          <w:sz w:val="20"/>
          <w:szCs w:val="20"/>
          <w:color w:val="auto"/>
        </w:rPr>
      </w:pPr>
    </w:p>
    <w:p>
      <w:pPr>
        <w:sectPr>
          <w:pgSz w:w="11900" w:h="16838" w:orient="portrait"/>
          <w:cols w:equalWidth="0" w:num="2">
            <w:col w:w="571" w:space="720"/>
            <w:col w:w="9989"/>
          </w:cols>
          <w:pgMar w:left="300" w:top="1080" w:right="319" w:bottom="1440" w:gutter="0" w:footer="0" w:header="0"/>
        </w:sectPr>
      </w:pPr>
    </w:p>
    <w:p>
      <w:pPr>
        <w:ind w:right="140"/>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the Conversion Rate will not be adjusted pursuant to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9(c)(i)(2)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solely as a result of an Exempt Issuance. Such adjustment shall become effective immediately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after the public announcement of such issuance. In the event that such issuance is announced but not completed, the Conversion Rate shall again be adjusted to be the Conversion Rate which would then be in effect if such issuance had not been announced.</w:t>
      </w:r>
    </w:p>
    <w:p>
      <w:pPr>
        <w:spacing w:after="0" w:line="93" w:lineRule="exact"/>
        <w:rPr>
          <w:sz w:val="20"/>
          <w:szCs w:val="20"/>
          <w:color w:val="auto"/>
        </w:rPr>
      </w:pPr>
    </w:p>
    <w:p>
      <w:pPr>
        <w:ind w:left="1280" w:hanging="424"/>
        <w:spacing w:after="0"/>
        <w:tabs>
          <w:tab w:leader="none" w:pos="128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Adjustments in Certain Cases</w:t>
      </w:r>
      <w:r>
        <w:rPr>
          <w:rFonts w:ascii="Times New Roman" w:cs="Times New Roman" w:eastAsia="Times New Roman" w:hAnsi="Times New Roman"/>
          <w:sz w:val="14"/>
          <w:szCs w:val="14"/>
          <w:color w:val="auto"/>
        </w:rPr>
        <w:t>. The Corporation will not be required to adjust the Conversion Rate except pursuant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9(c)</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0" w:hanging="424"/>
        <w:spacing w:after="0" w:line="231" w:lineRule="auto"/>
        <w:tabs>
          <w:tab w:leader="none" w:pos="128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Stockholder Rights Plans</w:t>
      </w:r>
      <w:r>
        <w:rPr>
          <w:rFonts w:ascii="Times New Roman" w:cs="Times New Roman" w:eastAsia="Times New Roman" w:hAnsi="Times New Roman"/>
          <w:sz w:val="14"/>
          <w:szCs w:val="14"/>
          <w:color w:val="auto"/>
        </w:rPr>
        <w:t>. If any shares of Common Stock are to be issued upon conversion of any Convertible Preferred Stock and, at the time of such conversion,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Corporation has in effect any stockholder rights plan, then the Holder of such Convertible Preferred Stock will be entitled to receive, in addition to, and concurrently with the delivery of, the consideration otherwise due upon such conversion, the rights set forth in such stockholder rights plan, unless such rights have separated from the Common Stock at such time, in which case, and only in such case, such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80" w:right="319" w:bottom="1440" w:gutter="0" w:footer="0" w:header="0"/>
          <w:type w:val="continuous"/>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4"/>
          <w:szCs w:val="14"/>
          <w:color w:val="auto"/>
        </w:rPr>
        <w:t>separation will require, at the time of such separation, distribution of such rights to the holders of Convertible Preferred Stock on an as-converted basis.</w:t>
      </w:r>
    </w:p>
    <w:p>
      <w:pPr>
        <w:spacing w:after="0" w:line="125" w:lineRule="exact"/>
        <w:rPr>
          <w:sz w:val="20"/>
          <w:szCs w:val="20"/>
          <w:color w:val="auto"/>
        </w:rPr>
      </w:pPr>
    </w:p>
    <w:p>
      <w:pPr>
        <w:jc w:val="both"/>
        <w:ind w:left="1260" w:right="60" w:hanging="424"/>
        <w:spacing w:after="0" w:line="237" w:lineRule="auto"/>
        <w:tabs>
          <w:tab w:leader="none" w:pos="1252"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Determination of the Number of Outstanding Shares of Common Stock</w:t>
      </w:r>
      <w:r>
        <w:rPr>
          <w:rFonts w:ascii="Times New Roman" w:cs="Times New Roman" w:eastAsia="Times New Roman" w:hAnsi="Times New Roman"/>
          <w:sz w:val="14"/>
          <w:szCs w:val="14"/>
          <w:color w:val="auto"/>
        </w:rPr>
        <w:t>. For purposes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9(c)(i)</w:t>
      </w:r>
      <w:r>
        <w:rPr>
          <w:rFonts w:ascii="Times New Roman" w:cs="Times New Roman" w:eastAsia="Times New Roman" w:hAnsi="Times New Roman"/>
          <w:sz w:val="14"/>
          <w:szCs w:val="14"/>
          <w:color w:val="auto"/>
        </w:rPr>
        <w:t>, the number of shares of Common Stock outstanding at any time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exclude shares of Common Stock held in the Corporation’s treasury (unless the Corporation pays any dividend or makes any distributions on shares of Common Stock held in its treasury).</w:t>
      </w:r>
    </w:p>
    <w:p>
      <w:pPr>
        <w:spacing w:after="0" w:line="99" w:lineRule="exact"/>
        <w:rPr>
          <w:rFonts w:ascii="Times New Roman" w:cs="Times New Roman" w:eastAsia="Times New Roman" w:hAnsi="Times New Roman"/>
          <w:sz w:val="14"/>
          <w:szCs w:val="14"/>
          <w:color w:val="auto"/>
        </w:rPr>
      </w:pPr>
    </w:p>
    <w:p>
      <w:pPr>
        <w:ind w:left="1260" w:right="380" w:hanging="424"/>
        <w:spacing w:after="0" w:line="258" w:lineRule="auto"/>
        <w:tabs>
          <w:tab w:leader="none" w:pos="1257"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Calculations</w:t>
      </w:r>
      <w:r>
        <w:rPr>
          <w:rFonts w:ascii="Times New Roman" w:cs="Times New Roman" w:eastAsia="Times New Roman" w:hAnsi="Times New Roman"/>
          <w:sz w:val="14"/>
          <w:szCs w:val="14"/>
          <w:color w:val="auto"/>
        </w:rPr>
        <w:t>. All calculations with respect to the Conversion Rate and adjustments thereto will be made to the nearest 1/10,000th of a cent (with 5/100,000ths rounded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upward).</w:t>
      </w:r>
    </w:p>
    <w:p>
      <w:pPr>
        <w:spacing w:after="0" w:line="85" w:lineRule="exact"/>
        <w:rPr>
          <w:rFonts w:ascii="Times New Roman" w:cs="Times New Roman" w:eastAsia="Times New Roman" w:hAnsi="Times New Roman"/>
          <w:sz w:val="14"/>
          <w:szCs w:val="14"/>
          <w:color w:val="auto"/>
        </w:rPr>
      </w:pPr>
    </w:p>
    <w:p>
      <w:pPr>
        <w:ind w:left="1260" w:right="80" w:hanging="424"/>
        <w:spacing w:after="0" w:line="237" w:lineRule="auto"/>
        <w:tabs>
          <w:tab w:leader="none" w:pos="1252"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Notice of Conversion Rate Adjustments</w:t>
      </w:r>
      <w:r>
        <w:rPr>
          <w:rFonts w:ascii="Times New Roman" w:cs="Times New Roman" w:eastAsia="Times New Roman" w:hAnsi="Times New Roman"/>
          <w:sz w:val="14"/>
          <w:szCs w:val="14"/>
          <w:color w:val="auto"/>
        </w:rPr>
        <w:t>. Upon the effectiveness of any adjustment to the Conversion Rate pursuant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9(c)(i)</w:t>
      </w:r>
      <w:r>
        <w:rPr>
          <w:rFonts w:ascii="Times New Roman" w:cs="Times New Roman" w:eastAsia="Times New Roman" w:hAnsi="Times New Roman"/>
          <w:sz w:val="14"/>
          <w:szCs w:val="14"/>
          <w:color w:val="auto"/>
        </w:rPr>
        <w:t>, the Corporation will, as soon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reasonably practicable, send notice to the Holders containing (1) a brief description of the transaction or other event on account of which such adjustment was made; (2) the Conversion Rate in effect immediately after such adjustment; and (3) the effective time of such adjustment.</w:t>
      </w:r>
    </w:p>
    <w:p>
      <w:pPr>
        <w:spacing w:after="0" w:line="99" w:lineRule="exact"/>
        <w:rPr>
          <w:rFonts w:ascii="Times New Roman" w:cs="Times New Roman" w:eastAsia="Times New Roman" w:hAnsi="Times New Roman"/>
          <w:sz w:val="14"/>
          <w:szCs w:val="14"/>
          <w:color w:val="auto"/>
        </w:rPr>
      </w:pPr>
    </w:p>
    <w:p>
      <w:pPr>
        <w:ind w:left="840" w:hanging="436"/>
        <w:spacing w:after="0"/>
        <w:tabs>
          <w:tab w:leader="none" w:pos="84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Voluntary Conversion Rate Increases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60" w:right="40" w:hanging="424"/>
        <w:spacing w:after="0" w:line="226" w:lineRule="auto"/>
        <w:tabs>
          <w:tab w:leader="none" w:pos="1252"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To the extent permitted by law and applicable stock exchange rules, the Corporation, from time to time, may (but is not required to) increase the Conversion 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by any amount if (1) the Board of Directors determines that such increase is in the Corporation’s best interest or that such increase is advisable to avoid or diminish any income tax imposed on holders of Common Stock or rights to purchase Common Stock as a result of any dividend or distribution of shares (or rights to acquire shares) of Common Stock or any similar event; (2) such increase is in effect for a period of at least twenty (20) Business Days; and (3) such increase is irrevocable during such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any such increase that would be reasonably expected to result in any income tax imposed on holders of Convertible Preferred Stock shall require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affirmative vote or consent of the Requisite Holders.</w:t>
      </w:r>
    </w:p>
    <w:p>
      <w:pPr>
        <w:spacing w:after="0" w:line="98" w:lineRule="exact"/>
        <w:rPr>
          <w:rFonts w:ascii="Times New Roman" w:cs="Times New Roman" w:eastAsia="Times New Roman" w:hAnsi="Times New Roman"/>
          <w:sz w:val="14"/>
          <w:szCs w:val="14"/>
          <w:color w:val="auto"/>
        </w:rPr>
      </w:pPr>
    </w:p>
    <w:p>
      <w:pPr>
        <w:ind w:left="1260" w:right="100" w:hanging="424"/>
        <w:spacing w:after="0" w:line="237" w:lineRule="auto"/>
        <w:tabs>
          <w:tab w:leader="none" w:pos="1256"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Notice of Voluntary Increase</w:t>
      </w:r>
      <w:r>
        <w:rPr>
          <w:rFonts w:ascii="Times New Roman" w:cs="Times New Roman" w:eastAsia="Times New Roman" w:hAnsi="Times New Roman"/>
          <w:sz w:val="14"/>
          <w:szCs w:val="14"/>
          <w:color w:val="auto"/>
        </w:rPr>
        <w:t>. If the Board of Directors determines to increase the Conversion Rate pursuant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9(d)(i)</w:t>
      </w:r>
      <w:r>
        <w:rPr>
          <w:rFonts w:ascii="Times New Roman" w:cs="Times New Roman" w:eastAsia="Times New Roman" w:hAnsi="Times New Roman"/>
          <w:sz w:val="14"/>
          <w:szCs w:val="14"/>
          <w:color w:val="auto"/>
        </w:rPr>
        <w:t>, then, no later than the first Business Day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related twenty (20) Business Day period referred to in </w:t>
      </w:r>
      <w:r>
        <w:rPr>
          <w:rFonts w:ascii="Times New Roman" w:cs="Times New Roman" w:eastAsia="Times New Roman" w:hAnsi="Times New Roman"/>
          <w:sz w:val="14"/>
          <w:szCs w:val="14"/>
          <w:b w:val="1"/>
          <w:bCs w:val="1"/>
          <w:color w:val="auto"/>
        </w:rPr>
        <w:t>Section 9(d)(i)</w:t>
      </w:r>
      <w:r>
        <w:rPr>
          <w:rFonts w:ascii="Times New Roman" w:cs="Times New Roman" w:eastAsia="Times New Roman" w:hAnsi="Times New Roman"/>
          <w:sz w:val="14"/>
          <w:szCs w:val="14"/>
          <w:color w:val="auto"/>
        </w:rPr>
        <w:t>, the Corporation will send notice to each Holder, the Transfer Agent and the Conversion Agent of such increase to the Conversion Rate, the amount thereof and the period during which such increase will be in effect.</w:t>
      </w:r>
    </w:p>
    <w:p>
      <w:pPr>
        <w:spacing w:after="0" w:line="99" w:lineRule="exact"/>
        <w:rPr>
          <w:rFonts w:ascii="Times New Roman" w:cs="Times New Roman" w:eastAsia="Times New Roman" w:hAnsi="Times New Roman"/>
          <w:sz w:val="14"/>
          <w:szCs w:val="14"/>
          <w:color w:val="auto"/>
        </w:rPr>
      </w:pPr>
    </w:p>
    <w:p>
      <w:pPr>
        <w:ind w:left="840" w:hanging="436"/>
        <w:spacing w:after="0"/>
        <w:tabs>
          <w:tab w:leader="none" w:pos="84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Restriction on Conversions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60" w:hanging="424"/>
        <w:spacing w:after="0"/>
        <w:tabs>
          <w:tab w:leader="none" w:pos="1260" w:val="left"/>
        </w:tabs>
        <w:numPr>
          <w:ilvl w:val="1"/>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Equity Treatment Limitation</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20" w:firstLine="1288"/>
        <w:spacing w:after="0" w:line="258" w:lineRule="auto"/>
        <w:tabs>
          <w:tab w:leader="none" w:pos="1705" w:val="left"/>
        </w:tabs>
        <w:numPr>
          <w:ilvl w:val="2"/>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Notwithstanding anything to the contrary in this Certificate of Designations, the Corporation will in no event be required to deliver any shares of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in settlement of the conversion of any Convertible Preferred Stock to the extent, but only to the extent, the Corporation does not then have sufficient authorized and unissued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147955</wp:posOffset>
            </wp:positionV>
            <wp:extent cx="720344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1120" w:right="319" w:bottom="1440" w:gutter="0" w:footer="0" w:header="0"/>
        </w:sectPr>
      </w:pPr>
    </w:p>
    <w:bookmarkStart w:id="199" w:name="page200"/>
    <w:bookmarkEnd w:id="199"/>
    <w:p>
      <w:pPr>
        <w:ind w:left="8" w:right="20"/>
        <w:spacing w:after="0"/>
        <w:rPr>
          <w:sz w:val="20"/>
          <w:szCs w:val="20"/>
          <w:color w:val="auto"/>
        </w:rPr>
      </w:pPr>
      <w:r>
        <w:rPr>
          <w:rFonts w:ascii="Times New Roman" w:cs="Times New Roman" w:eastAsia="Times New Roman" w:hAnsi="Times New Roman"/>
          <w:sz w:val="14"/>
          <w:szCs w:val="14"/>
          <w:color w:val="auto"/>
        </w:rPr>
        <w:t>shares of Common Stock that are not reserved for other purposes (the limitation set forth in this sentence, the “</w:t>
      </w:r>
      <w:r>
        <w:rPr>
          <w:rFonts w:ascii="Times New Roman" w:cs="Times New Roman" w:eastAsia="Times New Roman" w:hAnsi="Times New Roman"/>
          <w:sz w:val="14"/>
          <w:szCs w:val="14"/>
          <w:b w:val="1"/>
          <w:bCs w:val="1"/>
          <w:color w:val="auto"/>
        </w:rPr>
        <w:t>Equity Treatment Limitation</w:t>
      </w:r>
      <w:r>
        <w:rPr>
          <w:rFonts w:ascii="Times New Roman" w:cs="Times New Roman" w:eastAsia="Times New Roman" w:hAnsi="Times New Roman"/>
          <w:sz w:val="14"/>
          <w:szCs w:val="14"/>
          <w:color w:val="auto"/>
        </w:rPr>
        <w:t>,” and any shares of Common Stock that would otherwise be deliverable in excess of the number of such authorized and unissued shares, the “</w:t>
      </w:r>
      <w:r>
        <w:rPr>
          <w:rFonts w:ascii="Times New Roman" w:cs="Times New Roman" w:eastAsia="Times New Roman" w:hAnsi="Times New Roman"/>
          <w:sz w:val="14"/>
          <w:szCs w:val="14"/>
          <w:b w:val="1"/>
          <w:bCs w:val="1"/>
          <w:color w:val="auto"/>
        </w:rPr>
        <w:t>Deficit Shares</w:t>
      </w:r>
      <w:r>
        <w:rPr>
          <w:rFonts w:ascii="Times New Roman" w:cs="Times New Roman" w:eastAsia="Times New Roman" w:hAnsi="Times New Roman"/>
          <w:sz w:val="14"/>
          <w:szCs w:val="14"/>
          <w:color w:val="auto"/>
        </w:rPr>
        <w:t>”). If any Deficit Shares are withheld pursuant to the Equity Treatment Limitation and, at any time thereafter, some or all of such Deficit Shares could be delivered without violating the Equity Treatment Limitation, then (A) the Corporation will deliver such Deficit Shares to the extent, but only to the extent, such delivery is permitted by the Equity Treatment Limitation; and (B) the provisions of this sentence will continue to apply until there are no remaining Deficit Shares.</w:t>
      </w:r>
    </w:p>
    <w:p>
      <w:pPr>
        <w:spacing w:after="0" w:line="220" w:lineRule="exact"/>
        <w:rPr>
          <w:sz w:val="20"/>
          <w:szCs w:val="20"/>
          <w:color w:val="auto"/>
        </w:rPr>
      </w:pPr>
    </w:p>
    <w:p>
      <w:pPr>
        <w:ind w:left="8" w:firstLine="1288"/>
        <w:spacing w:after="0" w:line="228" w:lineRule="auto"/>
        <w:tabs>
          <w:tab w:leader="none" w:pos="1733" w:val="left"/>
        </w:tabs>
        <w:numPr>
          <w:ilvl w:val="3"/>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 Reserve Provisions</w:t>
      </w:r>
      <w:r>
        <w:rPr>
          <w:rFonts w:ascii="Times New Roman" w:cs="Times New Roman" w:eastAsia="Times New Roman" w:hAnsi="Times New Roman"/>
          <w:sz w:val="14"/>
          <w:szCs w:val="14"/>
          <w:color w:val="auto"/>
        </w:rPr>
        <w:t>. On the Initial Issue Date, the Number of Reserved Shares is not less than the Share Reserve Requirement. The Corporation shall at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times reserve and keep available a number of Reserved Shares to be no less than the Share Reserve Requirement at any time when any Convertible Preferred Stock is outstanding (including, if applicable, by seeking the approval of its stockholders to amend the Certificate of Incorporation to increase the number of authorized shares of Common Stock). The Corporation shall take all such actions as may be necessary to assure that all such shares of Common Stock may be issued without violation of any applicable law or governmental regulation or any requirements of any domestic securities exchange upon which shares of Common Stock may be listed (except for official notice of issuance, which shall be immediately delivered by the Corporation upon each such issuance).</w:t>
      </w:r>
    </w:p>
    <w:p>
      <w:pPr>
        <w:spacing w:after="0" w:line="99"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Effect of Common Stock Change Event</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hanging="424"/>
        <w:spacing w:after="0"/>
        <w:tabs>
          <w:tab w:leader="none" w:pos="1288" w:val="left"/>
        </w:tabs>
        <w:numPr>
          <w:ilvl w:val="2"/>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Generally</w:t>
      </w:r>
      <w:r>
        <w:rPr>
          <w:rFonts w:ascii="Times New Roman" w:cs="Times New Roman" w:eastAsia="Times New Roman" w:hAnsi="Times New Roman"/>
          <w:sz w:val="14"/>
          <w:szCs w:val="14"/>
          <w:color w:val="auto"/>
        </w:rPr>
        <w:t>. If there occurs any:</w:t>
      </w:r>
    </w:p>
    <w:p>
      <w:pPr>
        <w:spacing w:after="0" w:line="128"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3"/>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recapitalization, reclassification or change of the Common Stock, other than (x) changes solely resulting from a subdivision or combination of the Common Stock,</w:t>
      </w:r>
    </w:p>
    <w:p>
      <w:pPr>
        <w:ind w:left="8" w:right="20" w:hanging="8"/>
        <w:spacing w:after="0" w:line="235" w:lineRule="auto"/>
        <w:tabs>
          <w:tab w:leader="none" w:pos="212"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only in par value or from par value to no par value or no par value to par value or (z) stock splits and stock combinations that do not involve the issuance of any other series or class of securities;</w:t>
      </w:r>
    </w:p>
    <w:p>
      <w:pPr>
        <w:spacing w:after="0" w:line="100"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3"/>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 merger, combination or binding or statutory share exchange involving the Corporation;</w:t>
      </w:r>
    </w:p>
    <w:p>
      <w:pPr>
        <w:spacing w:after="0" w:line="127"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3"/>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 lease or other transfer of all or substantially all of the assets of the Corporation and its Subsidiaries, taken as a whole, to any Person; or</w:t>
      </w:r>
    </w:p>
    <w:p>
      <w:pPr>
        <w:spacing w:after="0" w:line="127" w:lineRule="exact"/>
        <w:rPr>
          <w:rFonts w:ascii="Times New Roman" w:cs="Times New Roman" w:eastAsia="Times New Roman" w:hAnsi="Times New Roman"/>
          <w:sz w:val="14"/>
          <w:szCs w:val="14"/>
          <w:color w:val="auto"/>
        </w:rPr>
      </w:pPr>
    </w:p>
    <w:p>
      <w:pPr>
        <w:ind w:left="1728" w:hanging="432"/>
        <w:spacing w:after="0"/>
        <w:tabs>
          <w:tab w:leader="none" w:pos="1728" w:val="left"/>
        </w:tabs>
        <w:numPr>
          <w:ilvl w:val="3"/>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similar event,</w:t>
      </w:r>
    </w:p>
    <w:p>
      <w:pPr>
        <w:spacing w:after="0" w:line="145" w:lineRule="exact"/>
        <w:rPr>
          <w:sz w:val="20"/>
          <w:szCs w:val="20"/>
          <w:color w:val="auto"/>
        </w:rPr>
      </w:pPr>
    </w:p>
    <w:p>
      <w:pPr>
        <w:ind w:left="8" w:right="20"/>
        <w:spacing w:after="0" w:line="270" w:lineRule="auto"/>
        <w:rPr>
          <w:sz w:val="20"/>
          <w:szCs w:val="20"/>
          <w:color w:val="auto"/>
        </w:rPr>
      </w:pPr>
      <w:r>
        <w:rPr>
          <w:rFonts w:ascii="Times New Roman" w:cs="Times New Roman" w:eastAsia="Times New Roman" w:hAnsi="Times New Roman"/>
          <w:sz w:val="14"/>
          <w:szCs w:val="14"/>
          <w:color w:val="auto"/>
        </w:rPr>
        <w:t>which does not constitute a Liquidation Event 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14"/>
          <w:szCs w:val="14"/>
          <w:b w:val="1"/>
          <w:bCs w:val="1"/>
          <w:color w:val="auto"/>
        </w:rPr>
        <w:t>Common Stock Change Event</w:t>
      </w:r>
      <w:r>
        <w:rPr>
          <w:rFonts w:ascii="Times New Roman" w:cs="Times New Roman" w:eastAsia="Times New Roman" w:hAnsi="Times New Roman"/>
          <w:sz w:val="14"/>
          <w:szCs w:val="14"/>
          <w:color w:val="auto"/>
        </w:rPr>
        <w:t>,” and such other securities, cash or property, the “</w:t>
      </w:r>
      <w:r>
        <w:rPr>
          <w:rFonts w:ascii="Times New Roman" w:cs="Times New Roman" w:eastAsia="Times New Roman" w:hAnsi="Times New Roman"/>
          <w:sz w:val="14"/>
          <w:szCs w:val="14"/>
          <w:b w:val="1"/>
          <w:bCs w:val="1"/>
          <w:color w:val="auto"/>
        </w:rPr>
        <w:t>Reference Property</w:t>
      </w:r>
      <w:r>
        <w:rPr>
          <w:rFonts w:ascii="Times New Roman" w:cs="Times New Roman" w:eastAsia="Times New Roman" w:hAnsi="Times New Roman"/>
          <w:sz w:val="14"/>
          <w:szCs w:val="14"/>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14"/>
          <w:szCs w:val="14"/>
          <w:b w:val="1"/>
          <w:bCs w:val="1"/>
          <w:color w:val="auto"/>
        </w:rPr>
        <w:t>Reference Property Unit</w:t>
      </w:r>
      <w:r>
        <w:rPr>
          <w:rFonts w:ascii="Times New Roman" w:cs="Times New Roman" w:eastAsia="Times New Roman" w:hAnsi="Times New Roman"/>
          <w:sz w:val="14"/>
          <w:szCs w:val="14"/>
          <w:color w:val="auto"/>
        </w:rPr>
        <w:t>”), then, notwithstanding anything to the contrary in this Certificate of Designations,</w:t>
      </w:r>
    </w:p>
    <w:p>
      <w:pPr>
        <w:spacing w:after="0" w:line="266" w:lineRule="exact"/>
        <w:rPr>
          <w:sz w:val="20"/>
          <w:szCs w:val="20"/>
          <w:color w:val="auto"/>
        </w:rPr>
      </w:pPr>
    </w:p>
    <w:p>
      <w:pPr>
        <w:ind w:left="2148" w:hanging="420"/>
        <w:spacing w:after="0"/>
        <w:tabs>
          <w:tab w:leader="none" w:pos="2148"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effective time of such Common Stock Change Event, (I) the consideration due upon conversion of any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76" w:lineRule="exact"/>
        <w:rPr>
          <w:rFonts w:ascii="Times New Roman" w:cs="Times New Roman" w:eastAsia="Times New Roman" w:hAnsi="Times New Roman"/>
          <w:sz w:val="14"/>
          <w:szCs w:val="14"/>
          <w:color w:val="auto"/>
        </w:rPr>
      </w:pPr>
    </w:p>
    <w:p>
      <w:pPr>
        <w:ind w:left="558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8" w:right="299" w:bottom="1440" w:gutter="0" w:footer="0" w:header="0"/>
        </w:sectPr>
      </w:pPr>
    </w:p>
    <w:bookmarkStart w:id="200" w:name="page201"/>
    <w:bookmarkEnd w:id="200"/>
    <w:p>
      <w:pPr>
        <w:ind w:left="1288" w:right="40"/>
        <w:spacing w:after="0" w:line="258" w:lineRule="auto"/>
        <w:rPr>
          <w:sz w:val="20"/>
          <w:szCs w:val="20"/>
          <w:color w:val="auto"/>
        </w:rPr>
      </w:pPr>
      <w:r>
        <w:rPr>
          <w:rFonts w:ascii="Times New Roman" w:cs="Times New Roman" w:eastAsia="Times New Roman" w:hAnsi="Times New Roman"/>
          <w:sz w:val="14"/>
          <w:szCs w:val="14"/>
          <w:color w:val="auto"/>
        </w:rPr>
        <w:t xml:space="preserve">Convertible Preferred Stock will be determined in the same manner as if each reference to any number of shares of Common Stock in </w:t>
      </w:r>
      <w:r>
        <w:rPr>
          <w:rFonts w:ascii="Times New Roman" w:cs="Times New Roman" w:eastAsia="Times New Roman" w:hAnsi="Times New Roman"/>
          <w:sz w:val="14"/>
          <w:szCs w:val="14"/>
          <w:b w:val="1"/>
          <w:bCs w:val="1"/>
          <w:color w:val="auto"/>
        </w:rPr>
        <w:t>Section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Section 9</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color w:val="auto"/>
        </w:rPr>
        <w:t>Section 10</w:t>
      </w:r>
      <w:r>
        <w:rPr>
          <w:rFonts w:ascii="Times New Roman" w:cs="Times New Roman" w:eastAsia="Times New Roman" w:hAnsi="Times New Roman"/>
          <w:sz w:val="14"/>
          <w:szCs w:val="14"/>
          <w:color w:val="auto"/>
        </w:rPr>
        <w:t>, or in any related definitions, were instead a reference to the same number of Reference Property Units; and</w:t>
      </w:r>
    </w:p>
    <w:p>
      <w:pPr>
        <w:spacing w:after="0" w:line="88" w:lineRule="exact"/>
        <w:rPr>
          <w:sz w:val="20"/>
          <w:szCs w:val="20"/>
          <w:color w:val="auto"/>
        </w:rPr>
      </w:pPr>
    </w:p>
    <w:p>
      <w:pPr>
        <w:ind w:left="1288" w:right="60" w:firstLine="440"/>
        <w:spacing w:after="0" w:line="255" w:lineRule="auto"/>
        <w:tabs>
          <w:tab w:leader="none" w:pos="2146"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Reference Property Unit consists entirely of cash, then the Corporation will pay the cash due in respect of all conversions occurring on the Mandatory Conversion Date no later than the tenth (10th) Business Day after the Mandatory Conversion Date.</w:t>
      </w:r>
    </w:p>
    <w:p>
      <w:pPr>
        <w:spacing w:after="0" w:line="108" w:lineRule="exact"/>
        <w:rPr>
          <w:sz w:val="20"/>
          <w:szCs w:val="20"/>
          <w:color w:val="auto"/>
        </w:rPr>
      </w:pPr>
    </w:p>
    <w:p>
      <w:pPr>
        <w:ind w:left="8"/>
        <w:spacing w:after="0" w:line="275" w:lineRule="auto"/>
        <w:rPr>
          <w:sz w:val="20"/>
          <w:szCs w:val="20"/>
          <w:color w:val="auto"/>
        </w:rPr>
      </w:pPr>
      <w:r>
        <w:rPr>
          <w:rFonts w:ascii="Times New Roman" w:cs="Times New Roman" w:eastAsia="Times New Roman" w:hAnsi="Times New Roman"/>
          <w:sz w:val="14"/>
          <w:szCs w:val="14"/>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Corporation will notify the Holders of such weighted average as soon as practicable after such determination is made.</w:t>
      </w:r>
    </w:p>
    <w:p>
      <w:pPr>
        <w:spacing w:after="0" w:line="93" w:lineRule="exact"/>
        <w:rPr>
          <w:sz w:val="20"/>
          <w:szCs w:val="20"/>
          <w:color w:val="auto"/>
        </w:rPr>
      </w:pPr>
    </w:p>
    <w:p>
      <w:pPr>
        <w:ind w:left="1288" w:hanging="424"/>
        <w:spacing w:after="0"/>
        <w:tabs>
          <w:tab w:leader="none" w:pos="1288"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Compliance Covenant</w:t>
      </w:r>
      <w:r>
        <w:rPr>
          <w:rFonts w:ascii="Times New Roman" w:cs="Times New Roman" w:eastAsia="Times New Roman" w:hAnsi="Times New Roman"/>
          <w:sz w:val="14"/>
          <w:szCs w:val="14"/>
          <w:color w:val="auto"/>
        </w:rPr>
        <w:t>. The Corporation will not become a party to any Common Stock Change Event unless its terms are consistent with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Section 9(f)</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288" w:right="20" w:hanging="424"/>
        <w:spacing w:after="0" w:line="224" w:lineRule="auto"/>
        <w:tabs>
          <w:tab w:leader="none" w:pos="1288"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Execution of Supplemental Instruments</w:t>
      </w:r>
      <w:r>
        <w:rPr>
          <w:rFonts w:ascii="Times New Roman" w:cs="Times New Roman" w:eastAsia="Times New Roman" w:hAnsi="Times New Roman"/>
          <w:sz w:val="14"/>
          <w:szCs w:val="14"/>
          <w:color w:val="auto"/>
        </w:rPr>
        <w:t>. On or before the date the Common Stock Change Event becomes effective, the Corporation and, if applicable, the resulting,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surviving or transferee Person (if not the Corporation) of such Common Stock Change Event (the “</w:t>
      </w:r>
      <w:r>
        <w:rPr>
          <w:rFonts w:ascii="Times New Roman" w:cs="Times New Roman" w:eastAsia="Times New Roman" w:hAnsi="Times New Roman"/>
          <w:sz w:val="14"/>
          <w:szCs w:val="14"/>
          <w:b w:val="1"/>
          <w:bCs w:val="1"/>
          <w:color w:val="auto"/>
        </w:rPr>
        <w:t>Successor Person</w:t>
      </w:r>
      <w:r>
        <w:rPr>
          <w:rFonts w:ascii="Times New Roman" w:cs="Times New Roman" w:eastAsia="Times New Roman" w:hAnsi="Times New Roman"/>
          <w:sz w:val="14"/>
          <w:szCs w:val="14"/>
          <w:color w:val="auto"/>
        </w:rPr>
        <w:t xml:space="preserve">”) will execute and deliver such supplemental instruments, if any, as the Corporation reasonably determines are necessary or desirable, to (1) provide for subsequent adjustments to the Conversion Rate pursuant to </w:t>
      </w:r>
      <w:r>
        <w:rPr>
          <w:rFonts w:ascii="Times New Roman" w:cs="Times New Roman" w:eastAsia="Times New Roman" w:hAnsi="Times New Roman"/>
          <w:sz w:val="14"/>
          <w:szCs w:val="14"/>
          <w:b w:val="1"/>
          <w:bCs w:val="1"/>
          <w:color w:val="auto"/>
        </w:rPr>
        <w:t xml:space="preserve">Section 9(c)(i) </w:t>
      </w:r>
      <w:r>
        <w:rPr>
          <w:rFonts w:ascii="Times New Roman" w:cs="Times New Roman" w:eastAsia="Times New Roman" w:hAnsi="Times New Roman"/>
          <w:sz w:val="14"/>
          <w:szCs w:val="14"/>
          <w:color w:val="auto"/>
        </w:rPr>
        <w:t>in a manner consistent with this</w:t>
      </w:r>
      <w:r>
        <w:rPr>
          <w:rFonts w:ascii="Times New Roman" w:cs="Times New Roman" w:eastAsia="Times New Roman" w:hAnsi="Times New Roman"/>
          <w:sz w:val="14"/>
          <w:szCs w:val="14"/>
          <w:b w:val="1"/>
          <w:bCs w:val="1"/>
          <w:color w:val="auto"/>
        </w:rPr>
        <w:t xml:space="preserve"> Section 9(f)</w:t>
      </w:r>
      <w:r>
        <w:rPr>
          <w:rFonts w:ascii="Times New Roman" w:cs="Times New Roman" w:eastAsia="Times New Roman" w:hAnsi="Times New Roman"/>
          <w:sz w:val="14"/>
          <w:szCs w:val="14"/>
          <w:color w:val="auto"/>
        </w:rPr>
        <w:t>; and (2) give effect to such other provisions, if any, as the Corporation reasonably determines are appropriate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preserve the economic interests of the Holders and to give effect to </w:t>
      </w:r>
      <w:r>
        <w:rPr>
          <w:rFonts w:ascii="Times New Roman" w:cs="Times New Roman" w:eastAsia="Times New Roman" w:hAnsi="Times New Roman"/>
          <w:sz w:val="14"/>
          <w:szCs w:val="14"/>
          <w:b w:val="1"/>
          <w:bCs w:val="1"/>
          <w:color w:val="auto"/>
        </w:rPr>
        <w:t>Section 9(f)(i)</w:t>
      </w:r>
      <w:r>
        <w:rPr>
          <w:rFonts w:ascii="Times New Roman" w:cs="Times New Roman" w:eastAsia="Times New Roman" w:hAnsi="Times New Roman"/>
          <w:sz w:val="14"/>
          <w:szCs w:val="14"/>
          <w:color w:val="auto"/>
        </w:rPr>
        <w:t>. If the Reference Property includes shares of stock or other securities or assets of a Person other than the Successor Person, then such other Person will also execute such supplemental instrument(s), if any, and such supplemental instrument(s) will contain such additional provisions, if any, that the Corporation reasonably determines are appropriate to preserve the economic interests of Holders.</w:t>
      </w:r>
    </w:p>
    <w:p>
      <w:pPr>
        <w:spacing w:after="0" w:line="100" w:lineRule="exact"/>
        <w:rPr>
          <w:rFonts w:ascii="Times New Roman" w:cs="Times New Roman" w:eastAsia="Times New Roman" w:hAnsi="Times New Roman"/>
          <w:sz w:val="14"/>
          <w:szCs w:val="14"/>
          <w:color w:val="auto"/>
        </w:rPr>
      </w:pPr>
    </w:p>
    <w:p>
      <w:pPr>
        <w:ind w:left="1288" w:right="240" w:hanging="424"/>
        <w:spacing w:after="0" w:line="258" w:lineRule="auto"/>
        <w:tabs>
          <w:tab w:leader="none" w:pos="1280"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Notice of Common Stock Change Event</w:t>
      </w:r>
      <w:r>
        <w:rPr>
          <w:rFonts w:ascii="Times New Roman" w:cs="Times New Roman" w:eastAsia="Times New Roman" w:hAnsi="Times New Roman"/>
          <w:sz w:val="14"/>
          <w:szCs w:val="14"/>
          <w:color w:val="auto"/>
        </w:rPr>
        <w:t>. The Corporation will provide notice of each Common Stock Change Event to Holders as promptly as possible after the 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 of the Common Stock Change Event, together with a description in reasonable detail of material terms of the anticipated impact on the rights of the Holders.</w:t>
      </w:r>
    </w:p>
    <w:p>
      <w:pPr>
        <w:spacing w:after="0" w:line="87" w:lineRule="exact"/>
        <w:rPr>
          <w:rFonts w:ascii="Times New Roman" w:cs="Times New Roman" w:eastAsia="Times New Roman" w:hAnsi="Times New Roman"/>
          <w:sz w:val="14"/>
          <w:szCs w:val="14"/>
          <w:color w:val="auto"/>
        </w:rPr>
      </w:pPr>
    </w:p>
    <w:p>
      <w:pPr>
        <w:ind w:left="8" w:right="160" w:hanging="8"/>
        <w:spacing w:after="0" w:line="231" w:lineRule="auto"/>
        <w:tabs>
          <w:tab w:leader="none" w:pos="44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OF COMMON STOCK. Each share of Common Stock delivered upon conversion of the Convertible Preferred Stock of any Holder will be a newly issued share and will be duly authorized and validly issued, fully paid, non-assessable, free from preemptive rights and free of any lien or adverse claim (except to the extent of any lien or adverse claim created by the action or inaction of such Holder or the Person to whom such share of Common Stock will be delivered). If the Common Stock is then listed on any securities exchange, or quoted on any inter-dealer quotation system, then the Corporation will cause each such share of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20344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118" w:right="339" w:bottom="1440" w:gutter="0" w:footer="0" w:header="0"/>
        </w:sectPr>
      </w:pPr>
    </w:p>
    <w:bookmarkStart w:id="201" w:name="page202"/>
    <w:bookmarkEnd w:id="201"/>
    <w:p>
      <w:pPr>
        <w:ind w:left="8"/>
        <w:spacing w:after="0"/>
        <w:rPr>
          <w:sz w:val="20"/>
          <w:szCs w:val="20"/>
          <w:color w:val="auto"/>
        </w:rPr>
      </w:pPr>
      <w:r>
        <w:rPr>
          <w:rFonts w:ascii="Times New Roman" w:cs="Times New Roman" w:eastAsia="Times New Roman" w:hAnsi="Times New Roman"/>
          <w:sz w:val="14"/>
          <w:szCs w:val="14"/>
          <w:color w:val="auto"/>
        </w:rPr>
        <w:t>Common Stock, when so delivered, to be admitted for listing on such exchange or quotation on such system.</w:t>
      </w:r>
    </w:p>
    <w:p>
      <w:pPr>
        <w:spacing w:after="0" w:line="127" w:lineRule="exact"/>
        <w:rPr>
          <w:sz w:val="20"/>
          <w:szCs w:val="20"/>
          <w:color w:val="auto"/>
        </w:rPr>
      </w:pPr>
    </w:p>
    <w:p>
      <w:pPr>
        <w:ind w:left="428" w:hanging="428"/>
        <w:spacing w:after="0"/>
        <w:tabs>
          <w:tab w:leader="none" w:pos="428"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TAXES.</w:t>
      </w:r>
    </w:p>
    <w:p>
      <w:pPr>
        <w:spacing w:after="0" w:line="127" w:lineRule="exact"/>
        <w:rPr>
          <w:rFonts w:ascii="Times New Roman" w:cs="Times New Roman" w:eastAsia="Times New Roman" w:hAnsi="Times New Roman"/>
          <w:sz w:val="14"/>
          <w:szCs w:val="14"/>
          <w:color w:val="auto"/>
        </w:rPr>
      </w:pPr>
    </w:p>
    <w:p>
      <w:pPr>
        <w:ind w:left="8" w:right="120" w:firstLine="424"/>
        <w:spacing w:after="0" w:line="225" w:lineRule="auto"/>
        <w:tabs>
          <w:tab w:leader="none" w:pos="870" w:val="left"/>
        </w:tabs>
        <w:numPr>
          <w:ilvl w:val="1"/>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pay any and all stock transfer, documentary, stamp and similar taxes that may be payable in respect of any issuance or delivery of shares of Convertible Preferred Stock (that are legally required to be paid by the Corporation) or shares of Common Stock or other securities issued on account of Convertible Preferred Stock pursuant hereto or certificates evidencing such shares or securities. However, in the case of conversion of Convertible Preferred Stock, the Corporation shall not be required to pay any such tax that may be payable in respect of any transfer involved in the issuance or delivery of shares of Convertible Preferred Stock, shares of Common Stock or other securities to a beneficial owner other than the Holder of the Convertible Preferred Stock immediately prior to such conversion,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02" w:lineRule="exact"/>
        <w:rPr>
          <w:rFonts w:ascii="Times New Roman" w:cs="Times New Roman" w:eastAsia="Times New Roman" w:hAnsi="Times New Roman"/>
          <w:sz w:val="14"/>
          <w:szCs w:val="14"/>
          <w:color w:val="auto"/>
        </w:rPr>
      </w:pPr>
    </w:p>
    <w:p>
      <w:pPr>
        <w:ind w:left="8" w:right="20" w:firstLine="424"/>
        <w:spacing w:after="0" w:line="225" w:lineRule="auto"/>
        <w:tabs>
          <w:tab w:leader="none" w:pos="869" w:val="left"/>
        </w:tabs>
        <w:numPr>
          <w:ilvl w:val="1"/>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dividends and distributions on, or in redemption of, or upon conversion of, the Convertible Preferred Stock shall be subject to withholding and backup withholding of tax to the extent required by law, and amounts withheld, if any, shall be paid over to the applicable governmental authority to the extent required by law and shall be treated as received by the applicable Holder of such Convertible Preferred Stock in respect of which such amounts were withheld. The Corporation shall have the right to take measures necessary to obtain cash to satisfy the Corporation’s withholding requirements with respect to any non-cash, deemed or constructive payment, dividend or distribution to the Holders, including by retaining, selling or liquidating property of the applicable Holders held by the Corporation in its custody or over which it has control, including any stock deliverable upon conversion of any Convertible Preferred Stock or any cash payable to the applicable Holder following such payment, dividend or distribution.</w:t>
      </w:r>
    </w:p>
    <w:p>
      <w:pPr>
        <w:spacing w:after="0" w:line="102" w:lineRule="exact"/>
        <w:rPr>
          <w:rFonts w:ascii="Times New Roman" w:cs="Times New Roman" w:eastAsia="Times New Roman" w:hAnsi="Times New Roman"/>
          <w:sz w:val="14"/>
          <w:szCs w:val="14"/>
          <w:color w:val="auto"/>
        </w:rPr>
      </w:pPr>
    </w:p>
    <w:p>
      <w:pPr>
        <w:ind w:left="8" w:right="40" w:firstLine="424"/>
        <w:spacing w:after="0" w:line="236" w:lineRule="auto"/>
        <w:tabs>
          <w:tab w:leader="none" w:pos="870" w:val="left"/>
        </w:tabs>
        <w:numPr>
          <w:ilvl w:val="1"/>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and each Holder agree not to treat the Convertible Preferred Stock as “preferred stock” within the meaning of Section 305(b)(4) of the U.S. Internal Revenue Code of 1986, as amended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and Treasury Regulations Section 1.305-5(a) or as “nonqualified preferred stock” within the meaning of Section 351(g)(2) of the Code on any tax return or in the conduct of any tax audit or similar proceeding, in each case, unless otherwise required by a determination within the meaning of Section 1313(a) of the Code.</w:t>
      </w:r>
    </w:p>
    <w:p>
      <w:pPr>
        <w:spacing w:after="0" w:line="101"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CALCULATIONS.</w:t>
      </w:r>
    </w:p>
    <w:p>
      <w:pPr>
        <w:spacing w:after="0" w:line="125" w:lineRule="exact"/>
        <w:rPr>
          <w:rFonts w:ascii="Times New Roman" w:cs="Times New Roman" w:eastAsia="Times New Roman" w:hAnsi="Times New Roman"/>
          <w:sz w:val="14"/>
          <w:szCs w:val="14"/>
          <w:color w:val="auto"/>
        </w:rPr>
      </w:pPr>
    </w:p>
    <w:p>
      <w:pPr>
        <w:ind w:left="8" w:firstLine="424"/>
        <w:spacing w:after="0" w:line="224" w:lineRule="auto"/>
        <w:tabs>
          <w:tab w:leader="none" w:pos="870" w:val="left"/>
        </w:tabs>
        <w:numPr>
          <w:ilvl w:val="1"/>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Responsibility; Schedule of Calculations</w:t>
      </w:r>
      <w:r>
        <w:rPr>
          <w:rFonts w:ascii="Times New Roman" w:cs="Times New Roman" w:eastAsia="Times New Roman" w:hAnsi="Times New Roman"/>
          <w:sz w:val="14"/>
          <w:szCs w:val="14"/>
          <w:color w:val="auto"/>
        </w:rPr>
        <w:t>. Except as otherwise provided in this Certificate of Designations, the Corporation will be responsible for making all calculations called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this Certificate of Designations or the Convertible Preferred Stock, including determinations of the Conversion Rate, the Last Reported Sale Price and accumulated Dividends, whether or not declared, on the Convertible Preferred Stock. The Corporation will make all calculations in good faith. The Corporation will provide a schedule of such calculations to any Holder upon written request. If the Requisite Holders dispute any calculations called for under this Certificate of Designations or the Convertible Preferred Stock, if such dispute is not promptly resolved by discussion between the Requisite Holders and the Corporation, the Corporation shall submit the disputed issues to an independent outside accountant (reasonably acceptable to the requisite Holders) within fifteen (15) Business Days of receipt of notice of such dispute. The accountant, at the Corporation’s expense, shall promptly audit the calculations and notify the holder of the results no later than fifteen (15) Business Days from the date it receives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20" w:right="319" w:bottom="1440" w:gutter="0" w:footer="0" w:header="0"/>
        </w:sectPr>
      </w:pPr>
    </w:p>
    <w:bookmarkStart w:id="202" w:name="page203"/>
    <w:bookmarkEnd w:id="202"/>
    <w:p>
      <w:pPr>
        <w:ind w:left="8"/>
        <w:spacing w:after="0"/>
        <w:rPr>
          <w:sz w:val="20"/>
          <w:szCs w:val="20"/>
          <w:color w:val="auto"/>
        </w:rPr>
      </w:pPr>
      <w:r>
        <w:rPr>
          <w:rFonts w:ascii="Times New Roman" w:cs="Times New Roman" w:eastAsia="Times New Roman" w:hAnsi="Times New Roman"/>
          <w:sz w:val="14"/>
          <w:szCs w:val="14"/>
          <w:color w:val="auto"/>
        </w:rPr>
        <w:t>the disputed calculations. The accountant’s calculation shall be deemed conclusive, absent manifest error.</w:t>
      </w:r>
    </w:p>
    <w:p>
      <w:pPr>
        <w:spacing w:after="0" w:line="125" w:lineRule="exact"/>
        <w:rPr>
          <w:sz w:val="20"/>
          <w:szCs w:val="20"/>
          <w:color w:val="auto"/>
        </w:rPr>
      </w:pPr>
    </w:p>
    <w:p>
      <w:pPr>
        <w:ind w:left="8" w:right="300" w:firstLine="424"/>
        <w:spacing w:after="0" w:line="237" w:lineRule="auto"/>
        <w:tabs>
          <w:tab w:leader="none" w:pos="869"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Calculations Aggregated for Each Holder</w:t>
      </w:r>
      <w:r>
        <w:rPr>
          <w:rFonts w:ascii="Times New Roman" w:cs="Times New Roman" w:eastAsia="Times New Roman" w:hAnsi="Times New Roman"/>
          <w:sz w:val="14"/>
          <w:szCs w:val="14"/>
          <w:color w:val="auto"/>
        </w:rPr>
        <w:t>. The composition of the Conversion Consideration due upon conversion of the Convertible Preferred Stock of any Holder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computed based on the total number of shares of Convertible Preferred Stock of such Holder being converted on the Mandatory Conversion Date. For these purposes, any cash amounts due to such Holder in respect thereof will be rounded to the nearest cent.</w:t>
      </w:r>
    </w:p>
    <w:p>
      <w:pPr>
        <w:spacing w:after="0" w:line="101"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BOOK-ENTRY FORM.</w:t>
      </w:r>
    </w:p>
    <w:p>
      <w:pPr>
        <w:spacing w:after="0" w:line="127" w:lineRule="exact"/>
        <w:rPr>
          <w:rFonts w:ascii="Times New Roman" w:cs="Times New Roman" w:eastAsia="Times New Roman" w:hAnsi="Times New Roman"/>
          <w:sz w:val="14"/>
          <w:szCs w:val="14"/>
          <w:color w:val="auto"/>
        </w:rPr>
      </w:pPr>
    </w:p>
    <w:p>
      <w:pPr>
        <w:ind w:left="8" w:firstLine="424"/>
        <w:spacing w:after="0" w:line="221" w:lineRule="auto"/>
        <w:tabs>
          <w:tab w:leader="none" w:pos="870"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Convertible Preferred Stock shall be issued in the form of one or more permanent global shares of Convertible Preferred Stock in definitive, fully registered form eligible for book-entry settlement with the global legend as set forth on the form of Convertible Preferred Stock certificate attached hereto as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b w:val="1"/>
          <w:bCs w:val="1"/>
          <w:color w:val="auto"/>
        </w:rPr>
        <w:t>Global Preferred Certificate</w:t>
      </w:r>
      <w:r>
        <w:rPr>
          <w:rFonts w:ascii="Times New Roman" w:cs="Times New Roman" w:eastAsia="Times New Roman" w:hAnsi="Times New Roman"/>
          <w:sz w:val="14"/>
          <w:szCs w:val="14"/>
          <w:color w:val="auto"/>
        </w:rPr>
        <w:t>” and the shares of Convertible Preferred Stock represented by such Global Preferred Certificate, the “</w:t>
      </w:r>
      <w:r>
        <w:rPr>
          <w:rFonts w:ascii="Times New Roman" w:cs="Times New Roman" w:eastAsia="Times New Roman" w:hAnsi="Times New Roman"/>
          <w:sz w:val="14"/>
          <w:szCs w:val="14"/>
          <w:b w:val="1"/>
          <w:bCs w:val="1"/>
          <w:color w:val="auto"/>
        </w:rPr>
        <w:t>Global Preferred Shares</w:t>
      </w:r>
      <w:r>
        <w:rPr>
          <w:rFonts w:ascii="Times New Roman" w:cs="Times New Roman" w:eastAsia="Times New Roman" w:hAnsi="Times New Roman"/>
          <w:sz w:val="14"/>
          <w:szCs w:val="14"/>
          <w:color w:val="auto"/>
        </w:rPr>
        <w:t>”), which is hereby incorporated in and expressly made part of this Certificate of Designations. The Global Preferred Certificates may have notations, legends or endorsements required by law, stock exchange rules or agreements to which the Corporation is subject, if any, or usage (provided that any such notation, legend or endorsement is in a form acceptable to the Corporation). The Global Preferred Certificates shall be deposited on behalf of the Holders represented thereby with the Registrar, at its New York office as custodian for the Depositary, and registered in the name of the Depositary, duly executed by the Corporation and countersigned and registered by the Registrar as hereinafter provided. The aggregate number of shares represented by each Global Preferred Certificate may from time to time be increased or decreased by adjustments made on the records of the Registrar and the Depositary or its nominee as hereinafter provided. The Corporation shall cause the Global Preferred Certificates to be deposited with the Registrar as custodian for the Depositary, and accepted for book-entry settlement by the Depositary, on or as promptly as practicable after the Initial Issue Date and shall use commercially reasonable efforts to maintain the eligibility of the Convertible Preferred Stock for clearance and settlement through the facilities of the Depositary at all times while any Convertible Preferred Stock remains outstanding.</w:t>
      </w:r>
    </w:p>
    <w:p>
      <w:pPr>
        <w:spacing w:after="0" w:line="118" w:lineRule="exact"/>
        <w:rPr>
          <w:sz w:val="20"/>
          <w:szCs w:val="20"/>
          <w:color w:val="auto"/>
        </w:rPr>
      </w:pPr>
    </w:p>
    <w:p>
      <w:pPr>
        <w:ind w:left="8" w:right="80" w:firstLine="432"/>
        <w:spacing w:after="0" w:line="263"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Section 13</w:t>
      </w:r>
      <w:r>
        <w:rPr>
          <w:rFonts w:ascii="Times New Roman" w:cs="Times New Roman" w:eastAsia="Times New Roman" w:hAnsi="Times New Roman"/>
          <w:sz w:val="14"/>
          <w:szCs w:val="14"/>
          <w:color w:val="auto"/>
        </w:rPr>
        <w:t xml:space="preserve"> shall apply only to a Global Preferred Certificate deposited with or on behalf of the Depositary. The Corporation shall execute and the Registrar shall, in accordance with this </w:t>
      </w:r>
      <w:r>
        <w:rPr>
          <w:rFonts w:ascii="Times New Roman" w:cs="Times New Roman" w:eastAsia="Times New Roman" w:hAnsi="Times New Roman"/>
          <w:sz w:val="14"/>
          <w:szCs w:val="14"/>
          <w:b w:val="1"/>
          <w:bCs w:val="1"/>
          <w:color w:val="auto"/>
        </w:rPr>
        <w:t>Section 13</w:t>
      </w:r>
      <w:r>
        <w:rPr>
          <w:rFonts w:ascii="Times New Roman" w:cs="Times New Roman" w:eastAsia="Times New Roman" w:hAnsi="Times New Roman"/>
          <w:sz w:val="14"/>
          <w:szCs w:val="14"/>
          <w:color w:val="auto"/>
        </w:rPr>
        <w:t>, countersign and deliver any Global Preferred Certificate that (i) shall be registered in the name of Cede &amp; Co. or other nominee of the Depositary and (ii) shall be delivered by the Registrar to Cede &amp; Co. or pursuant to instructions received from Cede &amp; Co. or held by the Registrar as custodian for the Depositary pursuant to an agreement between the Depositary and the Registrar. Members of, or participants in, the Depositary (“</w:t>
      </w:r>
      <w:r>
        <w:rPr>
          <w:rFonts w:ascii="Times New Roman" w:cs="Times New Roman" w:eastAsia="Times New Roman" w:hAnsi="Times New Roman"/>
          <w:sz w:val="14"/>
          <w:szCs w:val="14"/>
          <w:b w:val="1"/>
          <w:bCs w:val="1"/>
          <w:color w:val="auto"/>
        </w:rPr>
        <w:t>Agent Members</w:t>
      </w:r>
      <w:r>
        <w:rPr>
          <w:rFonts w:ascii="Times New Roman" w:cs="Times New Roman" w:eastAsia="Times New Roman" w:hAnsi="Times New Roman"/>
          <w:sz w:val="14"/>
          <w:szCs w:val="14"/>
          <w:color w:val="auto"/>
        </w:rPr>
        <w:t>”) shall have no rights under this Certificate of Designations with respect to any Global Preferred Share held on their behalf by the Depositary or by the Registrar as the custodian of the Depositary, or under such Global Preferred Share, and the Depositary may be treated by the Corporation, the Registrar and any agent of the Corporation or the Registrar as the absolute owner of such Global Preferred Share for all purposes whatsoever. Notwithstanding the foregoing, nothing herein shall prevent the Corporation, the Registrar or any agent of the Corporation or the Registrar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Preferred Share. The Holder of the Global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20" w:right="299" w:bottom="1440" w:gutter="0" w:footer="0" w:header="0"/>
        </w:sectPr>
      </w:pPr>
    </w:p>
    <w:bookmarkStart w:id="203" w:name="page204"/>
    <w:bookmarkEnd w:id="203"/>
    <w:p>
      <w:pPr>
        <w:ind w:left="8" w:right="40"/>
        <w:spacing w:after="0" w:line="295" w:lineRule="auto"/>
        <w:rPr>
          <w:sz w:val="20"/>
          <w:szCs w:val="20"/>
          <w:color w:val="auto"/>
        </w:rPr>
      </w:pPr>
      <w:r>
        <w:rPr>
          <w:rFonts w:ascii="Times New Roman" w:cs="Times New Roman" w:eastAsia="Times New Roman" w:hAnsi="Times New Roman"/>
          <w:sz w:val="14"/>
          <w:szCs w:val="14"/>
          <w:color w:val="auto"/>
        </w:rPr>
        <w:t>Preferred Shares may grant proxies or otherwise authorize any Person to take any action that a Holder is entitled to take pursuant to the Global Preferred Shares, this Certificate of Designations or the Certificate of Incorporation.</w:t>
      </w:r>
    </w:p>
    <w:p>
      <w:pPr>
        <w:spacing w:after="0" w:line="90" w:lineRule="exact"/>
        <w:rPr>
          <w:sz w:val="20"/>
          <w:szCs w:val="20"/>
          <w:color w:val="auto"/>
        </w:rPr>
      </w:pPr>
    </w:p>
    <w:p>
      <w:pPr>
        <w:ind w:left="8" w:right="20" w:firstLine="432"/>
        <w:spacing w:after="0" w:line="268" w:lineRule="auto"/>
        <w:rPr>
          <w:sz w:val="20"/>
          <w:szCs w:val="20"/>
          <w:color w:val="auto"/>
        </w:rPr>
      </w:pPr>
      <w:r>
        <w:rPr>
          <w:rFonts w:ascii="Times New Roman" w:cs="Times New Roman" w:eastAsia="Times New Roman" w:hAnsi="Times New Roman"/>
          <w:sz w:val="14"/>
          <w:szCs w:val="14"/>
          <w:color w:val="auto"/>
        </w:rPr>
        <w:t>Owners of beneficial interests in Global Preferred Shares shall not be entitled to receive physical delivery of certificated shares of Convertible Preferred Stock, unless (x) the Depositary notifies the Corporation that it is unwilling or unable to continue as Depositary for the Global Preferred Shares and the Corporation does not appoint a qualified replacement for the Depositary within 90 days or (y) the Depositary ceases to be a “clearing agency” registered under the Exchange Act and the Corporation does not appoint a qualified replacement for the Depositary within 90 days. In any such case, the Global Preferred Certificates shall be exchanged in whole for definitive stock certificates that are not issued in global form, with the same terms and of an equal Liquidation Preference, and such definitive stock certificates shall be registered in the name or names of the Person or Persons specified by the Depositary in a written instrument to the Registrar.</w:t>
      </w:r>
    </w:p>
    <w:p>
      <w:pPr>
        <w:spacing w:after="0" w:line="89" w:lineRule="exact"/>
        <w:rPr>
          <w:sz w:val="20"/>
          <w:szCs w:val="20"/>
          <w:color w:val="auto"/>
        </w:rPr>
      </w:pPr>
    </w:p>
    <w:p>
      <w:pPr>
        <w:ind w:left="8" w:firstLine="424"/>
        <w:spacing w:after="0" w:line="228" w:lineRule="auto"/>
        <w:tabs>
          <w:tab w:leader="none" w:pos="869" w:val="left"/>
        </w:tabs>
        <w:numPr>
          <w:ilvl w:val="1"/>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Signatures</w:t>
      </w:r>
      <w:r>
        <w:rPr>
          <w:rFonts w:ascii="Times New Roman" w:cs="Times New Roman" w:eastAsia="Times New Roman" w:hAnsi="Times New Roman"/>
          <w:sz w:val="14"/>
          <w:szCs w:val="14"/>
          <w:color w:val="auto"/>
        </w:rPr>
        <w:t>. Any authorized Officer shall sign each Global Preferred Certificate for the Corporation, in accordance with the Corporation’s Bylaws and applicable Delaware law,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manual, facsimile or electronic signature. If an Officer whose signature is on a Global Preferred Certificate no longer holds that office at the time the Registrar countersigned such Global Preferred Certificate, such Global Preferred Certificate shall be valid nevertheless. A Global Preferred Certificate shall not be valid until an authorized signatory of the Registrar manually countersigns such Global Preferred Certificate. Each Global Preferred Certificate shall be dated the date of its countersignature. The foregoing paragraph shall likewise apply to any certificate representing shares of Convertible Preferred Stock.</w:t>
      </w:r>
    </w:p>
    <w:p>
      <w:pPr>
        <w:spacing w:after="0" w:line="101" w:lineRule="exact"/>
        <w:rPr>
          <w:rFonts w:ascii="Times New Roman" w:cs="Times New Roman" w:eastAsia="Times New Roman" w:hAnsi="Times New Roman"/>
          <w:sz w:val="14"/>
          <w:szCs w:val="14"/>
          <w:color w:val="auto"/>
        </w:rPr>
      </w:pPr>
    </w:p>
    <w:p>
      <w:pPr>
        <w:ind w:left="8" w:right="120" w:firstLine="424"/>
        <w:spacing w:after="0" w:line="236" w:lineRule="auto"/>
        <w:tabs>
          <w:tab w:leader="none" w:pos="870" w:val="left"/>
        </w:tabs>
        <w:numPr>
          <w:ilvl w:val="1"/>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Global Preferred Shares shall be listed on Nasdaq or any other stock exchange, the Depositary may, with the written approval of the Corporation, appoint a registrar (acceptable to the Corporation) for registration of such Global Preferred Shares in accordance with the requirements of such exchange. Such registrar (which may be the Registrar if so permitted by the requirements of such exchange) may be removed and a substitute registrar appointed by the Registrar upon the request or with the written approval of the Corporation.]</w:t>
      </w:r>
    </w:p>
    <w:p>
      <w:pPr>
        <w:spacing w:after="0" w:line="101" w:lineRule="exact"/>
        <w:rPr>
          <w:rFonts w:ascii="Times New Roman" w:cs="Times New Roman" w:eastAsia="Times New Roman" w:hAnsi="Times New Roman"/>
          <w:sz w:val="14"/>
          <w:szCs w:val="14"/>
          <w:color w:val="auto"/>
        </w:rPr>
      </w:pPr>
    </w:p>
    <w:p>
      <w:pPr>
        <w:ind w:left="8" w:hanging="8"/>
        <w:spacing w:after="0" w:line="231" w:lineRule="auto"/>
        <w:tabs>
          <w:tab w:leader="none" w:pos="44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NOTICES. The Corporation will send all notices or communications to Holders pursuant to this Certificate of Designations in writing and delivered personally, by facsimile or e-mail (with confirmation of receipt requested from the recipient, in the case of e-mail), or sent by a nationally recognized overnight courier service guaranteeing next day delivery, to the Holders’ respective addresses shown on the Register. Unless otherwise specified herein, all notices and communications hereunder shall be deemed to have been given upon the earlier of receipt thereof or three (3) Business Days after the mailing thereof if sent by registered or certified mail with postage prepaid, or by private courier service.</w:t>
      </w:r>
    </w:p>
    <w:p>
      <w:pPr>
        <w:spacing w:after="0" w:line="100" w:lineRule="exact"/>
        <w:rPr>
          <w:rFonts w:ascii="Times New Roman" w:cs="Times New Roman" w:eastAsia="Times New Roman" w:hAnsi="Times New Roman"/>
          <w:sz w:val="14"/>
          <w:szCs w:val="14"/>
          <w:color w:val="auto"/>
        </w:rPr>
      </w:pPr>
    </w:p>
    <w:p>
      <w:pPr>
        <w:ind w:left="8" w:right="180" w:hanging="8"/>
        <w:spacing w:after="0" w:line="231" w:lineRule="auto"/>
        <w:tabs>
          <w:tab w:leader="none" w:pos="44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FACTS ASCERTAINABLE. When the terms of this Certificate of Designations refer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Holder who makes a request therefor. The Secretary of the Corporation shall also maintain a written record of the Initial Issue Date, the number of shares of Convertible Preferred Stock issued to a Holder and the date of each such issuance, and shall furnish such written record free of charge to any Holder who makes a request therefor.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138" w:right="339" w:bottom="1440" w:gutter="0" w:footer="0" w:header="0"/>
        </w:sectPr>
      </w:pPr>
    </w:p>
    <w:bookmarkStart w:id="204" w:name="page205"/>
    <w:bookmarkEnd w:id="204"/>
    <w:p>
      <w:pPr>
        <w:jc w:val="both"/>
        <w:ind w:left="8" w:hanging="8"/>
        <w:spacing w:after="0" w:line="236" w:lineRule="auto"/>
        <w:tabs>
          <w:tab w:leader="none" w:pos="44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SEVERABILITY. If any term of the Convertible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01" w:lineRule="exact"/>
        <w:rPr>
          <w:rFonts w:ascii="Times New Roman" w:cs="Times New Roman" w:eastAsia="Times New Roman" w:hAnsi="Times New Roman"/>
          <w:sz w:val="14"/>
          <w:szCs w:val="14"/>
          <w:color w:val="auto"/>
        </w:rPr>
      </w:pPr>
    </w:p>
    <w:p>
      <w:pPr>
        <w:ind w:left="8" w:right="380" w:hanging="8"/>
        <w:spacing w:after="0" w:line="255" w:lineRule="auto"/>
        <w:tabs>
          <w:tab w:leader="none" w:pos="44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OTHER RIGHTS. The Convertible Preferred Stock will have no rights, preferences or voting powers except as provided in this Certificate of Designations or the Certificate of Incorporation or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8"/>
          </w:cols>
          <w:pgMar w:left="292" w:top="1120"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Corporation has caused this Certificate of Designations to be duly executed as of the date first written above.</w:t>
      </w:r>
    </w:p>
    <w:p>
      <w:pPr>
        <w:sectPr>
          <w:pgSz w:w="11900" w:h="16838" w:orient="portrait"/>
          <w:cols w:equalWidth="0" w:num="1">
            <w:col w:w="10159"/>
          </w:cols>
          <w:pgMar w:left="300" w:top="1136" w:right="1440" w:bottom="1440" w:gutter="0" w:footer="0" w:header="0"/>
        </w:sectPr>
      </w:pPr>
    </w:p>
    <w:p>
      <w:pPr>
        <w:spacing w:after="0" w:line="30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29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-4445</wp:posOffset>
            </wp:positionV>
            <wp:extent cx="1828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7" w:lineRule="exact"/>
        <w:rPr>
          <w:sz w:val="20"/>
          <w:szCs w:val="20"/>
          <w:color w:val="auto"/>
        </w:rPr>
      </w:pPr>
    </w:p>
    <w:p>
      <w:pPr>
        <w:ind w:left="3020"/>
        <w:spacing w:after="0"/>
        <w:tabs>
          <w:tab w:leader="none" w:pos="352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18" w:lineRule="exact"/>
        <w:rPr>
          <w:sz w:val="20"/>
          <w:szCs w:val="20"/>
          <w:color w:val="auto"/>
        </w:rPr>
      </w:pPr>
    </w:p>
    <w:p>
      <w:pPr>
        <w:jc w:val="right"/>
        <w:ind w:right="5359"/>
        <w:spacing w:after="0"/>
        <w:tabs>
          <w:tab w:leader="none" w:pos="13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[Signature Page to Certificate of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136" w:right="1440" w:bottom="1440" w:gutter="0" w:footer="0" w:header="0"/>
          <w:type w:val="continuous"/>
        </w:sectPr>
      </w:pPr>
    </w:p>
    <w:bookmarkStart w:id="206" w:name="page207"/>
    <w:bookmarkEnd w:id="206"/>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u w:val="single" w:color="auto"/>
          <w:color w:val="auto"/>
        </w:rPr>
        <w:t>FORM OF CONVERTIBLE PREFERRED STOCK CERTIFICATE</w:t>
      </w:r>
    </w:p>
    <w:p>
      <w:pPr>
        <w:spacing w:after="0" w:line="154" w:lineRule="exact"/>
        <w:rPr>
          <w:sz w:val="20"/>
          <w:szCs w:val="20"/>
          <w:color w:val="auto"/>
        </w:rPr>
      </w:pPr>
    </w:p>
    <w:p>
      <w:pPr>
        <w:ind w:left="8" w:right="80"/>
        <w:spacing w:after="0" w:line="268"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THE DEPOSITORY TRUST COMPANY, A NEW YORK CORPORATION (“DTC”), TO THE CORPORATION OR THE TRANSFER AGENT NAMED ON THE FACE OF THIS CERTIFICATE,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 AS MUCH AS THE REGISTERED OWNER HEREOF, CEDE &amp; CO., HAS AN INTEREST HEREIN.</w:t>
      </w:r>
    </w:p>
    <w:p>
      <w:pPr>
        <w:spacing w:after="0" w:line="109" w:lineRule="exact"/>
        <w:rPr>
          <w:sz w:val="20"/>
          <w:szCs w:val="20"/>
          <w:color w:val="auto"/>
        </w:rPr>
      </w:pPr>
    </w:p>
    <w:p>
      <w:pPr>
        <w:ind w:left="8" w:right="80"/>
        <w:spacing w:after="0" w:line="269" w:lineRule="auto"/>
        <w:rPr>
          <w:sz w:val="20"/>
          <w:szCs w:val="20"/>
          <w:color w:val="auto"/>
        </w:rPr>
      </w:pPr>
      <w:r>
        <w:rPr>
          <w:rFonts w:ascii="Times New Roman" w:cs="Times New Roman" w:eastAsia="Times New Roman" w:hAnsi="Times New Roman"/>
          <w:sz w:val="14"/>
          <w:szCs w:val="14"/>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STATEMENT WITH RESPECT TO SHARES OF CONVERTIBLE PREFERRED STOCK. IN CONNECTION WITH ANY TRANSFER, THE HOLDER WILL DELIVER TO THE TRANSFER AGENT NAMED ON THE FACE OF THIS CERTIFICATE SUCH CERTIFICATES AND OTHER INFORMATION AS SUCH TRANSFER AGENT MAY REASONABLY REQUIRE TO CONFIRM THAT THE TRANSFER COMPLIES WITH THE FOREGOING RESTRICTIONS.]</w:t>
      </w:r>
      <w:r>
        <w:rPr>
          <w:rFonts w:ascii="Times New Roman" w:cs="Times New Roman" w:eastAsia="Times New Roman" w:hAnsi="Times New Roman"/>
          <w:sz w:val="18"/>
          <w:szCs w:val="18"/>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972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49" w:lineRule="exact"/>
        <w:rPr>
          <w:sz w:val="20"/>
          <w:szCs w:val="20"/>
          <w:color w:val="auto"/>
        </w:rPr>
      </w:pPr>
    </w:p>
    <w:p>
      <w:pPr>
        <w:ind w:left="68" w:hanging="68"/>
        <w:spacing w:after="0"/>
        <w:tabs>
          <w:tab w:leader="none" w:pos="68" w:val="left"/>
        </w:tabs>
        <w:numPr>
          <w:ilvl w:val="0"/>
          <w:numId w:val="27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Include for Global Preferred Stock Certificate.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8" w:right="299" w:bottom="1440" w:gutter="0" w:footer="0" w:header="0"/>
        </w:sectPr>
      </w:pPr>
    </w:p>
    <w:bookmarkStart w:id="207" w:name="page208"/>
    <w:bookmarkEnd w:id="20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Series A Mandatorily Convertible Preferred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Certificate No. [ ]</w:t>
      </w:r>
    </w:p>
    <w:p>
      <w:pPr>
        <w:spacing w:after="0" w:line="16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New Fortress Energy Inc., a Delaware corporation (the “</w:t>
      </w:r>
      <w:r>
        <w:rPr>
          <w:rFonts w:ascii="Times New Roman" w:cs="Times New Roman" w:eastAsia="Times New Roman" w:hAnsi="Times New Roman"/>
          <w:sz w:val="14"/>
          <w:szCs w:val="14"/>
          <w:b w:val="1"/>
          <w:bCs w:val="1"/>
          <w:color w:val="auto"/>
        </w:rPr>
        <w:t>Corporation</w:t>
      </w:r>
      <w:r>
        <w:rPr>
          <w:rFonts w:ascii="Times New Roman" w:cs="Times New Roman" w:eastAsia="Times New Roman" w:hAnsi="Times New Roman"/>
          <w:sz w:val="14"/>
          <w:szCs w:val="14"/>
          <w:color w:val="auto"/>
        </w:rPr>
        <w:t>”), certifies that [ ] is the registered owner of [ ] shares of the Corporation’s Series A Mandatorily Convertible Preferred Stock (the “</w:t>
      </w:r>
      <w:r>
        <w:rPr>
          <w:rFonts w:ascii="Times New Roman" w:cs="Times New Roman" w:eastAsia="Times New Roman" w:hAnsi="Times New Roman"/>
          <w:sz w:val="14"/>
          <w:szCs w:val="14"/>
          <w:b w:val="1"/>
          <w:bCs w:val="1"/>
          <w:color w:val="auto"/>
        </w:rPr>
        <w:t>Convertible Preferred Stock</w:t>
      </w:r>
      <w:r>
        <w:rPr>
          <w:rFonts w:ascii="Times New Roman" w:cs="Times New Roman" w:eastAsia="Times New Roman" w:hAnsi="Times New Roman"/>
          <w:sz w:val="14"/>
          <w:szCs w:val="14"/>
          <w:color w:val="auto"/>
        </w:rPr>
        <w:t>”) evidenced by this certificate (this “</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 The special rights, preferences and voting powers of the Convertible Preferred Stock are set forth in the Certificate of Designations of the Corporation establishing the Convertible Preferred Stock (the “</w:t>
      </w:r>
      <w:r>
        <w:rPr>
          <w:rFonts w:ascii="Times New Roman" w:cs="Times New Roman" w:eastAsia="Times New Roman" w:hAnsi="Times New Roman"/>
          <w:sz w:val="14"/>
          <w:szCs w:val="14"/>
          <w:b w:val="1"/>
          <w:bCs w:val="1"/>
          <w:color w:val="auto"/>
        </w:rPr>
        <w:t>Certificate of Designations</w:t>
      </w:r>
      <w:r>
        <w:rPr>
          <w:rFonts w:ascii="Times New Roman" w:cs="Times New Roman" w:eastAsia="Times New Roman" w:hAnsi="Times New Roman"/>
          <w:sz w:val="14"/>
          <w:szCs w:val="14"/>
          <w:color w:val="auto"/>
        </w:rPr>
        <w:t>”). Capitalized terms used in this Certificate without definition have the respective meanings ascribed to them in the Certificate of Designations.</w:t>
      </w:r>
    </w:p>
    <w:p>
      <w:pPr>
        <w:spacing w:after="0" w:line="108"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4"/>
          <w:szCs w:val="14"/>
          <w:color w:val="auto"/>
        </w:rPr>
        <w:t>The shares of Convertible Preferred Stock are subject to restrictions on transfer set forth in the Certificate of Designations. The Corporation will give to the holder of Convertible Preferred Stock a copy of the Certificate of Designations then in effect without charge, promptly after receipt of a written request to the following address:</w:t>
      </w:r>
    </w:p>
    <w:p>
      <w:pPr>
        <w:spacing w:after="0" w:line="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New Fortress Energy Inc.</w:t>
      </w:r>
    </w:p>
    <w:p>
      <w:pPr>
        <w:ind w:left="4840"/>
        <w:spacing w:after="0" w:line="228" w:lineRule="auto"/>
        <w:rPr>
          <w:sz w:val="20"/>
          <w:szCs w:val="20"/>
          <w:color w:val="auto"/>
        </w:rPr>
      </w:pPr>
      <w:r>
        <w:rPr>
          <w:rFonts w:ascii="Times New Roman" w:cs="Times New Roman" w:eastAsia="Times New Roman" w:hAnsi="Times New Roman"/>
          <w:sz w:val="14"/>
          <w:szCs w:val="14"/>
          <w:color w:val="auto"/>
        </w:rPr>
        <w:t>111 W. 19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Street, 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w:t>
      </w:r>
    </w:p>
    <w:p>
      <w:pPr>
        <w:ind w:left="4780"/>
        <w:spacing w:after="0"/>
        <w:rPr>
          <w:sz w:val="20"/>
          <w:szCs w:val="20"/>
          <w:color w:val="auto"/>
        </w:rPr>
      </w:pPr>
      <w:r>
        <w:rPr>
          <w:rFonts w:ascii="Times New Roman" w:cs="Times New Roman" w:eastAsia="Times New Roman" w:hAnsi="Times New Roman"/>
          <w:sz w:val="14"/>
          <w:szCs w:val="14"/>
          <w:color w:val="auto"/>
        </w:rPr>
        <w:t>New York, New York, 10011</w:t>
      </w:r>
    </w:p>
    <w:p>
      <w:pPr>
        <w:spacing w:after="0" w:line="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terms of this Certificate are set forth on the other side of this Certificate.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Remainder of This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sectPr>
      </w:pPr>
    </w:p>
    <w:bookmarkStart w:id="208" w:name="page209"/>
    <w:bookmarkEnd w:id="208"/>
    <w:p>
      <w:pPr>
        <w:ind w:left="380"/>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New Fortress Energy Inc. has caused this instrument to be duly executed as of the date set forth below.</w:t>
      </w:r>
    </w:p>
    <w:p>
      <w:pPr>
        <w:spacing w:after="0" w:line="1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______________</w:t>
            </w:r>
          </w:p>
        </w:tc>
        <w:tc>
          <w:tcPr>
            <w:tcW w:w="238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By:</w:t>
            </w: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22"/>
        </w:trPr>
        <w:tc>
          <w:tcPr>
            <w:tcW w:w="3400" w:type="dxa"/>
            <w:vAlign w:val="bottom"/>
          </w:tcPr>
          <w:p>
            <w:pPr>
              <w:spacing w:after="0"/>
              <w:rPr>
                <w:sz w:val="19"/>
                <w:szCs w:val="19"/>
                <w:color w:val="auto"/>
              </w:rPr>
            </w:pPr>
          </w:p>
        </w:tc>
        <w:tc>
          <w:tcPr>
            <w:tcW w:w="2560" w:type="dxa"/>
            <w:vAlign w:val="bottom"/>
            <w:gridSpan w:val="3"/>
          </w:tcPr>
          <w:p>
            <w:pPr>
              <w:ind w:left="2180"/>
              <w:spacing w:after="0"/>
              <w:rPr>
                <w:sz w:val="20"/>
                <w:szCs w:val="20"/>
                <w:color w:val="auto"/>
              </w:rPr>
            </w:pPr>
            <w:r>
              <w:rPr>
                <w:rFonts w:ascii="Times New Roman" w:cs="Times New Roman" w:eastAsia="Times New Roman" w:hAnsi="Times New Roman"/>
                <w:sz w:val="14"/>
                <w:szCs w:val="14"/>
                <w:color w:val="auto"/>
                <w:w w:val="96"/>
              </w:rPr>
              <w:t>Name:</w:t>
            </w:r>
          </w:p>
        </w:tc>
      </w:tr>
      <w:tr>
        <w:trPr>
          <w:trHeight w:val="207"/>
        </w:trPr>
        <w:tc>
          <w:tcPr>
            <w:tcW w:w="3400" w:type="dxa"/>
            <w:vAlign w:val="bottom"/>
          </w:tcPr>
          <w:p>
            <w:pPr>
              <w:spacing w:after="0"/>
              <w:rPr>
                <w:sz w:val="18"/>
                <w:szCs w:val="18"/>
                <w:color w:val="auto"/>
              </w:rPr>
            </w:pPr>
          </w:p>
        </w:tc>
        <w:tc>
          <w:tcPr>
            <w:tcW w:w="2560" w:type="dxa"/>
            <w:vAlign w:val="bottom"/>
            <w:gridSpan w:val="3"/>
          </w:tcPr>
          <w:p>
            <w:pPr>
              <w:ind w:left="2180"/>
              <w:spacing w:after="0"/>
              <w:rPr>
                <w:sz w:val="20"/>
                <w:szCs w:val="20"/>
                <w:color w:val="auto"/>
              </w:rPr>
            </w:pPr>
            <w:r>
              <w:rPr>
                <w:rFonts w:ascii="Times New Roman" w:cs="Times New Roman" w:eastAsia="Times New Roman" w:hAnsi="Times New Roman"/>
                <w:sz w:val="14"/>
                <w:szCs w:val="14"/>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45085</wp:posOffset>
            </wp:positionV>
            <wp:extent cx="720344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19"/>
          </w:cols>
          <w:pgMar w:left="340" w:top="1136" w:right="1440" w:bottom="1440" w:gutter="0" w:footer="0" w:header="0"/>
        </w:sectPr>
      </w:pPr>
    </w:p>
    <w:bookmarkStart w:id="209" w:name="page210"/>
    <w:bookmarkEnd w:id="209"/>
    <w:p>
      <w:pPr>
        <w:jc w:val="center"/>
        <w:ind w:right="-299"/>
        <w:spacing w:after="0"/>
        <w:rPr>
          <w:sz w:val="20"/>
          <w:szCs w:val="20"/>
          <w:color w:val="auto"/>
        </w:rPr>
      </w:pPr>
      <w:r>
        <w:rPr>
          <w:rFonts w:ascii="Times New Roman" w:cs="Times New Roman" w:eastAsia="Times New Roman" w:hAnsi="Times New Roman"/>
          <w:sz w:val="14"/>
          <w:szCs w:val="14"/>
          <w:color w:val="auto"/>
        </w:rPr>
        <w:t>TRANSFER AGENT’S COUNTERSIGNATURE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Equiniti Trust Company, LLC, as Transfer Agent, certifies that this Certificate evidences shares of Convertible Preferred Stock referred to in the within-mentioned Certificate of Designations.</w:t>
      </w:r>
    </w:p>
    <w:p>
      <w:pPr>
        <w:spacing w:after="0" w:line="334"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14"/>
          <w:szCs w:val="14"/>
          <w:color w:val="auto"/>
        </w:rPr>
        <w:t>Date: _________</w:t>
      </w:r>
      <w:r>
        <w:rPr>
          <w:sz w:val="20"/>
          <w:szCs w:val="20"/>
          <w:color w:val="auto"/>
        </w:rPr>
        <w:tab/>
      </w: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6350</wp:posOffset>
            </wp:positionV>
            <wp:extent cx="9144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4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80"/>
          </w:cols>
          <w:pgMar w:left="300" w:top="1138" w:right="619" w:bottom="1440" w:gutter="0" w:footer="0" w:header="0"/>
        </w:sectPr>
      </w:pPr>
    </w:p>
    <w:bookmarkStart w:id="210" w:name="page211"/>
    <w:bookmarkEnd w:id="210"/>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154"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Series A Mandatorily Convertible Preferred Stock</w:t>
      </w:r>
    </w:p>
    <w:p>
      <w:pPr>
        <w:spacing w:after="0" w:line="156" w:lineRule="exact"/>
        <w:rPr>
          <w:sz w:val="20"/>
          <w:szCs w:val="20"/>
          <w:color w:val="auto"/>
        </w:rPr>
      </w:pPr>
    </w:p>
    <w:p>
      <w:pPr>
        <w:ind w:left="8"/>
        <w:spacing w:after="0" w:line="282" w:lineRule="auto"/>
        <w:rPr>
          <w:sz w:val="20"/>
          <w:szCs w:val="20"/>
          <w:color w:val="auto"/>
        </w:rPr>
      </w:pPr>
      <w:r>
        <w:rPr>
          <w:rFonts w:ascii="Times New Roman" w:cs="Times New Roman" w:eastAsia="Times New Roman" w:hAnsi="Times New Roman"/>
          <w:sz w:val="14"/>
          <w:szCs w:val="14"/>
          <w:color w:val="auto"/>
        </w:rPr>
        <w:t>This Certificate evidences duly authorized, issued and outstanding shares of Convertible Preferred Stock. Notwithstanding anything to the contrary in this Certificate, to the extent that any provision of this Certificate conflicts with the provisions of the Certificate of Designations or the Certificate of Incorporation, the provisions of the Certificate of Designations or the Certificate of Incorporation, as applicable, will control.</w:t>
      </w:r>
    </w:p>
    <w:p>
      <w:pPr>
        <w:spacing w:after="0" w:line="79" w:lineRule="exact"/>
        <w:rPr>
          <w:sz w:val="20"/>
          <w:szCs w:val="20"/>
          <w:color w:val="auto"/>
        </w:rPr>
      </w:pPr>
    </w:p>
    <w:p>
      <w:pPr>
        <w:ind w:left="208" w:hanging="208"/>
        <w:spacing w:after="0"/>
        <w:tabs>
          <w:tab w:leader="none" w:pos="208"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Countersignature</w:t>
      </w:r>
      <w:r>
        <w:rPr>
          <w:rFonts w:ascii="Times New Roman" w:cs="Times New Roman" w:eastAsia="Times New Roman" w:hAnsi="Times New Roman"/>
          <w:sz w:val="14"/>
          <w:szCs w:val="14"/>
          <w:color w:val="auto"/>
        </w:rPr>
        <w:t>. This Certificate will not be valid until countersigned by the Transfer Agent.</w:t>
      </w:r>
    </w:p>
    <w:p>
      <w:pPr>
        <w:spacing w:after="0" w:line="127" w:lineRule="exact"/>
        <w:rPr>
          <w:rFonts w:ascii="Times New Roman" w:cs="Times New Roman" w:eastAsia="Times New Roman" w:hAnsi="Times New Roman"/>
          <w:sz w:val="14"/>
          <w:szCs w:val="14"/>
          <w:color w:val="auto"/>
        </w:rPr>
      </w:pPr>
    </w:p>
    <w:p>
      <w:pPr>
        <w:ind w:left="208" w:right="160" w:hanging="208"/>
        <w:spacing w:after="0" w:line="258" w:lineRule="auto"/>
        <w:tabs>
          <w:tab w:leader="none" w:pos="208"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Abbreviations</w:t>
      </w:r>
      <w:r>
        <w:rPr>
          <w:rFonts w:ascii="Times New Roman" w:cs="Times New Roman" w:eastAsia="Times New Roman" w:hAnsi="Times New Roman"/>
          <w:sz w:val="14"/>
          <w:szCs w:val="14"/>
          <w:color w:val="auto"/>
        </w:rPr>
        <w:t>. Customary abbreviations may be used in the name of a Holder or its assignee, such as TEN COM (tenants in common), TEN ENT (tenants by the entireties), JT TEN (joint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tenants with right of survivorship and not as tenants in common), CUST (custodian), and U/G/M/A (Uniform Gift to Minors Act).</w:t>
      </w:r>
    </w:p>
    <w:p>
      <w:pPr>
        <w:spacing w:after="0" w:line="105" w:lineRule="exact"/>
        <w:rPr>
          <w:rFonts w:ascii="Times New Roman" w:cs="Times New Roman" w:eastAsia="Times New Roman" w:hAnsi="Times New Roman"/>
          <w:sz w:val="14"/>
          <w:szCs w:val="14"/>
          <w:color w:val="auto"/>
        </w:rPr>
      </w:pPr>
    </w:p>
    <w:p>
      <w:pPr>
        <w:ind w:left="550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To request a copy of the Certificate of Designations, which the Corporation will provide to any Holder at no charge, please send a written request to the following address: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111 W. 19</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Street, 8</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ind w:left="8"/>
        <w:spacing w:after="0"/>
        <w:rPr>
          <w:sz w:val="20"/>
          <w:szCs w:val="20"/>
          <w:color w:val="auto"/>
        </w:rPr>
      </w:pPr>
      <w:r>
        <w:rPr>
          <w:rFonts w:ascii="Times New Roman" w:cs="Times New Roman" w:eastAsia="Times New Roman" w:hAnsi="Times New Roman"/>
          <w:sz w:val="14"/>
          <w:szCs w:val="14"/>
          <w:b w:val="1"/>
          <w:bCs w:val="1"/>
          <w:color w:val="auto"/>
        </w:rPr>
        <w:t>New York, New York, 10011</w:t>
      </w:r>
    </w:p>
    <w:p>
      <w:pPr>
        <w:spacing w:after="0" w:line="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1136" w:right="399" w:bottom="1440" w:gutter="0" w:footer="0" w:header="0"/>
        </w:sectPr>
      </w:pPr>
    </w:p>
    <w:bookmarkStart w:id="211" w:name="page212"/>
    <w:bookmarkEnd w:id="211"/>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ASSIGNMENT FORM</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New Fortress Energy Inc.</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Series A Mandatorily Convertible Preferred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terms of the Certificate of Designations, the undersigned Holder of the within Convertible Preferred Stock assigns to:</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17780</wp:posOffset>
            </wp:positionV>
            <wp:extent cx="580072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00725" cy="5715"/>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17780</wp:posOffset>
            </wp:positionV>
            <wp:extent cx="580072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00725" cy="571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Social security or tax identification</w:t>
      </w:r>
    </w:p>
    <w:p>
      <w:pPr>
        <w:ind w:left="4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7620</wp:posOffset>
            </wp:positionV>
            <wp:extent cx="580072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00725" cy="571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its Convertible Preferred Stock and all rights thereunder and irrevocably appoints: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agent to transfer the Convertible Preferred Stock on the books of the Corporation. The agent may substitute another to act for him/her.</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Date: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3475355</wp:posOffset>
            </wp:positionH>
            <wp:positionV relativeFrom="paragraph">
              <wp:posOffset>-4445</wp:posOffset>
            </wp:positionV>
            <wp:extent cx="914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4"/>
          <w:szCs w:val="14"/>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3475355</wp:posOffset>
            </wp:positionH>
            <wp:positionV relativeFrom="paragraph">
              <wp:posOffset>229235</wp:posOffset>
            </wp:positionV>
            <wp:extent cx="914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6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Name:</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136" w:right="1440"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4"/>
          <w:szCs w:val="14"/>
          <w:color w:val="auto"/>
        </w:rPr>
        <w:t>ANNEX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298" w:lineRule="exact"/>
        <w:rPr>
          <w:sz w:val="20"/>
          <w:szCs w:val="20"/>
          <w:color w:val="auto"/>
        </w:rPr>
      </w:pPr>
    </w:p>
    <w:p>
      <w:pPr>
        <w:ind w:left="8"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REGISTRATION RIGHTS AGREEMENT </w:t>
      </w:r>
      <w:r>
        <w:rPr>
          <w:rFonts w:ascii="Times New Roman" w:cs="Times New Roman" w:eastAsia="Times New Roman" w:hAnsi="Times New Roman"/>
          <w:sz w:val="14"/>
          <w:szCs w:val="14"/>
          <w:color w:val="auto"/>
        </w:rPr>
        <w:t>(this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dated as of [●], 2026, by and among New Fortress Energy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undersigned Investor (as defined herein) party hereto.</w:t>
      </w:r>
    </w:p>
    <w:p>
      <w:pPr>
        <w:spacing w:after="0" w:line="9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b w:val="1"/>
          <w:bCs w:val="1"/>
          <w:color w:val="auto"/>
        </w:rPr>
        <w:t>WHEREAS:</w:t>
      </w:r>
    </w:p>
    <w:p>
      <w:pPr>
        <w:spacing w:after="0" w:line="156" w:lineRule="exact"/>
        <w:rPr>
          <w:sz w:val="20"/>
          <w:szCs w:val="20"/>
          <w:color w:val="auto"/>
        </w:rPr>
      </w:pPr>
    </w:p>
    <w:p>
      <w:pPr>
        <w:jc w:val="both"/>
        <w:ind w:left="8" w:firstLine="424"/>
        <w:spacing w:after="0" w:line="275" w:lineRule="auto"/>
        <w:tabs>
          <w:tab w:leader="none" w:pos="729"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17, 2026, the Company entered into a Restructuring Support Agreement by and among the Company, certain of the Company’s subsidiaries (collectively with the Company, the “</w:t>
      </w:r>
      <w:r>
        <w:rPr>
          <w:rFonts w:ascii="Times New Roman" w:cs="Times New Roman" w:eastAsia="Times New Roman" w:hAnsi="Times New Roman"/>
          <w:sz w:val="14"/>
          <w:szCs w:val="14"/>
          <w:b w:val="1"/>
          <w:bCs w:val="1"/>
          <w:color w:val="auto"/>
        </w:rPr>
        <w:t>Group</w:t>
      </w:r>
      <w:r>
        <w:rPr>
          <w:rFonts w:ascii="Times New Roman" w:cs="Times New Roman" w:eastAsia="Times New Roman" w:hAnsi="Times New Roman"/>
          <w:sz w:val="14"/>
          <w:szCs w:val="14"/>
          <w:color w:val="auto"/>
        </w:rPr>
        <w:t>”), and certain of the Group’s lenders and noteholders (together with all exhibits, annexes, schedules, and appendices thereto, the “</w:t>
      </w:r>
      <w:r>
        <w:rPr>
          <w:rFonts w:ascii="Times New Roman" w:cs="Times New Roman" w:eastAsia="Times New Roman" w:hAnsi="Times New Roman"/>
          <w:sz w:val="14"/>
          <w:szCs w:val="14"/>
          <w:b w:val="1"/>
          <w:bCs w:val="1"/>
          <w:color w:val="auto"/>
        </w:rPr>
        <w:t>Restructuring Support Agreement</w:t>
      </w:r>
      <w:r>
        <w:rPr>
          <w:rFonts w:ascii="Times New Roman" w:cs="Times New Roman" w:eastAsia="Times New Roman" w:hAnsi="Times New Roman"/>
          <w:sz w:val="14"/>
          <w:szCs w:val="14"/>
          <w:color w:val="auto"/>
        </w:rPr>
        <w:t>”) setting forth the terms and conditions to govern a recapitalization of the Group’s outstanding indebtedness (the “</w:t>
      </w:r>
      <w:r>
        <w:rPr>
          <w:rFonts w:ascii="Times New Roman" w:cs="Times New Roman" w:eastAsia="Times New Roman" w:hAnsi="Times New Roman"/>
          <w:sz w:val="14"/>
          <w:szCs w:val="14"/>
          <w:b w:val="1"/>
          <w:bCs w:val="1"/>
          <w:color w:val="auto"/>
        </w:rPr>
        <w:t>Restructuring Transaction</w:t>
      </w:r>
      <w:r>
        <w:rPr>
          <w:rFonts w:ascii="Times New Roman" w:cs="Times New Roman" w:eastAsia="Times New Roman" w:hAnsi="Times New Roman"/>
          <w:sz w:val="14"/>
          <w:szCs w:val="14"/>
          <w:color w:val="auto"/>
        </w:rPr>
        <w:t>”).</w:t>
      </w:r>
    </w:p>
    <w:p>
      <w:pPr>
        <w:spacing w:after="0" w:line="103" w:lineRule="exact"/>
        <w:rPr>
          <w:rFonts w:ascii="Times New Roman" w:cs="Times New Roman" w:eastAsia="Times New Roman" w:hAnsi="Times New Roman"/>
          <w:sz w:val="14"/>
          <w:szCs w:val="14"/>
          <w:color w:val="auto"/>
        </w:rPr>
      </w:pPr>
    </w:p>
    <w:p>
      <w:pPr>
        <w:ind w:left="748" w:hanging="316"/>
        <w:spacing w:after="0"/>
        <w:tabs>
          <w:tab w:leader="none" w:pos="748"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the Restructuring Support Agreement, the Company has agreed to issue to certain of the Group’s lenders and noteholders, including the Investors, (i) up to</w:t>
      </w:r>
    </w:p>
    <w:p>
      <w:pPr>
        <w:spacing w:after="0" w:line="27" w:lineRule="exact"/>
        <w:rPr>
          <w:rFonts w:ascii="Times New Roman" w:cs="Times New Roman" w:eastAsia="Times New Roman" w:hAnsi="Times New Roman"/>
          <w:sz w:val="14"/>
          <w:szCs w:val="14"/>
          <w:color w:val="auto"/>
        </w:rPr>
      </w:pPr>
    </w:p>
    <w:p>
      <w:pPr>
        <w:ind w:left="8"/>
        <w:spacing w:after="0" w:line="28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[2,456,178] shares of the Company’s Series A Mandatorily Convertible Preferred Stock, par value $0.01 per share (the “</w:t>
      </w:r>
      <w:r>
        <w:rPr>
          <w:rFonts w:ascii="Times New Roman" w:cs="Times New Roman" w:eastAsia="Times New Roman" w:hAnsi="Times New Roman"/>
          <w:sz w:val="14"/>
          <w:szCs w:val="14"/>
          <w:b w:val="1"/>
          <w:bCs w:val="1"/>
          <w:color w:val="auto"/>
        </w:rPr>
        <w:t>Convertible Preferred Shares</w:t>
      </w:r>
      <w:r>
        <w:rPr>
          <w:rFonts w:ascii="Times New Roman" w:cs="Times New Roman" w:eastAsia="Times New Roman" w:hAnsi="Times New Roman"/>
          <w:sz w:val="14"/>
          <w:szCs w:val="14"/>
          <w:color w:val="auto"/>
        </w:rPr>
        <w:t>”), which shall be convertible into shares of the Company’s Class A common stock, par value $0.01 per share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and (ii) [530,477,178]</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shares of Common Stock (the “</w:t>
      </w:r>
      <w:r>
        <w:rPr>
          <w:rFonts w:ascii="Times New Roman" w:cs="Times New Roman" w:eastAsia="Times New Roman" w:hAnsi="Times New Roman"/>
          <w:sz w:val="14"/>
          <w:szCs w:val="14"/>
          <w:b w:val="1"/>
          <w:bCs w:val="1"/>
          <w:color w:val="auto"/>
        </w:rPr>
        <w:t>Common Shares</w:t>
      </w:r>
      <w:r>
        <w:rPr>
          <w:rFonts w:ascii="Times New Roman" w:cs="Times New Roman" w:eastAsia="Times New Roman" w:hAnsi="Times New Roman"/>
          <w:sz w:val="14"/>
          <w:szCs w:val="14"/>
          <w:color w:val="auto"/>
        </w:rPr>
        <w:t>”).</w:t>
      </w:r>
    </w:p>
    <w:p>
      <w:pPr>
        <w:spacing w:after="0" w:line="42" w:lineRule="exact"/>
        <w:rPr>
          <w:rFonts w:ascii="Times New Roman" w:cs="Times New Roman" w:eastAsia="Times New Roman" w:hAnsi="Times New Roman"/>
          <w:sz w:val="14"/>
          <w:szCs w:val="14"/>
          <w:color w:val="auto"/>
        </w:rPr>
      </w:pPr>
    </w:p>
    <w:p>
      <w:pPr>
        <w:ind w:left="8" w:firstLine="424"/>
        <w:spacing w:after="0" w:line="295" w:lineRule="auto"/>
        <w:tabs>
          <w:tab w:leader="none" w:pos="767"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induce the Investors to enter into the Restructuring Support Agreement and to participate in the transactions contemplated thereby, the Company has agreed to provide certain registration rights under the Securities Act of 1933, as amended, or any similar successor statutes and the rules and regulations thereunder (collectively,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8"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NOW, THEREFORE, </w:t>
      </w:r>
      <w:r>
        <w:rPr>
          <w:rFonts w:ascii="Times New Roman" w:cs="Times New Roman" w:eastAsia="Times New Roman" w:hAnsi="Times New Roman"/>
          <w:sz w:val="14"/>
          <w:szCs w:val="14"/>
          <w:color w:val="auto"/>
        </w:rPr>
        <w:t>in consideration of the premises and the mutual covenants contained herein and other good and valuable consideration, the receipt and sufficiency of which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hereby acknowledged, the Company and each of the Investors hereby agree as follows:</w:t>
      </w:r>
    </w:p>
    <w:p>
      <w:pPr>
        <w:spacing w:after="0" w:line="79" w:lineRule="exact"/>
        <w:rPr>
          <w:sz w:val="20"/>
          <w:szCs w:val="20"/>
          <w:color w:val="auto"/>
        </w:rPr>
      </w:pPr>
    </w:p>
    <w:p>
      <w:pPr>
        <w:ind w:left="428" w:hanging="428"/>
        <w:spacing w:after="0"/>
        <w:tabs>
          <w:tab w:leader="none" w:pos="428"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As used in this Agreement, the following terms shall have the following meanings:</w:t>
      </w:r>
    </w:p>
    <w:p>
      <w:pPr>
        <w:spacing w:after="0" w:line="125" w:lineRule="exact"/>
        <w:rPr>
          <w:rFonts w:ascii="Times New Roman" w:cs="Times New Roman" w:eastAsia="Times New Roman" w:hAnsi="Times New Roman"/>
          <w:sz w:val="14"/>
          <w:szCs w:val="14"/>
          <w:color w:val="auto"/>
        </w:rPr>
      </w:pPr>
    </w:p>
    <w:p>
      <w:pPr>
        <w:jc w:val="both"/>
        <w:ind w:left="8" w:firstLine="216"/>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as to any specified Person, (i) any Person that directly, or indirectly through one or more intermediaries, controls or is controlled by, or is under common control with, the specified Person, (ii) any executive officer, director, trustee or general partner of the specified Person and (iii) any legal entity for which the specified Person acts as an executive officer, director, trustee or general partner. For purposes of this definition, “control” (including the correlative meanings of the terms “controlled by” and “under common control with”), as used with respect to any Person, shall mean the possession, directly, or indirectly through one or more intermediaries, of the power to direct or cause the direction of the management and policies of such Person, whether by contract, through the ownership of voting securities, partnership interests or other equity interests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10972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32" w:lineRule="exact"/>
        <w:rPr>
          <w:sz w:val="20"/>
          <w:szCs w:val="20"/>
          <w:color w:val="auto"/>
        </w:rPr>
      </w:pPr>
    </w:p>
    <w:p>
      <w:pPr>
        <w:ind w:left="68" w:hanging="68"/>
        <w:spacing w:after="0"/>
        <w:tabs>
          <w:tab w:leader="none" w:pos="68" w:val="left"/>
        </w:tabs>
        <w:numPr>
          <w:ilvl w:val="0"/>
          <w:numId w:val="28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updated to reflect 65% of common stock as of Restructuring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661670</wp:posOffset>
            </wp:positionV>
            <wp:extent cx="720344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0" w:right="299" w:bottom="1440" w:gutter="0" w:footer="0" w:header="0"/>
        </w:sectPr>
      </w:pPr>
    </w:p>
    <w:bookmarkStart w:id="213" w:name="page214"/>
    <w:bookmarkEnd w:id="213"/>
    <w:p>
      <w:pPr>
        <w:ind w:left="8" w:right="20" w:firstLine="208"/>
        <w:spacing w:after="0" w:line="258" w:lineRule="auto"/>
        <w:tabs>
          <w:tab w:leader="none" w:pos="44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shall be deemed to “</w:t>
      </w:r>
      <w:r>
        <w:rPr>
          <w:rFonts w:ascii="Times New Roman" w:cs="Times New Roman" w:eastAsia="Times New Roman" w:hAnsi="Times New Roman"/>
          <w:sz w:val="14"/>
          <w:szCs w:val="14"/>
          <w:b w:val="1"/>
          <w:bCs w:val="1"/>
          <w:color w:val="auto"/>
        </w:rPr>
        <w:t>Beneficially Own</w:t>
      </w:r>
      <w:r>
        <w:rPr>
          <w:rFonts w:ascii="Times New Roman" w:cs="Times New Roman" w:eastAsia="Times New Roman" w:hAnsi="Times New Roman"/>
          <w:sz w:val="14"/>
          <w:szCs w:val="14"/>
          <w:color w:val="auto"/>
        </w:rPr>
        <w:t>” securities if such Person is deemed to be a “beneficial owner” within the meaning of Rules 13d-3 and 13d-5 under the Exchange Act as in effect on the date of this Agreement.</w:t>
      </w:r>
    </w:p>
    <w:p>
      <w:pPr>
        <w:spacing w:after="0" w:line="85"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shall mean the Board of Directors of the Company.</w:t>
      </w:r>
    </w:p>
    <w:p>
      <w:pPr>
        <w:spacing w:after="0" w:line="127"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any day other than Saturday, Sunday or any other day on which commercial banks in the City of New York are authorized or required by law to remain closed.</w:t>
      </w:r>
    </w:p>
    <w:p>
      <w:pPr>
        <w:spacing w:after="0" w:line="125"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means [●], 2026.</w:t>
      </w:r>
      <w:r>
        <w:rPr>
          <w:rFonts w:ascii="Times New Roman" w:cs="Times New Roman" w:eastAsia="Times New Roman" w:hAnsi="Times New Roman"/>
          <w:sz w:val="18"/>
          <w:szCs w:val="18"/>
          <w:color w:val="auto"/>
          <w:vertAlign w:val="superscript"/>
        </w:rPr>
        <w:t>2</w:t>
      </w:r>
    </w:p>
    <w:p>
      <w:pPr>
        <w:spacing w:after="0" w:line="82" w:lineRule="exact"/>
        <w:rPr>
          <w:rFonts w:ascii="Times New Roman" w:cs="Times New Roman" w:eastAsia="Times New Roman" w:hAnsi="Times New Roman"/>
          <w:sz w:val="14"/>
          <w:szCs w:val="14"/>
          <w:color w:val="auto"/>
        </w:rPr>
      </w:pPr>
    </w:p>
    <w:p>
      <w:pPr>
        <w:jc w:val="both"/>
        <w:ind w:left="8" w:firstLine="208"/>
        <w:spacing w:after="0" w:line="231" w:lineRule="auto"/>
        <w:tabs>
          <w:tab w:leader="none" w:pos="434"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Securities</w:t>
      </w:r>
      <w:r>
        <w:rPr>
          <w:rFonts w:ascii="Times New Roman" w:cs="Times New Roman" w:eastAsia="Times New Roman" w:hAnsi="Times New Roman"/>
          <w:sz w:val="14"/>
          <w:szCs w:val="14"/>
          <w:color w:val="auto"/>
        </w:rPr>
        <w:t>” shall mean (i) the Common Shares, (ii) the Convertible Preferred Shares, (iii) the Conversion Shares (as defined below) and (iv) any shares of capital stock of the Company (or any successor or assign of the Company, whether by merger, reorganization, consolidation, sale of assets or otherwise) which may be issued or issuable with respect to the Common Shares, the Convertible Preferred Shares or the Conversion Shares, as a result of any stock split, stock dividend, recapitalization, exchange, conversion, combination, merger, consolidation or similar event or otherwise.</w:t>
      </w:r>
    </w:p>
    <w:p>
      <w:pPr>
        <w:spacing w:after="0" w:line="100"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Conversion Shares</w:t>
      </w:r>
      <w:r>
        <w:rPr>
          <w:rFonts w:ascii="Times New Roman" w:cs="Times New Roman" w:eastAsia="Times New Roman" w:hAnsi="Times New Roman"/>
          <w:sz w:val="14"/>
          <w:szCs w:val="14"/>
          <w:color w:val="auto"/>
        </w:rPr>
        <w:t>” means the shares of Common Stock issued or issuable upon conversion of any Convertible Preferred Shares.</w:t>
      </w:r>
    </w:p>
    <w:p>
      <w:pPr>
        <w:spacing w:after="0" w:line="127"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collectively, the Securities Exchange Act of 1934, as amended, and the rules and regulations thereunder, or any similar successor statutes.</w:t>
      </w:r>
    </w:p>
    <w:p>
      <w:pPr>
        <w:spacing w:after="0" w:line="127" w:lineRule="exact"/>
        <w:rPr>
          <w:rFonts w:ascii="Times New Roman" w:cs="Times New Roman" w:eastAsia="Times New Roman" w:hAnsi="Times New Roman"/>
          <w:sz w:val="14"/>
          <w:szCs w:val="14"/>
          <w:color w:val="auto"/>
        </w:rPr>
      </w:pPr>
    </w:p>
    <w:p>
      <w:pPr>
        <w:jc w:val="both"/>
        <w:ind w:left="8" w:right="20" w:firstLine="208"/>
        <w:spacing w:after="0" w:line="237" w:lineRule="auto"/>
        <w:tabs>
          <w:tab w:leader="none" w:pos="435"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means the government of the United States of America or the government of any other nation, or any political subdivision thereof, whether state, provincial or local, or any agency, authority, instrumentality, regulatory body, court, central bank or other entity exercising executive, legislative, judicial, taxing, regulatory or administration powers or functions of or pertaining to government over the Company or any of its subsidiaries, or any of their respective properties, assets or undertakings.</w:t>
      </w:r>
    </w:p>
    <w:p>
      <w:pPr>
        <w:spacing w:after="0" w:line="99"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Filing Deadline</w:t>
      </w:r>
      <w:r>
        <w:rPr>
          <w:rFonts w:ascii="Times New Roman" w:cs="Times New Roman" w:eastAsia="Times New Roman" w:hAnsi="Times New Roman"/>
          <w:sz w:val="14"/>
          <w:szCs w:val="14"/>
          <w:color w:val="auto"/>
        </w:rPr>
        <w:t>” means the date that is ten (10) Business Days after the Closing Date.</w:t>
      </w:r>
    </w:p>
    <w:p>
      <w:pPr>
        <w:spacing w:after="0" w:line="127" w:lineRule="exact"/>
        <w:rPr>
          <w:rFonts w:ascii="Times New Roman" w:cs="Times New Roman" w:eastAsia="Times New Roman" w:hAnsi="Times New Roman"/>
          <w:sz w:val="14"/>
          <w:szCs w:val="14"/>
          <w:color w:val="auto"/>
        </w:rPr>
      </w:pPr>
    </w:p>
    <w:p>
      <w:pPr>
        <w:ind w:left="8" w:firstLine="208"/>
        <w:spacing w:after="0" w:line="258" w:lineRule="auto"/>
        <w:tabs>
          <w:tab w:leader="none" w:pos="44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Registration Statement</w:t>
      </w:r>
      <w:r>
        <w:rPr>
          <w:rFonts w:ascii="Times New Roman" w:cs="Times New Roman" w:eastAsia="Times New Roman" w:hAnsi="Times New Roman"/>
          <w:sz w:val="14"/>
          <w:szCs w:val="14"/>
          <w:color w:val="auto"/>
        </w:rPr>
        <w:t xml:space="preserve">” means a Registration Statement (as defined below) or Registration Statements filed under the Securities Act pursuant to </w:t>
      </w:r>
      <w:r>
        <w:rPr>
          <w:rFonts w:ascii="Times New Roman" w:cs="Times New Roman" w:eastAsia="Times New Roman" w:hAnsi="Times New Roman"/>
          <w:sz w:val="14"/>
          <w:szCs w:val="14"/>
          <w:u w:val="single" w:color="auto"/>
          <w:color w:val="auto"/>
        </w:rPr>
        <w:t>Section 2.a.i</w:t>
      </w:r>
      <w:r>
        <w:rPr>
          <w:rFonts w:ascii="Times New Roman" w:cs="Times New Roman" w:eastAsia="Times New Roman" w:hAnsi="Times New Roman"/>
          <w:sz w:val="14"/>
          <w:szCs w:val="14"/>
          <w:color w:val="auto"/>
        </w:rPr>
        <w:t xml:space="preserve"> hereof covering the Registrable Securities (which shall include, at any particular time, each document incorporated or deemed to be incorporated by reference therein).</w:t>
      </w:r>
    </w:p>
    <w:p>
      <w:pPr>
        <w:spacing w:after="0" w:line="85"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Required Registration Amount</w:t>
      </w:r>
      <w:r>
        <w:rPr>
          <w:rFonts w:ascii="Times New Roman" w:cs="Times New Roman" w:eastAsia="Times New Roman" w:hAnsi="Times New Roman"/>
          <w:sz w:val="14"/>
          <w:szCs w:val="14"/>
          <w:color w:val="auto"/>
        </w:rPr>
        <w:t>” means 100% of the Registrable Securities as of the trading day immediately preceding the applicable date of determination.</w:t>
      </w:r>
    </w:p>
    <w:p>
      <w:pPr>
        <w:spacing w:after="0" w:line="127" w:lineRule="exact"/>
        <w:rPr>
          <w:rFonts w:ascii="Times New Roman" w:cs="Times New Roman" w:eastAsia="Times New Roman" w:hAnsi="Times New Roman"/>
          <w:sz w:val="14"/>
          <w:szCs w:val="14"/>
          <w:color w:val="auto"/>
        </w:rPr>
      </w:pPr>
    </w:p>
    <w:p>
      <w:pPr>
        <w:jc w:val="both"/>
        <w:ind w:left="8" w:firstLine="208"/>
        <w:spacing w:after="0" w:line="237" w:lineRule="auto"/>
        <w:tabs>
          <w:tab w:leader="none" w:pos="435"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 xml:space="preserve">” means each Person initially party hereto, or any transferee or assignee thereof to whom such Person assigns its rights under this Agreement and who agrees to become bound by the provisions of this Agreement in accordance with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such a transferee or assignee thereof to whom a transferee or assignee assigns its rights under this Agreement and who agrees to become bound by the provisions of this Agreement in accordance with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w:t>
      </w:r>
    </w:p>
    <w:p>
      <w:pPr>
        <w:spacing w:after="0" w:line="99"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National Securities Exchange</w:t>
      </w:r>
      <w:r>
        <w:rPr>
          <w:rFonts w:ascii="Times New Roman" w:cs="Times New Roman" w:eastAsia="Times New Roman" w:hAnsi="Times New Roman"/>
          <w:sz w:val="14"/>
          <w:szCs w:val="14"/>
          <w:color w:val="auto"/>
        </w:rPr>
        <w:t>” means The New York Stock Exchange, The Nasdaq Global Select Market or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0972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68" w:lineRule="exact"/>
        <w:rPr>
          <w:sz w:val="20"/>
          <w:szCs w:val="20"/>
          <w:color w:val="auto"/>
        </w:rPr>
      </w:pPr>
    </w:p>
    <w:p>
      <w:pPr>
        <w:ind w:left="188" w:hanging="188"/>
        <w:spacing w:after="0"/>
        <w:tabs>
          <w:tab w:leader="none" w:pos="188" w:val="left"/>
        </w:tabs>
        <w:numPr>
          <w:ilvl w:val="0"/>
          <w:numId w:val="28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NTD: To be the Restructuring Effective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8"/>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8" w:right="299" w:bottom="1440" w:gutter="0" w:footer="0" w:header="0"/>
        </w:sectPr>
      </w:pPr>
    </w:p>
    <w:bookmarkStart w:id="214" w:name="page215"/>
    <w:bookmarkEnd w:id="214"/>
    <w:p>
      <w:pPr>
        <w:jc w:val="both"/>
        <w:ind w:left="-208" w:firstLine="208"/>
        <w:spacing w:after="0" w:line="231" w:lineRule="auto"/>
        <w:tabs>
          <w:tab w:leader="none" w:pos="224"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Transfer</w:t>
      </w:r>
      <w:r>
        <w:rPr>
          <w:rFonts w:ascii="Times New Roman" w:cs="Times New Roman" w:eastAsia="Times New Roman" w:hAnsi="Times New Roman"/>
          <w:sz w:val="14"/>
          <w:szCs w:val="14"/>
          <w:color w:val="auto"/>
        </w:rPr>
        <w:t>” means the transfer of the Company Securities (i) to any Affiliate of the Investor; (ii) to any investment fund or other entity under common control or management by entities that are Affiliates of the Investor; (iii) by operation of law or pursuant to the order of any regulatory agency, (iv) pursuant to any bona fide third-party tender offer, merger, consolidation or other similar transaction made to all holders of Common Stock, provided that in the event that such tender offer, merger, consolidation or other such transaction is not completed, the Company Securities shall remain subject to the provisions of this Agreement or (v) with the prior consent of the Company.</w:t>
      </w:r>
    </w:p>
    <w:p>
      <w:pPr>
        <w:spacing w:after="0" w:line="100" w:lineRule="exact"/>
        <w:rPr>
          <w:rFonts w:ascii="Times New Roman" w:cs="Times New Roman" w:eastAsia="Times New Roman" w:hAnsi="Times New Roman"/>
          <w:sz w:val="14"/>
          <w:szCs w:val="14"/>
          <w:color w:val="auto"/>
        </w:rPr>
      </w:pPr>
    </w:p>
    <w:p>
      <w:pPr>
        <w:ind w:left="-208" w:right="20" w:firstLine="208"/>
        <w:spacing w:after="0" w:line="258" w:lineRule="auto"/>
        <w:tabs>
          <w:tab w:leader="none" w:pos="224"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 individual, a limited liability company, a partnership, a joint venture, a corporation, a trust, an unincorporated organization, a government or any department or agency thereof, or any other legal entity.</w:t>
      </w:r>
    </w:p>
    <w:p>
      <w:pPr>
        <w:spacing w:after="0" w:line="85" w:lineRule="exact"/>
        <w:rPr>
          <w:rFonts w:ascii="Times New Roman" w:cs="Times New Roman" w:eastAsia="Times New Roman" w:hAnsi="Times New Roman"/>
          <w:sz w:val="14"/>
          <w:szCs w:val="14"/>
          <w:color w:val="auto"/>
        </w:rPr>
      </w:pPr>
    </w:p>
    <w:p>
      <w:pPr>
        <w:ind w:left="-208" w:right="20" w:firstLine="208"/>
        <w:spacing w:after="0" w:line="258" w:lineRule="auto"/>
        <w:tabs>
          <w:tab w:leader="none" w:pos="224"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means the prospectus included in any Registration Statement, including any preliminary prospectus, and all other amendments and supplements to any such prospectus, including post-effective amendments, and all material incorporated by reference or deemed to be incorporated by reference, if any, in such prospectus.</w:t>
      </w:r>
    </w:p>
    <w:p>
      <w:pPr>
        <w:spacing w:after="0" w:line="85" w:lineRule="exact"/>
        <w:rPr>
          <w:rFonts w:ascii="Times New Roman" w:cs="Times New Roman" w:eastAsia="Times New Roman" w:hAnsi="Times New Roman"/>
          <w:sz w:val="14"/>
          <w:szCs w:val="14"/>
          <w:color w:val="auto"/>
        </w:rPr>
      </w:pPr>
    </w:p>
    <w:p>
      <w:pPr>
        <w:ind w:left="-208" w:firstLine="208"/>
        <w:spacing w:after="0" w:line="258" w:lineRule="auto"/>
        <w:tabs>
          <w:tab w:leader="none" w:pos="21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registration</w:t>
      </w:r>
      <w:r>
        <w:rPr>
          <w:rFonts w:ascii="Times New Roman" w:cs="Times New Roman" w:eastAsia="Times New Roman" w:hAnsi="Times New Roman"/>
          <w:sz w:val="14"/>
          <w:szCs w:val="14"/>
          <w:color w:val="auto"/>
        </w:rPr>
        <w:t>” refer to a registration effected by preparing and filing one or more registration statements in compliance with the Securities Act and pursuant to Rule 415 and the declaration or ordering of effectiveness of such registration statement(s) by the SEC.</w:t>
      </w:r>
    </w:p>
    <w:p>
      <w:pPr>
        <w:spacing w:after="0" w:line="85" w:lineRule="exact"/>
        <w:rPr>
          <w:rFonts w:ascii="Times New Roman" w:cs="Times New Roman" w:eastAsia="Times New Roman" w:hAnsi="Times New Roman"/>
          <w:sz w:val="14"/>
          <w:szCs w:val="14"/>
          <w:color w:val="auto"/>
        </w:rPr>
      </w:pPr>
    </w:p>
    <w:p>
      <w:pPr>
        <w:jc w:val="both"/>
        <w:ind w:left="-208" w:firstLine="208"/>
        <w:spacing w:after="0" w:line="224" w:lineRule="auto"/>
        <w:tabs>
          <w:tab w:leader="none" w:pos="217"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Registrable Securities</w:t>
      </w:r>
      <w:r>
        <w:rPr>
          <w:rFonts w:ascii="Times New Roman" w:cs="Times New Roman" w:eastAsia="Times New Roman" w:hAnsi="Times New Roman"/>
          <w:sz w:val="14"/>
          <w:szCs w:val="14"/>
          <w:color w:val="auto"/>
        </w:rPr>
        <w:t xml:space="preserve">” means any Company Securities currently owned or hereinafter acquired by any Investor; provided, however, that any Registrable Securities shall cease to be Registrable Securities when (i) a Registration Statement with respect to the sale of such securities has become effective under the Securities Act and such securities are disposed of in accordance with such Registration Statement, (ii) such securities are sold in accordance with Rule 144 or an applicable exemption from registration under the Securities Act, (iii) </w:t>
      </w:r>
      <w:r>
        <w:rPr>
          <w:rFonts w:ascii="Times New Roman" w:cs="Times New Roman" w:eastAsia="Times New Roman" w:hAnsi="Times New Roman"/>
          <w:sz w:val="14"/>
          <w:szCs w:val="14"/>
          <w:u w:val="single" w:color="auto"/>
          <w:color w:val="auto"/>
        </w:rPr>
        <w:t>both</w:t>
      </w:r>
      <w:r>
        <w:rPr>
          <w:rFonts w:ascii="Times New Roman" w:cs="Times New Roman" w:eastAsia="Times New Roman" w:hAnsi="Times New Roman"/>
          <w:sz w:val="14"/>
          <w:szCs w:val="14"/>
          <w:color w:val="auto"/>
        </w:rPr>
        <w:t xml:space="preserve"> (A) such securities are eligible to be sold by the holder thereof pursuant to Rule 144 without limitation, restriction or condition (including any holding period, current public information requirement, limitation on volume, manner of sale restrictions or notice requirement) thereunder </w:t>
      </w:r>
      <w:r>
        <w:rPr>
          <w:rFonts w:ascii="Times New Roman" w:cs="Times New Roman" w:eastAsia="Times New Roman" w:hAnsi="Times New Roman"/>
          <w:sz w:val="14"/>
          <w:szCs w:val="14"/>
          <w:u w:val="single" w:color="auto"/>
          <w:color w:val="auto"/>
        </w:rPr>
        <w:t>and</w:t>
      </w:r>
      <w:r>
        <w:rPr>
          <w:rFonts w:ascii="Times New Roman" w:cs="Times New Roman" w:eastAsia="Times New Roman" w:hAnsi="Times New Roman"/>
          <w:sz w:val="14"/>
          <w:szCs w:val="14"/>
          <w:color w:val="auto"/>
        </w:rPr>
        <w:t xml:space="preserve"> (B) all restrictive legends and any “stop transfer” notations, instructions or similar transfer restrictions imposed under securities laws have been removed from such securities or (iv) such securities are sold to the Company. For purposes of calculating any amounts of Registrable Securities, the Convertible Preferred Shares shall be treated as if converted to Conversion Shares.</w:t>
      </w:r>
    </w:p>
    <w:p>
      <w:pPr>
        <w:spacing w:after="0" w:line="100" w:lineRule="exact"/>
        <w:rPr>
          <w:rFonts w:ascii="Times New Roman" w:cs="Times New Roman" w:eastAsia="Times New Roman" w:hAnsi="Times New Roman"/>
          <w:sz w:val="14"/>
          <w:szCs w:val="14"/>
          <w:color w:val="auto"/>
        </w:rPr>
      </w:pPr>
    </w:p>
    <w:p>
      <w:pPr>
        <w:ind w:left="-208" w:right="20" w:firstLine="208"/>
        <w:spacing w:after="0" w:line="258" w:lineRule="auto"/>
        <w:tabs>
          <w:tab w:leader="none" w:pos="219"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means a registration statement or registration statements of the Company filed under the Securities Act covering Registrable Securities and the resale thereof (which shall include, at any particular time, each document incorporated or deemed to be incorporated by reference therein).</w:t>
      </w:r>
    </w:p>
    <w:p>
      <w:pPr>
        <w:spacing w:after="0" w:line="85" w:lineRule="exact"/>
        <w:rPr>
          <w:rFonts w:ascii="Times New Roman" w:cs="Times New Roman" w:eastAsia="Times New Roman" w:hAnsi="Times New Roman"/>
          <w:sz w:val="14"/>
          <w:szCs w:val="14"/>
          <w:color w:val="auto"/>
        </w:rPr>
      </w:pPr>
    </w:p>
    <w:p>
      <w:pPr>
        <w:jc w:val="both"/>
        <w:ind w:left="-208" w:firstLine="208"/>
        <w:spacing w:after="0" w:line="237" w:lineRule="auto"/>
        <w:tabs>
          <w:tab w:leader="none" w:pos="224"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Investors</w:t>
      </w:r>
      <w:r>
        <w:rPr>
          <w:rFonts w:ascii="Times New Roman" w:cs="Times New Roman" w:eastAsia="Times New Roman" w:hAnsi="Times New Roman"/>
          <w:sz w:val="14"/>
          <w:szCs w:val="14"/>
          <w:color w:val="auto"/>
        </w:rPr>
        <w:t>” means the Investors holding of a majority of the then-outstanding Registrable Securities. For purposes of this Agreement, Registrable Securities held by an Investor and its Affiliates (and/or by investment funds or other entities under common control or management with such Investor) shall be aggregated in determining whether any Investor (or group of Investors) satisfies any ownership threshold, consent right, demand right, or other approval requirement under this Agreement.</w:t>
      </w:r>
    </w:p>
    <w:p>
      <w:pPr>
        <w:spacing w:after="0" w:line="99" w:lineRule="exact"/>
        <w:rPr>
          <w:rFonts w:ascii="Times New Roman" w:cs="Times New Roman" w:eastAsia="Times New Roman" w:hAnsi="Times New Roman"/>
          <w:sz w:val="14"/>
          <w:szCs w:val="14"/>
          <w:color w:val="auto"/>
        </w:rPr>
      </w:pPr>
    </w:p>
    <w:p>
      <w:pPr>
        <w:ind w:left="212" w:hanging="212"/>
        <w:spacing w:after="0"/>
        <w:tabs>
          <w:tab w:leader="none" w:pos="212"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Rule 144</w:t>
      </w:r>
      <w:r>
        <w:rPr>
          <w:rFonts w:ascii="Times New Roman" w:cs="Times New Roman" w:eastAsia="Times New Roman" w:hAnsi="Times New Roman"/>
          <w:sz w:val="14"/>
          <w:szCs w:val="14"/>
          <w:color w:val="auto"/>
        </w:rPr>
        <w:t>” means Rule 144 promulgated under the Securities Act or any successor rule.</w:t>
      </w:r>
    </w:p>
    <w:p>
      <w:pPr>
        <w:spacing w:after="0" w:line="127" w:lineRule="exact"/>
        <w:rPr>
          <w:rFonts w:ascii="Times New Roman" w:cs="Times New Roman" w:eastAsia="Times New Roman" w:hAnsi="Times New Roman"/>
          <w:sz w:val="14"/>
          <w:szCs w:val="14"/>
          <w:color w:val="auto"/>
        </w:rPr>
      </w:pPr>
    </w:p>
    <w:p>
      <w:pPr>
        <w:ind w:left="212" w:hanging="212"/>
        <w:spacing w:after="0"/>
        <w:tabs>
          <w:tab w:leader="none" w:pos="212"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Rule 415</w:t>
      </w:r>
      <w:r>
        <w:rPr>
          <w:rFonts w:ascii="Times New Roman" w:cs="Times New Roman" w:eastAsia="Times New Roman" w:hAnsi="Times New Roman"/>
          <w:sz w:val="14"/>
          <w:szCs w:val="14"/>
          <w:color w:val="auto"/>
        </w:rPr>
        <w:t>” means Rule 415 promulgated under the Securities Act or any successor rule providing for offering securities on a continuous or delayed basis.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32"/>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147955</wp:posOffset>
            </wp:positionV>
            <wp:extent cx="720344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92"/>
          </w:cols>
          <w:pgMar w:left="508" w:top="1118" w:right="299" w:bottom="1440" w:gutter="0" w:footer="0" w:header="0"/>
        </w:sectPr>
      </w:pPr>
    </w:p>
    <w:bookmarkStart w:id="215" w:name="page216"/>
    <w:bookmarkEnd w:id="215"/>
    <w:p>
      <w:pPr>
        <w:ind w:left="428" w:hanging="212"/>
        <w:spacing w:after="0"/>
        <w:tabs>
          <w:tab w:leader="none" w:pos="428"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United States Securities and Exchange Commission.</w:t>
      </w:r>
    </w:p>
    <w:p>
      <w:pPr>
        <w:spacing w:after="0" w:line="127" w:lineRule="exact"/>
        <w:rPr>
          <w:rFonts w:ascii="Times New Roman" w:cs="Times New Roman" w:eastAsia="Times New Roman" w:hAnsi="Times New Roman"/>
          <w:sz w:val="14"/>
          <w:szCs w:val="14"/>
          <w:color w:val="auto"/>
        </w:rPr>
      </w:pPr>
    </w:p>
    <w:p>
      <w:pPr>
        <w:ind w:left="8" w:firstLine="208"/>
        <w:spacing w:after="0" w:line="258" w:lineRule="auto"/>
        <w:tabs>
          <w:tab w:leader="none" w:pos="431"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Underwriter</w:t>
      </w:r>
      <w:r>
        <w:rPr>
          <w:rFonts w:ascii="Times New Roman" w:cs="Times New Roman" w:eastAsia="Times New Roman" w:hAnsi="Times New Roman"/>
          <w:sz w:val="14"/>
          <w:szCs w:val="14"/>
          <w:color w:val="auto"/>
        </w:rPr>
        <w:t>” shall mean a securities dealer who purchases any Registrable Securities as principal in an Underwritten Offering (as defined below) and not as part of such dealer’s market-making activities.</w:t>
      </w:r>
    </w:p>
    <w:p>
      <w:pPr>
        <w:spacing w:after="0" w:line="85" w:lineRule="exact"/>
        <w:rPr>
          <w:rFonts w:ascii="Times New Roman" w:cs="Times New Roman" w:eastAsia="Times New Roman" w:hAnsi="Times New Roman"/>
          <w:sz w:val="14"/>
          <w:szCs w:val="14"/>
          <w:color w:val="auto"/>
        </w:rPr>
      </w:pPr>
    </w:p>
    <w:p>
      <w:pPr>
        <w:ind w:left="8" w:firstLine="208"/>
        <w:spacing w:after="0" w:line="258" w:lineRule="auto"/>
        <w:tabs>
          <w:tab w:leader="none" w:pos="432" w:val="left"/>
        </w:tabs>
        <w:numPr>
          <w:ilvl w:val="1"/>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Underwritten Registration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Underwritten Offering</w:t>
      </w:r>
      <w:r>
        <w:rPr>
          <w:rFonts w:ascii="Times New Roman" w:cs="Times New Roman" w:eastAsia="Times New Roman" w:hAnsi="Times New Roman"/>
          <w:sz w:val="14"/>
          <w:szCs w:val="14"/>
          <w:color w:val="auto"/>
        </w:rPr>
        <w:t>” shall mean a registration in which securities of the Company are sold to an Underwriter in a firm commitment underwriting for distribution to the public.</w:t>
      </w:r>
    </w:p>
    <w:p>
      <w:pPr>
        <w:spacing w:after="0" w:line="87"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Shelf Registration Statement</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left="8" w:firstLine="424"/>
        <w:spacing w:after="0"/>
        <w:tabs>
          <w:tab w:leader="none" w:pos="867" w:val="left"/>
        </w:tabs>
        <w:numPr>
          <w:ilvl w:val="2"/>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prepare, and, as soon as reasonably practicable, but in no event later than the Initial Filing Deadline, file with the SEC a Registration Statement on Form S-1 (“</w:t>
      </w:r>
      <w:r>
        <w:rPr>
          <w:rFonts w:ascii="Times New Roman" w:cs="Times New Roman" w:eastAsia="Times New Roman" w:hAnsi="Times New Roman"/>
          <w:sz w:val="14"/>
          <w:szCs w:val="14"/>
          <w:b w:val="1"/>
          <w:bCs w:val="1"/>
          <w:color w:val="auto"/>
        </w:rPr>
        <w:t>Form S-1</w:t>
      </w:r>
      <w:r>
        <w:rPr>
          <w:rFonts w:ascii="Times New Roman" w:cs="Times New Roman" w:eastAsia="Times New Roman" w:hAnsi="Times New Roman"/>
          <w:sz w:val="14"/>
          <w:szCs w:val="14"/>
          <w:color w:val="auto"/>
        </w:rPr>
        <w:t>”) or applicable successor form covering the resale of the Registrable Securities for an offering to be made on a continuous basis pursuant to Rule 415 or, if Rule 415 is not available for offers and sales of the Registrable Securities, by such other means of distribution of Registrable Securities as the Investors may reasonably specify. The Initial Registration Statement prepared pursuant hereto shall register for resale the number of Registrable Securities equal to the Initial Required Registration Amount. The Company shall use commercially reasonable efforts to have the Initial Registration Statement declared effective by the SEC as soon as reasonably practicable, but not later than thirty (30) days after the filing thereof (or ninety (90) days after the filing thereof if the SEC notifies the Company that it will “review” the Initial Registration Statement). The Company shall use commercially reasonable efforts to have the Initial Registration Statement remain continuously effective, and shall prepare and file with the SEC such amendments, including post-effective amendments, and supplements as may be necessary to keep the Initial Registration Statement continuously effective under the Securities Act until the earlier of (A) such date that all Registrable Securities have ceased to be Registrable Securities or (B) such date on which a Registration Statement on Form S-3 (“</w:t>
      </w:r>
      <w:r>
        <w:rPr>
          <w:rFonts w:ascii="Times New Roman" w:cs="Times New Roman" w:eastAsia="Times New Roman" w:hAnsi="Times New Roman"/>
          <w:sz w:val="14"/>
          <w:szCs w:val="14"/>
          <w:b w:val="1"/>
          <w:bCs w:val="1"/>
          <w:color w:val="auto"/>
        </w:rPr>
        <w:t>Form S-3</w:t>
      </w:r>
      <w:r>
        <w:rPr>
          <w:rFonts w:ascii="Times New Roman" w:cs="Times New Roman" w:eastAsia="Times New Roman" w:hAnsi="Times New Roman"/>
          <w:sz w:val="14"/>
          <w:szCs w:val="14"/>
          <w:color w:val="auto"/>
        </w:rPr>
        <w:t>”) (or any successor short form registration statement available for such resale that permits incorporation by reference at least to the same extent as such form) has become effective.</w:t>
      </w:r>
    </w:p>
    <w:p>
      <w:pPr>
        <w:spacing w:after="0" w:line="135" w:lineRule="exact"/>
        <w:rPr>
          <w:rFonts w:ascii="Times New Roman" w:cs="Times New Roman" w:eastAsia="Times New Roman" w:hAnsi="Times New Roman"/>
          <w:sz w:val="14"/>
          <w:szCs w:val="14"/>
          <w:color w:val="auto"/>
        </w:rPr>
      </w:pPr>
    </w:p>
    <w:p>
      <w:pPr>
        <w:jc w:val="both"/>
        <w:ind w:left="8" w:firstLine="424"/>
        <w:spacing w:after="0" w:line="222" w:lineRule="auto"/>
        <w:tabs>
          <w:tab w:leader="none" w:pos="871" w:val="left"/>
        </w:tabs>
        <w:numPr>
          <w:ilvl w:val="2"/>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Once the Company shall have qualified for the use of a Registration Statement on Form S-3 (or any successor short form registration statement available for such resale that permits incorporation by reference at least to the same extent as such form), and at such time the Company has an outstanding Registration Statement on Form S-1, the Company will use commercially reasonable efforts to, as promptly as practicable, convert such outstanding Registration Statement on Form S-1 into a Registration Statement on Form S-3. If the Company does not have an outstanding Registration Statement on Form S-1 at such time, the Company will use commercially reasonable efforts to, as soon as reasonably practicable, file a new Registration Statement on Form S-3 (or similar or successor form) covering any then-remaining Registrable Securities. The Company shall use commercially reasonable efforts to have the Registration Statement on Form S-3 remain continuously effective, and shall prepare and file with the SEC such amendments, including post-effective amendments, and supplements as may be necessary to keep the Registration Statement on Form S-3 continuously effective under the Securities Act until the earlier of (A) such date that all Registrable Securities have ceased to be Registrable Securities and (B) such date on which the Investors have sold all of the Registrable Securities covered by such Registration Statement in accordance with such Registration Statement or pursuant to Rule 144.</w:t>
      </w:r>
    </w:p>
    <w:p>
      <w:pPr>
        <w:spacing w:after="0" w:line="104"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2"/>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that a Registration Statement provided for in </w:t>
      </w:r>
      <w:r>
        <w:rPr>
          <w:rFonts w:ascii="Times New Roman" w:cs="Times New Roman" w:eastAsia="Times New Roman" w:hAnsi="Times New Roman"/>
          <w:sz w:val="14"/>
          <w:szCs w:val="14"/>
          <w:u w:val="single" w:color="auto"/>
          <w:color w:val="auto"/>
        </w:rPr>
        <w:t>subsection 2.a.i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subsection 2.a.ii</w:t>
      </w:r>
      <w:r>
        <w:rPr>
          <w:rFonts w:ascii="Times New Roman" w:cs="Times New Roman" w:eastAsia="Times New Roman" w:hAnsi="Times New Roman"/>
          <w:sz w:val="14"/>
          <w:szCs w:val="14"/>
          <w:color w:val="auto"/>
        </w:rPr>
        <w:t xml:space="preserve"> is not available for use by the Investors following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8"/>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8" w:right="299" w:bottom="1440" w:gutter="0" w:footer="0" w:header="0"/>
        </w:sectPr>
      </w:pPr>
    </w:p>
    <w:bookmarkStart w:id="216" w:name="page217"/>
    <w:bookmarkEnd w:id="216"/>
    <w:p>
      <w:pPr>
        <w:jc w:val="both"/>
        <w:ind w:left="8"/>
        <w:spacing w:after="0" w:line="217" w:lineRule="auto"/>
        <w:rPr>
          <w:sz w:val="20"/>
          <w:szCs w:val="20"/>
          <w:color w:val="auto"/>
        </w:rPr>
      </w:pPr>
      <w:r>
        <w:rPr>
          <w:rFonts w:ascii="Times New Roman" w:cs="Times New Roman" w:eastAsia="Times New Roman" w:hAnsi="Times New Roman"/>
          <w:sz w:val="14"/>
          <w:szCs w:val="14"/>
          <w:color w:val="auto"/>
        </w:rPr>
        <w:t>being declared effective by the SEC (a “</w:t>
      </w:r>
      <w:r>
        <w:rPr>
          <w:rFonts w:ascii="Times New Roman" w:cs="Times New Roman" w:eastAsia="Times New Roman" w:hAnsi="Times New Roman"/>
          <w:sz w:val="14"/>
          <w:szCs w:val="14"/>
          <w:b w:val="1"/>
          <w:bCs w:val="1"/>
          <w:color w:val="auto"/>
        </w:rPr>
        <w:t>Demand Registration Period</w:t>
      </w:r>
      <w:r>
        <w:rPr>
          <w:rFonts w:ascii="Times New Roman" w:cs="Times New Roman" w:eastAsia="Times New Roman" w:hAnsi="Times New Roman"/>
          <w:sz w:val="14"/>
          <w:szCs w:val="14"/>
          <w:color w:val="auto"/>
        </w:rPr>
        <w:t xml:space="preserve">”), subject to this </w:t>
      </w:r>
      <w:r>
        <w:rPr>
          <w:rFonts w:ascii="Times New Roman" w:cs="Times New Roman" w:eastAsia="Times New Roman" w:hAnsi="Times New Roman"/>
          <w:sz w:val="14"/>
          <w:szCs w:val="14"/>
          <w:u w:val="single" w:color="auto"/>
          <w:color w:val="auto"/>
        </w:rPr>
        <w:t>subsection 2.a.iii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2.f</w:t>
      </w:r>
      <w:r>
        <w:rPr>
          <w:rFonts w:ascii="Times New Roman" w:cs="Times New Roman" w:eastAsia="Times New Roman" w:hAnsi="Times New Roman"/>
          <w:sz w:val="14"/>
          <w:szCs w:val="14"/>
          <w:color w:val="auto"/>
        </w:rPr>
        <w:t>, at any time and from time to time during such Demand Registration Period, Investors holding Registrable Securities representing in the aggregate at least ten percent (10%) of the Registrable Securities then outstanding (the “</w:t>
      </w:r>
      <w:r>
        <w:rPr>
          <w:rFonts w:ascii="Times New Roman" w:cs="Times New Roman" w:eastAsia="Times New Roman" w:hAnsi="Times New Roman"/>
          <w:sz w:val="14"/>
          <w:szCs w:val="14"/>
          <w:b w:val="1"/>
          <w:bCs w:val="1"/>
          <w:color w:val="auto"/>
        </w:rPr>
        <w:t>Demanding Investors</w:t>
      </w:r>
      <w:r>
        <w:rPr>
          <w:rFonts w:ascii="Times New Roman" w:cs="Times New Roman" w:eastAsia="Times New Roman" w:hAnsi="Times New Roman"/>
          <w:sz w:val="14"/>
          <w:szCs w:val="14"/>
          <w:color w:val="auto"/>
        </w:rPr>
        <w:t xml:space="preserve">”) shall have the right to make a written demand from time to time to effect one or more Registration Statements under the Securities Act covering all or any part of their Registrable Securities, by delivering a written demand therefor to the Company, which written demand shall describe the amount and type of securities to be included in such Registration and the intended method(s) of distribution thereof. Any such request by any Demanding Investor pursuant to this </w:t>
      </w:r>
      <w:r>
        <w:rPr>
          <w:rFonts w:ascii="Times New Roman" w:cs="Times New Roman" w:eastAsia="Times New Roman" w:hAnsi="Times New Roman"/>
          <w:sz w:val="14"/>
          <w:szCs w:val="14"/>
          <w:u w:val="single" w:color="auto"/>
          <w:color w:val="auto"/>
        </w:rPr>
        <w:t>subsection 2.a.iii</w:t>
      </w:r>
      <w:r>
        <w:rPr>
          <w:rFonts w:ascii="Times New Roman" w:cs="Times New Roman" w:eastAsia="Times New Roman" w:hAnsi="Times New Roman"/>
          <w:sz w:val="14"/>
          <w:szCs w:val="14"/>
          <w:color w:val="auto"/>
        </w:rPr>
        <w:t xml:space="preserve"> is referred to herein as a “</w:t>
      </w:r>
      <w:r>
        <w:rPr>
          <w:rFonts w:ascii="Times New Roman" w:cs="Times New Roman" w:eastAsia="Times New Roman" w:hAnsi="Times New Roman"/>
          <w:sz w:val="14"/>
          <w:szCs w:val="14"/>
          <w:b w:val="1"/>
          <w:bCs w:val="1"/>
          <w:color w:val="auto"/>
        </w:rPr>
        <w:t>Demand Registration Request</w:t>
      </w:r>
      <w:r>
        <w:rPr>
          <w:rFonts w:ascii="Times New Roman" w:cs="Times New Roman" w:eastAsia="Times New Roman" w:hAnsi="Times New Roman"/>
          <w:sz w:val="14"/>
          <w:szCs w:val="14"/>
          <w:color w:val="auto"/>
        </w:rPr>
        <w:t>,” and the registration so requested is referred to herein as a “</w:t>
      </w:r>
      <w:r>
        <w:rPr>
          <w:rFonts w:ascii="Times New Roman" w:cs="Times New Roman" w:eastAsia="Times New Roman" w:hAnsi="Times New Roman"/>
          <w:sz w:val="14"/>
          <w:szCs w:val="14"/>
          <w:b w:val="1"/>
          <w:bCs w:val="1"/>
          <w:color w:val="auto"/>
        </w:rPr>
        <w:t>Demand Registration</w:t>
      </w:r>
      <w:r>
        <w:rPr>
          <w:rFonts w:ascii="Times New Roman" w:cs="Times New Roman" w:eastAsia="Times New Roman" w:hAnsi="Times New Roman"/>
          <w:sz w:val="14"/>
          <w:szCs w:val="14"/>
          <w:color w:val="auto"/>
        </w:rPr>
        <w:t>” (with respect to any Demand Registration, the Demanding Investors making such demand for registration being referred to as the “</w:t>
      </w:r>
      <w:r>
        <w:rPr>
          <w:rFonts w:ascii="Times New Roman" w:cs="Times New Roman" w:eastAsia="Times New Roman" w:hAnsi="Times New Roman"/>
          <w:sz w:val="14"/>
          <w:szCs w:val="14"/>
          <w:b w:val="1"/>
          <w:bCs w:val="1"/>
          <w:color w:val="auto"/>
        </w:rPr>
        <w:t>Initiating Investors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2.f</w:t>
      </w:r>
      <w:r>
        <w:rPr>
          <w:rFonts w:ascii="Times New Roman" w:cs="Times New Roman" w:eastAsia="Times New Roman" w:hAnsi="Times New Roman"/>
          <w:sz w:val="14"/>
          <w:szCs w:val="14"/>
          <w:color w:val="auto"/>
        </w:rPr>
        <w:t xml:space="preserve">, the Demanding Investors shall be entitled to request (and the Company shall be required to effect) an unlimited number of Demand Registrations pursuant to this </w:t>
      </w:r>
      <w:r>
        <w:rPr>
          <w:rFonts w:ascii="Times New Roman" w:cs="Times New Roman" w:eastAsia="Times New Roman" w:hAnsi="Times New Roman"/>
          <w:sz w:val="14"/>
          <w:szCs w:val="14"/>
          <w:u w:val="single" w:color="auto"/>
          <w:color w:val="auto"/>
        </w:rPr>
        <w:t>subsection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2.a.iii</w:t>
      </w:r>
      <w:r>
        <w:rPr>
          <w:rFonts w:ascii="Times New Roman" w:cs="Times New Roman" w:eastAsia="Times New Roman" w:hAnsi="Times New Roman"/>
          <w:sz w:val="14"/>
          <w:szCs w:val="14"/>
          <w:color w:val="auto"/>
        </w:rPr>
        <w:t>. The Company shall give written notice (the “</w:t>
      </w:r>
      <w:r>
        <w:rPr>
          <w:rFonts w:ascii="Times New Roman" w:cs="Times New Roman" w:eastAsia="Times New Roman" w:hAnsi="Times New Roman"/>
          <w:sz w:val="14"/>
          <w:szCs w:val="14"/>
          <w:b w:val="1"/>
          <w:bCs w:val="1"/>
          <w:color w:val="auto"/>
        </w:rPr>
        <w:t>Demand Exercise Notice</w:t>
      </w:r>
      <w:r>
        <w:rPr>
          <w:rFonts w:ascii="Times New Roman" w:cs="Times New Roman" w:eastAsia="Times New Roman" w:hAnsi="Times New Roman"/>
          <w:sz w:val="14"/>
          <w:szCs w:val="14"/>
          <w:color w:val="auto"/>
        </w:rPr>
        <w:t xml:space="preserve">”) of such Demand Registration Request to each of the Investors of record of Registrable Securities as soon as reasonably practicable but no later than two (2) Business Days after receipt of the Demand Registration Request. The Company, subject to </w:t>
      </w:r>
      <w:r>
        <w:rPr>
          <w:rFonts w:ascii="Times New Roman" w:cs="Times New Roman" w:eastAsia="Times New Roman" w:hAnsi="Times New Roman"/>
          <w:sz w:val="14"/>
          <w:szCs w:val="14"/>
          <w:u w:val="single" w:color="auto"/>
          <w:color w:val="auto"/>
        </w:rPr>
        <w:t>Section 2.f</w:t>
      </w:r>
      <w:r>
        <w:rPr>
          <w:rFonts w:ascii="Times New Roman" w:cs="Times New Roman" w:eastAsia="Times New Roman" w:hAnsi="Times New Roman"/>
          <w:sz w:val="14"/>
          <w:szCs w:val="14"/>
          <w:color w:val="auto"/>
        </w:rPr>
        <w:t xml:space="preserve">, shall include in a Demand Registration (x) the Registrable Securities of the Initiating Investors and (y) the Registrable Securities of any other Investor of Registrable Securities which shall have made a written request to the Company for inclusion in such registration pursuant to this </w:t>
      </w:r>
      <w:r>
        <w:rPr>
          <w:rFonts w:ascii="Times New Roman" w:cs="Times New Roman" w:eastAsia="Times New Roman" w:hAnsi="Times New Roman"/>
          <w:sz w:val="14"/>
          <w:szCs w:val="14"/>
          <w:u w:val="single" w:color="auto"/>
          <w:color w:val="auto"/>
        </w:rPr>
        <w:t>subsection 2.a.iii</w:t>
      </w:r>
      <w:r>
        <w:rPr>
          <w:rFonts w:ascii="Times New Roman" w:cs="Times New Roman" w:eastAsia="Times New Roman" w:hAnsi="Times New Roman"/>
          <w:sz w:val="14"/>
          <w:szCs w:val="14"/>
          <w:color w:val="auto"/>
        </w:rPr>
        <w:t xml:space="preserve"> (which request shall specify the maximum number of Registrable Securities intended to be disposed of by such Investor) within five</w:t>
      </w:r>
    </w:p>
    <w:p>
      <w:pPr>
        <w:spacing w:after="0" w:line="1" w:lineRule="exact"/>
        <w:rPr>
          <w:sz w:val="20"/>
          <w:szCs w:val="20"/>
          <w:color w:val="auto"/>
        </w:rPr>
      </w:pPr>
    </w:p>
    <w:p>
      <w:pPr>
        <w:jc w:val="both"/>
        <w:ind w:left="8" w:hanging="8"/>
        <w:spacing w:after="0" w:line="221" w:lineRule="auto"/>
        <w:tabs>
          <w:tab w:leader="none" w:pos="229"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days following the receipt of any such Demand Exercise Notice. The Company shall, as expeditiously as possible, but subject to </w:t>
      </w:r>
      <w:r>
        <w:rPr>
          <w:rFonts w:ascii="Times New Roman" w:cs="Times New Roman" w:eastAsia="Times New Roman" w:hAnsi="Times New Roman"/>
          <w:sz w:val="14"/>
          <w:szCs w:val="14"/>
          <w:u w:val="single" w:color="auto"/>
          <w:color w:val="auto"/>
        </w:rPr>
        <w:t>Section 2.f</w:t>
      </w:r>
      <w:r>
        <w:rPr>
          <w:rFonts w:ascii="Times New Roman" w:cs="Times New Roman" w:eastAsia="Times New Roman" w:hAnsi="Times New Roman"/>
          <w:sz w:val="14"/>
          <w:szCs w:val="14"/>
          <w:color w:val="auto"/>
        </w:rPr>
        <w:t>, use its reasonable best efforts to (x) file or confidentially submit with the SEC (no later than (A) sixty (60) days from the Company’s receipt of the applicable Demand Registration Request if the Demand Registration is on Form S-1 or similar long-form registration or (B) thirty (30) days from the Company’s receipt of the applicable Demand Registration Request if the Demand Registration is on Form S-3 or any similar short-form registration), (y) cause to be declared effective as soon as reasonably practicable such Registration Statement under the Securities Act that includes the Registrable Securities which the Company has been so requested to register, for distribution in accordance with the intended method of distribution and (z) if requested by the Initiating Investors, obtain acceleration of the effective date of the Registration Statement relating to such registration.</w:t>
      </w:r>
    </w:p>
    <w:p>
      <w:pPr>
        <w:spacing w:after="0" w:line="102" w:lineRule="exact"/>
        <w:rPr>
          <w:rFonts w:ascii="Times New Roman" w:cs="Times New Roman" w:eastAsia="Times New Roman" w:hAnsi="Times New Roman"/>
          <w:sz w:val="14"/>
          <w:szCs w:val="14"/>
          <w:color w:val="auto"/>
        </w:rPr>
      </w:pPr>
    </w:p>
    <w:p>
      <w:pPr>
        <w:jc w:val="both"/>
        <w:ind w:left="8" w:firstLine="424"/>
        <w:spacing w:after="0"/>
        <w:tabs>
          <w:tab w:leader="none" w:pos="858"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2.f</w:t>
      </w:r>
      <w:r>
        <w:rPr>
          <w:rFonts w:ascii="Times New Roman" w:cs="Times New Roman" w:eastAsia="Times New Roman" w:hAnsi="Times New Roman"/>
          <w:sz w:val="14"/>
          <w:szCs w:val="14"/>
          <w:color w:val="auto"/>
        </w:rPr>
        <w:t xml:space="preserve">, the Demanding Investors may make a written demand from time to time to elect to sell all or any part of their Registrable Securities pursuant to an Underwritten Offering pursuant to a Registration Statement effected pursuant to </w:t>
      </w:r>
      <w:r>
        <w:rPr>
          <w:rFonts w:ascii="Times New Roman" w:cs="Times New Roman" w:eastAsia="Times New Roman" w:hAnsi="Times New Roman"/>
          <w:sz w:val="14"/>
          <w:szCs w:val="14"/>
          <w:u w:val="single" w:color="auto"/>
          <w:color w:val="auto"/>
        </w:rPr>
        <w:t>subsection 2.a.i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subsection 2.a.ii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subsection 2.a.iii</w:t>
      </w:r>
      <w:r>
        <w:rPr>
          <w:rFonts w:ascii="Times New Roman" w:cs="Times New Roman" w:eastAsia="Times New Roman" w:hAnsi="Times New Roman"/>
          <w:sz w:val="14"/>
          <w:szCs w:val="14"/>
          <w:color w:val="auto"/>
        </w:rPr>
        <w:t xml:space="preserve"> above, provided the gross proceeds from such sale are reasonably expected to exceed, in the aggregate, the lower of (A) $25,000,000 and (B) 10% of the aggregate amount of then-outstanding Registrable Securities (the “</w:t>
      </w:r>
      <w:r>
        <w:rPr>
          <w:rFonts w:ascii="Times New Roman" w:cs="Times New Roman" w:eastAsia="Times New Roman" w:hAnsi="Times New Roman"/>
          <w:sz w:val="14"/>
          <w:szCs w:val="14"/>
          <w:b w:val="1"/>
          <w:bCs w:val="1"/>
          <w:color w:val="auto"/>
        </w:rPr>
        <w:t>Minimum Demand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Threshold</w:t>
      </w:r>
      <w:r>
        <w:rPr>
          <w:rFonts w:ascii="Times New Roman" w:cs="Times New Roman" w:eastAsia="Times New Roman" w:hAnsi="Times New Roman"/>
          <w:sz w:val="14"/>
          <w:szCs w:val="14"/>
          <w:color w:val="auto"/>
        </w:rPr>
        <w:t>”). Such written demand shall describe the amount and type of securities to be included in such registration, the intended method(s) of distribution thereof and the identity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Investor(s) making such demand. The Demanding Investors shall make such election by delivering to the Company a written request (a “</w:t>
      </w:r>
      <w:r>
        <w:rPr>
          <w:rFonts w:ascii="Times New Roman" w:cs="Times New Roman" w:eastAsia="Times New Roman" w:hAnsi="Times New Roman"/>
          <w:sz w:val="14"/>
          <w:szCs w:val="14"/>
          <w:b w:val="1"/>
          <w:bCs w:val="1"/>
          <w:color w:val="auto"/>
        </w:rPr>
        <w:t>Shelf Underwriting Request</w:t>
      </w:r>
      <w:r>
        <w:rPr>
          <w:rFonts w:ascii="Times New Roman" w:cs="Times New Roman" w:eastAsia="Times New Roman" w:hAnsi="Times New Roman"/>
          <w:sz w:val="14"/>
          <w:szCs w:val="14"/>
          <w:color w:val="auto"/>
        </w:rPr>
        <w:t>”) for such Underwritten Offering specifying the number of Registrable Securities that the Demanding Investors desire to sell pursuant to such Underwritten Offering (the “</w:t>
      </w:r>
      <w:r>
        <w:rPr>
          <w:rFonts w:ascii="Times New Roman" w:cs="Times New Roman" w:eastAsia="Times New Roman" w:hAnsi="Times New Roman"/>
          <w:sz w:val="14"/>
          <w:szCs w:val="14"/>
          <w:b w:val="1"/>
          <w:bCs w:val="1"/>
          <w:color w:val="auto"/>
        </w:rPr>
        <w:t>Shelf Underwriting</w:t>
      </w:r>
      <w:r>
        <w:rPr>
          <w:rFonts w:ascii="Times New Roman" w:cs="Times New Roman" w:eastAsia="Times New Roman" w:hAnsi="Times New Roman"/>
          <w:sz w:val="14"/>
          <w:szCs w:val="14"/>
          <w:color w:val="auto"/>
        </w:rPr>
        <w:t>”). As soon as reasonably practicable, but no later than two (2) Business Days after receipt of a Shelf Underwriting Request, the Company shall give written notice (the “</w:t>
      </w:r>
      <w:r>
        <w:rPr>
          <w:rFonts w:ascii="Times New Roman" w:cs="Times New Roman" w:eastAsia="Times New Roman" w:hAnsi="Times New Roman"/>
          <w:sz w:val="14"/>
          <w:szCs w:val="14"/>
          <w:b w:val="1"/>
          <w:bCs w:val="1"/>
          <w:color w:val="auto"/>
        </w:rPr>
        <w:t>Shelf Underwriting Notice</w:t>
      </w:r>
      <w:r>
        <w:rPr>
          <w:rFonts w:ascii="Times New Roman" w:cs="Times New Roman" w:eastAsia="Times New Roman" w:hAnsi="Times New Roman"/>
          <w:sz w:val="14"/>
          <w:szCs w:val="14"/>
          <w:color w:val="auto"/>
        </w:rPr>
        <w:t>”) of such Shelf Underwriting Request to the Investors of record of other Registrable Securities registered on such Registration Statement (“</w:t>
      </w:r>
      <w:r>
        <w:rPr>
          <w:rFonts w:ascii="Times New Roman" w:cs="Times New Roman" w:eastAsia="Times New Roman" w:hAnsi="Times New Roman"/>
          <w:sz w:val="14"/>
          <w:szCs w:val="14"/>
          <w:b w:val="1"/>
          <w:bCs w:val="1"/>
          <w:color w:val="auto"/>
        </w:rPr>
        <w:t>Shelf Registrable Securities</w:t>
      </w:r>
      <w:r>
        <w:rPr>
          <w:rFonts w:ascii="Times New Roman" w:cs="Times New Roman" w:eastAsia="Times New Roman" w:hAnsi="Times New Roman"/>
          <w:sz w:val="14"/>
          <w:szCs w:val="14"/>
          <w:color w:val="auto"/>
        </w:rPr>
        <w:t xml:space="preserve">”). The Company, subject to </w:t>
      </w:r>
      <w:r>
        <w:rPr>
          <w:rFonts w:ascii="Times New Roman" w:cs="Times New Roman" w:eastAsia="Times New Roman" w:hAnsi="Times New Roman"/>
          <w:sz w:val="14"/>
          <w:szCs w:val="14"/>
          <w:u w:val="single" w:color="auto"/>
          <w:color w:val="auto"/>
        </w:rPr>
        <w:t>Section 2.f</w:t>
      </w:r>
      <w:r>
        <w:rPr>
          <w:rFonts w:ascii="Times New Roman" w:cs="Times New Roman" w:eastAsia="Times New Roman" w:hAnsi="Times New Roman"/>
          <w:sz w:val="14"/>
          <w:szCs w:val="14"/>
          <w:color w:val="auto"/>
        </w:rPr>
        <w:t>, shall include in such Shelf Underwriting (A) the Registrable Securities of the Demanding Investors and (B) the Shelf Registrable Securities of any other Investor of Shelf Registrable Securities that shall have made a written request to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48"/>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18" w:right="299" w:bottom="1440" w:gutter="0" w:footer="0" w:header="0"/>
        </w:sectPr>
      </w:pPr>
    </w:p>
    <w:bookmarkStart w:id="217" w:name="page218"/>
    <w:bookmarkEnd w:id="217"/>
    <w:p>
      <w:pPr>
        <w:jc w:val="both"/>
        <w:spacing w:after="0" w:line="233" w:lineRule="auto"/>
        <w:rPr>
          <w:sz w:val="20"/>
          <w:szCs w:val="20"/>
          <w:color w:val="auto"/>
        </w:rPr>
      </w:pPr>
      <w:r>
        <w:rPr>
          <w:rFonts w:ascii="Times New Roman" w:cs="Times New Roman" w:eastAsia="Times New Roman" w:hAnsi="Times New Roman"/>
          <w:sz w:val="14"/>
          <w:szCs w:val="14"/>
          <w:color w:val="auto"/>
        </w:rPr>
        <w:t xml:space="preserve">for inclusion in such Shelf Underwriting (which request shall specify the maximum number of Shelf Registrable Securities intended to be disposed of by such Investor) within five (5) days after the receipt of the Shelf Underwriting Notice. The Company shall, as expeditiously as possible (and in any event within fifteen (15) Business Days after the receipt of a Shelf Underwriting Request), but subject to </w:t>
      </w:r>
      <w:r>
        <w:rPr>
          <w:rFonts w:ascii="Times New Roman" w:cs="Times New Roman" w:eastAsia="Times New Roman" w:hAnsi="Times New Roman"/>
          <w:sz w:val="14"/>
          <w:szCs w:val="14"/>
          <w:u w:val="single" w:color="auto"/>
          <w:color w:val="auto"/>
        </w:rPr>
        <w:t>Section 2.f</w:t>
      </w:r>
      <w:r>
        <w:rPr>
          <w:rFonts w:ascii="Times New Roman" w:cs="Times New Roman" w:eastAsia="Times New Roman" w:hAnsi="Times New Roman"/>
          <w:sz w:val="14"/>
          <w:szCs w:val="14"/>
          <w:color w:val="auto"/>
        </w:rPr>
        <w:t xml:space="preserve">, use its reasonable best efforts to effect such Shelf Underwriting. The Company shall, at the request of any Demanding Investors, file any prospectus supplements, post-effective amendments and otherwise take any action necessary to include therein all disclosure and language deemed necessary or advisable by the Demanding Investors or any other Investor of Shelf Registrable Securities to effect such Shelf Underwriting pursuant a Registration Statement provided for in </w:t>
      </w:r>
      <w:r>
        <w:rPr>
          <w:rFonts w:ascii="Times New Roman" w:cs="Times New Roman" w:eastAsia="Times New Roman" w:hAnsi="Times New Roman"/>
          <w:sz w:val="14"/>
          <w:szCs w:val="14"/>
          <w:u w:val="single" w:color="auto"/>
          <w:color w:val="auto"/>
        </w:rPr>
        <w:t>subsection 2.a.i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subsection 2.a.ii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subsection 2.a.iii</w:t>
      </w:r>
      <w:r>
        <w:rPr>
          <w:rFonts w:ascii="Times New Roman" w:cs="Times New Roman" w:eastAsia="Times New Roman" w:hAnsi="Times New Roman"/>
          <w:sz w:val="14"/>
          <w:szCs w:val="14"/>
          <w:color w:val="auto"/>
        </w:rPr>
        <w:t xml:space="preserve"> hereto. Once a Registration Statement has been declared effective, the Demanding Investors may request, and the Company shall be required to facilitate, (x) not more than five (5) Shelf Underwritings pursuant to this </w:t>
      </w:r>
      <w:r>
        <w:rPr>
          <w:rFonts w:ascii="Times New Roman" w:cs="Times New Roman" w:eastAsia="Times New Roman" w:hAnsi="Times New Roman"/>
          <w:sz w:val="14"/>
          <w:szCs w:val="14"/>
          <w:u w:val="single" w:color="auto"/>
          <w:color w:val="auto"/>
        </w:rPr>
        <w:t>subsection 2.a.iv</w:t>
      </w:r>
      <w:r>
        <w:rPr>
          <w:rFonts w:ascii="Times New Roman" w:cs="Times New Roman" w:eastAsia="Times New Roman" w:hAnsi="Times New Roman"/>
          <w:sz w:val="14"/>
          <w:szCs w:val="14"/>
          <w:color w:val="auto"/>
        </w:rPr>
        <w:t xml:space="preserve"> in the aggregate and (y) not more than two (2) Shelf Underwritings pursuant to this </w:t>
      </w:r>
      <w:r>
        <w:rPr>
          <w:rFonts w:ascii="Times New Roman" w:cs="Times New Roman" w:eastAsia="Times New Roman" w:hAnsi="Times New Roman"/>
          <w:sz w:val="14"/>
          <w:szCs w:val="14"/>
          <w:u w:val="single" w:color="auto"/>
          <w:color w:val="auto"/>
        </w:rPr>
        <w:t>subsection 2.a.iv</w:t>
      </w:r>
      <w:r>
        <w:rPr>
          <w:rFonts w:ascii="Times New Roman" w:cs="Times New Roman" w:eastAsia="Times New Roman" w:hAnsi="Times New Roman"/>
          <w:sz w:val="14"/>
          <w:szCs w:val="14"/>
          <w:color w:val="auto"/>
        </w:rPr>
        <w:t xml:space="preserve"> in any twelve-month period; provided, however, that, in each case, a Shelf Underwriting shall not be counted for such purposes unless a Registration Statement has become effective and all of the Registrable Securities requested by the Demanding Investors to be registered on behalf of the Demanding Investors in such Shelf Underwriting have been sold. Notwithstanding the foregoing, if a Demanding Investor wishes to engage in an underwritten block trade or similar transaction or other transaction with a two-day or less marketing period (collectively, “</w:t>
      </w:r>
      <w:r>
        <w:rPr>
          <w:rFonts w:ascii="Times New Roman" w:cs="Times New Roman" w:eastAsia="Times New Roman" w:hAnsi="Times New Roman"/>
          <w:sz w:val="14"/>
          <w:szCs w:val="14"/>
          <w:b w:val="1"/>
          <w:bCs w:val="1"/>
          <w:color w:val="auto"/>
        </w:rPr>
        <w:t>Underwritten Block Trade</w:t>
      </w:r>
      <w:r>
        <w:rPr>
          <w:rFonts w:ascii="Times New Roman" w:cs="Times New Roman" w:eastAsia="Times New Roman" w:hAnsi="Times New Roman"/>
          <w:sz w:val="14"/>
          <w:szCs w:val="14"/>
          <w:color w:val="auto"/>
        </w:rPr>
        <w:t xml:space="preserve">”) off of a Registration Statement, then notwithstanding the foregoing time periods, such Demanding Investor need only notify the Company of the Underwritten Block Trade three (3) Business Days prior to the day such offering is to commence. The Company shall give notice to the other Investors of such Underwritten Block Trade as promptly as practicable and in any event within two (2) Business Days after receipt of the Underwritten Block Trade request. Other Investors may elect to participate in such Underwritten Block Trade to the extent practicable given the marketing timetable and securities law considerations; provided that any cutbacks shall be made in accordance with </w:t>
      </w:r>
      <w:r>
        <w:rPr>
          <w:rFonts w:ascii="Times New Roman" w:cs="Times New Roman" w:eastAsia="Times New Roman" w:hAnsi="Times New Roman"/>
          <w:sz w:val="14"/>
          <w:szCs w:val="14"/>
          <w:u w:val="single" w:color="auto"/>
          <w:color w:val="auto"/>
        </w:rPr>
        <w:t>Section 2.c</w:t>
      </w:r>
      <w:r>
        <w:rPr>
          <w:rFonts w:ascii="Times New Roman" w:cs="Times New Roman" w:eastAsia="Times New Roman" w:hAnsi="Times New Roman"/>
          <w:sz w:val="14"/>
          <w:szCs w:val="14"/>
          <w:color w:val="auto"/>
        </w:rPr>
        <w:t>. The Demanding Investor requesting such Underwritten Block Trade shall use commercially reasonable efforts to work with the Company and the Underwriters prior to making such request in order to facilitate preparation of the Registration Statement, Prospectus and other offering documentation related to the Underwritten Block Trade.</w:t>
      </w:r>
    </w:p>
    <w:p>
      <w:pPr>
        <w:spacing w:after="0" w:line="104" w:lineRule="exact"/>
        <w:rPr>
          <w:sz w:val="20"/>
          <w:szCs w:val="20"/>
          <w:color w:val="auto"/>
        </w:rPr>
      </w:pPr>
    </w:p>
    <w:p>
      <w:pPr>
        <w:ind w:firstLine="208"/>
        <w:spacing w:after="0" w:line="255" w:lineRule="auto"/>
        <w:tabs>
          <w:tab w:leader="none" w:pos="432"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Legal Counsel</w:t>
      </w:r>
      <w:r>
        <w:rPr>
          <w:rFonts w:ascii="Times New Roman" w:cs="Times New Roman" w:eastAsia="Times New Roman" w:hAnsi="Times New Roman"/>
          <w:sz w:val="14"/>
          <w:szCs w:val="14"/>
          <w:color w:val="auto"/>
        </w:rPr>
        <w:t xml:space="preserve">. The Company shall be responsible for the fees and documented out-of-pocket costs of one legal counsel to be selected by the Required Investors to review and oversee any registration pursuant to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Legal Counsel</w:t>
      </w:r>
      <w:r>
        <w:rPr>
          <w:rFonts w:ascii="Times New Roman" w:cs="Times New Roman" w:eastAsia="Times New Roman" w:hAnsi="Times New Roman"/>
          <w:sz w:val="14"/>
          <w:szCs w:val="14"/>
          <w:color w:val="auto"/>
        </w:rPr>
        <w:t>”).The Company shall reasonably cooperate with Legal Counsel in performing the Company’s obligations under this Agreement.</w:t>
      </w:r>
    </w:p>
    <w:p>
      <w:pPr>
        <w:spacing w:after="0" w:line="89" w:lineRule="exact"/>
        <w:rPr>
          <w:rFonts w:ascii="Times New Roman" w:cs="Times New Roman" w:eastAsia="Times New Roman" w:hAnsi="Times New Roman"/>
          <w:sz w:val="14"/>
          <w:szCs w:val="14"/>
          <w:color w:val="auto"/>
        </w:rPr>
      </w:pPr>
    </w:p>
    <w:p>
      <w:pPr>
        <w:jc w:val="both"/>
        <w:ind w:firstLine="208"/>
        <w:spacing w:after="0" w:line="224" w:lineRule="auto"/>
        <w:tabs>
          <w:tab w:leader="none" w:pos="424"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Reduction of Underwritten Offering</w:t>
      </w:r>
      <w:r>
        <w:rPr>
          <w:rFonts w:ascii="Times New Roman" w:cs="Times New Roman" w:eastAsia="Times New Roman" w:hAnsi="Times New Roman"/>
          <w:sz w:val="14"/>
          <w:szCs w:val="14"/>
          <w:color w:val="auto"/>
        </w:rPr>
        <w:t>. If the managing Underwriter or Underwriters in an Underwritten Registration pursuant to a Shelf Underwriting or Demand Registration, in good faith, advise the Company, the Demanding Investors and any other Investors participating in the Underwritten Registration (if any) (the “</w:t>
      </w:r>
      <w:r>
        <w:rPr>
          <w:rFonts w:ascii="Times New Roman" w:cs="Times New Roman" w:eastAsia="Times New Roman" w:hAnsi="Times New Roman"/>
          <w:sz w:val="14"/>
          <w:szCs w:val="14"/>
          <w:b w:val="1"/>
          <w:bCs w:val="1"/>
          <w:color w:val="auto"/>
        </w:rPr>
        <w:t>Requesting Investors</w:t>
      </w:r>
      <w:r>
        <w:rPr>
          <w:rFonts w:ascii="Times New Roman" w:cs="Times New Roman" w:eastAsia="Times New Roman" w:hAnsi="Times New Roman"/>
          <w:sz w:val="14"/>
          <w:szCs w:val="14"/>
          <w:color w:val="auto"/>
        </w:rPr>
        <w:t>”) in writing that the dollar amount or number of Registrable Securities that such Investors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4"/>
          <w:szCs w:val="14"/>
          <w:b w:val="1"/>
          <w:bCs w:val="1"/>
          <w:color w:val="auto"/>
        </w:rPr>
        <w:t>Maximum Number of Securities</w:t>
      </w:r>
      <w:r>
        <w:rPr>
          <w:rFonts w:ascii="Times New Roman" w:cs="Times New Roman" w:eastAsia="Times New Roman" w:hAnsi="Times New Roman"/>
          <w:sz w:val="14"/>
          <w:szCs w:val="14"/>
          <w:color w:val="auto"/>
        </w:rPr>
        <w:t>”), then the Company shall include in such Underwritten Offering, as follows:</w:t>
      </w:r>
    </w:p>
    <w:p>
      <w:pPr>
        <w:spacing w:after="0" w:line="100"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the Registrable Securities of the Demanding Investors and the Requesting Investors (if any) (pro rata based on the respective number of Registrable Securities that each</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0" w:right="299" w:bottom="1440" w:gutter="0" w:footer="0" w:header="0"/>
        </w:sectPr>
      </w:pPr>
    </w:p>
    <w:bookmarkStart w:id="218" w:name="page219"/>
    <w:bookmarkEnd w:id="218"/>
    <w:p>
      <w:pPr>
        <w:jc w:val="both"/>
        <w:spacing w:after="0"/>
        <w:rPr>
          <w:sz w:val="20"/>
          <w:szCs w:val="20"/>
          <w:color w:val="auto"/>
        </w:rPr>
      </w:pPr>
      <w:r>
        <w:rPr>
          <w:rFonts w:ascii="Times New Roman" w:cs="Times New Roman" w:eastAsia="Times New Roman" w:hAnsi="Times New Roman"/>
          <w:sz w:val="14"/>
          <w:szCs w:val="14"/>
          <w:color w:val="auto"/>
        </w:rPr>
        <w:t>Demanding Investor and Requesting Investor (if any) has requested be included in such Underwritten Registration and the aggregate number of Registrable Securities that the Demanding Investors and Requesting Investors have collectively requested be included in such Underwritten Registration (such proportion is referred to herein as “</w:t>
      </w:r>
      <w:r>
        <w:rPr>
          <w:rFonts w:ascii="Times New Roman" w:cs="Times New Roman" w:eastAsia="Times New Roman" w:hAnsi="Times New Roman"/>
          <w:sz w:val="14"/>
          <w:szCs w:val="14"/>
          <w:b w:val="1"/>
          <w:bCs w:val="1"/>
          <w:color w:val="auto"/>
        </w:rPr>
        <w:t>Pro Rata</w:t>
      </w:r>
      <w:r>
        <w:rPr>
          <w:rFonts w:ascii="Times New Roman" w:cs="Times New Roman" w:eastAsia="Times New Roman" w:hAnsi="Times New Roman"/>
          <w:sz w:val="14"/>
          <w:szCs w:val="14"/>
          <w:color w:val="auto"/>
        </w:rPr>
        <w:t>”)) that can be sold without exceeding the Maximum Number of Securities; provided, that any securities thereby allocated to an Investor that exceed such Investor’s request shall be reallocated among the remaining Investors in like manner;</w:t>
      </w:r>
    </w:p>
    <w:p>
      <w:pPr>
        <w:spacing w:after="0" w:line="237" w:lineRule="exact"/>
        <w:rPr>
          <w:sz w:val="20"/>
          <w:szCs w:val="20"/>
          <w:color w:val="auto"/>
        </w:rPr>
      </w:pPr>
    </w:p>
    <w:p>
      <w:pPr>
        <w:ind w:firstLine="424"/>
        <w:spacing w:after="0" w:line="255" w:lineRule="auto"/>
        <w:tabs>
          <w:tab w:leader="none" w:pos="863"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to the extent that the Maximum Number of Securities has not been reached under the foregoing clause (i), the shares of Common Stock or other equity securities the Company is obligated to register pursuant to the Shareholders’ Agreement;</w:t>
      </w:r>
    </w:p>
    <w:p>
      <w:pPr>
        <w:spacing w:after="0" w:line="89" w:lineRule="exact"/>
        <w:rPr>
          <w:rFonts w:ascii="Times New Roman" w:cs="Times New Roman" w:eastAsia="Times New Roman" w:hAnsi="Times New Roman"/>
          <w:sz w:val="14"/>
          <w:szCs w:val="14"/>
          <w:color w:val="auto"/>
        </w:rPr>
      </w:pPr>
    </w:p>
    <w:p>
      <w:pPr>
        <w:ind w:firstLine="424"/>
        <w:spacing w:after="0" w:line="255" w:lineRule="auto"/>
        <w:tabs>
          <w:tab w:leader="none" w:pos="858"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to the extent that the Maximum Number of Securities has not been reached under the foregoing clauses (i) and (ii), the shares of Common Stock or other equity securities that the Company desires to sell that can be sold without exceeding the Maximum Number of Securities; and</w:t>
      </w:r>
    </w:p>
    <w:p>
      <w:pPr>
        <w:spacing w:after="0" w:line="89" w:lineRule="exact"/>
        <w:rPr>
          <w:rFonts w:ascii="Times New Roman" w:cs="Times New Roman" w:eastAsia="Times New Roman" w:hAnsi="Times New Roman"/>
          <w:sz w:val="14"/>
          <w:szCs w:val="14"/>
          <w:color w:val="auto"/>
        </w:rPr>
      </w:pPr>
    </w:p>
    <w:p>
      <w:pPr>
        <w:jc w:val="both"/>
        <w:ind w:firstLine="424"/>
        <w:spacing w:after="0" w:line="236" w:lineRule="auto"/>
        <w:tabs>
          <w:tab w:leader="none" w:pos="850"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to the extent that the Maximum Number of Securities has not been reached under the foregoing clauses (i)-(iii),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01" w:lineRule="exact"/>
        <w:rPr>
          <w:rFonts w:ascii="Times New Roman" w:cs="Times New Roman" w:eastAsia="Times New Roman" w:hAnsi="Times New Roman"/>
          <w:sz w:val="14"/>
          <w:szCs w:val="14"/>
          <w:color w:val="auto"/>
        </w:rPr>
      </w:pPr>
    </w:p>
    <w:p>
      <w:pPr>
        <w:jc w:val="both"/>
        <w:ind w:firstLine="208"/>
        <w:spacing w:after="0" w:line="225" w:lineRule="auto"/>
        <w:tabs>
          <w:tab w:leader="none" w:pos="432"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Demand Registration Withdrawal</w:t>
      </w:r>
      <w:r>
        <w:rPr>
          <w:rFonts w:ascii="Times New Roman" w:cs="Times New Roman" w:eastAsia="Times New Roman" w:hAnsi="Times New Roman"/>
          <w:sz w:val="14"/>
          <w:szCs w:val="14"/>
          <w:color w:val="auto"/>
        </w:rPr>
        <w:t xml:space="preserve">. A majority-in-interest of the Demanding Investors initiating a Shelf Underwriting or Demand Registration, pursuant to a registration under </w:t>
      </w:r>
      <w:r>
        <w:rPr>
          <w:rFonts w:ascii="Times New Roman" w:cs="Times New Roman" w:eastAsia="Times New Roman" w:hAnsi="Times New Roman"/>
          <w:sz w:val="14"/>
          <w:szCs w:val="14"/>
          <w:u w:val="single" w:color="auto"/>
          <w:color w:val="auto"/>
        </w:rPr>
        <w:t>Section 2.a</w:t>
      </w:r>
      <w:r>
        <w:rPr>
          <w:rFonts w:ascii="Times New Roman" w:cs="Times New Roman" w:eastAsia="Times New Roman" w:hAnsi="Times New Roman"/>
          <w:sz w:val="14"/>
          <w:szCs w:val="14"/>
          <w:color w:val="auto"/>
        </w:rPr>
        <w:t xml:space="preserve"> shall have the right in their sole discretion to withdraw from a registration pursuant to such Demand Registration upon written notification to the Company and the Underwriter or Underwriters (if any) of their intention to withdraw from such registration prior to (i) in the case of a Shelf Underwriting, the filing of a preliminary prospectus supplement setting forth the terms of the Underwritten Offering with the SEC and (ii) in the case of a Demand Registration, the effectiveness of the Registration Statement filed with the SEC with respect to the registration of their Registrable Securities pursuant to such Demand Registration. Notwithstanding anything to the contrary in this Agreement, the Company shall be responsible for the Registration Expenses (as defined herein) incurred in connection with a registration pursuant to a Shelf Underwriting or Demand Registration prior to its withdrawal under this </w:t>
      </w:r>
      <w:r>
        <w:rPr>
          <w:rFonts w:ascii="Times New Roman" w:cs="Times New Roman" w:eastAsia="Times New Roman" w:hAnsi="Times New Roman"/>
          <w:sz w:val="14"/>
          <w:szCs w:val="14"/>
          <w:u w:val="single" w:color="auto"/>
          <w:color w:val="auto"/>
        </w:rPr>
        <w:t>Section 2.d</w:t>
      </w:r>
      <w:r>
        <w:rPr>
          <w:rFonts w:ascii="Times New Roman" w:cs="Times New Roman" w:eastAsia="Times New Roman" w:hAnsi="Times New Roman"/>
          <w:sz w:val="14"/>
          <w:szCs w:val="14"/>
          <w:color w:val="auto"/>
        </w:rPr>
        <w:t>.</w:t>
      </w:r>
    </w:p>
    <w:p>
      <w:pPr>
        <w:spacing w:after="0" w:line="10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Piggy-back Registration.</w:t>
      </w:r>
    </w:p>
    <w:p>
      <w:pPr>
        <w:spacing w:after="0" w:line="127" w:lineRule="exact"/>
        <w:rPr>
          <w:rFonts w:ascii="Times New Roman" w:cs="Times New Roman" w:eastAsia="Times New Roman" w:hAnsi="Times New Roman"/>
          <w:sz w:val="14"/>
          <w:szCs w:val="14"/>
          <w:color w:val="auto"/>
        </w:rPr>
      </w:pPr>
    </w:p>
    <w:p>
      <w:pPr>
        <w:jc w:val="both"/>
        <w:ind w:firstLine="424"/>
        <w:spacing w:after="0" w:line="222" w:lineRule="auto"/>
        <w:tabs>
          <w:tab w:leader="none" w:pos="859"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Piggy-back Rights</w:t>
      </w:r>
      <w:r>
        <w:rPr>
          <w:rFonts w:ascii="Times New Roman" w:cs="Times New Roman" w:eastAsia="Times New Roman" w:hAnsi="Times New Roman"/>
          <w:sz w:val="14"/>
          <w:szCs w:val="14"/>
          <w:color w:val="auto"/>
        </w:rPr>
        <w:t xml:space="preserve">. If, at any time on or after the date hereof,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a registration statement (A) filed in connection with any employee stock option or other benefit plan, (B) for an exchange offer, as part of a merger, consolidation or similar transaction or for an offering of securities solely to the Company’s existing stockholders, (C) for an offering of debt that is convertible into equity securities of the Company, (D) for a dividend reinvestment plan, (E) filed pursuant to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hereof or (F) filed in connection with an Underwritten Block Trade for its own account, then the Company shall give written notice of such proposed filing to the Investors as soon as reasonably practicable (but not less than [five (5)] Business Days prior to the filing by the Company with the SEC of any Registration Statement with respect thereto; provided that, for any Underwritten Block Trade, [three (3)] Business Days’ notice shall be sufficient), which notice shall (x) describe the amount and type of securities to be included in such offering, the proposed date of filing of such registration statement with the SEC, the intended method(s) of distribution, and the name of the proposed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0" w:right="299" w:bottom="1440" w:gutter="0" w:footer="0" w:header="0"/>
        </w:sectPr>
      </w:pPr>
    </w:p>
    <w:bookmarkStart w:id="219" w:name="page220"/>
    <w:bookmarkEnd w:id="219"/>
    <w:p>
      <w:pPr>
        <w:jc w:val="both"/>
        <w:spacing w:after="0" w:line="222" w:lineRule="auto"/>
        <w:rPr>
          <w:sz w:val="20"/>
          <w:szCs w:val="20"/>
          <w:color w:val="auto"/>
        </w:rPr>
      </w:pPr>
      <w:r>
        <w:rPr>
          <w:rFonts w:ascii="Times New Roman" w:cs="Times New Roman" w:eastAsia="Times New Roman" w:hAnsi="Times New Roman"/>
          <w:sz w:val="14"/>
          <w:szCs w:val="14"/>
          <w:color w:val="auto"/>
        </w:rPr>
        <w:t>managing Underwriter or Underwriters in such offering (if any and if known), and (y) offer to each Investor holding at least five percent (5%) of the Registrable Securities then outstanding (each, a “</w:t>
      </w:r>
      <w:r>
        <w:rPr>
          <w:rFonts w:ascii="Times New Roman" w:cs="Times New Roman" w:eastAsia="Times New Roman" w:hAnsi="Times New Roman"/>
          <w:sz w:val="14"/>
          <w:szCs w:val="14"/>
          <w:b w:val="1"/>
          <w:bCs w:val="1"/>
          <w:color w:val="auto"/>
        </w:rPr>
        <w:t>Piggy-back Eligible Investor</w:t>
      </w:r>
      <w:r>
        <w:rPr>
          <w:rFonts w:ascii="Times New Roman" w:cs="Times New Roman" w:eastAsia="Times New Roman" w:hAnsi="Times New Roman"/>
          <w:sz w:val="14"/>
          <w:szCs w:val="14"/>
          <w:color w:val="auto"/>
        </w:rPr>
        <w:t>”) the opportunity to register the sale of such number of Registrable Securities as such Piggy-back Eligible Investors may request in writing within five (5) Business Days after receipt of such written notice (such registration, a “</w:t>
      </w:r>
      <w:r>
        <w:rPr>
          <w:rFonts w:ascii="Times New Roman" w:cs="Times New Roman" w:eastAsia="Times New Roman" w:hAnsi="Times New Roman"/>
          <w:sz w:val="14"/>
          <w:szCs w:val="14"/>
          <w:b w:val="1"/>
          <w:bCs w:val="1"/>
          <w:color w:val="auto"/>
        </w:rPr>
        <w:t>Piggy-back Registration</w:t>
      </w:r>
      <w:r>
        <w:rPr>
          <w:rFonts w:ascii="Times New Roman" w:cs="Times New Roman" w:eastAsia="Times New Roman" w:hAnsi="Times New Roman"/>
          <w:sz w:val="14"/>
          <w:szCs w:val="14"/>
          <w:color w:val="auto"/>
        </w:rPr>
        <w:t xml:space="preserve">”); provided that, for any Underwritten Block Trade, such election must be made as promptly as practicable (and in any event within [three (3)] Business Days after receipt of such notice).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Piggy-back Eligible Investors pursuant to this </w:t>
      </w:r>
      <w:r>
        <w:rPr>
          <w:rFonts w:ascii="Times New Roman" w:cs="Times New Roman" w:eastAsia="Times New Roman" w:hAnsi="Times New Roman"/>
          <w:sz w:val="14"/>
          <w:szCs w:val="14"/>
          <w:u w:val="single" w:color="auto"/>
          <w:color w:val="auto"/>
        </w:rPr>
        <w:t>Section 2.e.i</w:t>
      </w:r>
      <w:r>
        <w:rPr>
          <w:rFonts w:ascii="Times New Roman" w:cs="Times New Roman" w:eastAsia="Times New Roman" w:hAnsi="Times New Roman"/>
          <w:sz w:val="14"/>
          <w:szCs w:val="14"/>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Piggy-back Eligible Investors proposing to distribute their Registrable Securities through an Underwritten Offering under this </w:t>
      </w:r>
      <w:r>
        <w:rPr>
          <w:rFonts w:ascii="Times New Roman" w:cs="Times New Roman" w:eastAsia="Times New Roman" w:hAnsi="Times New Roman"/>
          <w:sz w:val="14"/>
          <w:szCs w:val="14"/>
          <w:u w:val="single" w:color="auto"/>
          <w:color w:val="auto"/>
        </w:rPr>
        <w:t>Section 2.e.i</w:t>
      </w:r>
      <w:r>
        <w:rPr>
          <w:rFonts w:ascii="Times New Roman" w:cs="Times New Roman" w:eastAsia="Times New Roman" w:hAnsi="Times New Roman"/>
          <w:sz w:val="14"/>
          <w:szCs w:val="14"/>
          <w:color w:val="auto"/>
        </w:rPr>
        <w:t xml:space="preserve"> shall enter into an underwriting agreement in customary form with the Underwriter(s) selected for such Underwritten Offering by the Company. The Company may postpone or withdraw the filing or the effectiveness of a Piggy-back Registration at any time in its sole discretion.</w:t>
      </w:r>
    </w:p>
    <w:p>
      <w:pPr>
        <w:spacing w:after="0" w:line="100" w:lineRule="exact"/>
        <w:rPr>
          <w:sz w:val="20"/>
          <w:szCs w:val="20"/>
          <w:color w:val="auto"/>
        </w:rPr>
      </w:pPr>
    </w:p>
    <w:p>
      <w:pPr>
        <w:jc w:val="both"/>
        <w:ind w:firstLine="424"/>
        <w:spacing w:after="0"/>
        <w:tabs>
          <w:tab w:leader="none" w:pos="863"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Reduction of Piggy-back Registration</w:t>
      </w:r>
      <w:r>
        <w:rPr>
          <w:rFonts w:ascii="Times New Roman" w:cs="Times New Roman" w:eastAsia="Times New Roman" w:hAnsi="Times New Roman"/>
          <w:sz w:val="14"/>
          <w:szCs w:val="14"/>
          <w:color w:val="auto"/>
        </w:rPr>
        <w:t xml:space="preserve">. If the managing Underwriter or Underwriters in an Underwritten Registration that is to be a Piggy-back Registration, in good faith, advises the Company and the Piggy-back Eligible Investors participating in the Piggy-back Registration in writing that the dollar amount or number of the shares of Common Stock that the Company desires to sell, taken together with (i) the securities of the Company, if any, as to which registration has been demanded pursuant to separate written contractual arrangements with persons or entities other than the Investors hereunder, (ii) the Registrable Securities as to which registration has been requested pursuant to </w:t>
      </w:r>
      <w:r>
        <w:rPr>
          <w:rFonts w:ascii="Times New Roman" w:cs="Times New Roman" w:eastAsia="Times New Roman" w:hAnsi="Times New Roman"/>
          <w:sz w:val="14"/>
          <w:szCs w:val="14"/>
          <w:u w:val="single" w:color="auto"/>
          <w:color w:val="auto"/>
        </w:rPr>
        <w:t>Section 2.e.i</w:t>
      </w:r>
      <w:r>
        <w:rPr>
          <w:rFonts w:ascii="Times New Roman" w:cs="Times New Roman" w:eastAsia="Times New Roman" w:hAnsi="Times New Roman"/>
          <w:sz w:val="14"/>
          <w:szCs w:val="14"/>
          <w:color w:val="auto"/>
        </w:rPr>
        <w:t xml:space="preserve"> hereof, and (iii) the securities of the Company, if any, as to which registration has been requested pursuant to separate written contractual piggy-back registration rights of other stockholders of the Company, exceeds the Maximum Number of Securities, then:</w:t>
      </w:r>
    </w:p>
    <w:p>
      <w:pPr>
        <w:spacing w:after="0" w:line="203"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1"/>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registration is undertaken for the Company’s account, the Company shall include in any such registration:</w:t>
      </w:r>
    </w:p>
    <w:p>
      <w:pPr>
        <w:spacing w:after="0" w:line="127" w:lineRule="exact"/>
        <w:rPr>
          <w:rFonts w:ascii="Times New Roman" w:cs="Times New Roman" w:eastAsia="Times New Roman" w:hAnsi="Times New Roman"/>
          <w:sz w:val="14"/>
          <w:szCs w:val="14"/>
          <w:color w:val="auto"/>
        </w:rPr>
      </w:pPr>
    </w:p>
    <w:p>
      <w:pPr>
        <w:ind w:left="2140" w:hanging="420"/>
        <w:spacing w:after="0"/>
        <w:tabs>
          <w:tab w:leader="none" w:pos="2140" w:val="left"/>
        </w:tabs>
        <w:numPr>
          <w:ilvl w:val="2"/>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the equity securities that the Company desires to sell, which can be sold without exceeding the Maximum Number of Securities;</w:t>
      </w:r>
    </w:p>
    <w:p>
      <w:pPr>
        <w:spacing w:after="0" w:line="127" w:lineRule="exact"/>
        <w:rPr>
          <w:rFonts w:ascii="Times New Roman" w:cs="Times New Roman" w:eastAsia="Times New Roman" w:hAnsi="Times New Roman"/>
          <w:sz w:val="14"/>
          <w:szCs w:val="14"/>
          <w:color w:val="auto"/>
        </w:rPr>
      </w:pPr>
    </w:p>
    <w:p>
      <w:pPr>
        <w:jc w:val="both"/>
        <w:ind w:left="2160" w:hanging="440"/>
        <w:spacing w:after="0"/>
        <w:tabs>
          <w:tab w:leader="none" w:pos="2154" w:val="left"/>
        </w:tabs>
        <w:numPr>
          <w:ilvl w:val="2"/>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second, to the extent that the Maximum Number of Securities has not been reached under the foregoing clause (A), the Registrable Securities of Piggy-back Eligible Investors exercising their rights to register their Registrable Securities pursuant to </w:t>
      </w:r>
      <w:r>
        <w:rPr>
          <w:rFonts w:ascii="Times New Roman" w:cs="Times New Roman" w:eastAsia="Times New Roman" w:hAnsi="Times New Roman"/>
          <w:sz w:val="14"/>
          <w:szCs w:val="14"/>
          <w:u w:val="single" w:color="auto"/>
          <w:color w:val="auto"/>
        </w:rPr>
        <w:t>Section 2.e.i</w:t>
      </w:r>
      <w:r>
        <w:rPr>
          <w:rFonts w:ascii="Times New Roman" w:cs="Times New Roman" w:eastAsia="Times New Roman" w:hAnsi="Times New Roman"/>
          <w:sz w:val="14"/>
          <w:szCs w:val="14"/>
          <w:color w:val="auto"/>
        </w:rPr>
        <w:t xml:space="preserve"> hereof, together with any shares of Common Stock or other equity securities the Company is obligated to sell pursuant to the Shareholders’ Agreement, Pro Rata, which can be sold without exceeding the Maximum Number of Securities; provided, that any securities thereby allocated to a Piggy-back Eligible Investor that exceed such Piggy-back Eligible Investor’s request shall be reallocated among the remaining Piggy-back Eligible Investors and sellers pursuant to the Shareholders’ Agreement, in like manner; and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0" w:right="299" w:bottom="1440" w:gutter="0" w:footer="0" w:header="0"/>
        </w:sectPr>
      </w:pPr>
    </w:p>
    <w:bookmarkStart w:id="220" w:name="page221"/>
    <w:bookmarkEnd w:id="220"/>
    <w:p>
      <w:pPr>
        <w:jc w:val="both"/>
        <w:ind w:left="1020" w:hanging="440"/>
        <w:spacing w:after="0"/>
        <w:tabs>
          <w:tab w:leader="none" w:pos="1014"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third, to the extent that the Maximum Number of Securities has not been reached under the foregoing clauses (A) and (B), the equity securities as to which registration has been requested pursuant to written contractual registration rights of other stockholders of the Company, pro rata based on the number of securities each such other stockholder has requested be included (or in accordance with pre-existing contractual obligations of the Company existing as of the date hereof), which can be sold without exceeding the Maximum Number of Securities. Notwithstanding anything to the contrary herein, no registration rights granted by the Company after the date hereof may have priority over Investors in any cutback under this </w:t>
      </w:r>
      <w:r>
        <w:rPr>
          <w:rFonts w:ascii="Times New Roman" w:cs="Times New Roman" w:eastAsia="Times New Roman" w:hAnsi="Times New Roman"/>
          <w:sz w:val="14"/>
          <w:szCs w:val="14"/>
          <w:u w:val="single" w:color="auto"/>
          <w:color w:val="auto"/>
        </w:rPr>
        <w:t>Section 2.e.ii</w:t>
      </w:r>
      <w:r>
        <w:rPr>
          <w:rFonts w:ascii="Times New Roman" w:cs="Times New Roman" w:eastAsia="Times New Roman" w:hAnsi="Times New Roman"/>
          <w:sz w:val="14"/>
          <w:szCs w:val="14"/>
          <w:color w:val="auto"/>
        </w:rPr>
        <w:t xml:space="preserve"> without the prior written consent of the Required Investors.</w:t>
      </w:r>
    </w:p>
    <w:p>
      <w:pPr>
        <w:spacing w:after="0" w:line="203" w:lineRule="exact"/>
        <w:rPr>
          <w:rFonts w:ascii="Times New Roman" w:cs="Times New Roman" w:eastAsia="Times New Roman" w:hAnsi="Times New Roman"/>
          <w:sz w:val="14"/>
          <w:szCs w:val="14"/>
          <w:color w:val="auto"/>
        </w:rPr>
      </w:pPr>
    </w:p>
    <w:p>
      <w:pPr>
        <w:ind w:left="580" w:hanging="432"/>
        <w:spacing w:after="0"/>
        <w:tabs>
          <w:tab w:leader="none" w:pos="580"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registration is pursuant to a request by persons or entities other than the Piggy-back Eligible Investors, then the Company shall include in any such registration:</w:t>
      </w:r>
    </w:p>
    <w:p>
      <w:pPr>
        <w:spacing w:after="0" w:line="127" w:lineRule="exact"/>
        <w:rPr>
          <w:rFonts w:ascii="Times New Roman" w:cs="Times New Roman" w:eastAsia="Times New Roman" w:hAnsi="Times New Roman"/>
          <w:sz w:val="14"/>
          <w:szCs w:val="14"/>
          <w:color w:val="auto"/>
        </w:rPr>
      </w:pPr>
    </w:p>
    <w:p>
      <w:pPr>
        <w:ind w:left="1000" w:hanging="420"/>
        <w:spacing w:after="0"/>
        <w:tabs>
          <w:tab w:leader="none" w:pos="1000"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the equity securities of such requesting persons or entities, which can be sold without exceeding the Maximum Number of Securities;</w:t>
      </w:r>
    </w:p>
    <w:p>
      <w:pPr>
        <w:spacing w:after="0" w:line="127" w:lineRule="exact"/>
        <w:rPr>
          <w:rFonts w:ascii="Times New Roman" w:cs="Times New Roman" w:eastAsia="Times New Roman" w:hAnsi="Times New Roman"/>
          <w:sz w:val="14"/>
          <w:szCs w:val="14"/>
          <w:color w:val="auto"/>
        </w:rPr>
      </w:pPr>
    </w:p>
    <w:p>
      <w:pPr>
        <w:jc w:val="both"/>
        <w:ind w:left="1020" w:hanging="440"/>
        <w:spacing w:after="0" w:line="231" w:lineRule="auto"/>
        <w:tabs>
          <w:tab w:leader="none" w:pos="1014"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second, to the extent that the Maximum Number of Securities has not been reached under the foregoing clause (A), the Registrable Securities of Piggy-back Eligible Investors exercising their rights to register their Registrable Securities pursuant to </w:t>
      </w:r>
      <w:r>
        <w:rPr>
          <w:rFonts w:ascii="Times New Roman" w:cs="Times New Roman" w:eastAsia="Times New Roman" w:hAnsi="Times New Roman"/>
          <w:sz w:val="14"/>
          <w:szCs w:val="14"/>
          <w:u w:val="single" w:color="auto"/>
          <w:color w:val="auto"/>
        </w:rPr>
        <w:t>Section 2.e.i</w:t>
      </w:r>
      <w:r>
        <w:rPr>
          <w:rFonts w:ascii="Times New Roman" w:cs="Times New Roman" w:eastAsia="Times New Roman" w:hAnsi="Times New Roman"/>
          <w:sz w:val="14"/>
          <w:szCs w:val="14"/>
          <w:color w:val="auto"/>
        </w:rPr>
        <w:t>, Pro Rata, which can be sold without exceeding the Maximum Number of Securities; provided, that any securities thereby allocated to a Piggy-back Eligible Investor that exceed such Piggy-back Eligible Investor’s request shall be reallocated among the remaining Piggy-back Eligible Investors in like manner;</w:t>
      </w:r>
    </w:p>
    <w:p>
      <w:pPr>
        <w:spacing w:after="0" w:line="100" w:lineRule="exact"/>
        <w:rPr>
          <w:rFonts w:ascii="Times New Roman" w:cs="Times New Roman" w:eastAsia="Times New Roman" w:hAnsi="Times New Roman"/>
          <w:sz w:val="14"/>
          <w:szCs w:val="14"/>
          <w:color w:val="auto"/>
        </w:rPr>
      </w:pPr>
    </w:p>
    <w:p>
      <w:pPr>
        <w:ind w:left="1020" w:hanging="440"/>
        <w:spacing w:after="0" w:line="255" w:lineRule="auto"/>
        <w:tabs>
          <w:tab w:leader="none" w:pos="1014"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to the extent that the Maximum Number of Securities has not been reached under the foregoing clauses (A) and (B), the equity securities that the Company desires to sell which can be sold without exceeding the Maximum Number of Securities; and</w:t>
      </w:r>
    </w:p>
    <w:p>
      <w:pPr>
        <w:spacing w:after="0" w:line="89" w:lineRule="exact"/>
        <w:rPr>
          <w:rFonts w:ascii="Times New Roman" w:cs="Times New Roman" w:eastAsia="Times New Roman" w:hAnsi="Times New Roman"/>
          <w:sz w:val="14"/>
          <w:szCs w:val="14"/>
          <w:color w:val="auto"/>
        </w:rPr>
      </w:pPr>
    </w:p>
    <w:p>
      <w:pPr>
        <w:jc w:val="both"/>
        <w:ind w:left="1020" w:hanging="440"/>
        <w:spacing w:after="0" w:line="227" w:lineRule="auto"/>
        <w:tabs>
          <w:tab w:leader="none" w:pos="1013"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to the extent that the Maximum Number of Securities has not been reached under the foregoing clauses (A), (B) and (C), the equity securities for the account of other persons or entities that the Company is obligated to register pursuant to separate written contractual arrangements with such persons or entities, pro rata based on the number of securities each such other person or entity has requested be included (or in accordance with pre-existing contractual obligations of the Company existing as of the date hereof), which can be sold without exceeding the Maximum Number of Securities. Notwithstanding anything to the contrary herein, no registration rights granted by the Company after the date hereof may have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147955</wp:posOffset>
            </wp:positionV>
            <wp:extent cx="720344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0"/>
          </w:cols>
          <w:pgMar w:left="1440" w:top="1120" w:right="299" w:bottom="1440" w:gutter="0" w:footer="0" w:header="0"/>
        </w:sectPr>
      </w:pPr>
    </w:p>
    <w:bookmarkStart w:id="221" w:name="page222"/>
    <w:bookmarkEnd w:id="221"/>
    <w:p>
      <w:pPr>
        <w:jc w:val="center"/>
        <w:ind w:right="-27"/>
        <w:spacing w:after="0"/>
        <w:rPr>
          <w:sz w:val="20"/>
          <w:szCs w:val="20"/>
          <w:color w:val="auto"/>
        </w:rPr>
      </w:pPr>
      <w:r>
        <w:rPr>
          <w:rFonts w:ascii="Times New Roman" w:cs="Times New Roman" w:eastAsia="Times New Roman" w:hAnsi="Times New Roman"/>
          <w:sz w:val="14"/>
          <w:szCs w:val="14"/>
          <w:color w:val="auto"/>
        </w:rPr>
        <w:t xml:space="preserve">priority over Investors in any cutback under this </w:t>
      </w:r>
      <w:r>
        <w:rPr>
          <w:rFonts w:ascii="Times New Roman" w:cs="Times New Roman" w:eastAsia="Times New Roman" w:hAnsi="Times New Roman"/>
          <w:sz w:val="14"/>
          <w:szCs w:val="14"/>
          <w:u w:val="single" w:color="auto"/>
          <w:color w:val="auto"/>
        </w:rPr>
        <w:t>Section 2.e.ii</w:t>
      </w:r>
      <w:r>
        <w:rPr>
          <w:rFonts w:ascii="Times New Roman" w:cs="Times New Roman" w:eastAsia="Times New Roman" w:hAnsi="Times New Roman"/>
          <w:sz w:val="14"/>
          <w:szCs w:val="14"/>
          <w:color w:val="auto"/>
        </w:rPr>
        <w:t xml:space="preserve"> without the prior written consent of the Required Investors.</w:t>
      </w:r>
    </w:p>
    <w:p>
      <w:pPr>
        <w:spacing w:after="0" w:line="127" w:lineRule="exact"/>
        <w:rPr>
          <w:sz w:val="20"/>
          <w:szCs w:val="20"/>
          <w:color w:val="auto"/>
        </w:rPr>
      </w:pPr>
    </w:p>
    <w:p>
      <w:pPr>
        <w:jc w:val="both"/>
        <w:ind w:left="8" w:firstLine="424"/>
        <w:spacing w:after="0" w:line="227" w:lineRule="auto"/>
        <w:tabs>
          <w:tab w:leader="none" w:pos="866" w:val="left"/>
        </w:tabs>
        <w:numPr>
          <w:ilvl w:val="2"/>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Piggy-back Registration Withdrawal</w:t>
      </w:r>
      <w:r>
        <w:rPr>
          <w:rFonts w:ascii="Times New Roman" w:cs="Times New Roman" w:eastAsia="Times New Roman" w:hAnsi="Times New Roman"/>
          <w:sz w:val="14"/>
          <w:szCs w:val="14"/>
          <w:color w:val="auto"/>
        </w:rPr>
        <w:t xml:space="preserve">. Any Piggy-back Eligible Investor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SEC with respect to such Piggy-back Registration. The Company (in its sole discretion or as the result of a request for withdrawal by persons pursuant to separate written contractual obligations) may postpone or withdraw the filing or effectiveness of a Piggy-back Registration.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4"/>
          <w:szCs w:val="14"/>
          <w:u w:val="single" w:color="auto"/>
          <w:color w:val="auto"/>
        </w:rPr>
        <w:t>Section 2.e.iii</w:t>
      </w:r>
      <w:r>
        <w:rPr>
          <w:rFonts w:ascii="Times New Roman" w:cs="Times New Roman" w:eastAsia="Times New Roman" w:hAnsi="Times New Roman"/>
          <w:sz w:val="14"/>
          <w:szCs w:val="14"/>
          <w:color w:val="auto"/>
        </w:rPr>
        <w:t>.</w:t>
      </w:r>
    </w:p>
    <w:p>
      <w:pPr>
        <w:spacing w:after="0" w:line="102" w:lineRule="exact"/>
        <w:rPr>
          <w:rFonts w:ascii="Times New Roman" w:cs="Times New Roman" w:eastAsia="Times New Roman" w:hAnsi="Times New Roman"/>
          <w:sz w:val="14"/>
          <w:szCs w:val="14"/>
          <w:color w:val="auto"/>
        </w:rPr>
      </w:pPr>
    </w:p>
    <w:p>
      <w:pPr>
        <w:ind w:left="8" w:right="20" w:firstLine="424"/>
        <w:spacing w:after="0" w:line="255" w:lineRule="auto"/>
        <w:tabs>
          <w:tab w:leader="none" w:pos="858" w:val="left"/>
        </w:tabs>
        <w:numPr>
          <w:ilvl w:val="2"/>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Unlimited Piggy-back Registration Rights</w:t>
      </w:r>
      <w:r>
        <w:rPr>
          <w:rFonts w:ascii="Times New Roman" w:cs="Times New Roman" w:eastAsia="Times New Roman" w:hAnsi="Times New Roman"/>
          <w:sz w:val="14"/>
          <w:szCs w:val="14"/>
          <w:color w:val="auto"/>
        </w:rPr>
        <w:t xml:space="preserve">. For purposes of clarity, any registration effected pursuant to </w:t>
      </w:r>
      <w:r>
        <w:rPr>
          <w:rFonts w:ascii="Times New Roman" w:cs="Times New Roman" w:eastAsia="Times New Roman" w:hAnsi="Times New Roman"/>
          <w:sz w:val="14"/>
          <w:szCs w:val="14"/>
          <w:u w:val="single" w:color="auto"/>
          <w:color w:val="auto"/>
        </w:rPr>
        <w:t>Section 2.e</w:t>
      </w:r>
      <w:r>
        <w:rPr>
          <w:rFonts w:ascii="Times New Roman" w:cs="Times New Roman" w:eastAsia="Times New Roman" w:hAnsi="Times New Roman"/>
          <w:sz w:val="14"/>
          <w:szCs w:val="14"/>
          <w:color w:val="auto"/>
        </w:rPr>
        <w:t xml:space="preserve"> hereof shall not be counted as a registration pursuant to a Shelf Underwriting or Demand Registration effected under </w:t>
      </w:r>
      <w:r>
        <w:rPr>
          <w:rFonts w:ascii="Times New Roman" w:cs="Times New Roman" w:eastAsia="Times New Roman" w:hAnsi="Times New Roman"/>
          <w:sz w:val="14"/>
          <w:szCs w:val="14"/>
          <w:u w:val="single" w:color="auto"/>
          <w:color w:val="auto"/>
        </w:rPr>
        <w:t>Section 2.a</w:t>
      </w:r>
      <w:r>
        <w:rPr>
          <w:rFonts w:ascii="Times New Roman" w:cs="Times New Roman" w:eastAsia="Times New Roman" w:hAnsi="Times New Roman"/>
          <w:sz w:val="14"/>
          <w:szCs w:val="14"/>
          <w:color w:val="auto"/>
        </w:rPr>
        <w:t xml:space="preserve"> hereof.</w:t>
      </w:r>
    </w:p>
    <w:p>
      <w:pPr>
        <w:spacing w:after="0" w:line="89" w:lineRule="exact"/>
        <w:rPr>
          <w:rFonts w:ascii="Times New Roman" w:cs="Times New Roman" w:eastAsia="Times New Roman" w:hAnsi="Times New Roman"/>
          <w:sz w:val="14"/>
          <w:szCs w:val="14"/>
          <w:color w:val="auto"/>
        </w:rPr>
      </w:pPr>
    </w:p>
    <w:p>
      <w:pPr>
        <w:jc w:val="both"/>
        <w:ind w:left="8" w:firstLine="208"/>
        <w:spacing w:after="0" w:line="236" w:lineRule="auto"/>
        <w:tabs>
          <w:tab w:leader="none" w:pos="434" w:val="left"/>
        </w:tabs>
        <w:numPr>
          <w:ilvl w:val="1"/>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Registration Rights</w:t>
      </w:r>
      <w:r>
        <w:rPr>
          <w:rFonts w:ascii="Times New Roman" w:cs="Times New Roman" w:eastAsia="Times New Roman" w:hAnsi="Times New Roman"/>
          <w:sz w:val="14"/>
          <w:szCs w:val="14"/>
          <w:color w:val="auto"/>
        </w:rPr>
        <w:t xml:space="preserve">. Any deferral or suspension of a Shelf Underwriting, Demand Registration or Piggyback Registration shall be governed exclusively by the Grace Period provisions set forth in </w:t>
      </w:r>
      <w:r>
        <w:rPr>
          <w:rFonts w:ascii="Times New Roman" w:cs="Times New Roman" w:eastAsia="Times New Roman" w:hAnsi="Times New Roman"/>
          <w:sz w:val="14"/>
          <w:szCs w:val="14"/>
          <w:u w:val="single" w:color="auto"/>
          <w:color w:val="auto"/>
        </w:rPr>
        <w:t>Section 3.s</w:t>
      </w:r>
      <w:r>
        <w:rPr>
          <w:rFonts w:ascii="Times New Roman" w:cs="Times New Roman" w:eastAsia="Times New Roman" w:hAnsi="Times New Roman"/>
          <w:sz w:val="14"/>
          <w:szCs w:val="14"/>
          <w:color w:val="auto"/>
        </w:rPr>
        <w:t xml:space="preserve"> and the stop order provisions set forth in </w:t>
      </w:r>
      <w:r>
        <w:rPr>
          <w:rFonts w:ascii="Times New Roman" w:cs="Times New Roman" w:eastAsia="Times New Roman" w:hAnsi="Times New Roman"/>
          <w:sz w:val="14"/>
          <w:szCs w:val="14"/>
          <w:u w:val="single" w:color="auto"/>
          <w:color w:val="auto"/>
        </w:rPr>
        <w:t>Section 3.g</w:t>
      </w:r>
      <w:r>
        <w:rPr>
          <w:rFonts w:ascii="Times New Roman" w:cs="Times New Roman" w:eastAsia="Times New Roman" w:hAnsi="Times New Roman"/>
          <w:sz w:val="14"/>
          <w:szCs w:val="14"/>
          <w:color w:val="auto"/>
        </w:rPr>
        <w:t xml:space="preserve">. Except as expressly permitted under </w:t>
      </w:r>
      <w:r>
        <w:rPr>
          <w:rFonts w:ascii="Times New Roman" w:cs="Times New Roman" w:eastAsia="Times New Roman" w:hAnsi="Times New Roman"/>
          <w:sz w:val="14"/>
          <w:szCs w:val="14"/>
          <w:u w:val="single" w:color="auto"/>
          <w:color w:val="auto"/>
        </w:rPr>
        <w:t>Section 3.s</w:t>
      </w:r>
      <w:r>
        <w:rPr>
          <w:rFonts w:ascii="Times New Roman" w:cs="Times New Roman" w:eastAsia="Times New Roman" w:hAnsi="Times New Roman"/>
          <w:sz w:val="14"/>
          <w:szCs w:val="14"/>
          <w:color w:val="auto"/>
        </w:rPr>
        <w:t xml:space="preserve"> (Grace Period) and </w:t>
      </w:r>
      <w:r>
        <w:rPr>
          <w:rFonts w:ascii="Times New Roman" w:cs="Times New Roman" w:eastAsia="Times New Roman" w:hAnsi="Times New Roman"/>
          <w:sz w:val="14"/>
          <w:szCs w:val="14"/>
          <w:u w:val="single" w:color="auto"/>
          <w:color w:val="auto"/>
        </w:rPr>
        <w:t>Section 3.g</w:t>
      </w:r>
      <w:r>
        <w:rPr>
          <w:rFonts w:ascii="Times New Roman" w:cs="Times New Roman" w:eastAsia="Times New Roman" w:hAnsi="Times New Roman"/>
          <w:sz w:val="14"/>
          <w:szCs w:val="14"/>
          <w:color w:val="auto"/>
        </w:rPr>
        <w:t xml:space="preserve"> (stop orders), the Company may not delay, defer or refuse to effect any properly requested Shelf Underwriting, Demand Registration or Piggyback Registration.</w:t>
      </w:r>
    </w:p>
    <w:p>
      <w:pPr>
        <w:spacing w:after="0" w:line="101" w:lineRule="exact"/>
        <w:rPr>
          <w:rFonts w:ascii="Times New Roman" w:cs="Times New Roman" w:eastAsia="Times New Roman" w:hAnsi="Times New Roman"/>
          <w:sz w:val="14"/>
          <w:szCs w:val="14"/>
          <w:color w:val="auto"/>
        </w:rPr>
      </w:pPr>
    </w:p>
    <w:p>
      <w:pPr>
        <w:ind w:left="8" w:right="20" w:hanging="8"/>
        <w:spacing w:after="0" w:line="255" w:lineRule="auto"/>
        <w:tabs>
          <w:tab w:leader="none" w:pos="440"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RELATED OBLIGATIONS</w:t>
      </w:r>
      <w:r>
        <w:rPr>
          <w:rFonts w:ascii="Times New Roman" w:cs="Times New Roman" w:eastAsia="Times New Roman" w:hAnsi="Times New Roman"/>
          <w:sz w:val="14"/>
          <w:szCs w:val="14"/>
          <w:color w:val="auto"/>
        </w:rPr>
        <w:t xml:space="preserve">. At such time as the Company is obligated to file a Registration Statement with the SEC pursuant to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the Company will use best efforts to effect the registration of the Registrable Securities to permit the intended method of disposition thereof and, pursuant thereto, the Company shall have the following obligations:</w:t>
      </w:r>
    </w:p>
    <w:p>
      <w:pPr>
        <w:spacing w:after="0" w:line="89" w:lineRule="exact"/>
        <w:rPr>
          <w:rFonts w:ascii="Times New Roman" w:cs="Times New Roman" w:eastAsia="Times New Roman" w:hAnsi="Times New Roman"/>
          <w:sz w:val="14"/>
          <w:szCs w:val="14"/>
          <w:color w:val="auto"/>
        </w:rPr>
      </w:pPr>
    </w:p>
    <w:p>
      <w:pPr>
        <w:jc w:val="both"/>
        <w:ind w:left="8" w:firstLine="208"/>
        <w:spacing w:after="0"/>
        <w:tabs>
          <w:tab w:leader="none" w:pos="432" w:val="left"/>
        </w:tabs>
        <w:numPr>
          <w:ilvl w:val="1"/>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use commercially reasonable efforts to, as soon as reasonably practicable, prepare and file with the SEC a Registration Statement with respect to the applicable Registrable Securities (but in no event later than the applicable filing deadline) and, if necessary, use commercially reasonable efforts to cause such Registration Statement relating to the Registrable Securities to become effective as soon as reasonably practicable after such filing. The Company shall keep each Registration Statement effective pursuant to Rule 415 at all times until the earlier of (i) the date on which the Investors have sold all of the Registrable Securities covered by such Registration Statement in accordance with such Registration Statement or pursuant to Rule 144, (ii) the date that all Registrable Securities have ceased to be Registrable Securities and, (iii) solely in the case of the Initial Registration Statement, the date on which a Registration Statement on Form S-3 has become effective (the “Registration Period”). No Investor shall be named as an “underwriter” in the Registration Statement without such Investor’s prior written consent, except that an Investor may be named as a “statutory underwriter” if such Investor is, or is affiliated with, a broker dealer and states such fact in writing to the Company (unless such Investor represents in writing to the Company that (A) it purchased such securities in the ordinary course of business; and (B) at the time of purchase of the securities being registered for resale, the Investor had no agreements or understandings, directly or indirectly, with any person to distribute the securities); provided, however, that if naming as a statutory underwriter is legally required for the registration and an Investor withholds consent to be so named, the Company may exclude that Investor from that particular registration or offering without prejudice to such Investor’s registration rights under this Agreement for future registrations or offerings. Such Registration Statement (including any amendments or supplements thereto and any Prospectuses (preliminary, final, summary or free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148"/>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20" w:right="299" w:bottom="1440" w:gutter="0" w:footer="0" w:header="0"/>
        </w:sectPr>
      </w:pPr>
    </w:p>
    <w:bookmarkStart w:id="222" w:name="page223"/>
    <w:bookmarkEnd w:id="222"/>
    <w:p>
      <w:pPr>
        <w:ind w:right="20"/>
        <w:spacing w:after="0" w:line="255" w:lineRule="auto"/>
        <w:rPr>
          <w:sz w:val="20"/>
          <w:szCs w:val="20"/>
          <w:color w:val="auto"/>
        </w:rPr>
      </w:pPr>
      <w:r>
        <w:rPr>
          <w:rFonts w:ascii="Times New Roman" w:cs="Times New Roman" w:eastAsia="Times New Roman" w:hAnsi="Times New Roman"/>
          <w:sz w:val="14"/>
          <w:szCs w:val="14"/>
          <w:color w:val="auto"/>
        </w:rPr>
        <w:t>writing)) contained therein or related thereto shall not contain any untrue statement of a material fact or omit to state a material fact required to be stated therein, or necessary to make the statements therein, in the light of the circumstances in which they were made, not misleading.</w:t>
      </w:r>
    </w:p>
    <w:p>
      <w:pPr>
        <w:spacing w:after="0" w:line="90" w:lineRule="exact"/>
        <w:rPr>
          <w:sz w:val="20"/>
          <w:szCs w:val="20"/>
          <w:color w:val="auto"/>
        </w:rPr>
      </w:pPr>
    </w:p>
    <w:p>
      <w:pPr>
        <w:jc w:val="both"/>
        <w:ind w:firstLine="208"/>
        <w:spacing w:after="0" w:line="227" w:lineRule="auto"/>
        <w:tabs>
          <w:tab w:leader="none" w:pos="432"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prepare and file with the SEC such amendments (including post-effective amendments) and supplements to a Registration Statement and the Prospectus used in connection with such Registration Statement, as may be necessary to keep such Registration Statement effective at all times during the Registration Period, and, during such period, comply with the provisions of the Securities Act with respect to the disposition of all Registrable Securities of the Company covered by such Registration Statement during the Registration Period. The Company shall promptly notify each Investor of any request by the SEC or any other Governmental Authority, during the period of effectiveness of a Registration Statement, for amendments or supplements to such Registration Statement or related Prospectus or for additional information.</w:t>
      </w:r>
    </w:p>
    <w:p>
      <w:pPr>
        <w:spacing w:after="0" w:line="102" w:lineRule="exact"/>
        <w:rPr>
          <w:rFonts w:ascii="Times New Roman" w:cs="Times New Roman" w:eastAsia="Times New Roman" w:hAnsi="Times New Roman"/>
          <w:sz w:val="14"/>
          <w:szCs w:val="14"/>
          <w:color w:val="auto"/>
        </w:rPr>
      </w:pPr>
    </w:p>
    <w:p>
      <w:pPr>
        <w:jc w:val="both"/>
        <w:ind w:firstLine="208"/>
        <w:spacing w:after="0" w:line="224" w:lineRule="auto"/>
        <w:tabs>
          <w:tab w:leader="none" w:pos="424"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provide the Initial Registration Statement (which Registration Statement shall contain a “plan of distribution” and a “selling stockholder” section) and all other Registration Statements (and all amendments and supplements to all Registration Statements (except for annual reports on Form 10-K, quarterly reports on Form 10-Q, and current reports on Form 8-K, and any similar or successor reports)) to each Investor at least seven (7) Business Days prior to their filing with the SEC, which documents shall be subject to the reasonable review and comment by each Investor; provided, however, that for prospectus supplements or other documents related to expedited takedowns, including Underwritten Block Trades, such drafts shall be provided as early as practicable and, to the extent practicable, no later than twenty-four (24) hours prior to filing. The Company shall promptly provide to each Investor copies of any correspondence from the SEC to the Company or its representatives relating to any Registration Statement and shall provide each Investor the opportunity to review and comment upon the Company’s responses to any such correspondence.</w:t>
      </w:r>
    </w:p>
    <w:p>
      <w:pPr>
        <w:spacing w:after="0" w:line="100" w:lineRule="exact"/>
        <w:rPr>
          <w:rFonts w:ascii="Times New Roman" w:cs="Times New Roman" w:eastAsia="Times New Roman" w:hAnsi="Times New Roman"/>
          <w:sz w:val="14"/>
          <w:szCs w:val="14"/>
          <w:color w:val="auto"/>
        </w:rPr>
      </w:pPr>
    </w:p>
    <w:p>
      <w:pPr>
        <w:ind w:right="20" w:firstLine="208"/>
        <w:spacing w:after="0" w:line="255" w:lineRule="auto"/>
        <w:tabs>
          <w:tab w:leader="none" w:pos="432"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provide to each Investor, upon request, without charge, such documents, including copies of any Prospectus (preliminary, final, summary or free writing), as such Investor may reasonably request from time to time in order to facilitate the disposition of the Registrable Securities owned by such Investor.</w:t>
      </w:r>
    </w:p>
    <w:p>
      <w:pPr>
        <w:spacing w:after="0" w:line="89" w:lineRule="exact"/>
        <w:rPr>
          <w:rFonts w:ascii="Times New Roman" w:cs="Times New Roman" w:eastAsia="Times New Roman" w:hAnsi="Times New Roman"/>
          <w:sz w:val="14"/>
          <w:szCs w:val="14"/>
          <w:color w:val="auto"/>
        </w:rPr>
      </w:pPr>
    </w:p>
    <w:p>
      <w:pPr>
        <w:jc w:val="both"/>
        <w:ind w:firstLine="208"/>
        <w:spacing w:after="0" w:line="221" w:lineRule="auto"/>
        <w:tabs>
          <w:tab w:leader="none" w:pos="424"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use best efforts to (i) register and qualify, unless an exemption from registration and qualification applies, the resale by the Investors of the Registrable Securities covered by a Registration Statement under the securities or applicable state blue sky or state securities laws (“</w:t>
      </w:r>
      <w:r>
        <w:rPr>
          <w:rFonts w:ascii="Times New Roman" w:cs="Times New Roman" w:eastAsia="Times New Roman" w:hAnsi="Times New Roman"/>
          <w:sz w:val="14"/>
          <w:szCs w:val="14"/>
          <w:b w:val="1"/>
          <w:bCs w:val="1"/>
          <w:color w:val="auto"/>
        </w:rPr>
        <w:t>Blue Sky</w:t>
      </w:r>
      <w:r>
        <w:rPr>
          <w:rFonts w:ascii="Times New Roman" w:cs="Times New Roman" w:eastAsia="Times New Roman" w:hAnsi="Times New Roman"/>
          <w:sz w:val="14"/>
          <w:szCs w:val="14"/>
          <w:color w:val="auto"/>
        </w:rPr>
        <w:t xml:space="preserve">”) laws of all applicable jurisdictions in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or obtain exemptions from the registration and qualification requirements of such jurisdictions; provided, however, that the Company shall not be required in connection therewith or as a condition thereto to (x) qualify to do business in any jurisdiction where it would not otherwise be required to qualify but for this </w:t>
      </w:r>
      <w:r>
        <w:rPr>
          <w:rFonts w:ascii="Times New Roman" w:cs="Times New Roman" w:eastAsia="Times New Roman" w:hAnsi="Times New Roman"/>
          <w:sz w:val="14"/>
          <w:szCs w:val="14"/>
          <w:u w:val="single" w:color="auto"/>
          <w:color w:val="auto"/>
        </w:rPr>
        <w:t>Section 3.e</w:t>
      </w:r>
      <w:r>
        <w:rPr>
          <w:rFonts w:ascii="Times New Roman" w:cs="Times New Roman" w:eastAsia="Times New Roman" w:hAnsi="Times New Roman"/>
          <w:sz w:val="14"/>
          <w:szCs w:val="14"/>
          <w:color w:val="auto"/>
        </w:rPr>
        <w:t>, (y) subject itself to general taxation in any jurisdiction, or (z) file a general consent to service of process in any jurisdiction in which it is not currently so qualified or subject to general taxation or has not currently so consented. The Company shall promptly notify each Investor of the receipt by the Company of any notification with respect to the suspension of the registration or qualification (or exemption from qualification) of any of the Registrable Securities for sale under the securities or Blue Sky laws of any jurisdiction in the United States or its receipt of actual notice of the initiation or threatening of any proceeding for such purpose.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0" w:right="299" w:bottom="1440" w:gutter="0" w:footer="0" w:header="0"/>
        </w:sectPr>
      </w:pPr>
    </w:p>
    <w:bookmarkStart w:id="223" w:name="page224"/>
    <w:bookmarkEnd w:id="223"/>
    <w:p>
      <w:pPr>
        <w:jc w:val="both"/>
        <w:ind w:left="-208" w:firstLine="208"/>
        <w:spacing w:after="0" w:line="219" w:lineRule="auto"/>
        <w:tabs>
          <w:tab w:leader="none" w:pos="218"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notify each Investor of the happening of any event, as promptly as reasonably practicable after becoming aware of such event, as a result of which, in the case of a Registration Statement, it includes an untrue statement of a material fact or omission to state a material fact required to be stated therein or necessary to make the statements therein not misleading and, in the case of the Prospectus included in a Registration Statement, it includes an untrue statement of a material fact or omission to state a material fact required to be stated therein or necessary to make the statements therein, in the light of the circumstances under which they were made, not misleading, which information shall be accompanied by an instruction to suspend the use of the Registration Statement and the Prospectus until the requisite changes have been made (provided that in each notice the Company shall not disclose any material non-public information to any Investor unless otherwise requested in writing by such Investor which Investor agrees in writing to hold such information in confidence until such time as it is disclosed in the Company’s sole discretion), and, subject to </w:t>
      </w:r>
      <w:r>
        <w:rPr>
          <w:rFonts w:ascii="Times New Roman" w:cs="Times New Roman" w:eastAsia="Times New Roman" w:hAnsi="Times New Roman"/>
          <w:sz w:val="14"/>
          <w:szCs w:val="14"/>
          <w:u w:val="single" w:color="auto"/>
          <w:color w:val="auto"/>
        </w:rPr>
        <w:t>Section 3.s</w:t>
      </w:r>
      <w:r>
        <w:rPr>
          <w:rFonts w:ascii="Times New Roman" w:cs="Times New Roman" w:eastAsia="Times New Roman" w:hAnsi="Times New Roman"/>
          <w:sz w:val="14"/>
          <w:szCs w:val="14"/>
          <w:color w:val="auto"/>
        </w:rPr>
        <w:t>, promptly prepare and file with the SEC a supplement or amendment to such Registration Statement to correct such untrue statement or omission, and deliver a copy of such supplement or amendment to each Investor (or such other number of copies as each Investor may reasonably request). The Company shall also promptly notify each Investor in writing (i) when a Prospectus or any Prospectus supplement or post-effective amendment has been filed, and, if necessary, when a Registration Statement or any post-effective amendment has become effective (promptly providing written notice of such effectiveness to each Investor), (ii) of any request by the SEC for amendments or supplements to a Registration Statement or related Prospectus or related information and (iii) of the Company’s reasonable determination that a post-effective amendment to a Registration Statement would be appropriate. By 9:30 a.m. New York City time on the date following the date any post-effective amendment has become effective, the Company shall file with the SEC in accordance with Rule 424 under the Securities Act the final Prospectus to be used in connection with sales pursuant to such Registration Statement.</w:t>
      </w:r>
    </w:p>
    <w:p>
      <w:pPr>
        <w:spacing w:after="0" w:line="106" w:lineRule="exact"/>
        <w:rPr>
          <w:rFonts w:ascii="Times New Roman" w:cs="Times New Roman" w:eastAsia="Times New Roman" w:hAnsi="Times New Roman"/>
          <w:sz w:val="14"/>
          <w:szCs w:val="14"/>
          <w:color w:val="auto"/>
        </w:rPr>
      </w:pPr>
    </w:p>
    <w:p>
      <w:pPr>
        <w:jc w:val="both"/>
        <w:ind w:left="-208" w:firstLine="208"/>
        <w:spacing w:after="0" w:line="231" w:lineRule="auto"/>
        <w:tabs>
          <w:tab w:leader="none" w:pos="224"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use commercially reasonable efforts to prevent the issuance of any stop order or other suspension of effectiveness of a Registration Statement (other than during an Allowable Grace Period (as defined below)), or the suspension of the qualification of any of the Registrable Securities for sale in any jurisdiction and, if such an order or suspension is issued, to obtain the withdrawal of such order or suspension at the earliest possible time and to notify each Investor of the issuance of such order or suspension and the resolution thereof or its receipt of actual notice of the initiation or threat of any proceeding for such purpose.</w:t>
      </w:r>
    </w:p>
    <w:p>
      <w:pPr>
        <w:spacing w:after="0" w:line="100" w:lineRule="exact"/>
        <w:rPr>
          <w:rFonts w:ascii="Times New Roman" w:cs="Times New Roman" w:eastAsia="Times New Roman" w:hAnsi="Times New Roman"/>
          <w:sz w:val="14"/>
          <w:szCs w:val="14"/>
          <w:color w:val="auto"/>
        </w:rPr>
      </w:pPr>
    </w:p>
    <w:p>
      <w:pPr>
        <w:jc w:val="both"/>
        <w:ind w:left="-208" w:firstLine="208"/>
        <w:spacing w:after="0" w:line="225" w:lineRule="auto"/>
        <w:tabs>
          <w:tab w:leader="none" w:pos="224"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an Investor is sought in or by a court or governmental body of competent jurisdiction or through other means, give prompt written notice to such Investor and allow such Investor, at the Investor’s expense, to undertake appropriate action to prevent disclosure of, or to obtain a protective order for, such information.</w:t>
      </w:r>
    </w:p>
    <w:p>
      <w:pPr>
        <w:spacing w:after="0" w:line="102" w:lineRule="exact"/>
        <w:rPr>
          <w:rFonts w:ascii="Times New Roman" w:cs="Times New Roman" w:eastAsia="Times New Roman" w:hAnsi="Times New Roman"/>
          <w:sz w:val="14"/>
          <w:szCs w:val="14"/>
          <w:color w:val="auto"/>
        </w:rPr>
      </w:pPr>
    </w:p>
    <w:p>
      <w:pPr>
        <w:jc w:val="both"/>
        <w:ind w:left="-208" w:firstLine="208"/>
        <w:spacing w:after="0" w:line="236" w:lineRule="auto"/>
        <w:tabs>
          <w:tab w:leader="none" w:pos="219"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use best efforts to cause all the Registrable Securities covered by a Registration Statement to be listed on the primary securities exchange or trading market on which securities of the same class or series issued by the Company are listed, and with the same CUSIP. For the avoidance of doubt, and subject to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the Company shall pay all fees and expenses in connection with satisfying its obligation under this </w:t>
      </w:r>
      <w:r>
        <w:rPr>
          <w:rFonts w:ascii="Times New Roman" w:cs="Times New Roman" w:eastAsia="Times New Roman" w:hAnsi="Times New Roman"/>
          <w:sz w:val="14"/>
          <w:szCs w:val="14"/>
          <w:u w:val="single" w:color="auto"/>
          <w:color w:val="auto"/>
        </w:rPr>
        <w:t>Section 3.i</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32"/>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147955</wp:posOffset>
            </wp:positionV>
            <wp:extent cx="720344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92"/>
          </w:cols>
          <w:pgMar w:left="508" w:top="1120" w:right="299" w:bottom="1440" w:gutter="0" w:footer="0" w:header="0"/>
        </w:sectPr>
      </w:pPr>
    </w:p>
    <w:bookmarkStart w:id="224" w:name="page225"/>
    <w:bookmarkEnd w:id="224"/>
    <w:p>
      <w:pPr>
        <w:jc w:val="both"/>
        <w:ind w:left="-208" w:firstLine="208"/>
        <w:spacing w:after="0" w:line="227" w:lineRule="auto"/>
        <w:tabs>
          <w:tab w:leader="none" w:pos="219"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cooperate with the Investors that hold Registrable Securities being offered and the Underwriters, if any, and, to the extent applicable, facilitate the timely preparation and delivery of certificates (not bearing any restrictive legend) representing the Registrable Securities to be sold pursuant to a Registration Statement and enable such certificates to be in such names and denominations or amounts, as the case may be, and/or the timely delivery of the Registrable Securities to be sold pursuant to a Registration Statement through the Direct Registration System (DRS) of The Depository Trust Company (the “</w:t>
      </w:r>
      <w:r>
        <w:rPr>
          <w:rFonts w:ascii="Times New Roman" w:cs="Times New Roman" w:eastAsia="Times New Roman" w:hAnsi="Times New Roman"/>
          <w:sz w:val="14"/>
          <w:szCs w:val="14"/>
          <w:b w:val="1"/>
          <w:bCs w:val="1"/>
          <w:color w:val="auto"/>
        </w:rPr>
        <w:t>DTC</w:t>
      </w:r>
      <w:r>
        <w:rPr>
          <w:rFonts w:ascii="Times New Roman" w:cs="Times New Roman" w:eastAsia="Times New Roman" w:hAnsi="Times New Roman"/>
          <w:sz w:val="14"/>
          <w:szCs w:val="14"/>
          <w:color w:val="auto"/>
        </w:rPr>
        <w:t>”) or crediting of the Registrable Securities to be sold pursuant to a Registration Statement to the applicable account (or accounts) with DTC through its Deposit/Withdrawal At Custodian (DWAC) system, in any such case as each Investor may reasonably request.</w:t>
      </w:r>
    </w:p>
    <w:p>
      <w:pPr>
        <w:spacing w:after="0" w:line="102" w:lineRule="exact"/>
        <w:rPr>
          <w:rFonts w:ascii="Times New Roman" w:cs="Times New Roman" w:eastAsia="Times New Roman" w:hAnsi="Times New Roman"/>
          <w:sz w:val="14"/>
          <w:szCs w:val="14"/>
          <w:color w:val="auto"/>
        </w:rPr>
      </w:pPr>
    </w:p>
    <w:p>
      <w:pPr>
        <w:jc w:val="both"/>
        <w:ind w:left="-208" w:firstLine="208"/>
        <w:spacing w:after="0"/>
        <w:tabs>
          <w:tab w:leader="none" w:pos="224"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covenants that it will use commercially reasonable efforts to ensure that the Common Stock, the Convertible Preferred Shares and any Conversion Shares are DTC-eligible as promptly as practicable. If any such shares are required to bear a restrictive legend, the Company shall use commercially reasonable efforts to have such shares issued through the facilities of DTC under a restricted CUSIP if feasible, or otherwise in book-entry form. The Company shall use commercially reasonable efforts to remove restrictive legends and stop-transfer instructions as soon as removal is permitted under applicable law, including promptly obtaining and delivering to the transfer agent legal opinions customarily required for legend removal upon the request of the holder.</w:t>
      </w:r>
    </w:p>
    <w:p>
      <w:pPr>
        <w:spacing w:after="0" w:line="220" w:lineRule="exact"/>
        <w:rPr>
          <w:rFonts w:ascii="Times New Roman" w:cs="Times New Roman" w:eastAsia="Times New Roman" w:hAnsi="Times New Roman"/>
          <w:sz w:val="14"/>
          <w:szCs w:val="14"/>
          <w:color w:val="auto"/>
        </w:rPr>
      </w:pPr>
    </w:p>
    <w:p>
      <w:pPr>
        <w:jc w:val="both"/>
        <w:ind w:left="-208" w:firstLine="208"/>
        <w:spacing w:after="0" w:line="231" w:lineRule="auto"/>
        <w:tabs>
          <w:tab w:leader="none" w:pos="219"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provide a transfer agent and registrar for all such Registrable Securities not later than the effective date of the applicable Registration Statement and, will promptly in connection with any sale of Registrable Securities pursuant to such Registration Statement or Rule 144, and, if required by the transfer agent, provide to the transfer agent any authorizations, certificates and directions (including legal opinions) required by the transfer agent which authorize and direct the transfer agent to issue such Registrable Securities without legend in connection with the sale by the holder of such shares of Registrable Securities under such Registration Statement or Rule 144.</w:t>
      </w:r>
    </w:p>
    <w:p>
      <w:pPr>
        <w:spacing w:after="0" w:line="100" w:lineRule="exact"/>
        <w:rPr>
          <w:rFonts w:ascii="Times New Roman" w:cs="Times New Roman" w:eastAsia="Times New Roman" w:hAnsi="Times New Roman"/>
          <w:sz w:val="14"/>
          <w:szCs w:val="14"/>
          <w:color w:val="auto"/>
        </w:rPr>
      </w:pPr>
    </w:p>
    <w:p>
      <w:pPr>
        <w:jc w:val="both"/>
        <w:ind w:left="-208" w:firstLine="208"/>
        <w:spacing w:after="0" w:line="227" w:lineRule="auto"/>
        <w:tabs>
          <w:tab w:leader="none" w:pos="219"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requested by an Investor, the Company shall (i) as soon as reasonably practicable, incorporate in a prospectus supplement or post-effective amendment such information as such Investor requests to be included therein relating to the sale and distribution of Registrable Securities, including information with respect to such Investor,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amend any Registration Statement as reasonably requested by such Investor.</w:t>
      </w:r>
    </w:p>
    <w:p>
      <w:pPr>
        <w:spacing w:after="0" w:line="102" w:lineRule="exact"/>
        <w:rPr>
          <w:rFonts w:ascii="Times New Roman" w:cs="Times New Roman" w:eastAsia="Times New Roman" w:hAnsi="Times New Roman"/>
          <w:sz w:val="14"/>
          <w:szCs w:val="14"/>
          <w:color w:val="auto"/>
        </w:rPr>
      </w:pPr>
    </w:p>
    <w:p>
      <w:pPr>
        <w:ind w:left="212" w:hanging="212"/>
        <w:spacing w:after="0"/>
        <w:tabs>
          <w:tab w:leader="none" w:pos="212"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otherwise use best efforts to comply with all applicable rules and regulations of the SEC in connection with any registration hereunder.</w:t>
      </w:r>
    </w:p>
    <w:p>
      <w:pPr>
        <w:spacing w:after="0" w:line="125" w:lineRule="exact"/>
        <w:rPr>
          <w:rFonts w:ascii="Times New Roman" w:cs="Times New Roman" w:eastAsia="Times New Roman" w:hAnsi="Times New Roman"/>
          <w:sz w:val="14"/>
          <w:szCs w:val="14"/>
          <w:color w:val="auto"/>
        </w:rPr>
      </w:pPr>
    </w:p>
    <w:p>
      <w:pPr>
        <w:jc w:val="both"/>
        <w:ind w:left="-208" w:firstLine="208"/>
        <w:spacing w:after="0" w:line="231" w:lineRule="auto"/>
        <w:tabs>
          <w:tab w:leader="none" w:pos="224"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not made by the Underwriters in the case of an Underwritten Offering, the Company shall make such filings with the Financial Industry Regulatory Authority (“</w:t>
      </w:r>
      <w:r>
        <w:rPr>
          <w:rFonts w:ascii="Times New Roman" w:cs="Times New Roman" w:eastAsia="Times New Roman" w:hAnsi="Times New Roman"/>
          <w:sz w:val="14"/>
          <w:szCs w:val="14"/>
          <w:b w:val="1"/>
          <w:bCs w:val="1"/>
          <w:color w:val="auto"/>
        </w:rPr>
        <w:t>FINRA</w:t>
      </w:r>
      <w:r>
        <w:rPr>
          <w:rFonts w:ascii="Times New Roman" w:cs="Times New Roman" w:eastAsia="Times New Roman" w:hAnsi="Times New Roman"/>
          <w:sz w:val="14"/>
          <w:szCs w:val="14"/>
          <w:color w:val="auto"/>
        </w:rPr>
        <w:t>”) pursuant to FINRA Rule 5110 or otherwise (including providing all required information and paying required fees thereto), as and when requested by any Investor, or in the case of an Underwritten Offering, by any Underwriter, and make all other filings and take all other actions reasonably necessary to expedite and facilitate the disposition by the Investors pursuant to a Registration Statement, including promptly responding to any comments received from FINRA.</w:t>
      </w:r>
    </w:p>
    <w:p>
      <w:pPr>
        <w:spacing w:after="0" w:line="102" w:lineRule="exact"/>
        <w:rPr>
          <w:rFonts w:ascii="Times New Roman" w:cs="Times New Roman" w:eastAsia="Times New Roman" w:hAnsi="Times New Roman"/>
          <w:sz w:val="14"/>
          <w:szCs w:val="14"/>
          <w:color w:val="auto"/>
        </w:rPr>
      </w:pPr>
    </w:p>
    <w:p>
      <w:pPr>
        <w:ind w:left="212" w:hanging="212"/>
        <w:spacing w:after="0"/>
        <w:tabs>
          <w:tab w:leader="none" w:pos="212"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enter into such customary agreements (including, in the case of Underwritten Offering, an underwriting agreement) and take such other actions as any of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32"/>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147955</wp:posOffset>
            </wp:positionV>
            <wp:extent cx="720344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92"/>
          </w:cols>
          <w:pgMar w:left="508" w:top="1120" w:right="2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color w:val="auto"/>
        </w:rPr>
        <w:t>Investors or Underwriters, if any, may reasonably request in order to expedite and facilitate the disposition of the Registrable Securities covered by a Registration Statement.</w:t>
      </w:r>
    </w:p>
    <w:p>
      <w:pPr>
        <w:spacing w:after="0" w:line="127" w:lineRule="exact"/>
        <w:rPr>
          <w:sz w:val="20"/>
          <w:szCs w:val="20"/>
          <w:color w:val="auto"/>
        </w:rPr>
      </w:pPr>
    </w:p>
    <w:p>
      <w:pPr>
        <w:jc w:val="both"/>
        <w:ind w:firstLine="208"/>
        <w:spacing w:after="0" w:line="231" w:lineRule="auto"/>
        <w:tabs>
          <w:tab w:leader="none" w:pos="432"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Date, the Company shall use commercially reasonable efforts to remain subject to the reporting requirements of the Exchange Act and to timely file all reports required thereunder. If at any time after the Closing Date, the Common Shares and the Convertible Preferred Shares are not listed on a National Securities Exchange, the Investors holding of a majority of the number of Convertible Preferred Shares outstanding as of the Closing Date may require the Company to use commercially reasonable efforts to cause the Common Shares and, after the Company satisfies applicable listing standards, the Convertible Preferred Shares, to be listed on a National Securities Exchange as soon as reasonably practicable.</w:t>
      </w:r>
    </w:p>
    <w:p>
      <w:pPr>
        <w:spacing w:after="0" w:line="10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 Underwritten Offering:</w:t>
      </w:r>
    </w:p>
    <w:p>
      <w:pPr>
        <w:spacing w:after="0" w:line="127"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1"/>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obtain for the managing Underwriter or Underwriters of such offering a “cold comfort” letter from the Company’s independent registered public accountants;</w:t>
      </w:r>
    </w:p>
    <w:p>
      <w:pPr>
        <w:spacing w:after="0" w:line="12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1"/>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obtain for the managing Underwriter or Underwriters of such offering an opinion of counsel representing the Company covering legal matters with respect to the</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w:t>
      </w:r>
    </w:p>
    <w:p>
      <w:pPr>
        <w:spacing w:after="0" w:line="111" w:lineRule="exact"/>
        <w:rPr>
          <w:rFonts w:ascii="Times New Roman" w:cs="Times New Roman" w:eastAsia="Times New Roman" w:hAnsi="Times New Roman"/>
          <w:sz w:val="14"/>
          <w:szCs w:val="14"/>
          <w:color w:val="auto"/>
        </w:rPr>
      </w:pPr>
    </w:p>
    <w:p>
      <w:pPr>
        <w:ind w:firstLine="424"/>
        <w:spacing w:after="0" w:line="255" w:lineRule="auto"/>
        <w:tabs>
          <w:tab w:leader="none" w:pos="858" w:val="left"/>
        </w:tabs>
        <w:numPr>
          <w:ilvl w:val="1"/>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requested by any Underwriter, the Company shall agree, and shall cause any directors or officers of the Company to agree, to be bound by customary “lock-up” agreements restricting the ability to dispose of Company Securities; and</w:t>
      </w:r>
    </w:p>
    <w:p>
      <w:pPr>
        <w:spacing w:after="0" w:line="89" w:lineRule="exact"/>
        <w:rPr>
          <w:rFonts w:ascii="Times New Roman" w:cs="Times New Roman" w:eastAsia="Times New Roman" w:hAnsi="Times New Roman"/>
          <w:sz w:val="14"/>
          <w:szCs w:val="14"/>
          <w:color w:val="auto"/>
        </w:rPr>
      </w:pPr>
    </w:p>
    <w:p>
      <w:pPr>
        <w:ind w:firstLine="424"/>
        <w:spacing w:after="0" w:line="255" w:lineRule="auto"/>
        <w:tabs>
          <w:tab w:leader="none" w:pos="850" w:val="left"/>
        </w:tabs>
        <w:numPr>
          <w:ilvl w:val="1"/>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reasonably requested by the managing Underwriter(s) (or the initiating Investors acting through the managing Underwriter(s)), the Company shall use commercially reasonable efforts to make available senior executives of the Company to participate in customary ‘road show’ presentations that may be reasonably requested by the managing Underwriter(s).</w:t>
      </w:r>
    </w:p>
    <w:p>
      <w:pPr>
        <w:spacing w:after="0" w:line="89"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Grace Period</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firstLine="424"/>
        <w:spacing w:after="0" w:line="227" w:lineRule="auto"/>
        <w:tabs>
          <w:tab w:leader="none" w:pos="859" w:val="left"/>
        </w:tabs>
        <w:numPr>
          <w:ilvl w:val="1"/>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w:t>
      </w:r>
      <w:r>
        <w:rPr>
          <w:rFonts w:ascii="Times New Roman" w:cs="Times New Roman" w:eastAsia="Times New Roman" w:hAnsi="Times New Roman"/>
          <w:sz w:val="14"/>
          <w:szCs w:val="14"/>
          <w:u w:val="single" w:color="auto"/>
          <w:color w:val="auto"/>
        </w:rPr>
        <w:t>Section 3.f</w:t>
      </w:r>
      <w:r>
        <w:rPr>
          <w:rFonts w:ascii="Times New Roman" w:cs="Times New Roman" w:eastAsia="Times New Roman" w:hAnsi="Times New Roman"/>
          <w:sz w:val="14"/>
          <w:szCs w:val="14"/>
          <w:color w:val="auto"/>
        </w:rPr>
        <w:t xml:space="preserve">, and subject to the provisions of this </w:t>
      </w:r>
      <w:r>
        <w:rPr>
          <w:rFonts w:ascii="Times New Roman" w:cs="Times New Roman" w:eastAsia="Times New Roman" w:hAnsi="Times New Roman"/>
          <w:sz w:val="14"/>
          <w:szCs w:val="14"/>
          <w:u w:val="single" w:color="auto"/>
          <w:color w:val="auto"/>
        </w:rPr>
        <w:t>Section 3.s</w:t>
      </w:r>
      <w:r>
        <w:rPr>
          <w:rFonts w:ascii="Times New Roman" w:cs="Times New Roman" w:eastAsia="Times New Roman" w:hAnsi="Times New Roman"/>
          <w:sz w:val="14"/>
          <w:szCs w:val="14"/>
          <w:color w:val="auto"/>
        </w:rPr>
        <w:t xml:space="preserve"> and a good faith determination by the Board (or a duly authorized committee thereof) that it is necessary to delay, defer or refuse to effect any registration or suspend the use of any Registration Statement, following the effectiveness of such Registration Statement (and the filings with any federal or state securities commissions), the Company, by written notice to the Investors, may (x) defer its obligation to effect any Shelf Underwriting, Demand Registration or Piggy-back Registration, (y) suspend the use of any Registration Statement covering Registrable Securities, or (z) direct the Investors to suspend sales of the Registrable Securities pursuant to such Registration Statement, in each case for such times as the Company reasonably may determine is necessary and advisable (a “</w:t>
      </w:r>
      <w:r>
        <w:rPr>
          <w:rFonts w:ascii="Times New Roman" w:cs="Times New Roman" w:eastAsia="Times New Roman" w:hAnsi="Times New Roman"/>
          <w:sz w:val="14"/>
          <w:szCs w:val="14"/>
          <w:b w:val="1"/>
          <w:bCs w:val="1"/>
          <w:color w:val="auto"/>
        </w:rPr>
        <w:t>Grace Period</w:t>
      </w:r>
      <w:r>
        <w:rPr>
          <w:rFonts w:ascii="Times New Roman" w:cs="Times New Roman" w:eastAsia="Times New Roman" w:hAnsi="Times New Roman"/>
          <w:sz w:val="14"/>
          <w:szCs w:val="14"/>
          <w:color w:val="auto"/>
        </w:rPr>
        <w:t>”), if (each, a “</w:t>
      </w:r>
      <w:r>
        <w:rPr>
          <w:rFonts w:ascii="Times New Roman" w:cs="Times New Roman" w:eastAsia="Times New Roman" w:hAnsi="Times New Roman"/>
          <w:sz w:val="14"/>
          <w:szCs w:val="14"/>
          <w:b w:val="1"/>
          <w:bCs w:val="1"/>
          <w:color w:val="auto"/>
        </w:rPr>
        <w:t>Grace Period Event</w:t>
      </w:r>
      <w:r>
        <w:rPr>
          <w:rFonts w:ascii="Times New Roman" w:cs="Times New Roman" w:eastAsia="Times New Roman" w:hAnsi="Times New Roman"/>
          <w:sz w:val="14"/>
          <w:szCs w:val="14"/>
          <w:color w:val="auto"/>
        </w:rPr>
        <w:t>”):</w:t>
      </w:r>
    </w:p>
    <w:p>
      <w:pPr>
        <w:spacing w:after="0" w:line="102"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2"/>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action would require disclosure of material non-public information that the Company has bona fide business purpose for preserving as confidential;</w:t>
      </w:r>
    </w:p>
    <w:p>
      <w:pPr>
        <w:spacing w:after="0" w:line="127" w:lineRule="exact"/>
        <w:rPr>
          <w:rFonts w:ascii="Times New Roman" w:cs="Times New Roman" w:eastAsia="Times New Roman" w:hAnsi="Times New Roman"/>
          <w:sz w:val="14"/>
          <w:szCs w:val="14"/>
          <w:color w:val="auto"/>
        </w:rPr>
      </w:pPr>
    </w:p>
    <w:p>
      <w:pPr>
        <w:ind w:left="1720" w:hanging="432"/>
        <w:spacing w:after="0" w:line="255" w:lineRule="auto"/>
        <w:tabs>
          <w:tab w:leader="none" w:pos="1717" w:val="left"/>
        </w:tabs>
        <w:numPr>
          <w:ilvl w:val="2"/>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action would materially interfere with a significant bona fide business opportunity (including the acquisition or disposition of assets (other than in the ordinary course of business)), corporate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0" w:right="299" w:bottom="1440" w:gutter="0" w:footer="0" w:header="0"/>
        </w:sectPr>
      </w:pPr>
    </w:p>
    <w:bookmarkStart w:id="226" w:name="page227"/>
    <w:bookmarkEnd w:id="226"/>
    <w:p>
      <w:pPr>
        <w:ind w:left="1728"/>
        <w:spacing w:after="0"/>
        <w:rPr>
          <w:sz w:val="20"/>
          <w:szCs w:val="20"/>
          <w:color w:val="auto"/>
        </w:rPr>
      </w:pPr>
      <w:r>
        <w:rPr>
          <w:rFonts w:ascii="Times New Roman" w:cs="Times New Roman" w:eastAsia="Times New Roman" w:hAnsi="Times New Roman"/>
          <w:sz w:val="14"/>
          <w:szCs w:val="14"/>
          <w:color w:val="auto"/>
        </w:rPr>
        <w:t>reorganization, or other similar transaction involving the Company; or</w:t>
      </w:r>
    </w:p>
    <w:p>
      <w:pPr>
        <w:spacing w:after="0" w:line="127" w:lineRule="exact"/>
        <w:rPr>
          <w:sz w:val="20"/>
          <w:szCs w:val="20"/>
          <w:color w:val="auto"/>
        </w:rPr>
      </w:pPr>
    </w:p>
    <w:p>
      <w:pPr>
        <w:ind w:left="1728" w:hanging="432"/>
        <w:spacing w:after="0"/>
        <w:tabs>
          <w:tab w:leader="none" w:pos="1728" w:val="left"/>
        </w:tabs>
        <w:numPr>
          <w:ilvl w:val="2"/>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action would render the Company unable to comply with requirements under the Securities Act or the Exchange Act.</w:t>
      </w:r>
    </w:p>
    <w:p>
      <w:pPr>
        <w:spacing w:after="0" w:line="127" w:lineRule="exact"/>
        <w:rPr>
          <w:rFonts w:ascii="Times New Roman" w:cs="Times New Roman" w:eastAsia="Times New Roman" w:hAnsi="Times New Roman"/>
          <w:sz w:val="14"/>
          <w:szCs w:val="14"/>
          <w:color w:val="auto"/>
        </w:rPr>
      </w:pPr>
    </w:p>
    <w:p>
      <w:pPr>
        <w:jc w:val="both"/>
        <w:ind w:left="8" w:firstLine="424"/>
        <w:spacing w:after="0" w:line="222" w:lineRule="auto"/>
        <w:tabs>
          <w:tab w:leader="none" w:pos="871"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(A) promptly provide written notice to the Investors of the occurrence giving rise to a Grace Period (provided that, the Company shall not disclose the content of such material non-public information) and the date on which the Grace Period will begin (a “</w:t>
      </w:r>
      <w:r>
        <w:rPr>
          <w:rFonts w:ascii="Times New Roman" w:cs="Times New Roman" w:eastAsia="Times New Roman" w:hAnsi="Times New Roman"/>
          <w:sz w:val="14"/>
          <w:szCs w:val="14"/>
          <w:b w:val="1"/>
          <w:bCs w:val="1"/>
          <w:color w:val="auto"/>
        </w:rPr>
        <w:t>Grace Period Notice</w:t>
      </w:r>
      <w:r>
        <w:rPr>
          <w:rFonts w:ascii="Times New Roman" w:cs="Times New Roman" w:eastAsia="Times New Roman" w:hAnsi="Times New Roman"/>
          <w:sz w:val="14"/>
          <w:szCs w:val="14"/>
          <w:color w:val="auto"/>
        </w:rPr>
        <w:t>”), which Grace Period Notice shall include a statement that the Board (or a duly authorized committee thereof) has made the good faith determination required by Section 3.s.i and shall specify the clause of Section 3.s.i pursuant to which the Grace Period is being invoked, and</w:t>
      </w:r>
    </w:p>
    <w:p>
      <w:pPr>
        <w:spacing w:after="0" w:line="1" w:lineRule="exact"/>
        <w:rPr>
          <w:rFonts w:ascii="Times New Roman" w:cs="Times New Roman" w:eastAsia="Times New Roman" w:hAnsi="Times New Roman"/>
          <w:sz w:val="14"/>
          <w:szCs w:val="14"/>
          <w:color w:val="auto"/>
        </w:rPr>
      </w:pPr>
    </w:p>
    <w:p>
      <w:pPr>
        <w:ind w:left="228" w:hanging="228"/>
        <w:spacing w:after="0"/>
        <w:tabs>
          <w:tab w:leader="none" w:pos="228"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such date may be determined, promptly provide written notice to the Investors of the date on which the Grace Period ends (an “</w:t>
      </w:r>
      <w:r>
        <w:rPr>
          <w:rFonts w:ascii="Times New Roman" w:cs="Times New Roman" w:eastAsia="Times New Roman" w:hAnsi="Times New Roman"/>
          <w:sz w:val="14"/>
          <w:szCs w:val="14"/>
          <w:b w:val="1"/>
          <w:bCs w:val="1"/>
          <w:color w:val="auto"/>
        </w:rPr>
        <w:t>End of Grace Period Notice</w:t>
      </w:r>
      <w:r>
        <w:rPr>
          <w:rFonts w:ascii="Times New Roman" w:cs="Times New Roman" w:eastAsia="Times New Roman" w:hAnsi="Times New Roman"/>
          <w:sz w:val="14"/>
          <w:szCs w:val="14"/>
          <w:color w:val="auto"/>
        </w:rPr>
        <w:t>”).</w:t>
      </w:r>
    </w:p>
    <w:p>
      <w:pPr>
        <w:spacing w:after="0" w:line="111" w:lineRule="exact"/>
        <w:rPr>
          <w:rFonts w:ascii="Times New Roman" w:cs="Times New Roman" w:eastAsia="Times New Roman" w:hAnsi="Times New Roman"/>
          <w:sz w:val="14"/>
          <w:szCs w:val="14"/>
          <w:color w:val="auto"/>
        </w:rPr>
      </w:pPr>
    </w:p>
    <w:p>
      <w:pPr>
        <w:jc w:val="both"/>
        <w:ind w:left="8" w:firstLine="424"/>
        <w:spacing w:after="0" w:line="227" w:lineRule="auto"/>
        <w:tabs>
          <w:tab w:leader="none" w:pos="866" w:val="left"/>
        </w:tabs>
        <w:numPr>
          <w:ilvl w:val="1"/>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Grace Period Notice shall state that such Grace Period shall continue only for so long as the Grace Period Event or its effect is continuing and that the Company is taking all reasonable steps to terminate suspension of the effectiveness of the Registration Statement as promptly as possible. The Investors shall not effect any sales of the Registrable Securities pursuant to such Registration Statement (or such filings) at any time after it has received a Grace Period Notice from the Company and prior to receipt of an End of Grace Period Notice. The Investors may recommence effecting sales of the Registrable Securities pursuant to the Registration Statement (or such filings) upon receipt of an End of Grace Period Notice from the Company, which notice shall be given by the Company promptly following the conclusion of any Grace Period Event.</w:t>
      </w:r>
    </w:p>
    <w:p>
      <w:pPr>
        <w:spacing w:after="0" w:line="102" w:lineRule="exact"/>
        <w:rPr>
          <w:rFonts w:ascii="Times New Roman" w:cs="Times New Roman" w:eastAsia="Times New Roman" w:hAnsi="Times New Roman"/>
          <w:sz w:val="14"/>
          <w:szCs w:val="14"/>
          <w:color w:val="auto"/>
        </w:rPr>
      </w:pPr>
    </w:p>
    <w:p>
      <w:pPr>
        <w:jc w:val="both"/>
        <w:ind w:left="8" w:firstLine="424"/>
        <w:spacing w:after="0" w:line="224" w:lineRule="auto"/>
        <w:tabs>
          <w:tab w:leader="none" w:pos="858" w:val="left"/>
        </w:tabs>
        <w:numPr>
          <w:ilvl w:val="1"/>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delivery of a Grace Period Notice shall be subject to the following conditions: (A) the Company may deliver a Grace Period Notice no more than two (2) times in any calendar year, (B) no single Grace Period shall exceed forty-five (45) consecutive days, (C) the total number of Grace Period days shall not exceed an aggregate of ninety (90) days during any three hundred sixty-five (365) day period, and (D) no Grace Period may begin less than ten (10) trading days after the last day of any prior Grace Period (each Grace Period that satisfies all of the conditions of this </w:t>
      </w:r>
      <w:r>
        <w:rPr>
          <w:rFonts w:ascii="Times New Roman" w:cs="Times New Roman" w:eastAsia="Times New Roman" w:hAnsi="Times New Roman"/>
          <w:sz w:val="14"/>
          <w:szCs w:val="14"/>
          <w:u w:val="single" w:color="auto"/>
          <w:color w:val="auto"/>
        </w:rPr>
        <w:t>Section 3.s.iv</w:t>
      </w:r>
      <w:r>
        <w:rPr>
          <w:rFonts w:ascii="Times New Roman" w:cs="Times New Roman" w:eastAsia="Times New Roman" w:hAnsi="Times New Roman"/>
          <w:sz w:val="14"/>
          <w:szCs w:val="14"/>
          <w:color w:val="auto"/>
        </w:rPr>
        <w:t xml:space="preserve"> being referred to as an “</w:t>
      </w:r>
      <w:r>
        <w:rPr>
          <w:rFonts w:ascii="Times New Roman" w:cs="Times New Roman" w:eastAsia="Times New Roman" w:hAnsi="Times New Roman"/>
          <w:sz w:val="14"/>
          <w:szCs w:val="14"/>
          <w:b w:val="1"/>
          <w:bCs w:val="1"/>
          <w:color w:val="auto"/>
        </w:rPr>
        <w:t>Allowable Grace Period</w:t>
      </w:r>
      <w:r>
        <w:rPr>
          <w:rFonts w:ascii="Times New Roman" w:cs="Times New Roman" w:eastAsia="Times New Roman" w:hAnsi="Times New Roman"/>
          <w:sz w:val="14"/>
          <w:szCs w:val="14"/>
          <w:color w:val="auto"/>
        </w:rPr>
        <w:t xml:space="preserve">”). For purposes of determining the length of a Grace Period above, the Grace Period shall begin on and include the date the Investors receive a Grace Period Notice and shall end on and include the later of the date the Investors receive the End of Grace Period Notice and the date referred to in such notice. The provisions of </w:t>
      </w:r>
      <w:r>
        <w:rPr>
          <w:rFonts w:ascii="Times New Roman" w:cs="Times New Roman" w:eastAsia="Times New Roman" w:hAnsi="Times New Roman"/>
          <w:sz w:val="14"/>
          <w:szCs w:val="14"/>
          <w:u w:val="single" w:color="auto"/>
          <w:color w:val="auto"/>
        </w:rPr>
        <w:t>Section 3.f</w:t>
      </w:r>
      <w:r>
        <w:rPr>
          <w:rFonts w:ascii="Times New Roman" w:cs="Times New Roman" w:eastAsia="Times New Roman" w:hAnsi="Times New Roman"/>
          <w:sz w:val="14"/>
          <w:szCs w:val="14"/>
          <w:color w:val="auto"/>
        </w:rPr>
        <w:t xml:space="preserve"> hereof shall not be applicable during the period of any Allowable Grace Period. Upon expiration of the Grace Period, the Company shall again be bound by the first sentence of </w:t>
      </w:r>
      <w:r>
        <w:rPr>
          <w:rFonts w:ascii="Times New Roman" w:cs="Times New Roman" w:eastAsia="Times New Roman" w:hAnsi="Times New Roman"/>
          <w:sz w:val="14"/>
          <w:szCs w:val="14"/>
          <w:u w:val="single" w:color="auto"/>
          <w:color w:val="auto"/>
        </w:rPr>
        <w:t>Section 3.f</w:t>
      </w:r>
      <w:r>
        <w:rPr>
          <w:rFonts w:ascii="Times New Roman" w:cs="Times New Roman" w:eastAsia="Times New Roman" w:hAnsi="Times New Roman"/>
          <w:sz w:val="14"/>
          <w:szCs w:val="14"/>
          <w:color w:val="auto"/>
        </w:rPr>
        <w:t xml:space="preserve"> with respect to the information giving rise thereto unless such material non-public information is no longer applicable.</w:t>
      </w:r>
    </w:p>
    <w:p>
      <w:pPr>
        <w:spacing w:after="0" w:line="100" w:lineRule="exact"/>
        <w:rPr>
          <w:rFonts w:ascii="Times New Roman" w:cs="Times New Roman" w:eastAsia="Times New Roman" w:hAnsi="Times New Roman"/>
          <w:sz w:val="14"/>
          <w:szCs w:val="14"/>
          <w:color w:val="auto"/>
        </w:rPr>
      </w:pPr>
    </w:p>
    <w:p>
      <w:pPr>
        <w:jc w:val="both"/>
        <w:ind w:left="8" w:firstLine="424"/>
        <w:spacing w:after="0"/>
        <w:tabs>
          <w:tab w:leader="none" w:pos="863" w:val="left"/>
        </w:tabs>
        <w:numPr>
          <w:ilvl w:val="1"/>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earlier to occur of (A) the Company delivering to the Investors an End of Grace Period Notice or (B) the end of the maximum permissible Grace Period, the Company shall use its commercially reasonable efforts to promptly amend or supplement the Registration Statement on a post-effective basis, if necessary, or to take such action as is necessary to make resumed use of the Registration Statement compatible with the Company’s best interests, as applicable, so as to permit the Investors to resume sales of the Registrable Securities as soon as possible.</w:t>
      </w:r>
    </w:p>
    <w:p>
      <w:pPr>
        <w:spacing w:after="0" w:line="237" w:lineRule="exact"/>
        <w:rPr>
          <w:sz w:val="20"/>
          <w:szCs w:val="20"/>
          <w:color w:val="auto"/>
        </w:rPr>
      </w:pPr>
    </w:p>
    <w:p>
      <w:pPr>
        <w:ind w:left="428" w:hanging="428"/>
        <w:spacing w:after="0"/>
        <w:tabs>
          <w:tab w:leader="none" w:pos="428"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OBLIGATIONS OF THE INVESTORS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8" w:right="20" w:firstLine="216"/>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At least ten (10) Business Days prior to the first anticipated filing date of a Registration Statement and at least seven (7) Business Days prior to the filing of any amendment or supplement to a Registration Statement, the Company shall notify each Investor in writing of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8"/>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20" w:right="299" w:bottom="1440" w:gutter="0" w:footer="0" w:header="0"/>
        </w:sectPr>
      </w:pPr>
    </w:p>
    <w:bookmarkStart w:id="227" w:name="page228"/>
    <w:bookmarkEnd w:id="227"/>
    <w:p>
      <w:pPr>
        <w:jc w:val="both"/>
        <w:ind w:left="8"/>
        <w:spacing w:after="0" w:line="225" w:lineRule="auto"/>
        <w:rPr>
          <w:sz w:val="20"/>
          <w:szCs w:val="20"/>
          <w:color w:val="auto"/>
        </w:rPr>
      </w:pPr>
      <w:r>
        <w:rPr>
          <w:rFonts w:ascii="Times New Roman" w:cs="Times New Roman" w:eastAsia="Times New Roman" w:hAnsi="Times New Roman"/>
          <w:sz w:val="14"/>
          <w:szCs w:val="14"/>
          <w:color w:val="auto"/>
        </w:rPr>
        <w:t>information, if any, the Company requires from each such Investor if such Investor elects to have any of such Investor’s Registrable Securities included in such Registration Statement or, with respect to an amendment or a supplement, if such Investor’s Registrable Securities are included in such Registration Statement (each, an “</w:t>
      </w:r>
      <w:r>
        <w:rPr>
          <w:rFonts w:ascii="Times New Roman" w:cs="Times New Roman" w:eastAsia="Times New Roman" w:hAnsi="Times New Roman"/>
          <w:sz w:val="14"/>
          <w:szCs w:val="14"/>
          <w:b w:val="1"/>
          <w:bCs w:val="1"/>
          <w:color w:val="auto"/>
        </w:rPr>
        <w:t>Information Request</w:t>
      </w:r>
      <w:r>
        <w:rPr>
          <w:rFonts w:ascii="Times New Roman" w:cs="Times New Roman" w:eastAsia="Times New Roman" w:hAnsi="Times New Roman"/>
          <w:sz w:val="14"/>
          <w:szCs w:val="14"/>
          <w:color w:val="auto"/>
        </w:rPr>
        <w:t>”). Provided that the Company shall have complied with its obligations set forth in the preceding sentence, it shall be a condition precedent to the obligations of the Company to complete the registration pursuant to this Agreement with respect to the Registrable Securities of a particular Investor that, at least five (5) Business Days prior to the anticipated filing date, such Investor shall have furnished to the Company, in response to an Information Request, such information regarding itself, the Registrable Securities held by it and the intended method of disposition of the Registrable Securities held by it as shall be reasonably required to effect the registration of such Registrable Securities.</w:t>
      </w:r>
    </w:p>
    <w:p>
      <w:pPr>
        <w:spacing w:after="0" w:line="102" w:lineRule="exact"/>
        <w:rPr>
          <w:sz w:val="20"/>
          <w:szCs w:val="20"/>
          <w:color w:val="auto"/>
        </w:rPr>
      </w:pPr>
    </w:p>
    <w:p>
      <w:pPr>
        <w:jc w:val="both"/>
        <w:ind w:left="8" w:firstLine="208"/>
        <w:spacing w:after="0" w:line="236" w:lineRule="auto"/>
        <w:tabs>
          <w:tab w:leader="none" w:pos="440"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by such Investor’s acceptance of the Registrable Securities, agrees to cooperate with the Company as reasonably requested by the Company in connection with the preparation and filing of any Registration Statement hereunder, unless such Investor has notified the Company in writing of such Investor’s election to exclude all of such Investor’s Registrable Securities from such Registration Statement.</w:t>
      </w:r>
    </w:p>
    <w:p>
      <w:pPr>
        <w:spacing w:after="0" w:line="101" w:lineRule="exact"/>
        <w:rPr>
          <w:rFonts w:ascii="Times New Roman" w:cs="Times New Roman" w:eastAsia="Times New Roman" w:hAnsi="Times New Roman"/>
          <w:sz w:val="14"/>
          <w:szCs w:val="14"/>
          <w:color w:val="auto"/>
        </w:rPr>
      </w:pPr>
    </w:p>
    <w:p>
      <w:pPr>
        <w:jc w:val="both"/>
        <w:ind w:left="8" w:firstLine="208"/>
        <w:spacing w:after="0" w:line="225" w:lineRule="auto"/>
        <w:tabs>
          <w:tab w:leader="none" w:pos="432" w:val="left"/>
        </w:tabs>
        <w:numPr>
          <w:ilvl w:val="1"/>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Investor agrees that, upon receipt of any notice from the Company of the occurrence of any event of the kind described in </w:t>
      </w:r>
      <w:r>
        <w:rPr>
          <w:rFonts w:ascii="Times New Roman" w:cs="Times New Roman" w:eastAsia="Times New Roman" w:hAnsi="Times New Roman"/>
          <w:sz w:val="14"/>
          <w:szCs w:val="14"/>
          <w:u w:val="single" w:color="auto"/>
          <w:color w:val="auto"/>
        </w:rPr>
        <w:t>Section 3.f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3.g</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3.s</w:t>
      </w:r>
      <w:r>
        <w:rPr>
          <w:rFonts w:ascii="Times New Roman" w:cs="Times New Roman" w:eastAsia="Times New Roman" w:hAnsi="Times New Roman"/>
          <w:sz w:val="14"/>
          <w:szCs w:val="14"/>
          <w:color w:val="auto"/>
        </w:rPr>
        <w:t xml:space="preserve">, such Investor will discontinue disposition of Registrable Securities pursuant to any Registration Statement(s) covering such Registrable Securities until such Investor’s receipt of the copies of the supplemented or amended Prospectus contemplated by </w:t>
      </w:r>
      <w:r>
        <w:rPr>
          <w:rFonts w:ascii="Times New Roman" w:cs="Times New Roman" w:eastAsia="Times New Roman" w:hAnsi="Times New Roman"/>
          <w:sz w:val="14"/>
          <w:szCs w:val="14"/>
          <w:u w:val="single" w:color="auto"/>
          <w:color w:val="auto"/>
        </w:rPr>
        <w:t>Section 3.f</w:t>
      </w:r>
      <w:r>
        <w:rPr>
          <w:rFonts w:ascii="Times New Roman" w:cs="Times New Roman" w:eastAsia="Times New Roman" w:hAnsi="Times New Roman"/>
          <w:sz w:val="14"/>
          <w:szCs w:val="14"/>
          <w:color w:val="auto"/>
        </w:rPr>
        <w:t xml:space="preserve"> or receipt of notice from the Company in writing that no supplement or amendment is required or that the Allowable Grace Period has ended. Notwithstanding anything to the contrary, the Company shall cause its transfer agent to deliver unlegended shares of Common Stock to a transferee of an Investor in connection with any sale of Registrable Securities with respect to which an Investor has entered into a contract for sale prior to the Investor’s receipt of a notice from the Company of the happening of any event of the kind described in </w:t>
      </w:r>
      <w:r>
        <w:rPr>
          <w:rFonts w:ascii="Times New Roman" w:cs="Times New Roman" w:eastAsia="Times New Roman" w:hAnsi="Times New Roman"/>
          <w:sz w:val="14"/>
          <w:szCs w:val="14"/>
          <w:u w:val="single" w:color="auto"/>
          <w:color w:val="auto"/>
        </w:rPr>
        <w:t>Section 3.f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3.g</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3.s</w:t>
      </w:r>
      <w:r>
        <w:rPr>
          <w:rFonts w:ascii="Times New Roman" w:cs="Times New Roman" w:eastAsia="Times New Roman" w:hAnsi="Times New Roman"/>
          <w:sz w:val="14"/>
          <w:szCs w:val="14"/>
          <w:color w:val="auto"/>
        </w:rPr>
        <w:t xml:space="preserve"> and for which the Investor has not yet settled.</w:t>
      </w:r>
    </w:p>
    <w:p>
      <w:pPr>
        <w:spacing w:after="0" w:line="102" w:lineRule="exact"/>
        <w:rPr>
          <w:rFonts w:ascii="Times New Roman" w:cs="Times New Roman" w:eastAsia="Times New Roman" w:hAnsi="Times New Roman"/>
          <w:sz w:val="14"/>
          <w:szCs w:val="14"/>
          <w:color w:val="auto"/>
        </w:rPr>
      </w:pPr>
    </w:p>
    <w:p>
      <w:pPr>
        <w:jc w:val="both"/>
        <w:ind w:left="8" w:hanging="8"/>
        <w:spacing w:after="0" w:line="227" w:lineRule="auto"/>
        <w:tabs>
          <w:tab w:leader="none" w:pos="44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 OF REGISTRATION</w:t>
      </w:r>
      <w:r>
        <w:rPr>
          <w:rFonts w:ascii="Times New Roman" w:cs="Times New Roman" w:eastAsia="Times New Roman" w:hAnsi="Times New Roman"/>
          <w:sz w:val="14"/>
          <w:szCs w:val="14"/>
          <w:color w:val="auto"/>
        </w:rPr>
        <w:t xml:space="preserve">. All expenses, other than underwriting discounts and commissions, incurred in connection with registrations, filings or qualifications pursuant to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including all registration, listing, FINRA, Blue Sky and qualifications fees, printers and accounting fees, and fees and disbursements of counsel for the Company, as well as all other costs and expenses incurred in connection with the Company’s compliance with its obligations under this Agreement, shall be paid by the Company (including reasonable fees and disbursements of one counsel for the selling holders of Registrable Securities pursuant to </w:t>
      </w:r>
      <w:r>
        <w:rPr>
          <w:rFonts w:ascii="Times New Roman" w:cs="Times New Roman" w:eastAsia="Times New Roman" w:hAnsi="Times New Roman"/>
          <w:sz w:val="14"/>
          <w:szCs w:val="14"/>
          <w:u w:val="single" w:color="auto"/>
          <w:color w:val="auto"/>
        </w:rPr>
        <w:t>Section 2.b</w:t>
      </w:r>
      <w:r>
        <w:rPr>
          <w:rFonts w:ascii="Times New Roman" w:cs="Times New Roman" w:eastAsia="Times New Roman" w:hAnsi="Times New Roman"/>
          <w:sz w:val="14"/>
          <w:szCs w:val="14"/>
          <w:color w:val="auto"/>
        </w:rPr>
        <w:t>) (collectively, “</w:t>
      </w:r>
      <w:r>
        <w:rPr>
          <w:rFonts w:ascii="Times New Roman" w:cs="Times New Roman" w:eastAsia="Times New Roman" w:hAnsi="Times New Roman"/>
          <w:sz w:val="14"/>
          <w:szCs w:val="14"/>
          <w:b w:val="1"/>
          <w:bCs w:val="1"/>
          <w:color w:val="auto"/>
        </w:rPr>
        <w:t>Registration Expenses</w:t>
      </w:r>
      <w:r>
        <w:rPr>
          <w:rFonts w:ascii="Times New Roman" w:cs="Times New Roman" w:eastAsia="Times New Roman" w:hAnsi="Times New Roman"/>
          <w:sz w:val="14"/>
          <w:szCs w:val="14"/>
          <w:color w:val="auto"/>
        </w:rPr>
        <w:t>”). Each Investor shall pay all underwriting discounts and commissions, broker or similar fees and transfer taxes, if any, relating to the sale or disposition of such Investor’s Registrable Securities.</w:t>
      </w:r>
    </w:p>
    <w:p>
      <w:pPr>
        <w:spacing w:after="0" w:line="102" w:lineRule="exact"/>
        <w:rPr>
          <w:rFonts w:ascii="Times New Roman" w:cs="Times New Roman" w:eastAsia="Times New Roman" w:hAnsi="Times New Roman"/>
          <w:sz w:val="14"/>
          <w:szCs w:val="14"/>
          <w:color w:val="auto"/>
        </w:rPr>
      </w:pPr>
    </w:p>
    <w:p>
      <w:pPr>
        <w:jc w:val="both"/>
        <w:ind w:left="8" w:hanging="8"/>
        <w:spacing w:after="0" w:line="225" w:lineRule="auto"/>
        <w:tabs>
          <w:tab w:leader="none" w:pos="44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PARTICIPATION IN UNDERWRITTEN OFFERINGS</w:t>
      </w:r>
      <w:r>
        <w:rPr>
          <w:rFonts w:ascii="Times New Roman" w:cs="Times New Roman" w:eastAsia="Times New Roman" w:hAnsi="Times New Roman"/>
          <w:sz w:val="14"/>
          <w:szCs w:val="14"/>
          <w:color w:val="auto"/>
        </w:rPr>
        <w:t>. The Company shall have the right to select an Underwriter or Underwriters in connection with any Underwritten Offering initiated by the Company. In connection with any Underwritten Offering pursuant to a Shelf Underwriting initiated by the Demanding Investors (or other Investors entitled to initiate such offering under this Agreement), the Demanding Investors shall have the right to select an Underwriter or Underwriters, subject to the Company’s approval (not to be unreasonably withheld, conditioned or delayed, it being understood that approval shall be deemed given if the proposed Underwriter is a nationally recognized investment bank with experience underwriting offerings of similarly situated issuers). No Person may participate in any Underwritten Offering for equity securities of the Company pursuant to a registration initiated by the Company or a Demanding Investor hereunder unless such person (a) agrees to sell such Person’s securities 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48"/>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20" w:right="299" w:bottom="1440" w:gutter="0" w:footer="0" w:header="0"/>
        </w:sectPr>
      </w:pPr>
    </w:p>
    <w:bookmarkStart w:id="228" w:name="page229"/>
    <w:bookmarkEnd w:id="228"/>
    <w:p>
      <w:pPr>
        <w:ind w:left="8"/>
        <w:spacing w:after="0" w:line="255" w:lineRule="auto"/>
        <w:rPr>
          <w:sz w:val="20"/>
          <w:szCs w:val="20"/>
          <w:color w:val="auto"/>
        </w:rPr>
      </w:pPr>
      <w:r>
        <w:rPr>
          <w:rFonts w:ascii="Times New Roman" w:cs="Times New Roman" w:eastAsia="Times New Roman" w:hAnsi="Times New Roman"/>
          <w:sz w:val="14"/>
          <w:szCs w:val="14"/>
          <w:color w:val="auto"/>
        </w:rPr>
        <w:t>the basis provided in any underwriting arrangements approved by the Company or the Demanding Investor, as applicable,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90" w:lineRule="exact"/>
        <w:rPr>
          <w:sz w:val="20"/>
          <w:szCs w:val="20"/>
          <w:color w:val="auto"/>
        </w:rPr>
      </w:pPr>
    </w:p>
    <w:p>
      <w:pPr>
        <w:ind w:left="428" w:hanging="428"/>
        <w:spacing w:after="0"/>
        <w:tabs>
          <w:tab w:leader="none" w:pos="428"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In the event any Registrable Securities are included in a Registration Statement:</w:t>
      </w:r>
    </w:p>
    <w:p>
      <w:pPr>
        <w:spacing w:after="0" w:line="127" w:lineRule="exact"/>
        <w:rPr>
          <w:rFonts w:ascii="Times New Roman" w:cs="Times New Roman" w:eastAsia="Times New Roman" w:hAnsi="Times New Roman"/>
          <w:sz w:val="14"/>
          <w:szCs w:val="14"/>
          <w:color w:val="auto"/>
        </w:rPr>
      </w:pPr>
    </w:p>
    <w:p>
      <w:pPr>
        <w:jc w:val="both"/>
        <w:ind w:left="8" w:firstLine="208"/>
        <w:spacing w:after="0" w:line="228" w:lineRule="auto"/>
        <w:tabs>
          <w:tab w:leader="none" w:pos="432" w:val="left"/>
        </w:tabs>
        <w:numPr>
          <w:ilvl w:val="1"/>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By the Company</w:t>
      </w:r>
      <w:r>
        <w:rPr>
          <w:rFonts w:ascii="Times New Roman" w:cs="Times New Roman" w:eastAsia="Times New Roman" w:hAnsi="Times New Roman"/>
          <w:sz w:val="14"/>
          <w:szCs w:val="14"/>
          <w:color w:val="auto"/>
        </w:rPr>
        <w:t>. To the fullest extent permitted by law, the Company will, and hereby does, indemnify, hold harmless and defend each Investor, and its respective directors, officers, managers, employees and agents, and each Person, if any, who controls any Investor within the meaning of the Securities Act or the Exchange Act (each, an “</w:t>
      </w:r>
      <w:r>
        <w:rPr>
          <w:rFonts w:ascii="Times New Roman" w:cs="Times New Roman" w:eastAsia="Times New Roman" w:hAnsi="Times New Roman"/>
          <w:sz w:val="14"/>
          <w:szCs w:val="14"/>
          <w:b w:val="1"/>
          <w:bCs w:val="1"/>
          <w:color w:val="auto"/>
        </w:rPr>
        <w:t>Indemnified Person</w:t>
      </w:r>
      <w:r>
        <w:rPr>
          <w:rFonts w:ascii="Times New Roman" w:cs="Times New Roman" w:eastAsia="Times New Roman" w:hAnsi="Times New Roman"/>
          <w:sz w:val="14"/>
          <w:szCs w:val="14"/>
          <w:color w:val="auto"/>
        </w:rPr>
        <w:t>”), against any losses, claims, damages, liabilities, judgments, fines, penalties, charges, costs, reasonable and documented attorneys’ fees, amounts paid in settlement, joint or several, and any reasonable and documented expenses (collectively, “</w:t>
      </w:r>
      <w:r>
        <w:rPr>
          <w:rFonts w:ascii="Times New Roman" w:cs="Times New Roman" w:eastAsia="Times New Roman" w:hAnsi="Times New Roman"/>
          <w:sz w:val="14"/>
          <w:szCs w:val="14"/>
          <w:b w:val="1"/>
          <w:bCs w:val="1"/>
          <w:color w:val="auto"/>
        </w:rPr>
        <w:t>Indemnified Damages</w:t>
      </w:r>
      <w:r>
        <w:rPr>
          <w:rFonts w:ascii="Times New Roman" w:cs="Times New Roman" w:eastAsia="Times New Roman" w:hAnsi="Times New Roman"/>
          <w:sz w:val="14"/>
          <w:szCs w:val="14"/>
          <w:color w:val="auto"/>
        </w:rPr>
        <w:t>”), incurred in investigating, preparing or defending any action, claim, suit, proceeding, investigation or appeal taken from the foregoing by or before any court or Governmental Authority or other administrative or regulatory agency or body (including the SEC and any state commission or authority or self-regulatory organization or securities exchange in the United States or elsewhere), whether pending or threatened (each, a “</w:t>
      </w:r>
      <w:r>
        <w:rPr>
          <w:rFonts w:ascii="Times New Roman" w:cs="Times New Roman" w:eastAsia="Times New Roman" w:hAnsi="Times New Roman"/>
          <w:sz w:val="14"/>
          <w:szCs w:val="14"/>
          <w:b w:val="1"/>
          <w:bCs w:val="1"/>
          <w:color w:val="auto"/>
        </w:rPr>
        <w:t>Claim</w:t>
      </w:r>
      <w:r>
        <w:rPr>
          <w:rFonts w:ascii="Times New Roman" w:cs="Times New Roman" w:eastAsia="Times New Roman" w:hAnsi="Times New Roman"/>
          <w:sz w:val="14"/>
          <w:szCs w:val="14"/>
          <w:color w:val="auto"/>
        </w:rPr>
        <w:t>” and collectively, “</w:t>
      </w:r>
      <w:r>
        <w:rPr>
          <w:rFonts w:ascii="Times New Roman" w:cs="Times New Roman" w:eastAsia="Times New Roman" w:hAnsi="Times New Roman"/>
          <w:sz w:val="14"/>
          <w:szCs w:val="14"/>
          <w:b w:val="1"/>
          <w:bCs w:val="1"/>
          <w:color w:val="auto"/>
        </w:rPr>
        <w:t>Claims</w:t>
      </w:r>
      <w:r>
        <w:rPr>
          <w:rFonts w:ascii="Times New Roman" w:cs="Times New Roman" w:eastAsia="Times New Roman" w:hAnsi="Times New Roman"/>
          <w:sz w:val="14"/>
          <w:szCs w:val="14"/>
          <w:color w:val="auto"/>
        </w:rPr>
        <w:t xml:space="preserve">”), to which any of them may become subject insofar as such Claim (or actions or proceedings, whether commenced or threatened, in respect thereof) or Indemnified Damages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or the omission or alleged omission to state a material fact required to be stated therein or necessary to make the statements made therein not misleading, (ii) any untrue statement or alleged untrue statement of a material fact contained in any Prospectus, including any preliminary Prospectus, free writing Prospectus or final Prospectus (as amended or supplemented, if the Company files any amendment thereof or supplement thereto, and including all information incorporated by reference therein), or the omission or alleged omission to state therein any material fact necessary to make the statements made therein, in the light of the circumstances under which they were made, not misleading or (iii) any violation or alleged violation by the Company of the Securities Act, the Exchange Act, any other law, including any state securities law, or any rule or regulation thereunder relating to the offer or sale of the Registrable Securities pursuant to a Registration Statement (the matters in the foregoing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being, collectively, “</w:t>
      </w:r>
      <w:r>
        <w:rPr>
          <w:rFonts w:ascii="Times New Roman" w:cs="Times New Roman" w:eastAsia="Times New Roman" w:hAnsi="Times New Roman"/>
          <w:sz w:val="14"/>
          <w:szCs w:val="14"/>
          <w:b w:val="1"/>
          <w:bCs w:val="1"/>
          <w:color w:val="auto"/>
        </w:rPr>
        <w:t>Violations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7.c</w:t>
      </w:r>
      <w:r>
        <w:rPr>
          <w:rFonts w:ascii="Times New Roman" w:cs="Times New Roman" w:eastAsia="Times New Roman" w:hAnsi="Times New Roman"/>
          <w:sz w:val="14"/>
          <w:szCs w:val="14"/>
          <w:color w:val="auto"/>
        </w:rPr>
        <w:t xml:space="preserve">, the Company shall reimburse the Indemnified Persons, promptly as such expenses are incurred and are due and payable, for any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xml:space="preserve">: (x) shall not apply to a Claim or Indemnified Damages sought by an Indemnified Person to the extent arising out of or based upon a Violation which occurs in reliance upon and in conformity with information furnished in writing to the Company by such Indemnified Person expressly for use in connection with the preparation of the Registration Statement or any such amendment thereof or supplement thereto; and (y)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any transfer of Registrable Securities by any Investor pursuant 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w:t>
      </w:r>
    </w:p>
    <w:p>
      <w:pPr>
        <w:spacing w:after="0" w:line="109"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1"/>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By the Investors</w:t>
      </w:r>
      <w:r>
        <w:rPr>
          <w:rFonts w:ascii="Times New Roman" w:cs="Times New Roman" w:eastAsia="Times New Roman" w:hAnsi="Times New Roman"/>
          <w:sz w:val="14"/>
          <w:szCs w:val="14"/>
          <w:color w:val="auto"/>
        </w:rPr>
        <w:t>. In connection with any Registration Statement in which an Investor’s Registrable Securities are included, each such Investor agrees, severally and not jointly, to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8"/>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20" w:right="299" w:bottom="1440" w:gutter="0" w:footer="0" w:header="0"/>
        </w:sectPr>
      </w:pPr>
    </w:p>
    <w:bookmarkStart w:id="229" w:name="page230"/>
    <w:bookmarkEnd w:id="229"/>
    <w:p>
      <w:pPr>
        <w:jc w:val="both"/>
        <w:spacing w:after="0" w:line="219" w:lineRule="auto"/>
        <w:rPr>
          <w:sz w:val="20"/>
          <w:szCs w:val="20"/>
          <w:color w:val="auto"/>
        </w:rPr>
      </w:pPr>
      <w:r>
        <w:rPr>
          <w:rFonts w:ascii="Times New Roman" w:cs="Times New Roman" w:eastAsia="Times New Roman" w:hAnsi="Times New Roman"/>
          <w:sz w:val="14"/>
          <w:szCs w:val="14"/>
          <w:color w:val="auto"/>
        </w:rPr>
        <w:t>indemnify, hold harmless and defend the Company, each of its directors, each of its officers who signs the Registration Statement, and each Person, if any, who controls the Company within the meaning of the Securities Act or the Exchange Act (each, an “</w:t>
      </w:r>
      <w:r>
        <w:rPr>
          <w:rFonts w:ascii="Times New Roman" w:cs="Times New Roman" w:eastAsia="Times New Roman" w:hAnsi="Times New Roman"/>
          <w:sz w:val="14"/>
          <w:szCs w:val="14"/>
          <w:b w:val="1"/>
          <w:bCs w:val="1"/>
          <w:color w:val="auto"/>
        </w:rPr>
        <w:t>Indemnified Party</w:t>
      </w:r>
      <w:r>
        <w:rPr>
          <w:rFonts w:ascii="Times New Roman" w:cs="Times New Roman" w:eastAsia="Times New Roman" w:hAnsi="Times New Roman"/>
          <w:sz w:val="14"/>
          <w:szCs w:val="14"/>
          <w:color w:val="auto"/>
        </w:rPr>
        <w:t xml:space="preserve">”), to the same extent and in the same manner as is set forth in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xml:space="preserve"> with respect to the Indemnified Persons, against any Claim or Indemnified Damages to which any of them may become subject insofar as such Claim or Indemnified Damages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or the omission or alleged omission to state a material fact required to be stated therein or necessary to make the statements made therein not misleading, any Violations, to the extent, and only to the extent, that such Violation occurs in reliance upon and in conformity with written information furnished to the Company by such Investor expressly for use in connection with the preparation of the Registration Statement or any amendment thereof or supplement thereto; and, subject to </w:t>
      </w:r>
      <w:r>
        <w:rPr>
          <w:rFonts w:ascii="Times New Roman" w:cs="Times New Roman" w:eastAsia="Times New Roman" w:hAnsi="Times New Roman"/>
          <w:sz w:val="14"/>
          <w:szCs w:val="14"/>
          <w:u w:val="single" w:color="auto"/>
          <w:color w:val="auto"/>
        </w:rPr>
        <w:t>Section 7.c</w:t>
      </w:r>
      <w:r>
        <w:rPr>
          <w:rFonts w:ascii="Times New Roman" w:cs="Times New Roman" w:eastAsia="Times New Roman" w:hAnsi="Times New Roman"/>
          <w:sz w:val="14"/>
          <w:szCs w:val="14"/>
          <w:color w:val="auto"/>
        </w:rPr>
        <w:t xml:space="preserve">, such Investor will reimburse any legal or other expenses reasonably incurred by an Indemnified Party in connection with investigating or defending any such Claim; provided, however, that the indemnity agreement contained in this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and the agreement with respect to contribution contained in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shall not apply to amounts paid in settlement of any Claim or Indemnified Damages if such settlement is effected without the prior written consent of such Investor, which consent shall not be unreasonably withheld; provided, further, that an Investor shall be liable under this </w:t>
      </w:r>
      <w:r>
        <w:rPr>
          <w:rFonts w:ascii="Times New Roman" w:cs="Times New Roman" w:eastAsia="Times New Roman" w:hAnsi="Times New Roman"/>
          <w:sz w:val="14"/>
          <w:szCs w:val="14"/>
          <w:u w:val="single" w:color="auto"/>
          <w:color w:val="auto"/>
        </w:rPr>
        <w:t>Section 7.b</w:t>
      </w:r>
      <w:r>
        <w:rPr>
          <w:rFonts w:ascii="Times New Roman" w:cs="Times New Roman" w:eastAsia="Times New Roman" w:hAnsi="Times New Roman"/>
          <w:sz w:val="14"/>
          <w:szCs w:val="14"/>
          <w:color w:val="auto"/>
        </w:rPr>
        <w:t xml:space="preserve"> for only that amount of a Claim or Indemnified Damages as does not exceed the net proceeds to such Investor as a result of the sale of Registrable Securities pursuant to the Registration Statement giving rise to such indemnification obligation. Such indemnity shall remain in full force and effect regardless of any investigation made by or on behalf of such Indemnified Party and shall survive any transfer of Registrable Securities by any Investor pursuant 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jc w:val="both"/>
        <w:ind w:firstLine="208"/>
        <w:spacing w:after="0" w:line="236" w:lineRule="auto"/>
        <w:tabs>
          <w:tab w:leader="none" w:pos="424"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xml:space="preserve">. Promptly after receipt by an Indemnified Person or Indemnified Party under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of the written threat of or notice of the commencement of any action or proceeding (including any governmental action or proceeding) involving a Claim or Indemnified Damages, such Indemnified Person or Indemnified Party shall, if a Claim in respect thereof is to be made against any indemnifying party under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promptly deliver to the indemnifying party a written notice of the written threat of or notice of the commencement of such action or proceeding; provided that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In case any such action or proceeding is brought against any Indemnified Party or Indemnified Person and such Indemnified Party or Indemnified Person seeks or intends to seek indemnity from an indemnifying party,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In any such proceeding, any Indemnified Person or Indemnified Party may retain its own counsel, but the fees and expenses of that counsel will be at the expense of that Indemnified Person or Indemnified Party, as the case may be, unless (i) the indemnifying party and the Indemnified Person or Indemnified Party, as applicable, shall have mutually agreed to the retention of that counsel, (ii) the indemnifying party does not assume the defense of such proceeding in a timely manner or (iii) in the opinion of counsel retained by the Indemnified Person or Indemnified Party, as applicable, the representation by such counsel for the Indemnified Person or Indemnified Party, as applicable, and the indemnifying party would be inappropriate due to actual or potential differing interests between such Indemnified Person or Indemnified Party and any other party represented by counsel to the indemnifying party in such proceeding. The Indemnified Party or Indemnified Person shall reasonably cooperate with the indemnifying party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0" w:right="299" w:bottom="1440" w:gutter="0" w:footer="0" w:header="0"/>
        </w:sectPr>
      </w:pPr>
    </w:p>
    <w:bookmarkStart w:id="230" w:name="page231"/>
    <w:bookmarkEnd w:id="230"/>
    <w:p>
      <w:pPr>
        <w:jc w:val="both"/>
        <w:ind w:left="8"/>
        <w:spacing w:after="0" w:line="221" w:lineRule="auto"/>
        <w:rPr>
          <w:sz w:val="20"/>
          <w:szCs w:val="20"/>
          <w:color w:val="auto"/>
        </w:rPr>
      </w:pPr>
      <w:r>
        <w:rPr>
          <w:rFonts w:ascii="Times New Roman" w:cs="Times New Roman" w:eastAsia="Times New Roman" w:hAnsi="Times New Roman"/>
          <w:sz w:val="14"/>
          <w:szCs w:val="14"/>
          <w:color w:val="auto"/>
        </w:rPr>
        <w:t xml:space="preserve">in connection with any negotiation or defense of any such action or proceeding or Claim or Indemnified Damages by the indemnifying party and shall furnish to the indemnifying party all information reasonably available to the Indemnified Party or Indemnified Person which relates to such action, proceeding or Claim or Indemnified Damages. The indemnifying party shall keep the Indemnified Party or Indemnified Person fully apprised at all times as to the status of the defense or any settlement negotiations with respect thereto. No indemnifying party shall, without the prior written consent of the Indemnified Party or Indemnified Person, as the case may be, consent to entry of any judgment or enter into any settlement or other compromise with respect to any pending or threatened action or claim in respect of which indemnification or contribution may be or has been sought hereunder (whether or not the Indemnified Party or Indemnified Person is an actual or potential party to such action or claim) which does not include as an unconditional term thereof the giving by the claimant or plaintiff to such Indemnified Party or Indemnified Person (as applicable) of a full release from all liability with respect to such Claim or Indemnified Damages or which includes any admission as to fault or culpability on the part of such Indemnified Party or Indemnified Person. The failure to deliver written notice to the indemnifying party within a reasonable time of the commencement of any such action or proceeding shall not relieve such indemnifying party of any liability to the Indemnified Person or Indemnified Party under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except to the extent that the indemnifying party is materially prejudiced in its ability to defend such action or proceeding as a result of such failure.</w:t>
      </w:r>
    </w:p>
    <w:p>
      <w:pPr>
        <w:spacing w:after="0" w:line="102" w:lineRule="exact"/>
        <w:rPr>
          <w:sz w:val="20"/>
          <w:szCs w:val="20"/>
          <w:color w:val="auto"/>
        </w:rPr>
      </w:pPr>
    </w:p>
    <w:p>
      <w:pPr>
        <w:jc w:val="both"/>
        <w:ind w:left="8" w:firstLine="208"/>
        <w:spacing w:after="0" w:line="236" w:lineRule="auto"/>
        <w:tabs>
          <w:tab w:leader="none" w:pos="440"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indemnification required by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shall be made by periodic payments of the amount thereof during the course of the investigation or defense, as and when bills are received or Indemnified Damages are incurred. The Indemnified Party or Indemnified Person shall promptly reimburse the indemnifying party for that portion of such fees and expenses applicable to such actions for which such Indemnified Party or Indemnified Person is finally judicially determined to not be entitled to indemnification hereunder.</w:t>
      </w:r>
    </w:p>
    <w:p>
      <w:pPr>
        <w:spacing w:after="0" w:line="101" w:lineRule="exact"/>
        <w:rPr>
          <w:rFonts w:ascii="Times New Roman" w:cs="Times New Roman" w:eastAsia="Times New Roman" w:hAnsi="Times New Roman"/>
          <w:sz w:val="14"/>
          <w:szCs w:val="14"/>
          <w:color w:val="auto"/>
        </w:rPr>
      </w:pPr>
    </w:p>
    <w:p>
      <w:pPr>
        <w:ind w:left="8" w:firstLine="208"/>
        <w:spacing w:after="0" w:line="255" w:lineRule="auto"/>
        <w:tabs>
          <w:tab w:leader="none" w:pos="432" w:val="left"/>
        </w:tabs>
        <w:numPr>
          <w:ilvl w:val="1"/>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89" w:lineRule="exact"/>
        <w:rPr>
          <w:rFonts w:ascii="Times New Roman" w:cs="Times New Roman" w:eastAsia="Times New Roman" w:hAnsi="Times New Roman"/>
          <w:sz w:val="14"/>
          <w:szCs w:val="14"/>
          <w:color w:val="auto"/>
        </w:rPr>
      </w:pPr>
    </w:p>
    <w:p>
      <w:pPr>
        <w:jc w:val="both"/>
        <w:ind w:left="8" w:hanging="8"/>
        <w:spacing w:after="0"/>
        <w:tabs>
          <w:tab w:leader="none" w:pos="44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xml:space="preserve">. If the indemnification provided for in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is held by a court to be unavailable or unenforceable in respect of any losses, claims, damages, liabilities or expenses referred to herein, then each applicable indemnifying party, in lieu of indemnifying such Indemnified Party or Indemnified Person, shall contribute to the amount paid or payable by such Indemnified Party or Indemnified Person as a result of such losses, claims, damages, liabilities or expenses in such proportion as is appropriate to reflect the relative fault of the indemnifying party, on the one hand, and of the Indemnified Party or Indemnified Person on the other, in connection with the statements or omissions which resulted in such losses, claims, damages, liabilities or expenses. The relative fault of the indemnifying party, on the one hand, and of the Indemnified Party or Indemnified Person on the other, shall be determined by reference to, among other things, whether the untrue or alleged untrue statement of material fact or the omission or alleged omission to state a material fact relates to information supplied by the indemnifying party or by the Indemnified Party or Indemnified Person, and by such party’s relative intent, knowledge, access to information and opportunity to correct or prevent such statement or omission. In no event shall the liability of the indemnifying party be greater in amount than the amount which such indemnifying party would have been obligated to pay if indemnification pursuant to </w:t>
      </w:r>
      <w:r>
        <w:rPr>
          <w:rFonts w:ascii="Times New Roman" w:cs="Times New Roman" w:eastAsia="Times New Roman" w:hAnsi="Times New Roman"/>
          <w:sz w:val="14"/>
          <w:szCs w:val="14"/>
          <w:u w:val="single" w:color="auto"/>
          <w:color w:val="auto"/>
        </w:rPr>
        <w:t>Section 7.a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7.b</w:t>
      </w:r>
      <w:r>
        <w:rPr>
          <w:rFonts w:ascii="Times New Roman" w:cs="Times New Roman" w:eastAsia="Times New Roman" w:hAnsi="Times New Roman"/>
          <w:sz w:val="14"/>
          <w:szCs w:val="14"/>
          <w:color w:val="auto"/>
        </w:rPr>
        <w:t>, as applicable, had been available.</w:t>
      </w:r>
    </w:p>
    <w:p>
      <w:pPr>
        <w:spacing w:after="0" w:line="24"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REPORTS UNDER THE EXCHANGE ACT</w:t>
      </w:r>
      <w:r>
        <w:rPr>
          <w:rFonts w:ascii="Times New Roman" w:cs="Times New Roman" w:eastAsia="Times New Roman" w:hAnsi="Times New Roman"/>
          <w:sz w:val="14"/>
          <w:szCs w:val="14"/>
          <w:color w:val="auto"/>
        </w:rPr>
        <w:t>. With a view to making available to the Investors the benefits of Rule 144, the Company agrees to use commercially reasonable efforts to:</w:t>
      </w:r>
    </w:p>
    <w:p>
      <w:pPr>
        <w:spacing w:after="0" w:line="111"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and keep public information available, as those terms are understood and defined in Rule 144;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8"/>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20" w:right="299" w:bottom="1440" w:gutter="0" w:footer="0" w:header="0"/>
        </w:sectPr>
      </w:pPr>
    </w:p>
    <w:bookmarkStart w:id="231" w:name="page232"/>
    <w:bookmarkEnd w:id="231"/>
    <w:p>
      <w:pPr>
        <w:ind w:left="8" w:firstLine="208"/>
        <w:spacing w:after="0" w:line="255" w:lineRule="auto"/>
        <w:tabs>
          <w:tab w:leader="none" w:pos="44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with the SEC in a timely manner all reports and other documents required of the Company under the Exchange Act so long as the Company remains subject to such requirements and the filing of such reports and other documents is required for the applicable provisions of Rule 144; and</w:t>
      </w:r>
    </w:p>
    <w:p>
      <w:pPr>
        <w:spacing w:after="0" w:line="89" w:lineRule="exact"/>
        <w:rPr>
          <w:rFonts w:ascii="Times New Roman" w:cs="Times New Roman" w:eastAsia="Times New Roman" w:hAnsi="Times New Roman"/>
          <w:sz w:val="14"/>
          <w:szCs w:val="14"/>
          <w:color w:val="auto"/>
        </w:rPr>
      </w:pPr>
    </w:p>
    <w:p>
      <w:pPr>
        <w:jc w:val="both"/>
        <w:ind w:left="8" w:firstLine="208"/>
        <w:spacing w:after="0" w:line="236" w:lineRule="auto"/>
        <w:tabs>
          <w:tab w:leader="none" w:pos="432"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each Investor, unless otherwise available at no charge by access electronically to the SEC’s Electronic Data Gathering, Analysis, and Retrieval system (or successor thereto), so long as such Investor owns Registrable Securities, promptly upon request, (i) a copy of the most recent annual or quarterly report of the Company and such other reports and documents so filed by the Company and (ii) such other information as may be reasonably requested to permit the Investors to sell such securities pursuant to Rule 144 without registration.</w:t>
      </w:r>
    </w:p>
    <w:p>
      <w:pPr>
        <w:spacing w:after="0" w:line="101" w:lineRule="exact"/>
        <w:rPr>
          <w:rFonts w:ascii="Times New Roman" w:cs="Times New Roman" w:eastAsia="Times New Roman" w:hAnsi="Times New Roman"/>
          <w:sz w:val="14"/>
          <w:szCs w:val="14"/>
          <w:color w:val="auto"/>
        </w:rPr>
      </w:pPr>
    </w:p>
    <w:p>
      <w:pPr>
        <w:jc w:val="both"/>
        <w:ind w:left="8" w:hanging="8"/>
        <w:spacing w:after="0" w:line="231" w:lineRule="auto"/>
        <w:tabs>
          <w:tab w:leader="none" w:pos="44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OF REGISTRATION RIGHTS</w:t>
      </w:r>
      <w:r>
        <w:rPr>
          <w:rFonts w:ascii="Times New Roman" w:cs="Times New Roman" w:eastAsia="Times New Roman" w:hAnsi="Times New Roman"/>
          <w:sz w:val="14"/>
          <w:szCs w:val="14"/>
          <w:color w:val="auto"/>
        </w:rPr>
        <w:t>. The rights under this Agreement shall be automatically assignable by the Investors (i) in connection with any Permitted Transfer and (ii) to any transferee of all or any portion of Registrable Securities if: (a) the Investor agrees in writing with the transferee or assignee to assign such rights, and a copy of such agreement is furnished to the Company; (b) the Company is furnished with written notice within three (3) Business Days of (i) the name and address of such transferee or assignee, and (ii) the securities with respect to which such registration rights are being transferred or assigned; and (c) the transferee or assignee agrees in writing with the Company to be bound by all of the provisions contained herein.</w:t>
      </w:r>
    </w:p>
    <w:p>
      <w:pPr>
        <w:spacing w:after="0" w:line="100" w:lineRule="exact"/>
        <w:rPr>
          <w:rFonts w:ascii="Times New Roman" w:cs="Times New Roman" w:eastAsia="Times New Roman" w:hAnsi="Times New Roman"/>
          <w:sz w:val="14"/>
          <w:szCs w:val="14"/>
          <w:color w:val="auto"/>
        </w:rPr>
      </w:pPr>
    </w:p>
    <w:p>
      <w:pPr>
        <w:jc w:val="both"/>
        <w:ind w:left="8" w:hanging="8"/>
        <w:spacing w:after="0" w:line="225" w:lineRule="auto"/>
        <w:tabs>
          <w:tab w:leader="none" w:pos="435"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AND WAIVER</w:t>
      </w:r>
      <w:r>
        <w:rPr>
          <w:rFonts w:ascii="Times New Roman" w:cs="Times New Roman" w:eastAsia="Times New Roman" w:hAnsi="Times New Roman"/>
          <w:sz w:val="14"/>
          <w:szCs w:val="14"/>
          <w:color w:val="auto"/>
        </w:rPr>
        <w:t xml:space="preserve">. Provisions of this Agreement may be amended and the observance thereof may be waived (either generally or in a particular instance and either retroactively or prospectively), only with the written consent of the Company and the Required Investors. Any amendment or waiver effected in accordance with this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shall be binding upon each Investor and the Company. No such amendment shall be effective to the extent that it applies to less than all of the Investors. No consideration shall be offered or paid to any Person to amend or consent to a waiver or modification of any provision of any of this Agreement unless the same consideration also is offered to each of the Investors. Notwithstanding the foregoing, a waiver or consent to or departure from the provisions hereof with respect to a matter that relates exclusively to the rights of an Investor whose securities are being sold pursuant to a Registration Statement and that does not directly or indirectly affect, impair, limit or compromise the rights of other Investors may be given solely by such Investor.</w:t>
      </w:r>
    </w:p>
    <w:p>
      <w:pPr>
        <w:spacing w:after="0" w:line="102" w:lineRule="exact"/>
        <w:rPr>
          <w:rFonts w:ascii="Times New Roman" w:cs="Times New Roman" w:eastAsia="Times New Roman" w:hAnsi="Times New Roman"/>
          <w:sz w:val="14"/>
          <w:szCs w:val="14"/>
          <w:color w:val="auto"/>
        </w:rPr>
      </w:pPr>
    </w:p>
    <w:p>
      <w:pPr>
        <w:ind w:left="8" w:hanging="8"/>
        <w:spacing w:after="0" w:line="255" w:lineRule="auto"/>
        <w:tabs>
          <w:tab w:leader="none" w:pos="44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The rights of any particular Investor under this Agreement shall terminate with respect to such Investor on the date upon which such Investor no longer holds any Registrable Securities. This Agreement shall terminate on the date on which no Registrable Securities remain issuable or outstanding.</w:t>
      </w:r>
    </w:p>
    <w:p>
      <w:pPr>
        <w:spacing w:after="0" w:line="89"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jc w:val="both"/>
        <w:ind w:left="8" w:firstLine="208"/>
        <w:spacing w:after="0" w:line="236" w:lineRule="auto"/>
        <w:tabs>
          <w:tab w:leader="none" w:pos="432" w:val="left"/>
        </w:tabs>
        <w:numPr>
          <w:ilvl w:val="1"/>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is deemed to be a holder of Registrable Securities (or a transferee or assignee of Registrable Securities, as applicable)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01" w:lineRule="exact"/>
        <w:rPr>
          <w:rFonts w:ascii="Times New Roman" w:cs="Times New Roman" w:eastAsia="Times New Roman" w:hAnsi="Times New Roman"/>
          <w:sz w:val="14"/>
          <w:szCs w:val="14"/>
          <w:color w:val="auto"/>
        </w:rPr>
      </w:pPr>
    </w:p>
    <w:p>
      <w:pPr>
        <w:jc w:val="both"/>
        <w:ind w:left="8" w:firstLine="208"/>
        <w:spacing w:after="0" w:line="236" w:lineRule="auto"/>
        <w:tabs>
          <w:tab w:leader="none" w:pos="440" w:val="left"/>
        </w:tabs>
        <w:numPr>
          <w:ilvl w:val="1"/>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notices, consents, waivers or other communications required or permitted to be given under the terms of this Agreement must be in writing and will be deemed to have been delivered upon receipt, when delivered via email, personally or by a nationally recognized overnight delivery service, in each case properly addressed to the party to receive the same. The addresses for such communications shall be: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148"/>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0344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20" w:right="299" w:bottom="1440" w:gutter="0" w:footer="0" w:header="0"/>
        </w:sectPr>
      </w:pPr>
    </w:p>
    <w:bookmarkStart w:id="232" w:name="page233"/>
    <w:bookmarkEnd w:id="232"/>
    <w:p>
      <w:pPr>
        <w:ind w:left="128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2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11 W. 19th Street, 8th Floor</w:t>
      </w:r>
    </w:p>
    <w:p>
      <w:pPr>
        <w:spacing w:after="0" w:line="1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New York, New York 10011</w:t>
      </w:r>
    </w:p>
    <w:p>
      <w:pPr>
        <w:spacing w:after="0" w:line="1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Attention: Kevin Sullivan; Matthew Reinhard</w:t>
      </w:r>
    </w:p>
    <w:p>
      <w:pPr>
        <w:spacing w:after="0" w:line="2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With copy to:</w:t>
      </w:r>
    </w:p>
    <w:p>
      <w:pPr>
        <w:spacing w:after="0" w:line="1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Skadden, Arps, Slate, Meagher &amp; Flom LLP</w:t>
      </w:r>
    </w:p>
    <w:p>
      <w:pPr>
        <w:spacing w:after="0" w:line="2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One Manhattan West</w:t>
      </w:r>
    </w:p>
    <w:p>
      <w:pPr>
        <w:spacing w:after="0" w:line="1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New York, New York 10001</w:t>
      </w:r>
    </w:p>
    <w:p>
      <w:pPr>
        <w:spacing w:after="0" w:line="1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Attention: Michael J. Schwartz</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to Investors, at the most current address given by the transfer agent and registrar of the Company Securities.</w:t>
      </w:r>
    </w:p>
    <w:p>
      <w:pPr>
        <w:spacing w:after="0" w:line="136" w:lineRule="exact"/>
        <w:rPr>
          <w:sz w:val="20"/>
          <w:szCs w:val="20"/>
          <w:color w:val="auto"/>
        </w:rPr>
      </w:pPr>
    </w:p>
    <w:p>
      <w:pPr>
        <w:ind w:left="420" w:hanging="212"/>
        <w:spacing w:after="0"/>
        <w:tabs>
          <w:tab w:leader="none" w:pos="420"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any party to exercise any right or remedy under this Agreement or otherwise, or delay by a party in exercising such right or remedy, shall not operate as a waiver thereof.</w:t>
      </w:r>
    </w:p>
    <w:p>
      <w:pPr>
        <w:spacing w:after="0" w:line="127" w:lineRule="exact"/>
        <w:rPr>
          <w:rFonts w:ascii="Times New Roman" w:cs="Times New Roman" w:eastAsia="Times New Roman" w:hAnsi="Times New Roman"/>
          <w:sz w:val="14"/>
          <w:szCs w:val="14"/>
          <w:color w:val="auto"/>
        </w:rPr>
      </w:pPr>
    </w:p>
    <w:p>
      <w:pPr>
        <w:jc w:val="both"/>
        <w:ind w:firstLine="208"/>
        <w:spacing w:after="0" w:line="220" w:lineRule="auto"/>
        <w:tabs>
          <w:tab w:leader="none" w:pos="432"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exclusive jurisdiction of the courts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02" w:lineRule="exact"/>
        <w:rPr>
          <w:rFonts w:ascii="Times New Roman" w:cs="Times New Roman" w:eastAsia="Times New Roman" w:hAnsi="Times New Roman"/>
          <w:sz w:val="14"/>
          <w:szCs w:val="14"/>
          <w:color w:val="auto"/>
        </w:rPr>
      </w:pPr>
    </w:p>
    <w:p>
      <w:pPr>
        <w:jc w:val="both"/>
        <w:ind w:firstLine="208"/>
        <w:spacing w:after="0" w:line="237" w:lineRule="auto"/>
        <w:tabs>
          <w:tab w:leader="none" w:pos="424"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the other documents executed in contemplation thereof (the “</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 constitute the entire agreement among the parties hereto with respect to the subject matter hereof and thereof. There are no restrictions, promises, warranties or undertakings, other than those set forth or referred to herein and therein. This Agreement and the other Transaction Documents supersede all prior agreements and understandings among the parties hereto with respect to the subject matter hereof and thereof.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2" w:right="299" w:bottom="1440" w:gutter="0" w:footer="0" w:header="0"/>
        </w:sectPr>
      </w:pPr>
    </w:p>
    <w:bookmarkStart w:id="233" w:name="page234"/>
    <w:bookmarkEnd w:id="233"/>
    <w:p>
      <w:pPr>
        <w:ind w:left="420" w:hanging="212"/>
        <w:spacing w:after="0"/>
        <w:tabs>
          <w:tab w:leader="none" w:pos="42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requirements of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this Agreement shall inure to the benefit of and be binding upon the permitted successors and assigns of each of the parties hereto.</w:t>
      </w:r>
    </w:p>
    <w:p>
      <w:pPr>
        <w:spacing w:after="0" w:line="127"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headings in this Agreement are for convenience of reference only and shall not limit or otherwise affect the meaning hereof.</w:t>
      </w:r>
    </w:p>
    <w:p>
      <w:pPr>
        <w:spacing w:after="0" w:line="127" w:lineRule="exact"/>
        <w:rPr>
          <w:rFonts w:ascii="Times New Roman" w:cs="Times New Roman" w:eastAsia="Times New Roman" w:hAnsi="Times New Roman"/>
          <w:sz w:val="14"/>
          <w:szCs w:val="14"/>
          <w:color w:val="auto"/>
        </w:rPr>
      </w:pPr>
    </w:p>
    <w:p>
      <w:pPr>
        <w:jc w:val="both"/>
        <w:ind w:firstLine="208"/>
        <w:spacing w:after="0" w:line="224" w:lineRule="auto"/>
        <w:tabs>
          <w:tab w:leader="none" w:pos="432"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any amendments hereto may be executed and delivered in one or more counterparts, and by the different parties hereto in separate counterparts, each of which when executed shall be deemed to be an original, but all of which taken together shall constitute one and the same agreement, and shall become effective when counterparts have been signed by each party hereto and delivered to the other parties hereto, it being understood that all parties need not sign the same counterpart. In the event that any signature to this Agreement or any amendment hereto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No party hereto shall raise the use of a facsimile machine or e-mail delivery of a “.pdf” format data file to deliver a signature to this Agreement or any amendment hereto or the fact that such signature was transmitted or communicated through the use of a facsimile machine or e-mail delivery of a “.pdf” format data file as a defense to the formation or enforceability of a contract and each party hereto forever waives any such defense.</w:t>
      </w:r>
    </w:p>
    <w:p>
      <w:pPr>
        <w:spacing w:after="0" w:line="100" w:lineRule="exact"/>
        <w:rPr>
          <w:rFonts w:ascii="Times New Roman" w:cs="Times New Roman" w:eastAsia="Times New Roman" w:hAnsi="Times New Roman"/>
          <w:sz w:val="14"/>
          <w:szCs w:val="14"/>
          <w:color w:val="auto"/>
        </w:rPr>
      </w:pPr>
    </w:p>
    <w:p>
      <w:pPr>
        <w:jc w:val="both"/>
        <w:ind w:firstLine="208"/>
        <w:spacing w:after="0"/>
        <w:tabs>
          <w:tab w:leader="none" w:pos="427"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5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language used in this Agreement will be deemed to be the language chosen by the parties to express their mutual intent and no rules of strict construction will be applied against any</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party.</w:t>
      </w:r>
    </w:p>
    <w:p>
      <w:pPr>
        <w:spacing w:after="0" w:line="111" w:lineRule="exact"/>
        <w:rPr>
          <w:rFonts w:ascii="Times New Roman" w:cs="Times New Roman" w:eastAsia="Times New Roman" w:hAnsi="Times New Roman"/>
          <w:sz w:val="14"/>
          <w:szCs w:val="14"/>
          <w:color w:val="auto"/>
        </w:rPr>
      </w:pPr>
    </w:p>
    <w:p>
      <w:pPr>
        <w:jc w:val="both"/>
        <w:ind w:firstLine="208"/>
        <w:spacing w:after="0"/>
        <w:tabs>
          <w:tab w:leader="none" w:pos="432"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shall have all rights and remedies set forth in the Transaction Documents and all rights and remedies that such Investor has been granted at any time under any other agreement or contract and all of the rights that such Investor has under any law. Any Person having any rights under any provision of this Agreement shall be entitled to enforce such rights specifically (without posting a bond or other security or proving actual damages), to recover damages by reason of any breach of any provision of this Agreement and to exercise all other rights granted by law.</w:t>
      </w:r>
    </w:p>
    <w:p>
      <w:pPr>
        <w:spacing w:after="0" w:line="237" w:lineRule="exact"/>
        <w:rPr>
          <w:rFonts w:ascii="Times New Roman" w:cs="Times New Roman" w:eastAsia="Times New Roman" w:hAnsi="Times New Roman"/>
          <w:sz w:val="14"/>
          <w:szCs w:val="14"/>
          <w:color w:val="auto"/>
        </w:rPr>
      </w:pPr>
    </w:p>
    <w:p>
      <w:pPr>
        <w:ind w:right="20" w:firstLine="208"/>
        <w:spacing w:after="0" w:line="255" w:lineRule="auto"/>
        <w:tabs>
          <w:tab w:leader="none" w:pos="427"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is intended for the benefit of the parties hereto and their respective permitted successors and assigns and, to the extent provided in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hereof, each Indemnified Person and Indemnified Party, and is not for the benefit of, nor may any provision hereof be enforced by, any other Person.</w:t>
      </w:r>
    </w:p>
    <w:p>
      <w:pPr>
        <w:spacing w:after="0" w:line="89" w:lineRule="exact"/>
        <w:rPr>
          <w:rFonts w:ascii="Times New Roman" w:cs="Times New Roman" w:eastAsia="Times New Roman" w:hAnsi="Times New Roman"/>
          <w:sz w:val="14"/>
          <w:szCs w:val="14"/>
          <w:color w:val="auto"/>
        </w:rPr>
      </w:pPr>
    </w:p>
    <w:p>
      <w:pPr>
        <w:jc w:val="both"/>
        <w:ind w:firstLine="208"/>
        <w:spacing w:after="0" w:line="236" w:lineRule="auto"/>
        <w:tabs>
          <w:tab w:leader="none" w:pos="427"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date hereof, the Company shall not grant any Person any registration rights with respect to shares of Common Stock or any other securities of the Company other than registration rights that will not adversely affect the rights of the Investors hereunder (including by limiting in any way the number of Registrable Securities that could be included in any Registration Statement pursuant to Rule 415) and shall not otherwise enter into any agreement that is inconsistent with the rights granted to the Investors hereunder.</w:t>
      </w:r>
    </w:p>
    <w:p>
      <w:pPr>
        <w:spacing w:after="0" w:line="10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no further obligations pursuant to this Agreement at such time as no Registrable Securities remain outstanding; provided, however, that the Company’s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0" w:right="2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color w:val="auto"/>
        </w:rPr>
        <w:t xml:space="preserve">obligations under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xml:space="preserve"> of this Agreement shall remain in full force and effect following such time.</w:t>
      </w:r>
    </w:p>
    <w:p>
      <w:pPr>
        <w:spacing w:after="0" w:line="127" w:lineRule="exact"/>
        <w:rPr>
          <w:sz w:val="20"/>
          <w:szCs w:val="20"/>
          <w:color w:val="auto"/>
        </w:rPr>
      </w:pPr>
    </w:p>
    <w:p>
      <w:pPr>
        <w:jc w:val="both"/>
        <w:ind w:firstLine="208"/>
        <w:spacing w:after="0"/>
        <w:tabs>
          <w:tab w:leader="none" w:pos="432"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each Investor hereunder are several and not joint with the obligations of any other Investor, and no provision of this Agreement is intended to confer any obligations on any Investor vis-à-vis any other Investor. Nothing contained herein, and no action taken by any Investor pursuant 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herein.</w:t>
      </w:r>
    </w:p>
    <w:p>
      <w:pPr>
        <w:spacing w:after="0" w:line="237" w:lineRule="exact"/>
        <w:rPr>
          <w:rFonts w:ascii="Times New Roman" w:cs="Times New Roman" w:eastAsia="Times New Roman" w:hAnsi="Times New Roman"/>
          <w:sz w:val="14"/>
          <w:szCs w:val="14"/>
          <w:color w:val="auto"/>
        </w:rPr>
      </w:pPr>
    </w:p>
    <w:p>
      <w:pPr>
        <w:jc w:val="both"/>
        <w:ind w:firstLine="208"/>
        <w:spacing w:after="0" w:line="231" w:lineRule="auto"/>
        <w:tabs>
          <w:tab w:leader="none" w:pos="432"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context otherwise requires, (i) all references to Sections, Schedules or Exhibits are to Sections, Schedules or Exhibits contained in or attached to this Agreement, (ii) each accounting term not otherwise defined in this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Agreement shall be by way of example rather than limitation and (v) all references to any period of days shall be deemed to be to the relevant number of calendar days unless otherwise specified.</w:t>
      </w:r>
    </w:p>
    <w:p>
      <w:pPr>
        <w:spacing w:after="0" w:line="118" w:lineRule="exact"/>
        <w:rPr>
          <w:rFonts w:ascii="Times New Roman" w:cs="Times New Roman" w:eastAsia="Times New Roman" w:hAnsi="Times New Roman"/>
          <w:sz w:val="14"/>
          <w:szCs w:val="14"/>
          <w:color w:val="auto"/>
        </w:rPr>
      </w:pPr>
    </w:p>
    <w:p>
      <w:pPr>
        <w:ind w:left="5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0" w:right="2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WHEREOF, </w:t>
      </w:r>
      <w:r>
        <w:rPr>
          <w:rFonts w:ascii="Times New Roman" w:cs="Times New Roman" w:eastAsia="Times New Roman" w:hAnsi="Times New Roman"/>
          <w:sz w:val="14"/>
          <w:szCs w:val="14"/>
          <w:color w:val="auto"/>
        </w:rPr>
        <w:t>the parties have caused this Registration Rights Agreement to be duly executed as of the date first above written.</w:t>
      </w:r>
    </w:p>
    <w:p>
      <w:pPr>
        <w:sectPr>
          <w:pgSz w:w="11900" w:h="16838" w:orient="portrait"/>
          <w:cols w:equalWidth="0" w:num="1">
            <w:col w:w="9739"/>
          </w:cols>
          <w:pgMar w:left="720" w:top="1136" w:right="1440" w:bottom="1440" w:gutter="0" w:footer="0" w:header="0"/>
        </w:sectPr>
      </w:pPr>
    </w:p>
    <w:p>
      <w:pPr>
        <w:spacing w:after="0" w:line="3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29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3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-4445</wp:posOffset>
            </wp:positionV>
            <wp:extent cx="27432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4320" cy="5715"/>
                    </a:xfrm>
                    <a:prstGeom prst="rect">
                      <a:avLst/>
                    </a:prstGeom>
                    <a:noFill/>
                  </pic:spPr>
                </pic:pic>
              </a:graphicData>
            </a:graphic>
          </wp:anchor>
        </w:drawing>
      </w:r>
    </w:p>
    <w:p>
      <w:pPr>
        <w:spacing w:after="0" w:line="278"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14"/>
          <w:szCs w:val="14"/>
          <w:color w:val="auto"/>
        </w:rPr>
        <w:t>Name:</w:t>
        <w:tab/>
        <w:t>Christopher S. Guinta</w:t>
      </w:r>
    </w:p>
    <w:p>
      <w:pPr>
        <w:spacing w:after="0" w:line="26" w:lineRule="exact"/>
        <w:rPr>
          <w:sz w:val="20"/>
          <w:szCs w:val="20"/>
          <w:color w:val="auto"/>
        </w:rPr>
      </w:pPr>
    </w:p>
    <w:p>
      <w:pPr>
        <w:ind w:left="2600"/>
        <w:spacing w:after="0"/>
        <w:tabs>
          <w:tab w:leader="none" w:pos="30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Registration Rights Agreement</w:t>
      </w:r>
      <w:r>
        <w:rPr>
          <w:rFonts w:ascii="Times New Roman" w:cs="Times New Roman" w:eastAsia="Times New Roman" w:hAnsi="Times New Roman"/>
          <w:sz w:val="14"/>
          <w:szCs w:val="14"/>
          <w:color w:val="auto"/>
        </w:rPr>
        <w:t>]</w:t>
      </w:r>
    </w:p>
    <w:p>
      <w:pPr>
        <w:spacing w:after="0" w:line="28"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137795</wp:posOffset>
            </wp:positionV>
            <wp:extent cx="720344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739"/>
          </w:cols>
          <w:pgMar w:left="720" w:top="1136" w:right="1440" w:bottom="1440" w:gutter="0" w:footer="0" w:header="0"/>
          <w:type w:val="continuous"/>
        </w:sectPr>
      </w:pPr>
    </w:p>
    <w:bookmarkStart w:id="236" w:name="page237"/>
    <w:bookmarkEnd w:id="236"/>
    <w:p>
      <w:pPr>
        <w:ind w:left="1440"/>
        <w:spacing w:after="0"/>
        <w:rPr>
          <w:sz w:val="20"/>
          <w:szCs w:val="20"/>
          <w:color w:val="auto"/>
        </w:rPr>
      </w:pPr>
      <w:r>
        <w:rPr>
          <w:rFonts w:ascii="Times New Roman" w:cs="Times New Roman" w:eastAsia="Times New Roman" w:hAnsi="Times New Roman"/>
          <w:sz w:val="14"/>
          <w:szCs w:val="14"/>
          <w:u w:val="single" w:color="auto"/>
          <w:color w:val="auto"/>
        </w:rPr>
        <w:t>INVESTORS:</w:t>
      </w:r>
    </w:p>
    <w:p>
      <w:pPr>
        <w:spacing w:after="0" w:line="3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NAME OF INVESTOR:</w:t>
      </w:r>
    </w:p>
    <w:p>
      <w:pPr>
        <w:spacing w:after="0" w:line="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u w:val="single" w:color="auto"/>
          <w:color w:val="auto"/>
        </w:rPr>
        <w:t>[●]</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[By: [●]]</w:t>
      </w:r>
    </w:p>
    <w:p>
      <w:pPr>
        <w:spacing w:after="0" w:line="16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-4445</wp:posOffset>
            </wp:positionV>
            <wp:extent cx="914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1183640</wp:posOffset>
            </wp:positionH>
            <wp:positionV relativeFrom="paragraph">
              <wp:posOffset>-14605</wp:posOffset>
            </wp:positionV>
            <wp:extent cx="9144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1075055</wp:posOffset>
            </wp:positionV>
            <wp:extent cx="720344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-14605</wp:posOffset>
            </wp:positionV>
            <wp:extent cx="1828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4"/>
          <w:szCs w:val="14"/>
          <w:color w:val="auto"/>
        </w:rPr>
        <w:t>ANNEX 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PRO FORMA FINANCIAL INFORMATION</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On March 17, 2026, New Fortress Energy Inc. (“NFE,” the “Company,” “we,” “our” and “us”) entered into a restructuring support agreement (together with all exhibits, annexes and schedules thereto, the “RSA”) with certain of its lenders and noteholders that contemplates a comprehensive recapitalization transaction (the “Restructuring Transaction”). The Company expects to complete the Restructuring Transaction through restructuring plans promoted by each of two indirect subsidiaries of the Company, (i) NFE Global Holdings Limited (“NFE Global”) and (ii) NFE Brazil Newco Limited (“NFE Brazil Newco”) (each, a “PlanCo”) under Part 26A of the UK Companies Act 2006 (for each PlanCo, the “Restructuring Plan,” and together, the “Restructuring Plans”) and sanctioned by the High Court of Justice in England and Wales (the “High Court”). The PlanCos will seek recognition of the Restructuring Plans in the United States pursuant to chapter 15 of the U.S. Bankruptcy Code.</w:t>
      </w:r>
    </w:p>
    <w:p>
      <w:pPr>
        <w:spacing w:after="0" w:line="125"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As part of the Restructuring Transaction, the Company will separate into two independent companies: one comprising the Company’s businesses and assets in Brazil and land in Wyalusing, Pennsylvania (“BrazilCo”), and the other comprising the Company’s remaining businesses and assets, which will be retained by NFE (“CoreCo”). The Company’s existing obligations will be exchanged for a combination of consideration, including:</w:t>
      </w:r>
    </w:p>
    <w:p>
      <w:pPr>
        <w:spacing w:after="0" w:line="111" w:lineRule="exact"/>
        <w:rPr>
          <w:sz w:val="20"/>
          <w:szCs w:val="20"/>
          <w:color w:val="auto"/>
        </w:rPr>
      </w:pPr>
    </w:p>
    <w:p>
      <w:pPr>
        <w:ind w:left="420" w:hanging="212"/>
        <w:spacing w:after="0"/>
        <w:tabs>
          <w:tab w:leader="none" w:pos="42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common equity interests in BrazilCo;</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$571.3 million in senior secured term loans incurred by CoreCo (the “New CoreCo Term Loans”);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convertible preferred stock of CoreCo with an aggregate liquidation preference of $2.46 billion (the “CoreCo Convertible Preferred Stock”);</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number of shares of Common Stock as is sufficient for the Supporting Creditors to hold 65% of NFE common stock as of the closing date of the Restructuring Transaction;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$400 million in non-recourse term loans (the “FLNG 2 Term Loans”) incurred or issued by the subsidiary that owns the Company’s FLNG 2 assets (“FLNG 2 Co”);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 million in non-convertible, preferred equity (the “FLNG 2 Preferred Equity”) issued by FLNG 2 Co.</w:t>
      </w:r>
    </w:p>
    <w:p>
      <w:pPr>
        <w:spacing w:after="0" w:line="150"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The Company has reflected the exchange of its existing obligations for the consideration described above in the unaudited pro forma condensed consolidated financial statements in a manner consistent with management’s current expectation that such exchange will be accounted for as a troubled debt restructuring, a debt extinguishment or a debt modification based on the analysis performed on a lender-by-lender basis, under accounting principles generally accepted in the United States of America (“US GAAP”). In addition, the Restructuring Transaction contemplates certain other negotiated arrangements with unsecured creditors, which are reflected in the accompanying unaudited pro forma condensed consolidated financial statements.</w:t>
      </w:r>
    </w:p>
    <w:p>
      <w:pPr>
        <w:spacing w:after="0" w:line="1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separation, certain intercompany balances, loans and other arrangements between BrazilCo and CoreCo will be terminated or eliminated, and the net intercompany claim between BrazilCo and CoreCo will be replaced with a new receivable due to CoreCo.</w:t>
      </w:r>
    </w:p>
    <w:p>
      <w:pPr>
        <w:spacing w:after="0" w:line="111"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The following unaudited pro forma condensed consolidated financial statements (which we refer to as the “pro forma financial statements”) have been prepared from the Company’s historical consolidated financial statements, adjusted to give effect to the Restructuring Transaction. The unaudited pro forma condensed consolidated financial statements also give effect to the proposed 1-for-50 reverse stock split described in this Proxy Statement in connection with the Restructuring Transaction.</w:t>
      </w:r>
    </w:p>
    <w:p>
      <w:pPr>
        <w:spacing w:after="0" w:line="119"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Restructuring Transaction is expected to close by the third quarter of 2026, subject to the satisfaction of certain conditions, including the High Court’s entry of an order sanctioning the Restructuring Plans and the recognition of that order in the United States pursuant to chapter 15 of the U.S. Bankruptcy Code, completion of definitive documents acceptable to the parties in accordance with standards set forth in the RSA, approval of certain matters by the Company’s stockholders, receipt of required regulatory and third-party consents and approvals, and satisfaction of certain process “milestones.”</w:t>
      </w:r>
    </w:p>
    <w:p>
      <w:pPr>
        <w:spacing w:after="0" w:line="119"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The unaudited pro forma condensed consolidated balance sheet as of December 31, 2025 reflects the Company’s financial position as if the Restructuring Transaction had occurred on December 31, 2025. The unaudited pro forma condensed consolidated income statement for the year ended December 31, 2025 gives effect to the Restructuring Transaction as if it were completed on January 1, 2025. The unaudited pro forma condensed consolidated income statements for the years ended December 31, 2025, 2024 and 2023 reflect the removal of BrazilCo as discontinued operations for all periods presented. The adjustments reflected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424180</wp:posOffset>
            </wp:positionV>
            <wp:extent cx="720344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4" w:right="299" w:bottom="1440" w:gutter="0" w:footer="0" w:header="0"/>
        </w:sectPr>
      </w:pPr>
    </w:p>
    <w:bookmarkStart w:id="238" w:name="page239"/>
    <w:bookmarkEnd w:id="238"/>
    <w:p>
      <w:pPr>
        <w:ind w:right="40"/>
        <w:spacing w:after="0" w:line="283" w:lineRule="auto"/>
        <w:rPr>
          <w:sz w:val="20"/>
          <w:szCs w:val="20"/>
          <w:color w:val="auto"/>
        </w:rPr>
      </w:pPr>
      <w:r>
        <w:rPr>
          <w:rFonts w:ascii="Times New Roman" w:cs="Times New Roman" w:eastAsia="Times New Roman" w:hAnsi="Times New Roman"/>
          <w:sz w:val="12"/>
          <w:szCs w:val="12"/>
          <w:color w:val="auto"/>
        </w:rPr>
        <w:t xml:space="preserve">“BrazilCo Separation” column represent the removal of assets, liabilities, equity and results of operations attributable to BrazilCo, which qualifies for discontinued operations presentation in accordance with ASC 205-20, </w:t>
      </w:r>
      <w:r>
        <w:rPr>
          <w:rFonts w:ascii="Times New Roman" w:cs="Times New Roman" w:eastAsia="Times New Roman" w:hAnsi="Times New Roman"/>
          <w:sz w:val="12"/>
          <w:szCs w:val="12"/>
          <w:i w:val="1"/>
          <w:iCs w:val="1"/>
          <w:color w:val="auto"/>
        </w:rPr>
        <w:t>Presentation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of Financial Statements - Discontinued Operations</w:t>
      </w:r>
      <w:r>
        <w:rPr>
          <w:rFonts w:ascii="Times New Roman" w:cs="Times New Roman" w:eastAsia="Times New Roman" w:hAnsi="Times New Roman"/>
          <w:sz w:val="12"/>
          <w:szCs w:val="12"/>
          <w:color w:val="auto"/>
        </w:rPr>
        <w:t>, under US GAAP.</w:t>
      </w:r>
    </w:p>
    <w:p>
      <w:pPr>
        <w:spacing w:after="0" w:line="109" w:lineRule="exact"/>
        <w:rPr>
          <w:sz w:val="20"/>
          <w:szCs w:val="20"/>
          <w:color w:val="auto"/>
        </w:rPr>
      </w:pPr>
    </w:p>
    <w:p>
      <w:pPr>
        <w:ind w:right="80" w:firstLine="216"/>
        <w:spacing w:after="0" w:line="255" w:lineRule="auto"/>
        <w:rPr>
          <w:sz w:val="20"/>
          <w:szCs w:val="20"/>
          <w:color w:val="auto"/>
        </w:rPr>
      </w:pPr>
      <w:r>
        <w:rPr>
          <w:rFonts w:ascii="Times New Roman" w:cs="Times New Roman" w:eastAsia="Times New Roman" w:hAnsi="Times New Roman"/>
          <w:sz w:val="12"/>
          <w:szCs w:val="12"/>
          <w:color w:val="auto"/>
        </w:rPr>
        <w:t>The unaudited pro forma condensed consolidated financial statements have been prepared based on information currently available and certain assumptions that management believes are reasonable, as further described in the accompanying notes to the unaudited pro forma condensed consolidated financial statements. They are not intended to be a complete representation of the Company’s financial position or results of operations had the Restructuring Transaction occurred as of the period indicated. In addition, the unaudited pro forma condensed consolidated financial statements are provided for illustrative and informational purposes only and are not necessarily indicative of the Company’s future results of operations or financial condition had the Restructuring Transaction and related transactions been completed on the date assumed. The unaudited pro forma condensed consolidated financial statements and the notes thereto should be read in conjunction with the audited historical financial statements of the Company, the accompanying notes and “Management’s Discussion and Analysis of Financial Condition and Results of Operations” included in the Company’s Annual Report on Form 10-K for the year ended December 31, 2025 filed with the SEC on April 13, 2026, as amended by the Company’s Annual Report on Form 10-K/A filed with the SEC on April 30, 2026.</w:t>
      </w:r>
    </w:p>
    <w:p>
      <w:pPr>
        <w:spacing w:after="0" w:line="126"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preparation of the unaudited pro forma condensed consolidated financial statements includes transaction accounting adjustments that are based on reasonable estimates and assumptions further described in the accompanying notes. These transaction accounting adjustments are preliminary, subject to further revision as additional information becomes available and additional analyses are performed and have been made solely for the purpose of providing the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424180</wp:posOffset>
            </wp:positionV>
            <wp:extent cx="720344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3" w:right="359" w:bottom="1440" w:gutter="0" w:footer="0" w:header="0"/>
        </w:sectPr>
      </w:pPr>
    </w:p>
    <w:bookmarkStart w:id="239" w:name="page240"/>
    <w:bookmarkEnd w:id="23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Consolidated Balance Sheet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December 31, 2025</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BrazilCo Separation</w:t>
            </w:r>
          </w:p>
        </w:tc>
        <w:tc>
          <w:tcPr>
            <w:tcW w:w="200" w:type="dxa"/>
            <w:vAlign w:val="bottom"/>
          </w:tcPr>
          <w:p>
            <w:pPr>
              <w:spacing w:after="0"/>
              <w:rPr>
                <w:sz w:val="11"/>
                <w:szCs w:val="11"/>
                <w:color w:val="auto"/>
              </w:rPr>
            </w:pPr>
          </w:p>
        </w:tc>
        <w:tc>
          <w:tcPr>
            <w:tcW w:w="11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NFE Inc. Continuing</w:t>
            </w:r>
          </w:p>
        </w:tc>
        <w:tc>
          <w:tcPr>
            <w:tcW w:w="20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Transaction accounting</w:t>
            </w: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Historical NFE Inc.</w:t>
            </w: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adjustments</w:t>
            </w:r>
          </w:p>
        </w:tc>
        <w:tc>
          <w:tcPr>
            <w:tcW w:w="1100" w:type="dxa"/>
            <w:vAlign w:val="bottom"/>
            <w:vMerge w:val="restart"/>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280" w:type="dxa"/>
            <w:vAlign w:val="bottom"/>
          </w:tcPr>
          <w:p>
            <w:pPr>
              <w:spacing w:after="0"/>
              <w:rPr>
                <w:sz w:val="9"/>
                <w:szCs w:val="9"/>
                <w:color w:val="auto"/>
              </w:rPr>
            </w:pPr>
          </w:p>
        </w:tc>
        <w:tc>
          <w:tcPr>
            <w:tcW w:w="112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43"/>
        </w:trPr>
        <w:tc>
          <w:tcPr>
            <w:tcW w:w="3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200" w:type="dxa"/>
            <w:vAlign w:val="bottom"/>
          </w:tcPr>
          <w:p>
            <w:pPr>
              <w:spacing w:after="0"/>
              <w:rPr>
                <w:sz w:val="12"/>
                <w:szCs w:val="12"/>
                <w:color w:val="auto"/>
              </w:rPr>
            </w:pPr>
          </w:p>
        </w:tc>
        <w:tc>
          <w:tcPr>
            <w:tcW w:w="11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2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(Note 3)</w:t>
            </w: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6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226,453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190,520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11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3"/>
              </w:rPr>
              <w:t>(g)</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183,020</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Restricted cash</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130,489</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(90,105)</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40,384</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40,384</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Receivables, net of allowances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451,962</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(185,515)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266,447</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266,447</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Inventory</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119,447</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(19,662)</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99,785</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99,785</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6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400,347</w:t>
            </w:r>
          </w:p>
        </w:tc>
        <w:tc>
          <w:tcPr>
            <w:tcW w:w="1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(22,053)</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378,294</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(18,878)</w:t>
            </w:r>
          </w:p>
        </w:tc>
        <w:tc>
          <w:tcPr>
            <w:tcW w:w="11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7"/>
              </w:rPr>
              <w:t>(a)</w:t>
            </w:r>
          </w:p>
        </w:tc>
        <w:tc>
          <w:tcPr>
            <w:tcW w:w="2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359,416</w:t>
            </w:r>
          </w:p>
        </w:tc>
        <w:tc>
          <w:tcPr>
            <w:tcW w:w="0" w:type="dxa"/>
            <w:vAlign w:val="bottom"/>
          </w:tcPr>
          <w:p>
            <w:pPr>
              <w:spacing w:after="0"/>
              <w:rPr>
                <w:sz w:val="1"/>
                <w:szCs w:val="1"/>
                <w:color w:val="auto"/>
              </w:rPr>
            </w:pPr>
          </w:p>
        </w:tc>
      </w:tr>
      <w:tr>
        <w:trPr>
          <w:trHeight w:val="131"/>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current assets</w:t>
            </w:r>
          </w:p>
        </w:tc>
        <w:tc>
          <w:tcPr>
            <w:tcW w:w="6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1,328,698</w:t>
            </w:r>
          </w:p>
        </w:tc>
        <w:tc>
          <w:tcPr>
            <w:tcW w:w="1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(353,268)</w:t>
            </w:r>
          </w:p>
        </w:tc>
        <w:tc>
          <w:tcPr>
            <w:tcW w:w="2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975,430</w:t>
            </w:r>
          </w:p>
        </w:tc>
        <w:tc>
          <w:tcPr>
            <w:tcW w:w="2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(26,378)</w:t>
            </w:r>
          </w:p>
        </w:tc>
        <w:tc>
          <w:tcPr>
            <w:tcW w:w="11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949,052</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Construction in progress</w:t>
            </w:r>
          </w:p>
        </w:tc>
        <w:tc>
          <w:tcPr>
            <w:tcW w:w="6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3,593,971</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(1,904,620)</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1,689,351</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1,689,351</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4,892,737</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(327,962)</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4,564,775</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(88,085)</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3"/>
              </w:rPr>
              <w:t>(h)</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4,476,690</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Right-of-use assets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411,817</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(6,223)</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405,594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405,594</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Intangible assets, net</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187,596</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(149,845)</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37,751</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37,751</w:t>
            </w: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non-current assets, net</w:t>
            </w:r>
          </w:p>
        </w:tc>
        <w:tc>
          <w:tcPr>
            <w:tcW w:w="6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140,804</w:t>
            </w:r>
          </w:p>
        </w:tc>
        <w:tc>
          <w:tcPr>
            <w:tcW w:w="1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140,804</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140,804</w:t>
            </w:r>
          </w:p>
        </w:tc>
        <w:tc>
          <w:tcPr>
            <w:tcW w:w="0" w:type="dxa"/>
            <w:vAlign w:val="bottom"/>
          </w:tcPr>
          <w:p>
            <w:pPr>
              <w:spacing w:after="0"/>
              <w:rPr>
                <w:sz w:val="1"/>
                <w:szCs w:val="1"/>
                <w:color w:val="auto"/>
              </w:rPr>
            </w:pPr>
          </w:p>
        </w:tc>
      </w:tr>
      <w:tr>
        <w:trPr>
          <w:trHeight w:val="201"/>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600" w:type="dxa"/>
            <w:vAlign w:val="bottom"/>
            <w:tcBorders>
              <w:bottom w:val="single" w:sz="8" w:color="CCEEFF"/>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10,555,623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(2,741,918)</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7,813,705</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(114,463)</w:t>
            </w:r>
          </w:p>
        </w:tc>
        <w:tc>
          <w:tcPr>
            <w:tcW w:w="1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7,699,242</w:t>
            </w:r>
          </w:p>
        </w:tc>
        <w:tc>
          <w:tcPr>
            <w:tcW w:w="0" w:type="dxa"/>
            <w:vAlign w:val="bottom"/>
          </w:tcPr>
          <w:p>
            <w:pPr>
              <w:spacing w:after="0"/>
              <w:rPr>
                <w:sz w:val="1"/>
                <w:szCs w:val="1"/>
                <w:color w:val="auto"/>
              </w:rPr>
            </w:pPr>
          </w:p>
        </w:tc>
      </w:tr>
      <w:tr>
        <w:trPr>
          <w:trHeight w:val="143"/>
        </w:trPr>
        <w:tc>
          <w:tcPr>
            <w:tcW w:w="3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6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Current portion of long-term debt and short-term borrowings</w:t>
            </w: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7,073,477</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(1,248,535)</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5,824,942</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(5,678,223)</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4"/>
              </w:rPr>
              <w:t>(a)(g)(h)</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146,719</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Accounts payable</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731,619</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(97,372)</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634,247</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634,247</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Accrued liabilities</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597,776</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(122,006)</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475,770</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(172,423)</w:t>
            </w:r>
          </w:p>
        </w:tc>
        <w:tc>
          <w:tcPr>
            <w:tcW w:w="11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5"/>
              </w:rPr>
              <w:t>(a)(g)(i)</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303,347</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lease liabilities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72,257</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71,944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71,944</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current liabilities</w:t>
            </w:r>
          </w:p>
        </w:tc>
        <w:tc>
          <w:tcPr>
            <w:tcW w:w="6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177,809</w:t>
            </w: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(35,286)</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142,523</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142,523</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6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8,652,938</w:t>
            </w:r>
          </w:p>
        </w:tc>
        <w:tc>
          <w:tcPr>
            <w:tcW w:w="18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(1,503,512)</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7,149,426</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(5,850,646)</w:t>
            </w: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1,298,780</w:t>
            </w:r>
          </w:p>
        </w:tc>
        <w:tc>
          <w:tcPr>
            <w:tcW w:w="0" w:type="dxa"/>
            <w:vAlign w:val="bottom"/>
          </w:tcPr>
          <w:p>
            <w:pPr>
              <w:spacing w:after="0"/>
              <w:rPr>
                <w:sz w:val="1"/>
                <w:szCs w:val="1"/>
                <w:color w:val="auto"/>
              </w:rPr>
            </w:pPr>
          </w:p>
        </w:tc>
      </w:tr>
      <w:tr>
        <w:trPr>
          <w:trHeight w:val="131"/>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600" w:type="dxa"/>
            <w:vAlign w:val="bottom"/>
          </w:tcPr>
          <w:p>
            <w:pPr>
              <w:spacing w:after="0"/>
              <w:rPr>
                <w:sz w:val="11"/>
                <w:szCs w:val="11"/>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1,105,442</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(587,807)</w:t>
            </w: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517,635</w:t>
            </w:r>
          </w:p>
        </w:tc>
        <w:tc>
          <w:tcPr>
            <w:tcW w:w="200" w:type="dxa"/>
            <w:vAlign w:val="bottom"/>
          </w:tcPr>
          <w:p>
            <w:pPr>
              <w:spacing w:after="0"/>
              <w:rPr>
                <w:sz w:val="11"/>
                <w:szCs w:val="11"/>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1,137,176</w:t>
            </w:r>
          </w:p>
        </w:tc>
        <w:tc>
          <w:tcPr>
            <w:tcW w:w="11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8"/>
              </w:rPr>
              <w:t>(b)(e)(g)(h)</w:t>
            </w:r>
          </w:p>
        </w:tc>
        <w:tc>
          <w:tcPr>
            <w:tcW w:w="2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1,654,811</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Non-current lease liabilities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318,819</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312,854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312,854</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Deferred tax liabilities, net</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76,502</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(56,445)</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20,057</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22,315</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3"/>
              </w:rPr>
              <w:t>(p)</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42,372</w:t>
            </w: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6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92,291</w:t>
            </w:r>
          </w:p>
        </w:tc>
        <w:tc>
          <w:tcPr>
            <w:tcW w:w="1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(1,071)</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91,220</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(5,061)</w:t>
            </w:r>
          </w:p>
        </w:tc>
        <w:tc>
          <w:tcPr>
            <w:tcW w:w="11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3"/>
              </w:rPr>
              <w:t>(p)</w:t>
            </w:r>
          </w:p>
        </w:tc>
        <w:tc>
          <w:tcPr>
            <w:tcW w:w="2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86,159</w:t>
            </w:r>
          </w:p>
        </w:tc>
        <w:tc>
          <w:tcPr>
            <w:tcW w:w="0" w:type="dxa"/>
            <w:vAlign w:val="bottom"/>
          </w:tcPr>
          <w:p>
            <w:pPr>
              <w:spacing w:after="0"/>
              <w:rPr>
                <w:sz w:val="1"/>
                <w:szCs w:val="1"/>
                <w:color w:val="auto"/>
              </w:rPr>
            </w:pPr>
          </w:p>
        </w:tc>
      </w:tr>
      <w:tr>
        <w:trPr>
          <w:trHeight w:val="201"/>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6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10,245,992</w:t>
            </w: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(2,154,800)</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8,091,192</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(4,696,216)</w:t>
            </w:r>
          </w:p>
        </w:tc>
        <w:tc>
          <w:tcPr>
            <w:tcW w:w="1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3,394,976</w:t>
            </w:r>
          </w:p>
        </w:tc>
        <w:tc>
          <w:tcPr>
            <w:tcW w:w="0" w:type="dxa"/>
            <w:vAlign w:val="bottom"/>
          </w:tcPr>
          <w:p>
            <w:pPr>
              <w:spacing w:after="0"/>
              <w:rPr>
                <w:sz w:val="1"/>
                <w:szCs w:val="1"/>
                <w:color w:val="auto"/>
              </w:rPr>
            </w:pPr>
          </w:p>
        </w:tc>
      </w:tr>
      <w:tr>
        <w:trPr>
          <w:trHeight w:val="143"/>
        </w:trPr>
        <w:tc>
          <w:tcPr>
            <w:tcW w:w="3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6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Convertible preferred stock, par value $0.01</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2,459,269</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7"/>
              </w:rPr>
              <w:t>(c)</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2,459,269</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Redeemable non-controlling interest</w:t>
            </w:r>
          </w:p>
        </w:tc>
        <w:tc>
          <w:tcPr>
            <w:tcW w:w="6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200,000</w:t>
            </w:r>
          </w:p>
        </w:tc>
        <w:tc>
          <w:tcPr>
            <w:tcW w:w="110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w w:val="90"/>
              </w:rPr>
              <w:t>(f)</w:t>
            </w:r>
          </w:p>
        </w:tc>
        <w:tc>
          <w:tcPr>
            <w:tcW w:w="2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0" w:type="dxa"/>
            <w:vAlign w:val="bottom"/>
          </w:tcPr>
          <w:p>
            <w:pPr>
              <w:spacing w:after="0"/>
              <w:rPr>
                <w:sz w:val="1"/>
                <w:szCs w:val="1"/>
                <w:color w:val="auto"/>
              </w:rPr>
            </w:pPr>
          </w:p>
        </w:tc>
      </w:tr>
      <w:tr>
        <w:trPr>
          <w:trHeight w:val="181"/>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Total mezzanine equity</w:t>
            </w:r>
          </w:p>
        </w:tc>
        <w:tc>
          <w:tcPr>
            <w:tcW w:w="6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2,659,269</w:t>
            </w:r>
          </w:p>
        </w:tc>
        <w:tc>
          <w:tcPr>
            <w:tcW w:w="1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2,659,269</w:t>
            </w:r>
          </w:p>
        </w:tc>
        <w:tc>
          <w:tcPr>
            <w:tcW w:w="0" w:type="dxa"/>
            <w:vAlign w:val="bottom"/>
          </w:tcPr>
          <w:p>
            <w:pPr>
              <w:spacing w:after="0"/>
              <w:rPr>
                <w:sz w:val="1"/>
                <w:szCs w:val="1"/>
                <w:color w:val="auto"/>
              </w:rPr>
            </w:pPr>
          </w:p>
        </w:tc>
      </w:tr>
      <w:tr>
        <w:trPr>
          <w:trHeight w:val="143"/>
        </w:trPr>
        <w:tc>
          <w:tcPr>
            <w:tcW w:w="3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6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 common stock</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2,845</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7,357</w:t>
            </w:r>
          </w:p>
        </w:tc>
        <w:tc>
          <w:tcPr>
            <w:tcW w:w="1100" w:type="dxa"/>
            <w:vAlign w:val="bottom"/>
            <w:shd w:val="clear" w:color="auto" w:fill="CCEEFF"/>
          </w:tcPr>
          <w:p>
            <w:pPr>
              <w:jc w:val="center"/>
              <w:ind w:left="86"/>
              <w:spacing w:after="0"/>
              <w:rPr>
                <w:sz w:val="20"/>
                <w:szCs w:val="20"/>
                <w:color w:val="auto"/>
              </w:rPr>
            </w:pPr>
            <w:r>
              <w:rPr>
                <w:rFonts w:ascii="Times New Roman" w:cs="Times New Roman" w:eastAsia="Times New Roman" w:hAnsi="Times New Roman"/>
                <w:sz w:val="11"/>
                <w:szCs w:val="11"/>
                <w:color w:val="auto"/>
                <w:w w:val="93"/>
              </w:rPr>
              <w:t>(d)</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10,202</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Additional paid-in capital</w:t>
            </w:r>
          </w:p>
        </w:tc>
        <w:tc>
          <w:tcPr>
            <w:tcW w:w="6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1,776,306</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1,776,306</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(613,405)</w:t>
            </w:r>
          </w:p>
        </w:tc>
        <w:tc>
          <w:tcPr>
            <w:tcW w:w="11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(c)(d)(f)(j)</w:t>
            </w: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1,162,901</w:t>
            </w:r>
          </w:p>
        </w:tc>
        <w:tc>
          <w:tcPr>
            <w:tcW w:w="0" w:type="dxa"/>
            <w:vAlign w:val="bottom"/>
          </w:tcPr>
          <w:p>
            <w:pPr>
              <w:spacing w:after="0"/>
              <w:rPr>
                <w:sz w:val="1"/>
                <w:szCs w:val="1"/>
                <w:color w:val="auto"/>
              </w:rPr>
            </w:pPr>
          </w:p>
        </w:tc>
      </w:tr>
      <w:tr>
        <w:trPr>
          <w:trHeight w:val="14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deficit) retained earnings</w:t>
            </w: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(1,650,592)</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(534,379)</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(2,184,971)</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2,528,532</w:t>
            </w:r>
          </w:p>
        </w:tc>
        <w:tc>
          <w:tcPr>
            <w:tcW w:w="1100" w:type="dxa"/>
            <w:vAlign w:val="bottom"/>
            <w:shd w:val="clear" w:color="auto" w:fill="CCEEFF"/>
          </w:tcPr>
          <w:p>
            <w:pPr>
              <w:jc w:val="center"/>
              <w:ind w:left="106"/>
              <w:spacing w:after="0"/>
              <w:rPr>
                <w:sz w:val="20"/>
                <w:szCs w:val="20"/>
                <w:color w:val="auto"/>
              </w:rPr>
            </w:pPr>
            <w:r>
              <w:rPr>
                <w:rFonts w:ascii="Times New Roman" w:cs="Times New Roman" w:eastAsia="Times New Roman" w:hAnsi="Times New Roman"/>
                <w:sz w:val="11"/>
                <w:szCs w:val="11"/>
                <w:color w:val="auto"/>
                <w:w w:val="95"/>
              </w:rPr>
              <w:t>(j)</w:t>
            </w: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343,561</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6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54,088</w:t>
            </w: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(47,852)</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6,236</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6,236</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stockholders’ equity attributable to NFE</w:t>
            </w:r>
          </w:p>
        </w:tc>
        <w:tc>
          <w:tcPr>
            <w:tcW w:w="6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182,647</w:t>
            </w: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(582,231)</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(399,584)</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1,922,484</w:t>
            </w: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1,522,900</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Non-controlling interest</w:t>
            </w:r>
          </w:p>
        </w:tc>
        <w:tc>
          <w:tcPr>
            <w:tcW w:w="6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126,984</w:t>
            </w:r>
          </w:p>
        </w:tc>
        <w:tc>
          <w:tcPr>
            <w:tcW w:w="1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(4,887)</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122,097</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122,097</w:t>
            </w:r>
          </w:p>
        </w:tc>
        <w:tc>
          <w:tcPr>
            <w:tcW w:w="0" w:type="dxa"/>
            <w:vAlign w:val="bottom"/>
          </w:tcPr>
          <w:p>
            <w:pPr>
              <w:spacing w:after="0"/>
              <w:rPr>
                <w:sz w:val="1"/>
                <w:szCs w:val="1"/>
                <w:color w:val="auto"/>
              </w:rPr>
            </w:pPr>
          </w:p>
        </w:tc>
      </w:tr>
      <w:tr>
        <w:trPr>
          <w:trHeight w:val="13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6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309,631</w:t>
            </w:r>
          </w:p>
        </w:tc>
        <w:tc>
          <w:tcPr>
            <w:tcW w:w="18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(587,118)</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(277,487)</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1,922,484</w:t>
            </w: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1,644,997</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liabilities, mezzanine equity and stockholders’ equity</w:t>
            </w: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10,555,623</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(2,741,918)</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7,813,705</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(114,463)</w:t>
            </w:r>
          </w:p>
        </w:tc>
        <w:tc>
          <w:tcPr>
            <w:tcW w:w="11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7,699,242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3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40" w:name="page241"/>
    <w:bookmarkEnd w:id="24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Consolidated Income Statement</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2025</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BrazilCo Separation</w:t>
            </w:r>
          </w:p>
        </w:tc>
        <w:tc>
          <w:tcPr>
            <w:tcW w:w="240" w:type="dxa"/>
            <w:vAlign w:val="bottom"/>
          </w:tcPr>
          <w:p>
            <w:pPr>
              <w:spacing w:after="0"/>
              <w:rPr>
                <w:sz w:val="11"/>
                <w:szCs w:val="11"/>
                <w:color w:val="auto"/>
              </w:rPr>
            </w:pPr>
          </w:p>
        </w:tc>
        <w:tc>
          <w:tcPr>
            <w:tcW w:w="112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NFE Inc. Continuing</w:t>
            </w:r>
          </w:p>
        </w:tc>
        <w:tc>
          <w:tcPr>
            <w:tcW w:w="20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Transaction accounting</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Historical NFE Inc.</w:t>
            </w: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adjustments</w:t>
            </w:r>
          </w:p>
        </w:tc>
        <w:tc>
          <w:tcPr>
            <w:tcW w:w="1000" w:type="dxa"/>
            <w:vAlign w:val="bottom"/>
            <w:vMerge w:val="restart"/>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360" w:type="dxa"/>
            <w:vAlign w:val="bottom"/>
          </w:tcPr>
          <w:p>
            <w:pPr>
              <w:spacing w:after="0"/>
              <w:rPr>
                <w:sz w:val="9"/>
                <w:szCs w:val="9"/>
                <w:color w:val="auto"/>
              </w:rPr>
            </w:pPr>
          </w:p>
        </w:tc>
        <w:tc>
          <w:tcPr>
            <w:tcW w:w="112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43"/>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240" w:type="dxa"/>
            <w:vAlign w:val="bottom"/>
          </w:tcPr>
          <w:p>
            <w:pPr>
              <w:spacing w:after="0"/>
              <w:rPr>
                <w:sz w:val="12"/>
                <w:szCs w:val="12"/>
                <w:color w:val="auto"/>
              </w:rPr>
            </w:pPr>
          </w:p>
        </w:tc>
        <w:tc>
          <w:tcPr>
            <w:tcW w:w="11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2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1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revenue</w:t>
            </w:r>
          </w:p>
        </w:tc>
        <w:tc>
          <w:tcPr>
            <w:tcW w:w="3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1,179,508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975,636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975,636</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Vessel charter revenue</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190,504</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190,504</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190,504</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 novation income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6,366</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6,366</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6,366</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revenue</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127,659</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127,659</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127,659</w:t>
            </w:r>
          </w:p>
        </w:tc>
        <w:tc>
          <w:tcPr>
            <w:tcW w:w="0" w:type="dxa"/>
            <w:vAlign w:val="bottom"/>
          </w:tcPr>
          <w:p>
            <w:pPr>
              <w:spacing w:after="0"/>
              <w:rPr>
                <w:sz w:val="1"/>
                <w:szCs w:val="1"/>
                <w:color w:val="auto"/>
              </w:rPr>
            </w:pPr>
          </w:p>
        </w:tc>
      </w:tr>
      <w:tr>
        <w:trPr>
          <w:trHeight w:val="1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36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1,504,037</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(203,872)</w:t>
            </w:r>
          </w:p>
        </w:tc>
        <w:tc>
          <w:tcPr>
            <w:tcW w:w="24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1,300,165</w:t>
            </w:r>
          </w:p>
        </w:tc>
        <w:tc>
          <w:tcPr>
            <w:tcW w:w="200" w:type="dxa"/>
            <w:vAlign w:val="bottom"/>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1,300,165</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Cost of sales (exclusive of depreciation and amortization shown separately</w:t>
            </w:r>
          </w:p>
        </w:tc>
        <w:tc>
          <w:tcPr>
            <w:tcW w:w="36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918,603</w:t>
            </w:r>
          </w:p>
        </w:tc>
        <w:tc>
          <w:tcPr>
            <w:tcW w:w="20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(90,853)</w:t>
            </w:r>
          </w:p>
        </w:tc>
        <w:tc>
          <w:tcPr>
            <w:tcW w:w="2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827,750</w:t>
            </w:r>
          </w:p>
        </w:tc>
        <w:tc>
          <w:tcPr>
            <w:tcW w:w="20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827,750</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below)</w:t>
            </w: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Vessel operating expenses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26,594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26,594</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26,594</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Operations and maintenance</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218,511</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(13,973)</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204,538</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204,538</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307,442</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(84,060)</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223,382</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223,382</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Transaction and integration costs</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161,756</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(6,108)</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155,648</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62,461</w:t>
            </w:r>
          </w:p>
        </w:tc>
        <w:tc>
          <w:tcPr>
            <w:tcW w:w="1000" w:type="dxa"/>
            <w:vAlign w:val="bottom"/>
          </w:tcPr>
          <w:p>
            <w:pPr>
              <w:jc w:val="center"/>
              <w:ind w:left="206"/>
              <w:spacing w:after="0"/>
              <w:rPr>
                <w:sz w:val="20"/>
                <w:szCs w:val="20"/>
                <w:color w:val="auto"/>
              </w:rPr>
            </w:pPr>
            <w:r>
              <w:rPr>
                <w:rFonts w:ascii="Times New Roman" w:cs="Times New Roman" w:eastAsia="Times New Roman" w:hAnsi="Times New Roman"/>
                <w:sz w:val="11"/>
                <w:szCs w:val="11"/>
                <w:color w:val="auto"/>
                <w:w w:val="95"/>
              </w:rPr>
              <w:t>(i)</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218,109</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203,508</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(31,693)</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171,815</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(7,046)</w:t>
            </w:r>
          </w:p>
        </w:tc>
        <w:tc>
          <w:tcPr>
            <w:tcW w:w="1000" w:type="dxa"/>
            <w:vAlign w:val="bottom"/>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(h)</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164,769</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Goodwill impairment expense</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598,110</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598,110</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598,110</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 impairment expense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860,865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(25,479)</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835,386</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835,386</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(Gain) loss on sale, net</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(670,938)</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(670,938)</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46,322</w:t>
            </w: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(h)</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(624,616)</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36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2,624,451</w:t>
            </w:r>
          </w:p>
        </w:tc>
        <w:tc>
          <w:tcPr>
            <w:tcW w:w="20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(252,166)</w:t>
            </w:r>
          </w:p>
        </w:tc>
        <w:tc>
          <w:tcPr>
            <w:tcW w:w="24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2,372,285</w:t>
            </w:r>
          </w:p>
        </w:tc>
        <w:tc>
          <w:tcPr>
            <w:tcW w:w="200" w:type="dxa"/>
            <w:vAlign w:val="bottom"/>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101,737</w:t>
            </w: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2,474,022</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(loss)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(1,120,414)</w:t>
            </w: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48,294</w:t>
            </w:r>
          </w:p>
        </w:tc>
        <w:tc>
          <w:tcPr>
            <w:tcW w:w="2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(1,072,120)</w:t>
            </w: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(101,737)</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(1,173,857)</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777,845</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(117,985)</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659,860</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(254,021)</w:t>
            </w:r>
          </w:p>
        </w:tc>
        <w:tc>
          <w:tcPr>
            <w:tcW w:w="1000" w:type="dxa"/>
            <w:vAlign w:val="bottom"/>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rPr>
              <w:t>(g)(h)(l)(m)</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405,839</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Other (income), net</w:t>
            </w: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(147,593)</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124,089</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(23,504)</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(23,504)</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(gain) on extinguishment of debt, net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19,937</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19,545</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(527,093)</w:t>
            </w:r>
          </w:p>
        </w:tc>
        <w:tc>
          <w:tcPr>
            <w:tcW w:w="1000" w:type="dxa"/>
            <w:vAlign w:val="bottom"/>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(k)</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(507,548)</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Gain on restructuring of debt</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(1,464,360)</w:t>
            </w: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(g)(k)</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(1,464,360)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(Loss) income before income taxes</w:t>
            </w: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(1,770,603)</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42,582</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(1,728,021)</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2,143,737</w:t>
            </w: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415,716</w:t>
            </w:r>
          </w:p>
        </w:tc>
        <w:tc>
          <w:tcPr>
            <w:tcW w:w="0" w:type="dxa"/>
            <w:vAlign w:val="bottom"/>
          </w:tcPr>
          <w:p>
            <w:pPr>
              <w:spacing w:after="0"/>
              <w:rPr>
                <w:sz w:val="1"/>
                <w:szCs w:val="1"/>
                <w:color w:val="auto"/>
              </w:rPr>
            </w:pPr>
          </w:p>
        </w:tc>
      </w:tr>
      <w:tr>
        <w:trPr>
          <w:trHeight w:val="142"/>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Tax provision</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61,350</w:t>
            </w:r>
          </w:p>
        </w:tc>
        <w:tc>
          <w:tcPr>
            <w:tcW w:w="2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(25,998)</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35,352</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17,255</w:t>
            </w: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(p)</w:t>
            </w:r>
          </w:p>
        </w:tc>
        <w:tc>
          <w:tcPr>
            <w:tcW w:w="3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52,607</w:t>
            </w:r>
          </w:p>
        </w:tc>
        <w:tc>
          <w:tcPr>
            <w:tcW w:w="0" w:type="dxa"/>
            <w:vAlign w:val="bottom"/>
          </w:tcPr>
          <w:p>
            <w:pPr>
              <w:spacing w:after="0"/>
              <w:rPr>
                <w:sz w:val="1"/>
                <w:szCs w:val="1"/>
                <w:color w:val="auto"/>
              </w:rPr>
            </w:pPr>
          </w:p>
        </w:tc>
      </w:tr>
      <w:tr>
        <w:trPr>
          <w:trHeight w:val="151"/>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(loss) income</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(1,831,953)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(1,763,373)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2,126,482</w:t>
            </w:r>
          </w:p>
        </w:tc>
        <w:tc>
          <w:tcPr>
            <w:tcW w:w="10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363,109</w:t>
            </w:r>
          </w:p>
        </w:tc>
        <w:tc>
          <w:tcPr>
            <w:tcW w:w="0" w:type="dxa"/>
            <w:vAlign w:val="bottom"/>
          </w:tcPr>
          <w:p>
            <w:pPr>
              <w:spacing w:after="0"/>
              <w:rPr>
                <w:sz w:val="1"/>
                <w:szCs w:val="1"/>
                <w:color w:val="auto"/>
              </w:rPr>
            </w:pPr>
          </w:p>
        </w:tc>
      </w:tr>
      <w:tr>
        <w:trPr>
          <w:trHeight w:val="126"/>
        </w:trPr>
        <w:tc>
          <w:tcPr>
            <w:tcW w:w="336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income attributable to common stockholders</w:t>
            </w:r>
          </w:p>
        </w:tc>
        <w:tc>
          <w:tcPr>
            <w:tcW w:w="3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(1,844,910)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81,777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(1,763,133)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2,126,482</w:t>
            </w: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363,349</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per share – basic</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(o)</w:t>
            </w:r>
          </w:p>
        </w:tc>
        <w:tc>
          <w:tcPr>
            <w:tcW w:w="3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(0.73)</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(loss) per share – diluted</w:t>
            </w:r>
          </w:p>
        </w:tc>
        <w:tc>
          <w:tcPr>
            <w:tcW w:w="36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2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(o)</w:t>
            </w:r>
          </w:p>
        </w:tc>
        <w:tc>
          <w:tcPr>
            <w:tcW w:w="360" w:type="dxa"/>
            <w:vAlign w:val="bottom"/>
            <w:tcBorders>
              <w:bottom w:val="single" w:sz="8" w:color="CCEEFF"/>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(0.73)</w:t>
            </w:r>
          </w:p>
        </w:tc>
        <w:tc>
          <w:tcPr>
            <w:tcW w:w="0" w:type="dxa"/>
            <w:vAlign w:val="bottom"/>
          </w:tcPr>
          <w:p>
            <w:pPr>
              <w:spacing w:after="0"/>
              <w:rPr>
                <w:sz w:val="1"/>
                <w:szCs w:val="1"/>
                <w:color w:val="auto"/>
              </w:rPr>
            </w:pPr>
          </w:p>
        </w:tc>
      </w:tr>
      <w:tr>
        <w:trPr>
          <w:trHeight w:val="126"/>
        </w:trPr>
        <w:tc>
          <w:tcPr>
            <w:tcW w:w="3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basic</w:t>
            </w:r>
          </w:p>
        </w:tc>
        <w:tc>
          <w:tcPr>
            <w:tcW w:w="3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278,474,487</w:t>
            </w:r>
          </w:p>
        </w:tc>
        <w:tc>
          <w:tcPr>
            <w:tcW w:w="2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(n)</w:t>
            </w:r>
          </w:p>
        </w:tc>
        <w:tc>
          <w:tcPr>
            <w:tcW w:w="3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808,938,021</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diluted</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278,474,487</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(n)</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808,938,021</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Give effect to assumed 1-for-50 reverse stock split: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loss per share – basic</w:t>
            </w:r>
          </w:p>
        </w:tc>
        <w:tc>
          <w:tcPr>
            <w:tcW w:w="36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(331.25)</w:t>
            </w:r>
          </w:p>
        </w:tc>
        <w:tc>
          <w:tcPr>
            <w:tcW w:w="2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jc w:val="center"/>
              <w:ind w:left="186"/>
              <w:spacing w:after="0"/>
              <w:rPr>
                <w:sz w:val="20"/>
                <w:szCs w:val="20"/>
                <w:color w:val="auto"/>
              </w:rPr>
            </w:pPr>
            <w:r>
              <w:rPr>
                <w:rFonts w:ascii="Times New Roman" w:cs="Times New Roman" w:eastAsia="Times New Roman" w:hAnsi="Times New Roman"/>
                <w:sz w:val="11"/>
                <w:szCs w:val="11"/>
                <w:color w:val="auto"/>
                <w:w w:val="93"/>
              </w:rPr>
              <w:t>(o)</w:t>
            </w:r>
          </w:p>
        </w:tc>
        <w:tc>
          <w:tcPr>
            <w:tcW w:w="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(36.65)</w:t>
            </w: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per share – diluted</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(331.25)</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(o)</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(36.65)</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basic</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5,569,490</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center"/>
              <w:ind w:left="186"/>
              <w:spacing w:after="0"/>
              <w:rPr>
                <w:sz w:val="20"/>
                <w:szCs w:val="20"/>
                <w:color w:val="auto"/>
              </w:rPr>
            </w:pPr>
            <w:r>
              <w:rPr>
                <w:rFonts w:ascii="Times New Roman" w:cs="Times New Roman" w:eastAsia="Times New Roman" w:hAnsi="Times New Roman"/>
                <w:sz w:val="11"/>
                <w:szCs w:val="11"/>
                <w:color w:val="auto"/>
                <w:w w:val="93"/>
              </w:rPr>
              <w:t>(n)</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16,178,760</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number of shares outstanding – diluted</w:t>
            </w:r>
          </w:p>
        </w:tc>
        <w:tc>
          <w:tcPr>
            <w:tcW w:w="360" w:type="dxa"/>
            <w:vAlign w:val="bottom"/>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5,569,490</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jc w:val="center"/>
              <w:ind w:left="186"/>
              <w:spacing w:after="0"/>
              <w:rPr>
                <w:sz w:val="20"/>
                <w:szCs w:val="20"/>
                <w:color w:val="auto"/>
              </w:rPr>
            </w:pPr>
            <w:r>
              <w:rPr>
                <w:rFonts w:ascii="Times New Roman" w:cs="Times New Roman" w:eastAsia="Times New Roman" w:hAnsi="Times New Roman"/>
                <w:sz w:val="11"/>
                <w:szCs w:val="11"/>
                <w:color w:val="auto"/>
                <w:w w:val="93"/>
              </w:rPr>
              <w:t>(n)</w:t>
            </w:r>
          </w:p>
        </w:tc>
        <w:tc>
          <w:tcPr>
            <w:tcW w:w="360" w:type="dxa"/>
            <w:vAlign w:val="bottom"/>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16,178,760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3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41" w:name="page242"/>
    <w:bookmarkEnd w:id="24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Consolidated Income Statement</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2024</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6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Historical NFE Inc.</w:t>
            </w:r>
          </w:p>
        </w:tc>
        <w:tc>
          <w:tcPr>
            <w:tcW w:w="200" w:type="dxa"/>
            <w:vAlign w:val="bottom"/>
          </w:tcPr>
          <w:p>
            <w:pPr>
              <w:spacing w:after="0"/>
              <w:rPr>
                <w:sz w:val="12"/>
                <w:szCs w:val="12"/>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BrazilCo Separation</w:t>
            </w:r>
          </w:p>
        </w:tc>
        <w:tc>
          <w:tcPr>
            <w:tcW w:w="200" w:type="dxa"/>
            <w:vAlign w:val="bottom"/>
          </w:tcPr>
          <w:p>
            <w:pPr>
              <w:spacing w:after="0"/>
              <w:rPr>
                <w:sz w:val="12"/>
                <w:szCs w:val="12"/>
                <w:color w:val="auto"/>
              </w:rPr>
            </w:pPr>
          </w:p>
        </w:tc>
        <w:tc>
          <w:tcPr>
            <w:tcW w:w="126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(Note 2)</w:t>
            </w: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w:t>
            </w:r>
          </w:p>
        </w:tc>
        <w:tc>
          <w:tcPr>
            <w:tcW w:w="1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1,697,464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1,694,125</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Vessel charter revenue</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209,386</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209,386</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novation income</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295,558</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295,558</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17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156,536</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156,536</w:t>
            </w: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17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2,358,944</w:t>
            </w:r>
          </w:p>
        </w:tc>
        <w:tc>
          <w:tcPr>
            <w:tcW w:w="20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(3,339)</w:t>
            </w:r>
          </w:p>
        </w:tc>
        <w:tc>
          <w:tcPr>
            <w:tcW w:w="2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2,355,605</w:t>
            </w:r>
          </w:p>
        </w:tc>
        <w:tc>
          <w:tcPr>
            <w:tcW w:w="0" w:type="dxa"/>
            <w:vAlign w:val="bottom"/>
          </w:tcPr>
          <w:p>
            <w:pPr>
              <w:spacing w:after="0"/>
              <w:rPr>
                <w:sz w:val="1"/>
                <w:szCs w:val="1"/>
                <w:color w:val="auto"/>
              </w:rPr>
            </w:pPr>
          </w:p>
        </w:tc>
      </w:tr>
      <w:tr>
        <w:trPr>
          <w:trHeight w:val="160"/>
        </w:trPr>
        <w:tc>
          <w:tcPr>
            <w:tcW w:w="5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1,065,181</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1,063,602</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33,372</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33,372</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170,763</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169,290</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293,378</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(47,026)</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246,352</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Transaction and integration costs</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12,279</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11,744</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158,791</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(21,028)</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137,763</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Asset impairment expense</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16,494</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16,016</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sale of assets, net</w:t>
            </w:r>
          </w:p>
        </w:tc>
        <w:tc>
          <w:tcPr>
            <w:tcW w:w="170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80,207</w:t>
            </w:r>
          </w:p>
        </w:tc>
        <w:tc>
          <w:tcPr>
            <w:tcW w:w="2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80,207</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7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1,830,465</w:t>
            </w:r>
          </w:p>
        </w:tc>
        <w:tc>
          <w:tcPr>
            <w:tcW w:w="2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(72,119)</w:t>
            </w:r>
          </w:p>
        </w:tc>
        <w:tc>
          <w:tcPr>
            <w:tcW w:w="2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1,758,346</w:t>
            </w: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7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528,479</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68,780</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597,259</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7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316,337</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(71,488)</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244,849</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116,308</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(116,138)</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Loss on extinguishment of debt, net</w:t>
            </w:r>
          </w:p>
        </w:tc>
        <w:tc>
          <w:tcPr>
            <w:tcW w:w="17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270,063</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(24,956)</w:t>
            </w:r>
          </w:p>
        </w:tc>
        <w:tc>
          <w:tcPr>
            <w:tcW w:w="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245,107</w:t>
            </w: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income before income taxes</w:t>
            </w:r>
          </w:p>
        </w:tc>
        <w:tc>
          <w:tcPr>
            <w:tcW w:w="17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(174,229)</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281,362</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107,133</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Tax provision</w:t>
            </w:r>
          </w:p>
        </w:tc>
        <w:tc>
          <w:tcPr>
            <w:tcW w:w="17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70,308</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14,420</w:t>
            </w:r>
          </w:p>
        </w:tc>
        <w:tc>
          <w:tcPr>
            <w:tcW w:w="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84,728</w:t>
            </w:r>
          </w:p>
        </w:tc>
        <w:tc>
          <w:tcPr>
            <w:tcW w:w="0" w:type="dxa"/>
            <w:vAlign w:val="bottom"/>
          </w:tcPr>
          <w:p>
            <w:pPr>
              <w:spacing w:after="0"/>
              <w:rPr>
                <w:sz w:val="1"/>
                <w:szCs w:val="1"/>
                <w:color w:val="auto"/>
              </w:rPr>
            </w:pPr>
          </w:p>
        </w:tc>
      </w:tr>
      <w:tr>
        <w:trPr>
          <w:trHeight w:val="158"/>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17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(244,537)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266,942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22,405</w:t>
            </w:r>
          </w:p>
        </w:tc>
        <w:tc>
          <w:tcPr>
            <w:tcW w:w="0" w:type="dxa"/>
            <w:vAlign w:val="bottom"/>
          </w:tcPr>
          <w:p>
            <w:pPr>
              <w:spacing w:after="0"/>
              <w:rPr>
                <w:sz w:val="1"/>
                <w:szCs w:val="1"/>
                <w:color w:val="auto"/>
              </w:rPr>
            </w:pPr>
          </w:p>
        </w:tc>
      </w:tr>
      <w:tr>
        <w:trPr>
          <w:trHeight w:val="162"/>
        </w:trPr>
        <w:tc>
          <w:tcPr>
            <w:tcW w:w="544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common stockholders</w:t>
            </w:r>
          </w:p>
        </w:tc>
        <w:tc>
          <w:tcPr>
            <w:tcW w:w="1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(272,256)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266,942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(5,314)</w:t>
            </w:r>
          </w:p>
        </w:tc>
        <w:tc>
          <w:tcPr>
            <w:tcW w:w="0" w:type="dxa"/>
            <w:vAlign w:val="bottom"/>
          </w:tcPr>
          <w:p>
            <w:pPr>
              <w:spacing w:after="0"/>
              <w:rPr>
                <w:sz w:val="1"/>
                <w:szCs w:val="1"/>
                <w:color w:val="auto"/>
              </w:rPr>
            </w:pPr>
          </w:p>
        </w:tc>
      </w:tr>
      <w:tr>
        <w:trPr>
          <w:trHeight w:val="160"/>
        </w:trPr>
        <w:tc>
          <w:tcPr>
            <w:tcW w:w="5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 basic</w:t>
            </w:r>
          </w:p>
        </w:tc>
        <w:tc>
          <w:tcPr>
            <w:tcW w:w="170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per share – diluted</w:t>
            </w:r>
          </w:p>
        </w:tc>
        <w:tc>
          <w:tcPr>
            <w:tcW w:w="170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basic</w:t>
            </w:r>
          </w:p>
        </w:tc>
        <w:tc>
          <w:tcPr>
            <w:tcW w:w="17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217,578,487</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217,578,487</w:t>
            </w: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diluted</w:t>
            </w:r>
          </w:p>
        </w:tc>
        <w:tc>
          <w:tcPr>
            <w:tcW w:w="17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218,622,419</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218,622,419</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Give effect to assumed 1-for-50 reverse stock split:</w:t>
            </w:r>
          </w:p>
        </w:tc>
        <w:tc>
          <w:tcPr>
            <w:tcW w:w="1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per share – basic</w:t>
            </w: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(62.57)</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 diluted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(62.27)</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basic</w:t>
            </w:r>
          </w:p>
        </w:tc>
        <w:tc>
          <w:tcPr>
            <w:tcW w:w="17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4,351,570</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4,351,570</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diluted</w:t>
            </w:r>
          </w:p>
        </w:tc>
        <w:tc>
          <w:tcPr>
            <w:tcW w:w="170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4,372,448</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4,372,448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54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42" w:name="page243"/>
    <w:bookmarkEnd w:id="24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Pro Forma Condensed Consolidated Income Statement</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6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Historical NFE Inc.</w:t>
            </w:r>
          </w:p>
        </w:tc>
        <w:tc>
          <w:tcPr>
            <w:tcW w:w="200" w:type="dxa"/>
            <w:vAlign w:val="bottom"/>
          </w:tcPr>
          <w:p>
            <w:pPr>
              <w:spacing w:after="0"/>
              <w:rPr>
                <w:sz w:val="12"/>
                <w:szCs w:val="12"/>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BrazilCo Separation</w:t>
            </w:r>
          </w:p>
        </w:tc>
        <w:tc>
          <w:tcPr>
            <w:tcW w:w="240" w:type="dxa"/>
            <w:vAlign w:val="bottom"/>
          </w:tcPr>
          <w:p>
            <w:pPr>
              <w:spacing w:after="0"/>
              <w:rPr>
                <w:sz w:val="12"/>
                <w:szCs w:val="12"/>
                <w:color w:val="auto"/>
              </w:rPr>
            </w:pPr>
          </w:p>
        </w:tc>
        <w:tc>
          <w:tcPr>
            <w:tcW w:w="126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(Note 2)</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w:t>
            </w:r>
          </w:p>
        </w:tc>
        <w:tc>
          <w:tcPr>
            <w:tcW w:w="16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2,060,212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2,022,982</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Vessel charter revenue</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252,343</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(3,328)</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249,015</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w:t>
            </w:r>
          </w:p>
        </w:tc>
        <w:tc>
          <w:tcPr>
            <w:tcW w:w="168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78,050</w:t>
            </w:r>
          </w:p>
        </w:tc>
        <w:tc>
          <w:tcPr>
            <w:tcW w:w="2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78,050</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16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2,390,605</w:t>
            </w:r>
          </w:p>
        </w:tc>
        <w:tc>
          <w:tcPr>
            <w:tcW w:w="2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(40,558)</w:t>
            </w:r>
          </w:p>
        </w:tc>
        <w:tc>
          <w:tcPr>
            <w:tcW w:w="2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2,350,047</w:t>
            </w:r>
          </w:p>
        </w:tc>
        <w:tc>
          <w:tcPr>
            <w:tcW w:w="0" w:type="dxa"/>
            <w:vAlign w:val="bottom"/>
          </w:tcPr>
          <w:p>
            <w:pPr>
              <w:spacing w:after="0"/>
              <w:rPr>
                <w:sz w:val="1"/>
                <w:szCs w:val="1"/>
                <w:color w:val="auto"/>
              </w:rPr>
            </w:pPr>
          </w:p>
        </w:tc>
      </w:tr>
      <w:tr>
        <w:trPr>
          <w:trHeight w:val="160"/>
        </w:trPr>
        <w:tc>
          <w:tcPr>
            <w:tcW w:w="54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879,221</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(23,192)</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856,029</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45,439</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45,505</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175,559</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(5,519)</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170,040</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203,385</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(20,791)</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182,594</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and integration costs</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6,946</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6,824</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161,424</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(8,276)</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153,148</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Asset impairment expense</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10,958</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10,958</w:t>
            </w:r>
          </w:p>
        </w:tc>
        <w:tc>
          <w:tcPr>
            <w:tcW w:w="0" w:type="dxa"/>
            <w:vAlign w:val="bottom"/>
          </w:tcPr>
          <w:p>
            <w:pPr>
              <w:spacing w:after="0"/>
              <w:rPr>
                <w:sz w:val="1"/>
                <w:szCs w:val="1"/>
                <w:color w:val="auto"/>
              </w:rPr>
            </w:pPr>
          </w:p>
        </w:tc>
      </w:tr>
      <w:tr>
        <w:trPr>
          <w:trHeight w:val="153"/>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(Gain) on sale of assets, net</w:t>
            </w:r>
          </w:p>
        </w:tc>
        <w:tc>
          <w:tcPr>
            <w:tcW w:w="16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(27,978)</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(27,978)</w:t>
            </w:r>
          </w:p>
        </w:tc>
        <w:tc>
          <w:tcPr>
            <w:tcW w:w="0" w:type="dxa"/>
            <w:vAlign w:val="bottom"/>
          </w:tcPr>
          <w:p>
            <w:pPr>
              <w:spacing w:after="0"/>
              <w:rPr>
                <w:sz w:val="1"/>
                <w:szCs w:val="1"/>
                <w:color w:val="auto"/>
              </w:rPr>
            </w:pPr>
          </w:p>
        </w:tc>
      </w:tr>
      <w:tr>
        <w:trPr>
          <w:trHeight w:val="14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6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1,454,954</w:t>
            </w:r>
          </w:p>
        </w:tc>
        <w:tc>
          <w:tcPr>
            <w:tcW w:w="200" w:type="dxa"/>
            <w:vAlign w:val="bottom"/>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(57,834)</w:t>
            </w:r>
          </w:p>
        </w:tc>
        <w:tc>
          <w:tcPr>
            <w:tcW w:w="24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1,397,120</w:t>
            </w:r>
          </w:p>
        </w:tc>
        <w:tc>
          <w:tcPr>
            <w:tcW w:w="0" w:type="dxa"/>
            <w:vAlign w:val="bottom"/>
          </w:tcPr>
          <w:p>
            <w:pPr>
              <w:spacing w:after="0"/>
              <w:rPr>
                <w:sz w:val="1"/>
                <w:szCs w:val="1"/>
                <w:color w:val="auto"/>
              </w:rPr>
            </w:pPr>
          </w:p>
        </w:tc>
      </w:tr>
      <w:tr>
        <w:trPr>
          <w:trHeight w:val="142"/>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6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935,651</w:t>
            </w: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17,276</w:t>
            </w:r>
          </w:p>
        </w:tc>
        <w:tc>
          <w:tcPr>
            <w:tcW w:w="2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952,927</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284,019</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(31,846)</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252,173</w:t>
            </w:r>
          </w:p>
        </w:tc>
        <w:tc>
          <w:tcPr>
            <w:tcW w:w="0" w:type="dxa"/>
            <w:vAlign w:val="bottom"/>
          </w:tcPr>
          <w:p>
            <w:pPr>
              <w:spacing w:after="0"/>
              <w:rPr>
                <w:sz w:val="1"/>
                <w:szCs w:val="1"/>
                <w:color w:val="auto"/>
              </w:rPr>
            </w:pPr>
          </w:p>
        </w:tc>
      </w:tr>
      <w:tr>
        <w:trPr>
          <w:trHeight w:val="153"/>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6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10,408</w:t>
            </w:r>
          </w:p>
        </w:tc>
        <w:tc>
          <w:tcPr>
            <w:tcW w:w="2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41,433</w:t>
            </w:r>
          </w:p>
        </w:tc>
        <w:tc>
          <w:tcPr>
            <w:tcW w:w="24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51,841</w:t>
            </w:r>
          </w:p>
        </w:tc>
        <w:tc>
          <w:tcPr>
            <w:tcW w:w="0" w:type="dxa"/>
            <w:vAlign w:val="bottom"/>
          </w:tcPr>
          <w:p>
            <w:pPr>
              <w:spacing w:after="0"/>
              <w:rPr>
                <w:sz w:val="1"/>
                <w:szCs w:val="1"/>
                <w:color w:val="auto"/>
              </w:rPr>
            </w:pPr>
          </w:p>
        </w:tc>
      </w:tr>
      <w:tr>
        <w:trPr>
          <w:trHeight w:val="14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before income from equity method investments and income taxes</w:t>
            </w:r>
          </w:p>
        </w:tc>
        <w:tc>
          <w:tcPr>
            <w:tcW w:w="16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641,224</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7,689</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648,913</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Income from equity method investments</w:t>
            </w:r>
          </w:p>
        </w:tc>
        <w:tc>
          <w:tcPr>
            <w:tcW w:w="16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9,972</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9,972</w:t>
            </w:r>
          </w:p>
        </w:tc>
        <w:tc>
          <w:tcPr>
            <w:tcW w:w="0" w:type="dxa"/>
            <w:vAlign w:val="bottom"/>
          </w:tcPr>
          <w:p>
            <w:pPr>
              <w:spacing w:after="0"/>
              <w:rPr>
                <w:sz w:val="1"/>
                <w:szCs w:val="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provision</w:t>
            </w:r>
          </w:p>
        </w:tc>
        <w:tc>
          <w:tcPr>
            <w:tcW w:w="168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102,972</w:t>
            </w:r>
          </w:p>
        </w:tc>
        <w:tc>
          <w:tcPr>
            <w:tcW w:w="2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(16,650)</w:t>
            </w:r>
          </w:p>
        </w:tc>
        <w:tc>
          <w:tcPr>
            <w:tcW w:w="24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86,322</w:t>
            </w:r>
          </w:p>
        </w:tc>
        <w:tc>
          <w:tcPr>
            <w:tcW w:w="0" w:type="dxa"/>
            <w:vAlign w:val="bottom"/>
          </w:tcPr>
          <w:p>
            <w:pPr>
              <w:spacing w:after="0"/>
              <w:rPr>
                <w:sz w:val="1"/>
                <w:szCs w:val="1"/>
                <w:color w:val="auto"/>
              </w:rPr>
            </w:pPr>
          </w:p>
        </w:tc>
      </w:tr>
      <w:tr>
        <w:trPr>
          <w:trHeight w:val="158"/>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6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548,224</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24,339</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572,563</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 attributable to common stockholders</w:t>
            </w:r>
          </w:p>
        </w:tc>
        <w:tc>
          <w:tcPr>
            <w:tcW w:w="16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547,230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24,339</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571,569</w:t>
            </w:r>
          </w:p>
        </w:tc>
        <w:tc>
          <w:tcPr>
            <w:tcW w:w="0" w:type="dxa"/>
            <w:vAlign w:val="bottom"/>
          </w:tcPr>
          <w:p>
            <w:pPr>
              <w:spacing w:after="0"/>
              <w:rPr>
                <w:sz w:val="1"/>
                <w:szCs w:val="1"/>
                <w:color w:val="auto"/>
              </w:rPr>
            </w:pPr>
          </w:p>
        </w:tc>
      </w:tr>
      <w:tr>
        <w:trPr>
          <w:trHeight w:val="160"/>
        </w:trPr>
        <w:tc>
          <w:tcPr>
            <w:tcW w:w="54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income per share – basic</w:t>
            </w:r>
          </w:p>
        </w:tc>
        <w:tc>
          <w:tcPr>
            <w:tcW w:w="16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per share – diluted</w:t>
            </w:r>
          </w:p>
        </w:tc>
        <w:tc>
          <w:tcPr>
            <w:tcW w:w="16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basic</w:t>
            </w:r>
          </w:p>
        </w:tc>
        <w:tc>
          <w:tcPr>
            <w:tcW w:w="16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205,942,837</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205,942,837</w:t>
            </w: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diluted</w:t>
            </w:r>
          </w:p>
        </w:tc>
        <w:tc>
          <w:tcPr>
            <w:tcW w:w="16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206,481,977</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206,481,977</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Give effect to assumed 1-for-50 reverse stock split:</w:t>
            </w:r>
          </w:p>
        </w:tc>
        <w:tc>
          <w:tcPr>
            <w:tcW w:w="1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per share– basic</w:t>
            </w:r>
          </w:p>
        </w:tc>
        <w:tc>
          <w:tcPr>
            <w:tcW w:w="16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132.86</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138.77</w:t>
            </w: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income per share – diluted</w:t>
            </w:r>
          </w:p>
        </w:tc>
        <w:tc>
          <w:tcPr>
            <w:tcW w:w="16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132.51</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138.41</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basic</w:t>
            </w:r>
          </w:p>
        </w:tc>
        <w:tc>
          <w:tcPr>
            <w:tcW w:w="16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4,118,857</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4,118,857</w:t>
            </w: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 – diluted</w:t>
            </w:r>
          </w:p>
        </w:tc>
        <w:tc>
          <w:tcPr>
            <w:tcW w:w="16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4,129,640</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4,129,640</w:t>
            </w:r>
          </w:p>
        </w:tc>
        <w:tc>
          <w:tcPr>
            <w:tcW w:w="0" w:type="dxa"/>
            <w:vAlign w:val="bottom"/>
          </w:tcPr>
          <w:p>
            <w:pPr>
              <w:spacing w:after="0"/>
              <w:rPr>
                <w:sz w:val="1"/>
                <w:szCs w:val="1"/>
                <w:color w:val="auto"/>
              </w:rPr>
            </w:pPr>
          </w:p>
        </w:tc>
      </w:tr>
      <w:tr>
        <w:trPr>
          <w:trHeight w:val="756"/>
        </w:trPr>
        <w:tc>
          <w:tcPr>
            <w:tcW w:w="54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UNAUDITED PRO FORMA CONDENSED CONSOLIDATED 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 Basis of Presentation</w:t>
      </w:r>
    </w:p>
    <w:p>
      <w:pPr>
        <w:spacing w:after="0" w:line="154"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color w:val="auto"/>
        </w:rPr>
        <w:t>The unaudited pro forma condensed consolidated financial statements are based on the historical consolidated financial statements of the Company as adjusted to give effect to the Restructuring Transaction. The unaudited pro forma condensed consolidated balance sheet as of December 31, 2025 gives effect to the Restructuring Transaction as if it were completed on December 31, 2025. The unaudited pro forma condensed consolidated income statement for the year ended December 31, 2025 gives effect to the Restructuring Transaction as if it were completed on January 1, 2025. The unaudited pro forma condensed consolidated income statements for the years ended December 31, 2025, 2024, and 2023 reflect the removal of the results of operations attributable to BrazilCo for all periods presented. The unaudited pro forma condensed consolidated financial statements have been prepared in a manner consistent with management’s current expectation that the exchange of certain of the Company’s existing funded debt obligations contemplated by the RSA will be accounted for as a troubled debt restructuring under US GAAP. The determination of whether a transaction should be accounted for as a troubled debt restructuring is dependent on whether a concession is granted by the creditors, among other factors. The determination of whether a concession is granted requires the determination of the fair value of the various instruments, including equity instruments provided to the creditors. The estimation of the fair values of these instruments requires judgment and the Company's management has utilized assumptions based on the best available information and inputs. The fair values may change significantly as the assumptions and inputs are updated through the date of closing of the Restructuring Transaction, which could change the determination of whether a concession was granted, the measurement of the carrying value to record the new debt instruments and the measurement of any gains and losses. The final accounting for the Restructuring Transaction, including related valuation conclusions, remains subject to change based on the final terms of the definitive agreements and the final lender elections that will govern the debt and equity to be issued as part of the Restructuring Transaction and completion of management’s accounting analysis and valuation procedures.</w:t>
      </w:r>
    </w:p>
    <w:p>
      <w:pPr>
        <w:spacing w:after="0" w:line="128"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 xml:space="preserve">The Restructuring Transaction and the related adjustments are described in the accompanying notes to the unaudited pro forma condensed consolidated financial statements. In the opinion of the Company’s management, all material adjustments have been made that are necessary to present the significant effects of the Restructuring Transaction, in accordance with Article 11 of Regulation S-X, </w:t>
      </w:r>
      <w:r>
        <w:rPr>
          <w:rFonts w:ascii="Times New Roman" w:cs="Times New Roman" w:eastAsia="Times New Roman" w:hAnsi="Times New Roman"/>
          <w:sz w:val="12"/>
          <w:szCs w:val="12"/>
          <w:i w:val="1"/>
          <w:iCs w:val="1"/>
          <w:color w:val="auto"/>
        </w:rPr>
        <w:t>Pro Forma Financial Information</w:t>
      </w:r>
      <w:r>
        <w:rPr>
          <w:rFonts w:ascii="Times New Roman" w:cs="Times New Roman" w:eastAsia="Times New Roman" w:hAnsi="Times New Roman"/>
          <w:sz w:val="12"/>
          <w:szCs w:val="12"/>
          <w:color w:val="auto"/>
        </w:rPr>
        <w:t>. The unaudited pro forma condensed consolidated financial statements do not purport to be indicative of the financial position or results of operations of the Company that would have occurred if the Restructuring Transaction had occurred on the dates indicated, nor are they indicative of the Company’s future financial position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 BrazilCo Separation Adjustments</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 xml:space="preserve">These adjustments reflect the elimination of assets, liabilities, equity and operations attributable to BrazilCo. This disposal meets the criteria for BrazilCo to be presented as discontinued operations in accordance with ASC 205-20, </w:t>
      </w:r>
      <w:r>
        <w:rPr>
          <w:rFonts w:ascii="Times New Roman" w:cs="Times New Roman" w:eastAsia="Times New Roman" w:hAnsi="Times New Roman"/>
          <w:sz w:val="12"/>
          <w:szCs w:val="12"/>
          <w:i w:val="1"/>
          <w:iCs w:val="1"/>
          <w:color w:val="auto"/>
        </w:rPr>
        <w:t>Presentation of Financial Statements – Discontinued Operations</w:t>
      </w:r>
      <w:r>
        <w:rPr>
          <w:rFonts w:ascii="Times New Roman" w:cs="Times New Roman" w:eastAsia="Times New Roman" w:hAnsi="Times New Roman"/>
          <w:sz w:val="12"/>
          <w:szCs w:val="12"/>
          <w:color w:val="auto"/>
        </w:rPr>
        <w:t>. Land in Wyalusing, Pennsylvania is excluded from these adjustments as this component does not meet the criteria for discontinued operations presentation.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 Transaction Accounting Adjustments</w:t>
      </w:r>
    </w:p>
    <w:p>
      <w:pPr>
        <w:spacing w:after="0" w:line="154" w:lineRule="exact"/>
        <w:rPr>
          <w:sz w:val="20"/>
          <w:szCs w:val="20"/>
          <w:color w:val="auto"/>
        </w:rPr>
      </w:pPr>
    </w:p>
    <w:p>
      <w:pPr>
        <w:jc w:val="both"/>
        <w:ind w:right="380" w:firstLine="216"/>
        <w:spacing w:after="0" w:line="265" w:lineRule="auto"/>
        <w:rPr>
          <w:sz w:val="20"/>
          <w:szCs w:val="20"/>
          <w:color w:val="auto"/>
        </w:rPr>
      </w:pPr>
      <w:r>
        <w:rPr>
          <w:rFonts w:ascii="Times New Roman" w:cs="Times New Roman" w:eastAsia="Times New Roman" w:hAnsi="Times New Roman"/>
          <w:sz w:val="12"/>
          <w:szCs w:val="12"/>
          <w:color w:val="auto"/>
        </w:rPr>
        <w:t>The transaction accounting adjustments are based on estimates and assumptions that the Company’s management believes are reasonable. These transaction accounting adjustments include those adjustments that are directly attributable to the Restructuring Transaction and factually supportable. The final accounting for the Restructuring Transaction may differ materially from the pro forma adjustments presented herein. These transaction accounting adjustments are described below:</w:t>
      </w:r>
    </w:p>
    <w:p>
      <w:pPr>
        <w:spacing w:after="0" w:line="119" w:lineRule="exact"/>
        <w:rPr>
          <w:sz w:val="20"/>
          <w:szCs w:val="20"/>
          <w:color w:val="auto"/>
        </w:rPr>
      </w:pPr>
    </w:p>
    <w:p>
      <w:pPr>
        <w:ind w:left="420" w:right="220" w:firstLine="4"/>
        <w:spacing w:after="0" w:line="279" w:lineRule="auto"/>
        <w:tabs>
          <w:tab w:leader="none" w:pos="583" w:val="left"/>
        </w:tabs>
        <w:numPr>
          <w:ilvl w:val="0"/>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derecognition of certain of the Company’s existing funded debt obligations that are expected to be exchanged pursuant to the RSA. The aggregate carrying amount of such obligations removed was $5,842.9 million, inclusive of related accrued interest. Related unamortized deferred financing costs, unamortized discount and unamortized premium were also derecognized.</w:t>
      </w:r>
    </w:p>
    <w:p>
      <w:pPr>
        <w:spacing w:after="0" w:line="111" w:lineRule="exact"/>
        <w:rPr>
          <w:rFonts w:ascii="Times New Roman" w:cs="Times New Roman" w:eastAsia="Times New Roman" w:hAnsi="Times New Roman"/>
          <w:sz w:val="12"/>
          <w:szCs w:val="12"/>
          <w:color w:val="auto"/>
        </w:rPr>
      </w:pPr>
    </w:p>
    <w:p>
      <w:pPr>
        <w:ind w:left="420" w:firstLine="4"/>
        <w:spacing w:after="0" w:line="265" w:lineRule="auto"/>
        <w:tabs>
          <w:tab w:leader="none" w:pos="590" w:val="left"/>
        </w:tabs>
        <w:numPr>
          <w:ilvl w:val="0"/>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issuance of New CoreCo Term Loans with an outstanding principal balance of $571.3 million and a carrying value of $704.7 million. The New CoreCo Term Loans are initially recorded at carrying value, which includes $119.1 million of future interest payments and other contingent payments as required from the application of troubled debt restructuring accounting under US GAAP for a group of the lenders receiving New CoreCo Term Loans. The carrying value also includes a $14.3 million adjustment relating to debt premium and deferred financing costs for the group of lenders where troubled debt restructuring accounting is not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424180</wp:posOffset>
            </wp:positionV>
            <wp:extent cx="720344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244" w:name="page245"/>
    <w:bookmarkEnd w:id="244"/>
    <w:p>
      <w:pPr>
        <w:ind w:right="240"/>
        <w:spacing w:after="0" w:line="279" w:lineRule="auto"/>
        <w:rPr>
          <w:sz w:val="20"/>
          <w:szCs w:val="20"/>
          <w:color w:val="auto"/>
        </w:rPr>
      </w:pPr>
      <w:r>
        <w:rPr>
          <w:rFonts w:ascii="Times New Roman" w:cs="Times New Roman" w:eastAsia="Times New Roman" w:hAnsi="Times New Roman"/>
          <w:sz w:val="12"/>
          <w:szCs w:val="12"/>
          <w:color w:val="auto"/>
        </w:rPr>
        <w:t>The aggregate principal amount may be increased by up to $35.0 million (after giving effect to any original issue discount) to the extent necessary to satisfy the minimum liquidity condition, which requires CoreCo to have consolidated liquidity of not less than $100.0 million beginning on the effective date of the Restructuring Transaction. No such increase has been reflected in the transaction accounting adjustments.</w:t>
      </w:r>
    </w:p>
    <w:p>
      <w:pPr>
        <w:spacing w:after="0" w:line="111" w:lineRule="exact"/>
        <w:rPr>
          <w:sz w:val="20"/>
          <w:szCs w:val="20"/>
          <w:color w:val="auto"/>
        </w:rPr>
      </w:pPr>
    </w:p>
    <w:p>
      <w:pPr>
        <w:jc w:val="both"/>
        <w:ind w:firstLine="4"/>
        <w:spacing w:after="0" w:line="291" w:lineRule="auto"/>
        <w:tabs>
          <w:tab w:leader="none" w:pos="163" w:val="left"/>
        </w:tabs>
        <w:numPr>
          <w:ilvl w:val="0"/>
          <w:numId w:val="3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issuance of CoreCo Convertible Preferred Stock with an aggregate liquidation preference of $2,459.3 million. The CoreCo Convertible Preferred Stock is classified as mezzanine equity as it contains redemption features that may be outside the Company’s control. The CoreCo Convertible Preferred Stock is recorded at its redemption value as the instrument will be currently redeemable upon issuance. The CoreCo Convertible Preferred Stock is initially recorded at its estimated fair value of $1,675.2 million, and, as the instrument is currently redeemable, an accretion adjustment of $784.1 million is immediately recorded to present the CoreCo Convertible Preferred Stock at redemption value. The day one accretion is treated as a deemed dividend within equity and, accordingly, is not reflected in the unaudited pro forma condensed consolidated income statement.</w:t>
      </w:r>
    </w:p>
    <w:p>
      <w:pPr>
        <w:spacing w:after="0" w:line="107"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If not already redeemed, the instrument will mandatorily convert on the third anniversary of the closing date into shares of NFE common stock representing 87% of the fully diluted common stock of NFE as of the closing date of the Restructuring Transaction.</w:t>
      </w:r>
    </w:p>
    <w:p>
      <w:pPr>
        <w:spacing w:after="0" w:line="111" w:lineRule="exact"/>
        <w:rPr>
          <w:sz w:val="20"/>
          <w:szCs w:val="20"/>
          <w:color w:val="auto"/>
        </w:rPr>
      </w:pPr>
    </w:p>
    <w:p>
      <w:pPr>
        <w:ind w:right="360" w:firstLine="4"/>
        <w:spacing w:after="0" w:line="279" w:lineRule="auto"/>
        <w:tabs>
          <w:tab w:leader="none" w:pos="170"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issuance of CoreCo common stock. Under the RSA, creditors will receive shares representing 65% of NFE common stock outstanding at closing, before giving effect to any incentive plan and before any conversion of the CoreCo Convertible Preferred Stock. Existing stockholders will retain shares representing 35% on that same basis.</w:t>
      </w:r>
    </w:p>
    <w:p>
      <w:pPr>
        <w:spacing w:after="0" w:line="111" w:lineRule="exact"/>
        <w:rPr>
          <w:rFonts w:ascii="Times New Roman" w:cs="Times New Roman" w:eastAsia="Times New Roman" w:hAnsi="Times New Roman"/>
          <w:sz w:val="12"/>
          <w:szCs w:val="12"/>
          <w:color w:val="auto"/>
        </w:rPr>
      </w:pPr>
    </w:p>
    <w:p>
      <w:pPr>
        <w:ind w:right="20" w:firstLine="4"/>
        <w:spacing w:after="0" w:line="265" w:lineRule="auto"/>
        <w:tabs>
          <w:tab w:leader="none" w:pos="163"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issuance by FLNG 2 Co of FLNG 2 Term Loans with an outstanding principal balance of $400.0 million and a carrying value of $436.5 million. The FLNG 2 Term Loans are initially recorded at carrying value, which includes $35.8 million of future interest payments and other contingent payments as required from the application of troubled debt restructuring accounting under US GAAP for a group of the lenders receiving FLNG 2 Term Loans. The carrying value also includes a $0.7 million adjustment relating to debt premium and deferred financing costs for the group of lenders where troubled debt restructuring accounting is not applied.</w:t>
      </w:r>
    </w:p>
    <w:p>
      <w:pPr>
        <w:spacing w:after="0" w:line="118" w:lineRule="exact"/>
        <w:rPr>
          <w:rFonts w:ascii="Times New Roman" w:cs="Times New Roman" w:eastAsia="Times New Roman" w:hAnsi="Times New Roman"/>
          <w:sz w:val="12"/>
          <w:szCs w:val="12"/>
          <w:color w:val="auto"/>
        </w:rPr>
      </w:pPr>
    </w:p>
    <w:p>
      <w:pPr>
        <w:jc w:val="both"/>
        <w:ind w:right="160" w:firstLine="4"/>
        <w:spacing w:after="0" w:line="260" w:lineRule="auto"/>
        <w:tabs>
          <w:tab w:leader="none" w:pos="150"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issuance of FLNG 2 Preferred Equity with an aggregate liquidation preference upon issuance of $200.0 million. The FLNG 2 Preferred Equity is classified as mezzanine equity because it contains redemption features that may be outside the Company’s control. The FLNG 2 Preferred Equity is presented at its redemption value as the instrument will be currently redeemable upon issuance. The FLNG 2 Preferred Equity is initially recorded at its estimated fair value of $101.1 million, and as the instrument is currently redeemable, an accretion adjustment of $98.9 million is immediately recorded to present the FLNG 2 Preferred Equity at redemption value. The day one accretion is treated as a deemed dividend within equity, and accordingly, is not reflected in the unaudited pro forma condensed consolidated income statement.</w:t>
      </w:r>
    </w:p>
    <w:p>
      <w:pPr>
        <w:spacing w:after="0" w:line="122" w:lineRule="exact"/>
        <w:rPr>
          <w:rFonts w:ascii="Times New Roman" w:cs="Times New Roman" w:eastAsia="Times New Roman" w:hAnsi="Times New Roman"/>
          <w:sz w:val="12"/>
          <w:szCs w:val="12"/>
          <w:color w:val="auto"/>
        </w:rPr>
      </w:pPr>
    </w:p>
    <w:p>
      <w:pPr>
        <w:ind w:firstLine="4"/>
        <w:spacing w:after="0" w:line="257" w:lineRule="auto"/>
        <w:tabs>
          <w:tab w:leader="none" w:pos="170"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settlement of certain obligations under the Company's EB-5 loan agreement, including the derecognition of $99.0 million of existing obligations and $2.4 million of accrued interest associated with such obligations. All of the assets associated with the Company's ZeroParks hydrogen project, including $7.5 million of cash, will be transferred to the creditors, and the Company will issue a new unsecured note with an outstanding principal balance of $22.5 million and a carrying value of $39.4 million. The assets of the ZeroParks hydrogen project were impaired during the year ended December 31, 2025, and as such, this settlement results in a gain of $54.5 million. The carrying value of the new unsecured note incorporates certain adjustments for the accounting of anticipated troubled debt restructuring under US GAAP to include the future interest payments and other contingent payments of $16.9 million. This adjustment is preliminary and may change based on the final terms of the agreements.</w:t>
      </w:r>
    </w:p>
    <w:p>
      <w:pPr>
        <w:spacing w:after="0" w:line="125" w:lineRule="exact"/>
        <w:rPr>
          <w:rFonts w:ascii="Times New Roman" w:cs="Times New Roman" w:eastAsia="Times New Roman" w:hAnsi="Times New Roman"/>
          <w:sz w:val="12"/>
          <w:szCs w:val="12"/>
          <w:color w:val="auto"/>
        </w:rPr>
      </w:pPr>
    </w:p>
    <w:p>
      <w:pPr>
        <w:ind w:right="60" w:firstLine="4"/>
        <w:spacing w:after="0" w:line="257" w:lineRule="auto"/>
        <w:tabs>
          <w:tab w:leader="none" w:pos="170"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Reflects the impact of amendments to certain charter and related support arrangements with Energos, including reduced hire rates for certain vessels and the cancellation and termination of the Company’s forward-starting charter agreement of the </w:t>
      </w:r>
      <w:r>
        <w:rPr>
          <w:rFonts w:ascii="Times New Roman" w:cs="Times New Roman" w:eastAsia="Times New Roman" w:hAnsi="Times New Roman"/>
          <w:sz w:val="12"/>
          <w:szCs w:val="12"/>
          <w:i w:val="1"/>
          <w:iCs w:val="1"/>
          <w:color w:val="auto"/>
        </w:rPr>
        <w:t>NR Satu</w:t>
      </w:r>
      <w:r>
        <w:rPr>
          <w:rFonts w:ascii="Times New Roman" w:cs="Times New Roman" w:eastAsia="Times New Roman" w:hAnsi="Times New Roman"/>
          <w:sz w:val="12"/>
          <w:szCs w:val="12"/>
          <w:color w:val="auto"/>
        </w:rPr>
        <w:t>. As the charter agreements with Energos are accounted for as a failed sale leaseback, the adjustments to the charter rate result in reductions to interest expense in the pro forma condensed consolidated income statement. Additionally, the termination of the forward starting charter for the NR Satu is expected to result in the sale of this vessel for accounting purposes, reducing property, plant and equipment and associated long-term debt. The amendments result in a reduction of $88.1 million related to property, plant and equipment, $43.5 million related to long-term debt, as well as a reclassification from long-term debt to short-term debt of $1.8 million. The adjustment also results in decreases of $7.0 million related to depreciation expense, $32.6 million related to interest expense, as well as a $46.3 million loss on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427990</wp:posOffset>
            </wp:positionV>
            <wp:extent cx="720344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60"/>
          </w:cols>
          <w:pgMar w:left="720" w:top="705" w:right="319" w:bottom="1440" w:gutter="0" w:footer="0" w:header="0"/>
        </w:sectPr>
      </w:pPr>
    </w:p>
    <w:bookmarkStart w:id="245" w:name="page246"/>
    <w:bookmarkEnd w:id="245"/>
    <w:p>
      <w:pPr>
        <w:jc w:val="both"/>
        <w:ind w:left="420" w:right="20" w:firstLine="4"/>
        <w:spacing w:after="0" w:line="291" w:lineRule="auto"/>
        <w:tabs>
          <w:tab w:leader="none" w:pos="563" w:val="left"/>
        </w:tabs>
        <w:numPr>
          <w:ilvl w:val="0"/>
          <w:numId w:val="3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estimated transaction costs expected to be incurred in connection with the Restructuring Transaction, including legal, advisory, professional, financing and other implementation costs. These costs are nonrecurring. The unaudited pro forma condensed consolidated balance sheet as of December 31, 2025 reflects an accrual of approximately $110.8 million in accrued liabilities for certain fees contemplated by the Restructuring Transaction, including a success fee payable to certain advisors upon consummation of the Restructuring Transaction. The unaudited pro forma condensed consolidated income statement for the year ended December 31, 2025 reflects $62.5 million of such costs as if incurred during the period. The remaining expected transaction fees of $48.3 million are either incorporated as a reduction to the principal balance or as a reduction to the gain on restructuring of debt.</w:t>
      </w:r>
    </w:p>
    <w:p>
      <w:pPr>
        <w:spacing w:after="0" w:line="107" w:lineRule="exact"/>
        <w:rPr>
          <w:sz w:val="20"/>
          <w:szCs w:val="20"/>
          <w:color w:val="auto"/>
        </w:rPr>
      </w:pPr>
    </w:p>
    <w:p>
      <w:pPr>
        <w:ind w:left="420" w:right="160"/>
        <w:spacing w:after="0" w:line="265" w:lineRule="auto"/>
        <w:rPr>
          <w:sz w:val="20"/>
          <w:szCs w:val="20"/>
          <w:color w:val="auto"/>
        </w:rPr>
      </w:pPr>
      <w:r>
        <w:rPr>
          <w:rFonts w:ascii="Times New Roman" w:cs="Times New Roman" w:eastAsia="Times New Roman" w:hAnsi="Times New Roman"/>
          <w:sz w:val="12"/>
          <w:szCs w:val="12"/>
          <w:color w:val="auto"/>
        </w:rPr>
        <w:t>The Restructuring Transaction also contemplates (i) a fee payable to certain consenting creditors in consideration for agreeing to forbear from exercising remedies prior to consummation of the Restructuring Transaction (the “Standstill Fee”) and (ii) a 0.75% fee on the principal amount of eligible debt, payable in kind in the form of restructuring consideration (the “Early Consent Fee”). The Standstill Fee and Early Consent Fee are settled by issuing additional New CoreCo Term Loans and CoreCo Convertible Preferred Stock, respectively, and as such, are not reflected in the transaction costs above.</w:t>
      </w:r>
    </w:p>
    <w:p>
      <w:pPr>
        <w:spacing w:after="0" w:line="119" w:lineRule="exact"/>
        <w:rPr>
          <w:sz w:val="20"/>
          <w:szCs w:val="20"/>
          <w:color w:val="auto"/>
        </w:rPr>
      </w:pPr>
    </w:p>
    <w:p>
      <w:pPr>
        <w:jc w:val="both"/>
        <w:ind w:left="420" w:right="100" w:firstLine="4"/>
        <w:spacing w:after="0" w:line="265" w:lineRule="auto"/>
        <w:tabs>
          <w:tab w:leader="none" w:pos="563"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net effect to retained earnings and additional paid-in capital of (i) the transaction accounting adjustments in the amount of $1,839.3 million and (ii) the gain on the separation of BrazilCo of $75.8 million, based on the carrying value of the BrazilCo business disposed of and the estimated fair value of the BrazilCo common equity distributed to certain creditors. Since the unaudited pro forma condensed consolidated income statements only include continuing operations, the estimated gain on the separation is not included in any period presented. The gain on the separation of BrazilCo is nonrecurring.</w:t>
      </w:r>
    </w:p>
    <w:p>
      <w:pPr>
        <w:spacing w:after="0" w:line="118" w:lineRule="exact"/>
        <w:rPr>
          <w:rFonts w:ascii="Times New Roman" w:cs="Times New Roman" w:eastAsia="Times New Roman" w:hAnsi="Times New Roman"/>
          <w:sz w:val="12"/>
          <w:szCs w:val="12"/>
          <w:color w:val="auto"/>
        </w:rPr>
      </w:pPr>
    </w:p>
    <w:p>
      <w:pPr>
        <w:ind w:left="420" w:right="20" w:firstLine="4"/>
        <w:spacing w:after="0" w:line="260" w:lineRule="auto"/>
        <w:tabs>
          <w:tab w:leader="none" w:pos="590"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(i) the gain on troubled debt restructuring of $1,409.9 million, representing the excess of the carrying amount of the restructured debt over the sum of (a) the fair value of any equity issued to existing lenders and (b) the total future undiscounted cash payments on debt issued to such lenders, and (ii) the gain on debt extinguishment of $527.1 million, representing the difference between the carrying amount of the debt obligations derecognized and the estimated fair value of the related consideration issued, reduced by any lender fees and third party costs incurred. The gain on troubled debt restructuring and the gain on debt extinguishment are nonrecurring</w:t>
      </w:r>
    </w:p>
    <w:p>
      <w:pPr>
        <w:spacing w:after="0" w:line="122" w:lineRule="exact"/>
        <w:rPr>
          <w:rFonts w:ascii="Times New Roman" w:cs="Times New Roman" w:eastAsia="Times New Roman" w:hAnsi="Times New Roman"/>
          <w:sz w:val="12"/>
          <w:szCs w:val="12"/>
          <w:color w:val="auto"/>
        </w:rPr>
      </w:pPr>
    </w:p>
    <w:p>
      <w:pPr>
        <w:ind w:left="420" w:right="400" w:firstLine="4"/>
        <w:spacing w:after="0" w:line="279" w:lineRule="auto"/>
        <w:tabs>
          <w:tab w:leader="none" w:pos="563"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reduction in historical interest expense of $450.8 million for the year ended December 31, 2025 associated with debt instruments derecognized or settled in connection with the Restructuring Transaction, including obligations settled under the Company’s EB-5 loan agreement.</w:t>
      </w:r>
    </w:p>
    <w:p>
      <w:pPr>
        <w:spacing w:after="0" w:line="111" w:lineRule="exact"/>
        <w:rPr>
          <w:rFonts w:ascii="Times New Roman" w:cs="Times New Roman" w:eastAsia="Times New Roman" w:hAnsi="Times New Roman"/>
          <w:sz w:val="12"/>
          <w:szCs w:val="12"/>
          <w:color w:val="auto"/>
        </w:rPr>
      </w:pPr>
    </w:p>
    <w:p>
      <w:pPr>
        <w:ind w:left="420" w:right="100" w:firstLine="4"/>
        <w:spacing w:after="0" w:line="265" w:lineRule="auto"/>
        <w:tabs>
          <w:tab w:leader="none" w:pos="623"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interest expense of $229.4 million for the year ended December 31, 2025 associated with newly issued debt instruments contemplated by the Restructuring Transaction, including New CoreCo Term Loans and FLNG 2 Term Loans. As a portion of the New CoreCo Term Loans and the FLNG 2 Term Loans were accounted for as a troubled debt restructuring, the future interest payments were included in the carrying value of the debt on the unaudited pro forma condensed consolidated balance sheet. As such, no interest expense will be recognized in the unaudited pro forma condensed consolidated income statement for these creditors.</w:t>
      </w:r>
    </w:p>
    <w:p>
      <w:pPr>
        <w:spacing w:after="0" w:line="118" w:lineRule="exact"/>
        <w:rPr>
          <w:rFonts w:ascii="Times New Roman" w:cs="Times New Roman" w:eastAsia="Times New Roman" w:hAnsi="Times New Roman"/>
          <w:sz w:val="12"/>
          <w:szCs w:val="12"/>
          <w:color w:val="auto"/>
        </w:rPr>
      </w:pPr>
    </w:p>
    <w:p>
      <w:pPr>
        <w:ind w:left="420" w:right="400" w:firstLine="4"/>
        <w:spacing w:after="0" w:line="279" w:lineRule="auto"/>
        <w:tabs>
          <w:tab w:leader="none" w:pos="590" w:val="left"/>
        </w:tabs>
        <w:numPr>
          <w:ilvl w:val="0"/>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 forma weighted-average shares outstanding for the period have been calculated as if the Restructuring Transaction had occurred on January 1, 2025. The unaudited pro forma condensed consolidated income statements present share and per-share amounts both before and after giving effect to the assumed 1-for-50 reverse stock split.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pro forma weighted-average shares outstanding reflect (i) historical weighted-average shares outstanding and (ii) the issuance of shares of NFE common stock to holders of existing debt pursuant to the RSA.</w:t>
      </w:r>
    </w:p>
    <w:p>
      <w:pPr>
        <w:spacing w:after="0" w:line="150" w:lineRule="exact"/>
        <w:rPr>
          <w:sz w:val="20"/>
          <w:szCs w:val="20"/>
          <w:color w:val="auto"/>
        </w:rPr>
      </w:pPr>
    </w:p>
    <w:p>
      <w:pPr>
        <w:jc w:val="both"/>
        <w:ind w:left="420" w:right="200"/>
        <w:spacing w:after="0" w:line="265" w:lineRule="auto"/>
        <w:rPr>
          <w:sz w:val="20"/>
          <w:szCs w:val="20"/>
          <w:color w:val="auto"/>
        </w:rPr>
      </w:pPr>
      <w:r>
        <w:rPr>
          <w:rFonts w:ascii="Times New Roman" w:cs="Times New Roman" w:eastAsia="Times New Roman" w:hAnsi="Times New Roman"/>
          <w:sz w:val="12"/>
          <w:szCs w:val="12"/>
          <w:color w:val="auto"/>
        </w:rPr>
        <w:t>The CoreCo Convertible Preferred Stock issued in connection with the Restructuring Transaction is included in the calculation of diluted earnings per share using the if-converted method, under which the preferred stock is assumed to have converted into NFE common stock at the beginning of the period, to the extent the effect is dilutive. The assumed conversion is based on the terms of the instrument and gives effect to the assumed 1-for-50 reverse stock split.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presents the calculation of the pro forma weighted-average number of shares of NFE common stock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308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r>
      <w:tr>
        <w:trPr>
          <w:trHeight w:val="167"/>
        </w:trPr>
        <w:tc>
          <w:tcPr>
            <w:tcW w:w="420" w:type="dxa"/>
            <w:vAlign w:val="bottom"/>
          </w:tcPr>
          <w:p>
            <w:pPr>
              <w:spacing w:after="0"/>
              <w:rPr>
                <w:sz w:val="14"/>
                <w:szCs w:val="14"/>
                <w:color w:val="auto"/>
              </w:rPr>
            </w:pPr>
          </w:p>
        </w:tc>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NFE shares outstanding – historical</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278,474,487</w:t>
            </w:r>
          </w:p>
        </w:tc>
        <w:tc>
          <w:tcPr>
            <w:tcW w:w="740" w:type="dxa"/>
            <w:vAlign w:val="bottom"/>
          </w:tcPr>
          <w:p>
            <w:pPr>
              <w:spacing w:after="0"/>
              <w:rPr>
                <w:sz w:val="14"/>
                <w:szCs w:val="14"/>
                <w:color w:val="auto"/>
              </w:rPr>
            </w:pPr>
          </w:p>
        </w:tc>
      </w:tr>
      <w:tr>
        <w:trPr>
          <w:trHeight w:val="163"/>
        </w:trPr>
        <w:tc>
          <w:tcPr>
            <w:tcW w:w="420" w:type="dxa"/>
            <w:vAlign w:val="bottom"/>
          </w:tcPr>
          <w:p>
            <w:pPr>
              <w:spacing w:after="0"/>
              <w:rPr>
                <w:sz w:val="14"/>
                <w:szCs w:val="14"/>
                <w:color w:val="auto"/>
              </w:rPr>
            </w:pPr>
          </w:p>
        </w:tc>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issued to holders of existing debt pursuant to the Restructuring Transaction</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530,463,534</w:t>
            </w:r>
          </w:p>
        </w:tc>
        <w:tc>
          <w:tcPr>
            <w:tcW w:w="740" w:type="dxa"/>
            <w:vAlign w:val="bottom"/>
          </w:tcPr>
          <w:p>
            <w:pPr>
              <w:spacing w:after="0"/>
              <w:rPr>
                <w:sz w:val="14"/>
                <w:szCs w:val="14"/>
                <w:color w:val="auto"/>
              </w:rPr>
            </w:pPr>
          </w:p>
        </w:tc>
      </w:tr>
      <w:tr>
        <w:trPr>
          <w:trHeight w:val="753"/>
        </w:trPr>
        <w:tc>
          <w:tcPr>
            <w:tcW w:w="42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246" w:name="page247"/>
    <w:bookmarkEnd w:id="246"/>
    <w:tbl>
      <w:tblPr>
        <w:tblLayout w:type="fixed"/>
        <w:tblInd w:w="420" w:type="dxa"/>
        <w:tblCellMar>
          <w:top w:w="0" w:type="dxa"/>
          <w:left w:w="0" w:type="dxa"/>
          <w:bottom w:w="0" w:type="dxa"/>
          <w:right w:w="0" w:type="dxa"/>
        </w:tblCellMar>
      </w:tblPr>
      <w:tr>
        <w:trPr>
          <w:trHeight w:val="19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 forma consolidated weighted-average number of shares outstanding – basic</w:t>
            </w:r>
          </w:p>
        </w:tc>
        <w:tc>
          <w:tcPr>
            <w:tcW w:w="2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808,938,021</w:t>
            </w:r>
          </w:p>
        </w:tc>
      </w:tr>
      <w:tr>
        <w:trPr>
          <w:trHeight w:val="187"/>
        </w:trPr>
        <w:tc>
          <w:tcPr>
            <w:tcW w:w="7800" w:type="dxa"/>
            <w:vAlign w:val="bottom"/>
            <w:tcBorders>
              <w:bottom w:val="single" w:sz="8" w:color="CCEEFF"/>
            </w:tcBorders>
          </w:tcPr>
          <w:p>
            <w:pPr>
              <w:ind w:left="20"/>
              <w:spacing w:after="0" w:line="121" w:lineRule="exact"/>
              <w:rPr>
                <w:sz w:val="20"/>
                <w:szCs w:val="20"/>
                <w:color w:val="auto"/>
              </w:rPr>
            </w:pPr>
            <w:r>
              <w:rPr>
                <w:rFonts w:ascii="Times New Roman" w:cs="Times New Roman" w:eastAsia="Times New Roman" w:hAnsi="Times New Roman"/>
                <w:sz w:val="11"/>
                <w:szCs w:val="11"/>
                <w:color w:val="auto"/>
              </w:rPr>
              <w:t>Pro forma consolidated weighted average number of shares of common stock – diluted</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808,938,021</w:t>
            </w:r>
          </w:p>
        </w:tc>
      </w:tr>
      <w:tr>
        <w:trPr>
          <w:trHeight w:val="151"/>
        </w:trPr>
        <w:tc>
          <w:tcPr>
            <w:tcW w:w="78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r>
      <w:tr>
        <w:trPr>
          <w:trHeight w:val="148"/>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Give effect to assumed 1-for-50 reverse stock split:</w:t>
            </w:r>
          </w:p>
        </w:tc>
        <w:tc>
          <w:tcPr>
            <w:tcW w:w="2340" w:type="dxa"/>
            <w:vAlign w:val="bottom"/>
          </w:tcPr>
          <w:p>
            <w:pPr>
              <w:spacing w:after="0"/>
              <w:rPr>
                <w:sz w:val="12"/>
                <w:szCs w:val="12"/>
                <w:color w:val="auto"/>
              </w:rPr>
            </w:pPr>
          </w:p>
        </w:tc>
      </w:tr>
      <w:tr>
        <w:trPr>
          <w:trHeight w:val="19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 forma consolidated weighted-average number of shares outstanding – basic</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16,178,760</w:t>
            </w:r>
          </w:p>
        </w:tc>
      </w:tr>
      <w:tr>
        <w:trPr>
          <w:trHeight w:val="161"/>
        </w:trPr>
        <w:tc>
          <w:tcPr>
            <w:tcW w:w="78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Pro forma consolidated weighted average number of shares of common stock – diluted</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16,178,760</w:t>
            </w:r>
          </w:p>
        </w:tc>
      </w:tr>
      <w:tr>
        <w:trPr>
          <w:trHeight w:val="20"/>
        </w:trPr>
        <w:tc>
          <w:tcPr>
            <w:tcW w:w="78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0" w:hanging="176"/>
        <w:spacing w:after="0"/>
        <w:tabs>
          <w:tab w:leader="none" w:pos="600" w:val="left"/>
        </w:tabs>
        <w:numPr>
          <w:ilvl w:val="0"/>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 forma net income attributable to common stockholders used in basic earnings per share reflects the impact of the CoreCo Convertible Preferred Stock issued in connection with the Restructuring Transaction, including</w:t>
      </w:r>
    </w:p>
    <w:p>
      <w:pPr>
        <w:spacing w:after="0" w:line="16" w:lineRule="exact"/>
        <w:rPr>
          <w:rFonts w:ascii="Times New Roman" w:cs="Times New Roman" w:eastAsia="Times New Roman" w:hAnsi="Times New Roman"/>
          <w:sz w:val="12"/>
          <w:szCs w:val="12"/>
          <w:color w:val="auto"/>
        </w:rPr>
      </w:pPr>
    </w:p>
    <w:p>
      <w:pPr>
        <w:ind w:left="420" w:right="80" w:firstLine="4"/>
        <w:spacing w:after="0" w:line="255" w:lineRule="auto"/>
        <w:tabs>
          <w:tab w:leader="none" w:pos="563"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cumulative preferred dividends, which accrue through quarterly increases to liquidation preference at cumulative per annum rates of 3.0%, 5.0% and 7.0% in each of the three years prior to conversion, and (ii) accretion of the CoreCo Convertible Preferred Stock to redemption value, which is treated as a deemed dividend. Pro forma net income attributable to common stockholders used in basic earnings per share also reflects the impact of the FLNG 2 Preferred Equity issued in connection with the Restructuring Transaction, which is classified as redeemable non-controlling interest in mezzanine equity, including accretion to its redemption value.</w:t>
      </w:r>
    </w:p>
    <w:p>
      <w:pPr>
        <w:spacing w:after="0" w:line="125" w:lineRule="exact"/>
        <w:rPr>
          <w:sz w:val="20"/>
          <w:szCs w:val="20"/>
          <w:color w:val="auto"/>
        </w:rPr>
      </w:pPr>
    </w:p>
    <w:p>
      <w:pPr>
        <w:jc w:val="both"/>
        <w:ind w:left="420" w:right="180"/>
        <w:spacing w:after="0" w:line="265" w:lineRule="auto"/>
        <w:rPr>
          <w:sz w:val="20"/>
          <w:szCs w:val="20"/>
          <w:color w:val="auto"/>
        </w:rPr>
      </w:pPr>
      <w:r>
        <w:rPr>
          <w:rFonts w:ascii="Times New Roman" w:cs="Times New Roman" w:eastAsia="Times New Roman" w:hAnsi="Times New Roman"/>
          <w:sz w:val="12"/>
          <w:szCs w:val="12"/>
          <w:color w:val="auto"/>
        </w:rPr>
        <w:t>For diluted earnings per share, the CoreCo Convertible Preferred Stock is evaluated under the if-converted method. Because the assumed conversion of the CoreCo Convertible Preferred Stock would be antidilutive for the period presented, the related preferred dividends and accretion have not been added back in calculating diluted earnings per share. The FLNG 2 Preferred Equity was not considered in the calculation of diluted earnings per share because it does not contain a conversion feature into common stock.</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reconciles the numerators of pro forma basic and diluted net (loss) per common share (in thousands).</w:t>
      </w:r>
    </w:p>
    <w:p>
      <w:pPr>
        <w:spacing w:after="0" w:line="177"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78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r>
      <w:tr>
        <w:trPr>
          <w:trHeight w:val="16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 forma consolidated net income</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363,109</w:t>
            </w:r>
          </w:p>
        </w:tc>
      </w:tr>
      <w:tr>
        <w:trPr>
          <w:trHeight w:val="163"/>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 Net loss attributable to noncontrolling interest</w:t>
            </w:r>
          </w:p>
        </w:tc>
        <w:tc>
          <w:tcPr>
            <w:tcW w:w="26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1,544</w:t>
            </w:r>
          </w:p>
        </w:tc>
      </w:tr>
      <w:tr>
        <w:trPr>
          <w:trHeight w:val="17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Preferred dividends on CoreCo Convertible Preferred Stock</w:t>
            </w: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(74,612)</w:t>
            </w:r>
          </w:p>
        </w:tc>
      </w:tr>
      <w:tr>
        <w:trPr>
          <w:trHeight w:val="163"/>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Accretion of CoreCo Convertible Preferred Stock to redemption value</w:t>
            </w:r>
          </w:p>
        </w:tc>
        <w:tc>
          <w:tcPr>
            <w:tcW w:w="26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(784,038)</w:t>
            </w:r>
          </w:p>
        </w:tc>
      </w:tr>
      <w:tr>
        <w:trPr>
          <w:trHeight w:val="17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Accretion of redeemable non-controlling interest to redemption value</w:t>
            </w:r>
          </w:p>
        </w:tc>
        <w:tc>
          <w:tcPr>
            <w:tcW w:w="260" w:type="dxa"/>
            <w:vAlign w:val="bottom"/>
            <w:tcBorders>
              <w:bottom w:val="single" w:sz="8" w:color="auto"/>
            </w:tcBorders>
            <w:shd w:val="clear" w:color="auto" w:fill="CCEEFF"/>
          </w:tcPr>
          <w:p>
            <w:pPr>
              <w:spacing w:after="0"/>
              <w:rPr>
                <w:sz w:val="15"/>
                <w:szCs w:val="15"/>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(98,948)</w:t>
            </w:r>
          </w:p>
        </w:tc>
      </w:tr>
      <w:tr>
        <w:trPr>
          <w:trHeight w:val="178"/>
        </w:trPr>
        <w:tc>
          <w:tcPr>
            <w:tcW w:w="7800" w:type="dxa"/>
            <w:vAlign w:val="bottom"/>
            <w:tcBorders>
              <w:bottom w:val="single" w:sz="8" w:color="CCEEFF"/>
            </w:tcBorders>
          </w:tcPr>
          <w:p>
            <w:pPr>
              <w:ind w:left="20"/>
              <w:spacing w:after="0" w:line="121" w:lineRule="exact"/>
              <w:rPr>
                <w:sz w:val="20"/>
                <w:szCs w:val="20"/>
                <w:color w:val="auto"/>
              </w:rPr>
            </w:pPr>
            <w:r>
              <w:rPr>
                <w:rFonts w:ascii="Times New Roman" w:cs="Times New Roman" w:eastAsia="Times New Roman" w:hAnsi="Times New Roman"/>
                <w:sz w:val="11"/>
                <w:szCs w:val="11"/>
                <w:color w:val="auto"/>
              </w:rPr>
              <w:t>Pro forma consolidated net (loss) attributable to common stockholders – basic</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(592,945)</w:t>
            </w:r>
          </w:p>
        </w:tc>
      </w:tr>
      <w:tr>
        <w:trPr>
          <w:trHeight w:val="185"/>
        </w:trPr>
        <w:tc>
          <w:tcPr>
            <w:tcW w:w="7800" w:type="dxa"/>
            <w:vAlign w:val="bottom"/>
            <w:tcBorders>
              <w:bottom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Pro forma consolidated net (loss) attributable to common stockholders – diluted</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(592,945)</w:t>
            </w:r>
          </w:p>
        </w:tc>
      </w:tr>
    </w:tbl>
    <w:p>
      <w:pPr>
        <w:spacing w:after="0" w:line="187" w:lineRule="exact"/>
        <w:rPr>
          <w:sz w:val="20"/>
          <w:szCs w:val="20"/>
          <w:color w:val="auto"/>
        </w:rPr>
      </w:pPr>
    </w:p>
    <w:p>
      <w:pPr>
        <w:ind w:left="420" w:right="20" w:firstLine="4"/>
        <w:spacing w:after="0" w:line="279" w:lineRule="auto"/>
        <w:tabs>
          <w:tab w:leader="none" w:pos="590"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income tax effect of the pro forma pre-tax adjustments which resulted in an increase to deferred tax expense for the utilization of U.S. tax attributes against the related income, partially offset by a release of the U.S. valuation allowance against certain of those attributes.</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RSA also contemplates certain post-closing arrangements, including a transition services agreement, management incentive plans and the termination or elimination of certain intercompany balances and arrangements between BrazilCo and CoreCo, including arrangements that may result in a new receivable due to CoreCo. No pro forma adjustment has been reflected for these items because the related terms are not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521970</wp:posOffset>
            </wp:positionV>
            <wp:extent cx="7203440"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14" w:right="359" w:bottom="1440"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B1CC33"/>
    <w:multiLevelType w:val="hybridMultilevel"/>
    <w:lvl w:ilvl="0">
      <w:lvlJc w:val="left"/>
      <w:lvlText w:val="☒"/>
      <w:numFmt w:val="bullet"/>
      <w:start w:val="1"/>
    </w:lvl>
  </w:abstractNum>
  <w:abstractNum w:abstractNumId="1">
    <w:nsid w:val="2E22FBB7"/>
    <w:multiLevelType w:val="hybridMultilevel"/>
    <w:lvl w:ilvl="0">
      <w:lvlJc w:val="left"/>
      <w:lvlText w:val="☐"/>
      <w:numFmt w:val="bullet"/>
      <w:start w:val="1"/>
    </w:lvl>
  </w:abstractNum>
  <w:abstractNum w:abstractNumId="2">
    <w:nsid w:val="29934699"/>
    <w:multiLevelType w:val="hybridMultilevel"/>
    <w:lvl w:ilvl="0">
      <w:lvlJc w:val="left"/>
      <w:lvlText w:val="☐"/>
      <w:numFmt w:val="bullet"/>
      <w:start w:val="1"/>
    </w:lvl>
    <w:lvl w:ilvl="1">
      <w:lvlJc w:val="left"/>
      <w:lvlText w:val="☒"/>
      <w:numFmt w:val="bullet"/>
      <w:start w:val="1"/>
    </w:lvl>
  </w:abstractNum>
  <w:abstractNum w:abstractNumId="3">
    <w:nsid w:val="77485850"/>
    <w:multiLevelType w:val="hybridMultilevel"/>
    <w:lvl w:ilvl="0">
      <w:lvlJc w:val="left"/>
      <w:lvlText w:val="%1)"/>
      <w:numFmt w:val="lowerLetter"/>
      <w:start w:val="1"/>
    </w:lvl>
  </w:abstractNum>
  <w:abstractNum w:abstractNumId="4">
    <w:nsid w:val="744939A3"/>
    <w:multiLevelType w:val="hybridMultilevel"/>
    <w:lvl w:ilvl="0">
      <w:lvlJc w:val="left"/>
      <w:lvlText w:val="%1)"/>
      <w:numFmt w:val="lowerLetter"/>
      <w:start w:val="1"/>
    </w:lvl>
  </w:abstractNum>
  <w:abstractNum w:abstractNumId="5">
    <w:nsid w:val="4FA0D2E3"/>
    <w:multiLevelType w:val="hybridMultilevel"/>
    <w:lvl w:ilvl="0">
      <w:lvlJc w:val="left"/>
      <w:lvlText w:val="•"/>
      <w:numFmt w:val="bullet"/>
      <w:start w:val="1"/>
    </w:lvl>
  </w:abstractNum>
  <w:abstractNum w:abstractNumId="6">
    <w:nsid w:val="6B1D2C14"/>
    <w:multiLevelType w:val="hybridMultilevel"/>
    <w:lvl w:ilvl="0">
      <w:lvlJc w:val="left"/>
      <w:lvlText w:val="•"/>
      <w:numFmt w:val="bullet"/>
      <w:start w:val="1"/>
    </w:lvl>
  </w:abstractNum>
  <w:abstractNum w:abstractNumId="7">
    <w:nsid w:val="68B867D3"/>
    <w:multiLevelType w:val="hybridMultilevel"/>
    <w:lvl w:ilvl="0">
      <w:lvlJc w:val="left"/>
      <w:lvlText w:val="•"/>
      <w:numFmt w:val="bullet"/>
      <w:start w:val="1"/>
    </w:lvl>
  </w:abstractNum>
  <w:abstractNum w:abstractNumId="8">
    <w:nsid w:val="3F7F5DD9"/>
    <w:multiLevelType w:val="hybridMultilevel"/>
    <w:lvl w:ilvl="0">
      <w:lvlJc w:val="left"/>
      <w:lvlText w:val="%1."/>
      <w:numFmt w:val="decimal"/>
      <w:start w:val="1"/>
    </w:lvl>
  </w:abstractNum>
  <w:abstractNum w:abstractNumId="9">
    <w:nsid w:val="2AE05A34"/>
    <w:multiLevelType w:val="hybridMultilevel"/>
    <w:lvl w:ilvl="0">
      <w:lvlJc w:val="left"/>
      <w:lvlText w:val="%1."/>
      <w:numFmt w:val="decimal"/>
      <w:start w:val="2"/>
    </w:lvl>
  </w:abstractNum>
  <w:abstractNum w:abstractNumId="10">
    <w:nsid w:val="32794FF7"/>
    <w:multiLevelType w:val="hybridMultilevel"/>
    <w:lvl w:ilvl="0">
      <w:lvlJc w:val="left"/>
      <w:lvlText w:val="%1)"/>
      <w:numFmt w:val="lowerLetter"/>
      <w:start w:val="1"/>
    </w:lvl>
  </w:abstractNum>
  <w:abstractNum w:abstractNumId="11">
    <w:nsid w:val="5454945E"/>
    <w:multiLevelType w:val="hybridMultilevel"/>
    <w:lvl w:ilvl="0">
      <w:lvlJc w:val="left"/>
      <w:lvlText w:val="%1."/>
      <w:numFmt w:val="decimal"/>
      <w:start w:val="3"/>
    </w:lvl>
  </w:abstractNum>
  <w:abstractNum w:abstractNumId="12">
    <w:nsid w:val="4DEFDFA0"/>
    <w:multiLevelType w:val="hybridMultilevel"/>
    <w:lvl w:ilvl="0">
      <w:lvlJc w:val="left"/>
      <w:lvlText w:val="%1."/>
      <w:numFmt w:val="decimal"/>
      <w:start w:val="4"/>
    </w:lvl>
  </w:abstractNum>
  <w:abstractNum w:abstractNumId="13">
    <w:nsid w:val="2123D5F2"/>
    <w:multiLevelType w:val="hybridMultilevel"/>
    <w:lvl w:ilvl="0">
      <w:lvlJc w:val="left"/>
      <w:lvlText w:val="%1."/>
      <w:numFmt w:val="decimal"/>
      <w:start w:val="5"/>
    </w:lvl>
  </w:abstractNum>
  <w:abstractNum w:abstractNumId="14">
    <w:nsid w:val="135B8110"/>
    <w:multiLevelType w:val="hybridMultilevel"/>
    <w:lvl w:ilvl="0">
      <w:lvlJc w:val="left"/>
      <w:lvlText w:val="%1."/>
      <w:numFmt w:val="decimal"/>
      <w:start w:val="6"/>
    </w:lvl>
  </w:abstractNum>
  <w:abstractNum w:abstractNumId="15">
    <w:nsid w:val="94927A8"/>
    <w:multiLevelType w:val="hybridMultilevel"/>
    <w:lvl w:ilvl="0">
      <w:lvlJc w:val="left"/>
      <w:lvlText w:val="%1."/>
      <w:numFmt w:val="decimal"/>
      <w:start w:val="7"/>
    </w:lvl>
  </w:abstractNum>
  <w:abstractNum w:abstractNumId="16">
    <w:nsid w:val="DCDF8F6"/>
    <w:multiLevelType w:val="hybridMultilevel"/>
    <w:lvl w:ilvl="0">
      <w:lvlJc w:val="left"/>
      <w:lvlText w:val="(%1)"/>
      <w:numFmt w:val="lowerRoman"/>
      <w:start w:val="4"/>
    </w:lvl>
  </w:abstractNum>
  <w:abstractNum w:abstractNumId="17">
    <w:nsid w:val="52D7B105"/>
    <w:multiLevelType w:val="hybridMultilevel"/>
    <w:lvl w:ilvl="0">
      <w:lvlJc w:val="left"/>
      <w:lvlText w:val="•"/>
      <w:numFmt w:val="bullet"/>
      <w:start w:val="1"/>
    </w:lvl>
    <w:lvl w:ilvl="1">
      <w:lvlJc w:val="left"/>
      <w:lvlText w:val="•"/>
      <w:numFmt w:val="bullet"/>
      <w:start w:val="1"/>
    </w:lvl>
  </w:abstractNum>
  <w:abstractNum w:abstractNumId="18">
    <w:nsid w:val="2E8A6394"/>
    <w:multiLevelType w:val="hybridMultilevel"/>
    <w:lvl w:ilvl="0">
      <w:lvlJc w:val="left"/>
      <w:lvlText w:val="•"/>
      <w:numFmt w:val="bullet"/>
      <w:start w:val="1"/>
    </w:lvl>
  </w:abstractNum>
  <w:abstractNum w:abstractNumId="19">
    <w:nsid w:val="24E60401"/>
    <w:multiLevelType w:val="hybridMultilevel"/>
    <w:lvl w:ilvl="0">
      <w:lvlJc w:val="left"/>
      <w:lvlText w:val="•"/>
      <w:numFmt w:val="bullet"/>
      <w:start w:val="1"/>
    </w:lvl>
    <w:lvl w:ilvl="1">
      <w:lvlJc w:val="left"/>
      <w:lvlText w:val="◦"/>
      <w:numFmt w:val="bullet"/>
      <w:start w:val="1"/>
    </w:lvl>
  </w:abstractNum>
  <w:abstractNum w:abstractNumId="20">
    <w:nsid w:val="2A6AD9BE"/>
    <w:multiLevelType w:val="hybridMultilevel"/>
    <w:lvl w:ilvl="0">
      <w:lvlJc w:val="left"/>
      <w:lvlText w:val="•"/>
      <w:numFmt w:val="bullet"/>
      <w:start w:val="1"/>
    </w:lvl>
  </w:abstractNum>
  <w:abstractNum w:abstractNumId="21">
    <w:nsid w:val="BAAC1B4"/>
    <w:multiLevelType w:val="hybridMultilevel"/>
    <w:lvl w:ilvl="0">
      <w:lvlJc w:val="left"/>
      <w:lvlText w:val="•"/>
      <w:numFmt w:val="bullet"/>
      <w:start w:val="1"/>
    </w:lvl>
  </w:abstractNum>
  <w:abstractNum w:abstractNumId="22">
    <w:nsid w:val="36B2ACBC"/>
    <w:multiLevelType w:val="hybridMultilevel"/>
    <w:lvl w:ilvl="0">
      <w:lvlJc w:val="left"/>
      <w:lvlText w:val="•"/>
      <w:numFmt w:val="bullet"/>
      <w:start w:val="1"/>
    </w:lvl>
  </w:abstractNum>
  <w:abstractNum w:abstractNumId="23">
    <w:nsid w:val="779D8544"/>
    <w:multiLevelType w:val="hybridMultilevel"/>
    <w:lvl w:ilvl="0">
      <w:lvlJc w:val="left"/>
      <w:lvlText w:val="•"/>
      <w:numFmt w:val="bullet"/>
      <w:start w:val="1"/>
    </w:lvl>
  </w:abstractNum>
  <w:abstractNum w:abstractNumId="24">
    <w:nsid w:val="4AB26E78"/>
    <w:multiLevelType w:val="hybridMultilevel"/>
    <w:lvl w:ilvl="0">
      <w:lvlJc w:val="left"/>
      <w:lvlText w:val="•"/>
      <w:numFmt w:val="bullet"/>
      <w:start w:val="1"/>
    </w:lvl>
  </w:abstractNum>
  <w:abstractNum w:abstractNumId="25">
    <w:nsid w:val="21FAA2FA"/>
    <w:multiLevelType w:val="hybridMultilevel"/>
    <w:lvl w:ilvl="0">
      <w:lvlJc w:val="left"/>
      <w:lvlText w:val="•"/>
      <w:numFmt w:val="bullet"/>
      <w:start w:val="1"/>
    </w:lvl>
  </w:abstractNum>
  <w:abstractNum w:abstractNumId="26">
    <w:nsid w:val="5451CF49"/>
    <w:multiLevelType w:val="hybridMultilevel"/>
    <w:lvl w:ilvl="0">
      <w:lvlJc w:val="left"/>
      <w:lvlText w:val="•"/>
      <w:numFmt w:val="bullet"/>
      <w:start w:val="1"/>
    </w:lvl>
  </w:abstractNum>
  <w:abstractNum w:abstractNumId="27">
    <w:nsid w:val="6181EF69"/>
    <w:multiLevelType w:val="hybridMultilevel"/>
    <w:lvl w:ilvl="0">
      <w:lvlJc w:val="left"/>
      <w:lvlText w:val="•"/>
      <w:numFmt w:val="bullet"/>
      <w:start w:val="1"/>
    </w:lvl>
  </w:abstractNum>
  <w:abstractNum w:abstractNumId="28">
    <w:nsid w:val="3E6400E6"/>
    <w:multiLevelType w:val="hybridMultilevel"/>
    <w:lvl w:ilvl="0">
      <w:lvlJc w:val="left"/>
      <w:lvlText w:val="•"/>
      <w:numFmt w:val="bullet"/>
      <w:start w:val="1"/>
    </w:lvl>
  </w:abstractNum>
  <w:abstractNum w:abstractNumId="29">
    <w:nsid w:val="14217E23"/>
    <w:multiLevelType w:val="hybridMultilevel"/>
    <w:lvl w:ilvl="0">
      <w:lvlJc w:val="left"/>
      <w:lvlText w:val="•"/>
      <w:numFmt w:val="bullet"/>
      <w:start w:val="1"/>
    </w:lvl>
  </w:abstractNum>
  <w:abstractNum w:abstractNumId="30">
    <w:nsid w:val="710757D0"/>
    <w:multiLevelType w:val="hybridMultilevel"/>
    <w:lvl w:ilvl="0">
      <w:lvlJc w:val="left"/>
      <w:lvlText w:val="•"/>
      <w:numFmt w:val="bullet"/>
      <w:start w:val="1"/>
    </w:lvl>
  </w:abstractNum>
  <w:abstractNum w:abstractNumId="31">
    <w:nsid w:val="5015CD1A"/>
    <w:multiLevelType w:val="hybridMultilevel"/>
    <w:lvl w:ilvl="0">
      <w:lvlJc w:val="left"/>
      <w:lvlText w:val="•"/>
      <w:numFmt w:val="bullet"/>
      <w:start w:val="1"/>
    </w:lvl>
  </w:abstractNum>
  <w:abstractNum w:abstractNumId="32">
    <w:nsid w:val="424479DA"/>
    <w:multiLevelType w:val="hybridMultilevel"/>
    <w:lvl w:ilvl="0">
      <w:lvlJc w:val="left"/>
      <w:lvlText w:val="(%1)"/>
      <w:numFmt w:val="lowerRoman"/>
    </w:lvl>
    <w:lvl w:ilvl="1">
      <w:lvlJc w:val="left"/>
      <w:lvlText w:val="•"/>
      <w:numFmt w:val="bullet"/>
      <w:start w:val="1"/>
    </w:lvl>
  </w:abstractNum>
  <w:abstractNum w:abstractNumId="33">
    <w:nsid w:val="1A9A9E69"/>
    <w:multiLevelType w:val="hybridMultilevel"/>
    <w:lvl w:ilvl="0">
      <w:lvlJc w:val="left"/>
      <w:lvlText w:val="•"/>
      <w:numFmt w:val="bullet"/>
      <w:start w:val="1"/>
    </w:lvl>
  </w:abstractNum>
  <w:abstractNum w:abstractNumId="34">
    <w:nsid w:val="475E256A"/>
    <w:multiLevelType w:val="hybridMultilevel"/>
    <w:lvl w:ilvl="0">
      <w:lvlJc w:val="left"/>
      <w:lvlText w:val="•"/>
      <w:numFmt w:val="bullet"/>
      <w:start w:val="1"/>
    </w:lvl>
  </w:abstractNum>
  <w:abstractNum w:abstractNumId="35">
    <w:nsid w:val="368DB37E"/>
    <w:multiLevelType w:val="hybridMultilevel"/>
    <w:lvl w:ilvl="0">
      <w:lvlJc w:val="left"/>
      <w:lvlText w:val="•"/>
      <w:numFmt w:val="bullet"/>
      <w:start w:val="1"/>
    </w:lvl>
  </w:abstractNum>
  <w:abstractNum w:abstractNumId="36">
    <w:nsid w:val="6A3B714C"/>
    <w:multiLevelType w:val="hybridMultilevel"/>
    <w:lvl w:ilvl="0">
      <w:lvlJc w:val="left"/>
      <w:lvlText w:val="•"/>
      <w:numFmt w:val="bullet"/>
      <w:start w:val="1"/>
    </w:lvl>
  </w:abstractNum>
  <w:abstractNum w:abstractNumId="37">
    <w:nsid w:val="327B517E"/>
    <w:multiLevelType w:val="hybridMultilevel"/>
    <w:lvl w:ilvl="0">
      <w:lvlJc w:val="left"/>
      <w:lvlText w:val="*"/>
      <w:numFmt w:val="bullet"/>
      <w:start w:val="1"/>
    </w:lvl>
  </w:abstractNum>
  <w:abstractNum w:abstractNumId="38">
    <w:nsid w:val="1F461B51"/>
    <w:multiLevelType w:val="hybridMultilevel"/>
    <w:lvl w:ilvl="0">
      <w:lvlJc w:val="left"/>
      <w:lvlText w:val="•"/>
      <w:numFmt w:val="bullet"/>
      <w:start w:val="1"/>
    </w:lvl>
  </w:abstractNum>
  <w:abstractNum w:abstractNumId="39">
    <w:nsid w:val="29BACF25"/>
    <w:multiLevelType w:val="hybridMultilevel"/>
    <w:lvl w:ilvl="0">
      <w:lvlJc w:val="left"/>
      <w:lvlText w:val="•"/>
      <w:numFmt w:val="bullet"/>
      <w:start w:val="1"/>
    </w:lvl>
  </w:abstractNum>
  <w:abstractNum w:abstractNumId="40">
    <w:nsid w:val="5D5BABB3"/>
    <w:multiLevelType w:val="hybridMultilevel"/>
    <w:lvl w:ilvl="0">
      <w:lvlJc w:val="left"/>
      <w:lvlText w:val="•"/>
      <w:numFmt w:val="bullet"/>
      <w:start w:val="1"/>
    </w:lvl>
  </w:abstractNum>
  <w:abstractNum w:abstractNumId="41">
    <w:nsid w:val="51BF6B48"/>
    <w:multiLevelType w:val="hybridMultilevel"/>
    <w:lvl w:ilvl="0">
      <w:lvlJc w:val="left"/>
      <w:lvlText w:val="•"/>
      <w:numFmt w:val="bullet"/>
      <w:start w:val="1"/>
    </w:lvl>
  </w:abstractNum>
  <w:abstractNum w:abstractNumId="42">
    <w:nsid w:val="7E0F6384"/>
    <w:multiLevelType w:val="hybridMultilevel"/>
    <w:lvl w:ilvl="0">
      <w:lvlJc w:val="left"/>
      <w:lvlText w:val="•"/>
      <w:numFmt w:val="bullet"/>
      <w:start w:val="1"/>
    </w:lvl>
  </w:abstractNum>
  <w:abstractNum w:abstractNumId="43">
    <w:nsid w:val="2B4B8B53"/>
    <w:multiLevelType w:val="hybridMultilevel"/>
    <w:lvl w:ilvl="0">
      <w:lvlJc w:val="left"/>
      <w:lvlText w:val="•"/>
      <w:numFmt w:val="bullet"/>
      <w:start w:val="1"/>
    </w:lvl>
  </w:abstractNum>
  <w:abstractNum w:abstractNumId="44">
    <w:nsid w:val="72E3413A"/>
    <w:multiLevelType w:val="hybridMultilevel"/>
    <w:lvl w:ilvl="0">
      <w:lvlJc w:val="left"/>
      <w:lvlText w:val="(%1)"/>
      <w:numFmt w:val="decimal"/>
      <w:start w:val="1"/>
    </w:lvl>
  </w:abstractNum>
  <w:abstractNum w:abstractNumId="45">
    <w:nsid w:val="116AE494"/>
    <w:multiLevelType w:val="hybridMultilevel"/>
    <w:lvl w:ilvl="0">
      <w:lvlJc w:val="left"/>
      <w:lvlText w:val="(%1)"/>
      <w:numFmt w:val="decimal"/>
      <w:start w:val="1"/>
    </w:lvl>
  </w:abstractNum>
  <w:abstractNum w:abstractNumId="46">
    <w:nsid w:val="3494B2FB"/>
    <w:multiLevelType w:val="hybridMultilevel"/>
    <w:lvl w:ilvl="0">
      <w:lvlJc w:val="left"/>
      <w:lvlText w:val="(%1)"/>
      <w:numFmt w:val="decimal"/>
      <w:start w:val="1"/>
    </w:lvl>
  </w:abstractNum>
  <w:abstractNum w:abstractNumId="47">
    <w:nsid w:val="B13A31"/>
    <w:multiLevelType w:val="hybridMultilevel"/>
    <w:lvl w:ilvl="0">
      <w:lvlJc w:val="left"/>
      <w:lvlText w:val="(%1)"/>
      <w:numFmt w:val="decimal"/>
      <w:start w:val="3"/>
    </w:lvl>
  </w:abstractNum>
  <w:abstractNum w:abstractNumId="48">
    <w:nsid w:val="64429599"/>
    <w:multiLevelType w:val="hybridMultilevel"/>
    <w:lvl w:ilvl="0">
      <w:lvlJc w:val="left"/>
      <w:lvlText w:val="(%1)"/>
      <w:numFmt w:val="decimal"/>
      <w:start w:val="1"/>
    </w:lvl>
  </w:abstractNum>
  <w:abstractNum w:abstractNumId="49">
    <w:nsid w:val="631F1690"/>
    <w:multiLevelType w:val="hybridMultilevel"/>
    <w:lvl w:ilvl="0">
      <w:lvlJc w:val="left"/>
      <w:lvlText w:val="(%1)"/>
      <w:numFmt w:val="decimal"/>
      <w:start w:val="3"/>
    </w:lvl>
  </w:abstractNum>
  <w:abstractNum w:abstractNumId="50">
    <w:nsid w:val="25973E32"/>
    <w:multiLevelType w:val="hybridMultilevel"/>
    <w:lvl w:ilvl="0">
      <w:lvlJc w:val="left"/>
      <w:lvlText w:val="(%1)"/>
      <w:numFmt w:val="decimal"/>
      <w:start w:val="1"/>
    </w:lvl>
  </w:abstractNum>
  <w:abstractNum w:abstractNumId="51">
    <w:nsid w:val="EAD6F57"/>
    <w:multiLevelType w:val="hybridMultilevel"/>
    <w:lvl w:ilvl="0">
      <w:lvlJc w:val="left"/>
      <w:lvlText w:val="•"/>
      <w:numFmt w:val="bullet"/>
      <w:start w:val="1"/>
    </w:lvl>
  </w:abstractNum>
  <w:abstractNum w:abstractNumId="52">
    <w:nsid w:val="6EC9D844"/>
    <w:multiLevelType w:val="hybridMultilevel"/>
    <w:lvl w:ilvl="0">
      <w:lvlJc w:val="left"/>
      <w:lvlText w:val="*"/>
      <w:numFmt w:val="bullet"/>
      <w:start w:val="1"/>
    </w:lvl>
  </w:abstractNum>
  <w:abstractNum w:abstractNumId="53">
    <w:nsid w:val="5C49EAEE"/>
    <w:multiLevelType w:val="hybridMultilevel"/>
    <w:lvl w:ilvl="0">
      <w:lvlJc w:val="left"/>
      <w:lvlText w:val="(%1)"/>
      <w:numFmt w:val="decimal"/>
      <w:start w:val="2"/>
    </w:lvl>
  </w:abstractNum>
  <w:abstractNum w:abstractNumId="54">
    <w:nsid w:val="64AF49B"/>
    <w:multiLevelType w:val="hybridMultilevel"/>
    <w:lvl w:ilvl="0">
      <w:lvlJc w:val="left"/>
      <w:lvlText w:val="(%1)"/>
      <w:numFmt w:val="decimal"/>
      <w:start w:val="5"/>
    </w:lvl>
  </w:abstractNum>
  <w:abstractNum w:abstractNumId="55">
    <w:nsid w:val="397C46BC"/>
    <w:multiLevelType w:val="hybridMultilevel"/>
    <w:lvl w:ilvl="0">
      <w:lvlJc w:val="left"/>
      <w:lvlText w:val="(%1)"/>
      <w:numFmt w:val="decimal"/>
      <w:start w:val="7"/>
    </w:lvl>
  </w:abstractNum>
  <w:abstractNum w:abstractNumId="56">
    <w:nsid w:val="7E448DE9"/>
    <w:multiLevelType w:val="hybridMultilevel"/>
    <w:lvl w:ilvl="0">
      <w:lvlJc w:val="left"/>
      <w:lvlText w:val="•"/>
      <w:numFmt w:val="bullet"/>
      <w:start w:val="1"/>
    </w:lvl>
  </w:abstractNum>
  <w:abstractNum w:abstractNumId="57">
    <w:nsid w:val="5A9CC3E5"/>
    <w:multiLevelType w:val="hybridMultilevel"/>
    <w:lvl w:ilvl="0">
      <w:lvlJc w:val="left"/>
      <w:lvlText w:val="•"/>
      <w:numFmt w:val="bullet"/>
      <w:start w:val="1"/>
    </w:lvl>
  </w:abstractNum>
  <w:abstractNum w:abstractNumId="58">
    <w:nsid w:val="1AFE3625"/>
    <w:multiLevelType w:val="hybridMultilevel"/>
    <w:lvl w:ilvl="0">
      <w:lvlJc w:val="left"/>
      <w:lvlText w:val="(%1)"/>
      <w:numFmt w:val="decimal"/>
      <w:start w:val="1"/>
    </w:lvl>
  </w:abstractNum>
  <w:abstractNum w:abstractNumId="59">
    <w:nsid w:val="3CA88ECF"/>
    <w:multiLevelType w:val="hybridMultilevel"/>
    <w:lvl w:ilvl="0">
      <w:lvlJc w:val="left"/>
      <w:lvlText w:val="(%1)"/>
      <w:numFmt w:val="lowerLetter"/>
      <w:start w:val="1"/>
    </w:lvl>
  </w:abstractNum>
  <w:abstractNum w:abstractNumId="60">
    <w:nsid w:val="6EBE4208"/>
    <w:multiLevelType w:val="hybridMultilevel"/>
    <w:lvl w:ilvl="0">
      <w:lvlJc w:val="left"/>
      <w:lvlText w:val="(%1)"/>
      <w:numFmt w:val="lowerLetter"/>
      <w:start w:val="3"/>
    </w:lvl>
  </w:abstractNum>
  <w:abstractNum w:abstractNumId="61">
    <w:nsid w:val="C058DF5"/>
    <w:multiLevelType w:val="hybridMultilevel"/>
    <w:lvl w:ilvl="0">
      <w:lvlJc w:val="left"/>
      <w:lvlText w:val="(%1)"/>
      <w:numFmt w:val="decimal"/>
      <w:start w:val="1"/>
    </w:lvl>
  </w:abstractNum>
  <w:abstractNum w:abstractNumId="62">
    <w:nsid w:val="CBE5BE9"/>
    <w:multiLevelType w:val="hybridMultilevel"/>
    <w:lvl w:ilvl="0">
      <w:lvlJc w:val="left"/>
      <w:lvlText w:val="(%1)"/>
      <w:numFmt w:val="decimal"/>
      <w:start w:val="1"/>
    </w:lvl>
  </w:abstractNum>
  <w:abstractNum w:abstractNumId="63">
    <w:nsid w:val="3102BBE2"/>
    <w:multiLevelType w:val="hybridMultilevel"/>
    <w:lvl w:ilvl="0">
      <w:lvlJc w:val="left"/>
      <w:lvlText w:val="•"/>
      <w:numFmt w:val="bullet"/>
      <w:start w:val="1"/>
    </w:lvl>
  </w:abstractNum>
  <w:abstractNum w:abstractNumId="64">
    <w:nsid w:val="26A02C5E"/>
    <w:multiLevelType w:val="hybridMultilevel"/>
    <w:lvl w:ilvl="0">
      <w:lvlJc w:val="left"/>
      <w:lvlText w:val="•"/>
      <w:numFmt w:val="bullet"/>
      <w:start w:val="1"/>
    </w:lvl>
  </w:abstractNum>
  <w:abstractNum w:abstractNumId="65">
    <w:nsid w:val="541C8153"/>
    <w:multiLevelType w:val="hybridMultilevel"/>
    <w:lvl w:ilvl="0">
      <w:lvlJc w:val="left"/>
      <w:lvlText w:val="•"/>
      <w:numFmt w:val="bullet"/>
      <w:start w:val="1"/>
    </w:lvl>
  </w:abstractNum>
  <w:abstractNum w:abstractNumId="66">
    <w:nsid w:val="67906F60"/>
    <w:multiLevelType w:val="hybridMultilevel"/>
    <w:lvl w:ilvl="0">
      <w:lvlJc w:val="left"/>
      <w:lvlText w:val="•"/>
      <w:numFmt w:val="bullet"/>
      <w:start w:val="1"/>
    </w:lvl>
  </w:abstractNum>
  <w:abstractNum w:abstractNumId="67">
    <w:nsid w:val="10DB9DAA"/>
    <w:multiLevelType w:val="hybridMultilevel"/>
    <w:lvl w:ilvl="0">
      <w:lvlJc w:val="left"/>
      <w:lvlText w:val="•"/>
      <w:numFmt w:val="bullet"/>
      <w:start w:val="1"/>
    </w:lvl>
  </w:abstractNum>
  <w:abstractNum w:abstractNumId="68">
    <w:nsid w:val="697D2D2"/>
    <w:multiLevelType w:val="hybridMultilevel"/>
    <w:lvl w:ilvl="0">
      <w:lvlJc w:val="left"/>
      <w:lvlText w:val="(%1)"/>
      <w:numFmt w:val="lowerRoman"/>
      <w:start w:val="1"/>
    </w:lvl>
  </w:abstractNum>
  <w:abstractNum w:abstractNumId="69">
    <w:nsid w:val="6D68AB2"/>
    <w:multiLevelType w:val="hybridMultilevel"/>
    <w:lvl w:ilvl="0">
      <w:lvlJc w:val="left"/>
      <w:lvlText w:val="%1."/>
      <w:numFmt w:val="decimal"/>
      <w:start w:val="1"/>
    </w:lvl>
  </w:abstractNum>
  <w:abstractNum w:abstractNumId="70">
    <w:nsid w:val="3A966CD0"/>
    <w:multiLevelType w:val="hybridMultilevel"/>
    <w:lvl w:ilvl="0">
      <w:lvlJc w:val="left"/>
      <w:lvlText w:val="."/>
      <w:numFmt w:val="bullet"/>
      <w:start w:val="1"/>
    </w:lvl>
  </w:abstractNum>
  <w:abstractNum w:abstractNumId="71">
    <w:nsid w:val="63F37E85"/>
    <w:multiLevelType w:val="hybridMultilevel"/>
    <w:lvl w:ilvl="0">
      <w:lvlJc w:val="left"/>
      <w:lvlText w:val="%1."/>
      <w:numFmt w:val="decimal"/>
      <w:start w:val="2"/>
    </w:lvl>
  </w:abstractNum>
  <w:abstractNum w:abstractNumId="72">
    <w:nsid w:val="5895F5FA"/>
    <w:multiLevelType w:val="hybridMultilevel"/>
    <w:lvl w:ilvl="0">
      <w:lvlJc w:val="left"/>
      <w:lvlText w:val="%1."/>
      <w:numFmt w:val="decimal"/>
      <w:start w:val="1"/>
    </w:lvl>
  </w:abstractNum>
  <w:abstractNum w:abstractNumId="73">
    <w:nsid w:val="38A5D054"/>
    <w:multiLevelType w:val="hybridMultilevel"/>
    <w:lvl w:ilvl="0">
      <w:lvlJc w:val="left"/>
      <w:lvlText w:val="."/>
      <w:numFmt w:val="bullet"/>
      <w:start w:val="1"/>
    </w:lvl>
    <w:lvl w:ilvl="1">
      <w:lvlJc w:val="left"/>
      <w:lvlText w:val="%2."/>
      <w:numFmt w:val="decimal"/>
      <w:start w:val="2"/>
    </w:lvl>
  </w:abstractNum>
  <w:abstractNum w:abstractNumId="74">
    <w:nsid w:val="F3F09D8"/>
    <w:multiLevelType w:val="hybridMultilevel"/>
    <w:lvl w:ilvl="0">
      <w:lvlJc w:val="left"/>
      <w:lvlText w:val="."/>
      <w:numFmt w:val="bullet"/>
      <w:start w:val="1"/>
    </w:lvl>
  </w:abstractNum>
  <w:abstractNum w:abstractNumId="75">
    <w:nsid w:val="4B793735"/>
    <w:multiLevelType w:val="hybridMultilevel"/>
    <w:lvl w:ilvl="0">
      <w:lvlJc w:val="left"/>
      <w:lvlText w:val="%1."/>
      <w:numFmt w:val="decimal"/>
      <w:start w:val="3"/>
    </w:lvl>
  </w:abstractNum>
  <w:abstractNum w:abstractNumId="76">
    <w:nsid w:val="4A10B4E8"/>
    <w:multiLevelType w:val="hybridMultilevel"/>
    <w:lvl w:ilvl="0">
      <w:lvlJc w:val="left"/>
      <w:lvlText w:val="."/>
      <w:numFmt w:val="bullet"/>
      <w:start w:val="1"/>
    </w:lvl>
    <w:lvl w:ilvl="1">
      <w:lvlJc w:val="left"/>
      <w:lvlText w:val="%2."/>
      <w:numFmt w:val="decimal"/>
      <w:start w:val="4"/>
    </w:lvl>
  </w:abstractNum>
  <w:abstractNum w:abstractNumId="77">
    <w:nsid w:val="43D3BCD4"/>
    <w:multiLevelType w:val="hybridMultilevel"/>
    <w:lvl w:ilvl="0">
      <w:lvlJc w:val="left"/>
      <w:lvlText w:val="."/>
      <w:numFmt w:val="bullet"/>
      <w:start w:val="1"/>
    </w:lvl>
    <w:lvl w:ilvl="1">
      <w:lvlJc w:val="left"/>
      <w:lvlText w:val="%2."/>
      <w:numFmt w:val="decimal"/>
      <w:start w:val="5"/>
    </w:lvl>
  </w:abstractNum>
  <w:abstractNum w:abstractNumId="78">
    <w:nsid w:val="4C2A7166"/>
    <w:multiLevelType w:val="hybridMultilevel"/>
    <w:lvl w:ilvl="0">
      <w:lvlJc w:val="left"/>
      <w:lvlText w:val="."/>
      <w:numFmt w:val="bullet"/>
      <w:start w:val="1"/>
    </w:lvl>
  </w:abstractNum>
  <w:abstractNum w:abstractNumId="79">
    <w:nsid w:val="2E534A82"/>
    <w:multiLevelType w:val="hybridMultilevel"/>
    <w:lvl w:ilvl="0">
      <w:lvlJc w:val="left"/>
      <w:lvlText w:val="%1."/>
      <w:numFmt w:val="decimal"/>
      <w:start w:val="6"/>
    </w:lvl>
  </w:abstractNum>
  <w:abstractNum w:abstractNumId="80">
    <w:nsid w:val="26F2D364"/>
    <w:multiLevelType w:val="hybridMultilevel"/>
    <w:lvl w:ilvl="0">
      <w:lvlJc w:val="left"/>
      <w:lvlText w:val="."/>
      <w:numFmt w:val="bullet"/>
      <w:start w:val="1"/>
    </w:lvl>
    <w:lvl w:ilvl="1">
      <w:lvlJc w:val="left"/>
      <w:lvlText w:val="%2."/>
      <w:numFmt w:val="decimal"/>
      <w:start w:val="7"/>
    </w:lvl>
  </w:abstractNum>
  <w:abstractNum w:abstractNumId="81">
    <w:nsid w:val="71C1AF98"/>
    <w:multiLevelType w:val="hybridMultilevel"/>
    <w:lvl w:ilvl="0">
      <w:lvlJc w:val="left"/>
      <w:lvlText w:val="."/>
      <w:numFmt w:val="bullet"/>
      <w:start w:val="1"/>
    </w:lvl>
  </w:abstractNum>
  <w:abstractNum w:abstractNumId="82">
    <w:nsid w:val="3D00B9D9"/>
    <w:multiLevelType w:val="hybridMultilevel"/>
    <w:lvl w:ilvl="0">
      <w:lvlJc w:val="left"/>
      <w:lvlText w:val="%1."/>
      <w:numFmt w:val="decimal"/>
      <w:start w:val="8"/>
    </w:lvl>
  </w:abstractNum>
  <w:abstractNum w:abstractNumId="83">
    <w:nsid w:val="15BCABA8"/>
    <w:multiLevelType w:val="hybridMultilevel"/>
    <w:lvl w:ilvl="0">
      <w:lvlJc w:val="left"/>
      <w:lvlText w:val="."/>
      <w:numFmt w:val="bullet"/>
      <w:start w:val="1"/>
    </w:lvl>
  </w:abstractNum>
  <w:abstractNum w:abstractNumId="84">
    <w:nsid w:val="4E0B9A87"/>
    <w:multiLevelType w:val="hybridMultilevel"/>
    <w:lvl w:ilvl="0">
      <w:lvlJc w:val="left"/>
      <w:lvlText w:val="%1."/>
      <w:numFmt w:val="decimal"/>
      <w:start w:val="9"/>
    </w:lvl>
  </w:abstractNum>
  <w:abstractNum w:abstractNumId="85">
    <w:nsid w:val="434BAE75"/>
    <w:multiLevelType w:val="hybridMultilevel"/>
    <w:lvl w:ilvl="0">
      <w:lvlJc w:val="left"/>
      <w:lvlText w:val="."/>
      <w:numFmt w:val="bullet"/>
      <w:start w:val="1"/>
    </w:lvl>
  </w:abstractNum>
  <w:abstractNum w:abstractNumId="86">
    <w:nsid w:val="4F38F265"/>
    <w:multiLevelType w:val="hybridMultilevel"/>
    <w:lvl w:ilvl="0">
      <w:lvlJc w:val="left"/>
      <w:lvlText w:val="%1."/>
      <w:numFmt w:val="decimal"/>
      <w:start w:val="10"/>
    </w:lvl>
  </w:abstractNum>
  <w:abstractNum w:abstractNumId="87">
    <w:nsid w:val="4C502870"/>
    <w:multiLevelType w:val="hybridMultilevel"/>
    <w:lvl w:ilvl="0">
      <w:lvlJc w:val="left"/>
      <w:lvlText w:val="."/>
      <w:numFmt w:val="bullet"/>
      <w:start w:val="1"/>
    </w:lvl>
    <w:lvl w:ilvl="1">
      <w:lvlJc w:val="left"/>
      <w:lvlText w:val="%2."/>
      <w:numFmt w:val="decimal"/>
      <w:start w:val="11"/>
    </w:lvl>
  </w:abstractNum>
  <w:abstractNum w:abstractNumId="88">
    <w:nsid w:val="1DE8725A"/>
    <w:multiLevelType w:val="hybridMultilevel"/>
    <w:lvl w:ilvl="0">
      <w:lvlJc w:val="left"/>
      <w:lvlText w:val="."/>
      <w:numFmt w:val="bullet"/>
      <w:start w:val="1"/>
    </w:lvl>
    <w:lvl w:ilvl="1">
      <w:lvlJc w:val="left"/>
      <w:lvlText w:val="%2."/>
      <w:numFmt w:val="decimal"/>
      <w:start w:val="12"/>
    </w:lvl>
  </w:abstractNum>
  <w:abstractNum w:abstractNumId="89">
    <w:nsid w:val="6A37288A"/>
    <w:multiLevelType w:val="hybridMultilevel"/>
    <w:lvl w:ilvl="0">
      <w:lvlJc w:val="left"/>
      <w:lvlText w:val="(%1)"/>
      <w:numFmt w:val="lowerLetter"/>
      <w:start w:val="1"/>
    </w:lvl>
  </w:abstractNum>
  <w:abstractNum w:abstractNumId="90">
    <w:nsid w:val="8F8B73F"/>
    <w:multiLevelType w:val="hybridMultilevel"/>
    <w:lvl w:ilvl="0">
      <w:lvlJc w:val="left"/>
      <w:lvlText w:val="%1"/>
      <w:numFmt w:val="decimal"/>
      <w:start w:val="1"/>
    </w:lvl>
    <w:lvl w:ilvl="1">
      <w:lvlJc w:val="left"/>
      <w:lvlText w:val="(%2)"/>
      <w:numFmt w:val="lowerLetter"/>
      <w:start w:val="2"/>
    </w:lvl>
  </w:abstractNum>
  <w:abstractNum w:abstractNumId="91">
    <w:nsid w:val="CA6B462"/>
    <w:multiLevelType w:val="hybridMultilevel"/>
    <w:lvl w:ilvl="0">
      <w:lvlJc w:val="left"/>
      <w:lvlText w:val="%1."/>
      <w:numFmt w:val="decimal"/>
      <w:start w:val="13"/>
    </w:lvl>
    <w:lvl w:ilvl="1">
      <w:lvlJc w:val="left"/>
      <w:lvlText w:val="%2"/>
      <w:numFmt w:val="lowerLetter"/>
      <w:start w:val="1"/>
    </w:lvl>
  </w:abstractNum>
  <w:abstractNum w:abstractNumId="92">
    <w:nsid w:val="763CB680"/>
    <w:multiLevelType w:val="hybridMultilevel"/>
    <w:lvl w:ilvl="0">
      <w:lvlJc w:val="left"/>
      <w:lvlText w:val="."/>
      <w:numFmt w:val="bullet"/>
      <w:start w:val="1"/>
    </w:lvl>
    <w:lvl w:ilvl="1">
      <w:lvlJc w:val="left"/>
      <w:lvlText w:val="%2."/>
      <w:numFmt w:val="decimal"/>
      <w:start w:val="14"/>
    </w:lvl>
  </w:abstractNum>
  <w:abstractNum w:abstractNumId="93">
    <w:nsid w:val="15B71329"/>
    <w:multiLevelType w:val="hybridMultilevel"/>
    <w:lvl w:ilvl="0">
      <w:lvlJc w:val="left"/>
      <w:lvlText w:val="."/>
      <w:numFmt w:val="bullet"/>
      <w:start w:val="1"/>
    </w:lvl>
  </w:abstractNum>
  <w:abstractNum w:abstractNumId="94">
    <w:nsid w:val="3DA97044"/>
    <w:multiLevelType w:val="hybridMultilevel"/>
    <w:lvl w:ilvl="0">
      <w:lvlJc w:val="left"/>
      <w:lvlText w:val="%1."/>
      <w:numFmt w:val="decimal"/>
      <w:start w:val="15"/>
    </w:lvl>
  </w:abstractNum>
  <w:abstractNum w:abstractNumId="95">
    <w:nsid w:val="1CDCE2DE"/>
    <w:multiLevelType w:val="hybridMultilevel"/>
    <w:lvl w:ilvl="0">
      <w:lvlJc w:val="left"/>
      <w:lvlText w:val="."/>
      <w:numFmt w:val="bullet"/>
      <w:start w:val="1"/>
    </w:lvl>
    <w:lvl w:ilvl="1">
      <w:lvlJc w:val="left"/>
      <w:lvlText w:val="%2."/>
      <w:numFmt w:val="decimal"/>
      <w:start w:val="16"/>
    </w:lvl>
  </w:abstractNum>
  <w:abstractNum w:abstractNumId="96">
    <w:nsid w:val="69D3947C"/>
    <w:multiLevelType w:val="hybridMultilevel"/>
    <w:lvl w:ilvl="0">
      <w:lvlJc w:val="left"/>
      <w:lvlText w:val="."/>
      <w:numFmt w:val="bullet"/>
      <w:start w:val="1"/>
    </w:lvl>
    <w:lvl w:ilvl="1">
      <w:lvlJc w:val="left"/>
      <w:lvlText w:val="%2."/>
      <w:numFmt w:val="decimal"/>
      <w:start w:val="17"/>
    </w:lvl>
  </w:abstractNum>
  <w:abstractNum w:abstractNumId="97">
    <w:nsid w:val="2539DFA5"/>
    <w:multiLevelType w:val="hybridMultilevel"/>
    <w:lvl w:ilvl="0">
      <w:lvlJc w:val="left"/>
      <w:lvlText w:val="(%1)"/>
      <w:numFmt w:val="lowerLetter"/>
      <w:start w:val="1"/>
    </w:lvl>
  </w:abstractNum>
  <w:abstractNum w:abstractNumId="98">
    <w:nsid w:val="2DB88089"/>
    <w:multiLevelType w:val="hybridMultilevel"/>
    <w:lvl w:ilvl="0">
      <w:lvlJc w:val="left"/>
      <w:lvlText w:val="(%1)"/>
      <w:numFmt w:val="lowerLetter"/>
      <w:start w:val="3"/>
    </w:lvl>
  </w:abstractNum>
  <w:abstractNum w:abstractNumId="99">
    <w:nsid w:val="706B674E"/>
    <w:multiLevelType w:val="hybridMultilevel"/>
    <w:lvl w:ilvl="0">
      <w:lvlJc w:val="left"/>
      <w:lvlText w:val="(%1)"/>
      <w:numFmt w:val="lowerLetter"/>
      <w:start w:val="7"/>
    </w:lvl>
  </w:abstractNum>
  <w:abstractNum w:abstractNumId="100">
    <w:nsid w:val="2C106A57"/>
    <w:multiLevelType w:val="hybridMultilevel"/>
    <w:lvl w:ilvl="0">
      <w:lvlJc w:val="left"/>
      <w:lvlText w:val="%1."/>
      <w:numFmt w:val="decimal"/>
      <w:start w:val="1"/>
    </w:lvl>
  </w:abstractNum>
  <w:abstractNum w:abstractNumId="101">
    <w:nsid w:val="684EED59"/>
    <w:multiLevelType w:val="hybridMultilevel"/>
    <w:lvl w:ilvl="0">
      <w:lvlJc w:val="left"/>
      <w:lvlText w:val="."/>
      <w:numFmt w:val="bullet"/>
      <w:start w:val="1"/>
    </w:lvl>
    <w:lvl w:ilvl="1">
      <w:lvlJc w:val="left"/>
      <w:lvlText w:val="(%2)"/>
      <w:numFmt w:val="lowerLetter"/>
      <w:start w:val="1"/>
    </w:lvl>
  </w:abstractNum>
  <w:abstractNum w:abstractNumId="102">
    <w:nsid w:val="545EE5D3"/>
    <w:multiLevelType w:val="hybridMultilevel"/>
    <w:lvl w:ilvl="0">
      <w:lvlJc w:val="left"/>
      <w:lvlText w:val="(%1)"/>
      <w:numFmt w:val="lowerLetter"/>
      <w:start w:val="2"/>
    </w:lvl>
  </w:abstractNum>
  <w:abstractNum w:abstractNumId="103">
    <w:nsid w:val="4A66051"/>
    <w:multiLevelType w:val="hybridMultilevel"/>
    <w:lvl w:ilvl="0">
      <w:lvlJc w:val="left"/>
      <w:lvlText w:val="%1"/>
      <w:numFmt w:val="decimal"/>
      <w:start w:val="1"/>
    </w:lvl>
    <w:lvl w:ilvl="1">
      <w:lvlJc w:val="left"/>
      <w:lvlText w:val="(%2)"/>
      <w:numFmt w:val="lowerLetter"/>
      <w:start w:val="14"/>
    </w:lvl>
  </w:abstractNum>
  <w:abstractNum w:abstractNumId="104">
    <w:nsid w:val="20F4BDAD"/>
    <w:multiLevelType w:val="hybridMultilevel"/>
    <w:lvl w:ilvl="0">
      <w:lvlJc w:val="left"/>
      <w:lvlText w:val="%1."/>
      <w:numFmt w:val="decimal"/>
      <w:start w:val="2"/>
    </w:lvl>
    <w:lvl w:ilvl="1">
      <w:lvlJc w:val="left"/>
      <w:lvlText w:val="%2"/>
      <w:numFmt w:val="lowerLetter"/>
      <w:start w:val="1"/>
    </w:lvl>
  </w:abstractNum>
  <w:abstractNum w:abstractNumId="105">
    <w:nsid w:val="639DEFAC"/>
    <w:multiLevelType w:val="hybridMultilevel"/>
    <w:lvl w:ilvl="0">
      <w:lvlJc w:val="left"/>
      <w:lvlText w:val="."/>
      <w:numFmt w:val="bullet"/>
      <w:start w:val="1"/>
    </w:lvl>
    <w:lvl w:ilvl="1">
      <w:lvlJc w:val="left"/>
      <w:lvlText w:val="%2."/>
      <w:numFmt w:val="decimal"/>
      <w:start w:val="3"/>
    </w:lvl>
  </w:abstractNum>
  <w:abstractNum w:abstractNumId="106">
    <w:nsid w:val="501F9786"/>
    <w:multiLevelType w:val="hybridMultilevel"/>
    <w:lvl w:ilvl="0">
      <w:lvlJc w:val="left"/>
      <w:lvlText w:val="."/>
      <w:numFmt w:val="bullet"/>
      <w:start w:val="1"/>
    </w:lvl>
    <w:lvl w:ilvl="1">
      <w:lvlJc w:val="left"/>
      <w:lvlText w:val="%2."/>
      <w:numFmt w:val="decimal"/>
      <w:start w:val="4"/>
    </w:lvl>
  </w:abstractNum>
  <w:abstractNum w:abstractNumId="107">
    <w:nsid w:val="6B057295"/>
    <w:multiLevelType w:val="hybridMultilevel"/>
    <w:lvl w:ilvl="0">
      <w:lvlJc w:val="left"/>
      <w:lvlText w:val="."/>
      <w:numFmt w:val="bullet"/>
      <w:start w:val="1"/>
    </w:lvl>
  </w:abstractNum>
  <w:abstractNum w:abstractNumId="108">
    <w:nsid w:val="2771AC80"/>
    <w:multiLevelType w:val="hybridMultilevel"/>
    <w:lvl w:ilvl="0">
      <w:lvlJc w:val="left"/>
      <w:lvlText w:val="%1."/>
      <w:numFmt w:val="decimal"/>
      <w:start w:val="5"/>
    </w:lvl>
  </w:abstractNum>
  <w:abstractNum w:abstractNumId="109">
    <w:nsid w:val="1C4A08EC"/>
    <w:multiLevelType w:val="hybridMultilevel"/>
    <w:lvl w:ilvl="0">
      <w:lvlJc w:val="left"/>
      <w:lvlText w:val="."/>
      <w:numFmt w:val="bullet"/>
      <w:start w:val="1"/>
    </w:lvl>
    <w:lvl w:ilvl="1">
      <w:lvlJc w:val="left"/>
      <w:lvlText w:val="%2."/>
      <w:numFmt w:val="decimal"/>
      <w:start w:val="6"/>
    </w:lvl>
  </w:abstractNum>
  <w:abstractNum w:abstractNumId="110">
    <w:nsid w:val="1958BD17"/>
    <w:multiLevelType w:val="hybridMultilevel"/>
    <w:lvl w:ilvl="0">
      <w:lvlJc w:val="left"/>
      <w:lvlText w:val="."/>
      <w:numFmt w:val="bullet"/>
      <w:start w:val="1"/>
    </w:lvl>
    <w:lvl w:ilvl="1">
      <w:lvlJc w:val="left"/>
      <w:lvlText w:val="%2."/>
      <w:numFmt w:val="decimal"/>
      <w:start w:val="7"/>
    </w:lvl>
  </w:abstractNum>
  <w:abstractNum w:abstractNumId="111">
    <w:nsid w:val="4E647FE4"/>
    <w:multiLevelType w:val="hybridMultilevel"/>
    <w:lvl w:ilvl="0">
      <w:lvlJc w:val="left"/>
      <w:lvlText w:val="."/>
      <w:numFmt w:val="bullet"/>
      <w:start w:val="1"/>
    </w:lvl>
  </w:abstractNum>
  <w:abstractNum w:abstractNumId="112">
    <w:nsid w:val="E0BB885"/>
    <w:multiLevelType w:val="hybridMultilevel"/>
    <w:lvl w:ilvl="0">
      <w:lvlJc w:val="left"/>
      <w:lvlText w:val="%1."/>
      <w:numFmt w:val="decimal"/>
      <w:start w:val="8"/>
    </w:lvl>
  </w:abstractNum>
  <w:abstractNum w:abstractNumId="113">
    <w:nsid w:val="565976F1"/>
    <w:multiLevelType w:val="hybridMultilevel"/>
    <w:lvl w:ilvl="0">
      <w:lvlJc w:val="left"/>
      <w:lvlText w:val="."/>
      <w:numFmt w:val="bullet"/>
      <w:start w:val="1"/>
    </w:lvl>
    <w:lvl w:ilvl="1">
      <w:lvlJc w:val="left"/>
      <w:lvlText w:val="%2."/>
      <w:numFmt w:val="decimal"/>
      <w:start w:val="9"/>
    </w:lvl>
  </w:abstractNum>
  <w:abstractNum w:abstractNumId="114">
    <w:nsid w:val="64212B8C"/>
    <w:multiLevelType w:val="hybridMultilevel"/>
    <w:lvl w:ilvl="0">
      <w:lvlJc w:val="left"/>
      <w:lvlText w:val="."/>
      <w:numFmt w:val="bullet"/>
      <w:start w:val="1"/>
    </w:lvl>
  </w:abstractNum>
  <w:abstractNum w:abstractNumId="115">
    <w:nsid w:val="5C17530C"/>
    <w:multiLevelType w:val="hybridMultilevel"/>
    <w:lvl w:ilvl="0">
      <w:lvlJc w:val="left"/>
      <w:lvlText w:val="%1."/>
      <w:numFmt w:val="decimal"/>
      <w:start w:val="10"/>
    </w:lvl>
  </w:abstractNum>
  <w:abstractNum w:abstractNumId="116">
    <w:nsid w:val="19A52566"/>
    <w:multiLevelType w:val="hybridMultilevel"/>
    <w:lvl w:ilvl="0">
      <w:lvlJc w:val="left"/>
      <w:lvlText w:val="."/>
      <w:numFmt w:val="bullet"/>
      <w:start w:val="1"/>
    </w:lvl>
    <w:lvl w:ilvl="1">
      <w:lvlJc w:val="left"/>
      <w:lvlText w:val="%2."/>
      <w:numFmt w:val="decimal"/>
      <w:start w:val="11"/>
    </w:lvl>
  </w:abstractNum>
  <w:abstractNum w:abstractNumId="117">
    <w:nsid w:val="335A1DF1"/>
    <w:multiLevelType w:val="hybridMultilevel"/>
    <w:lvl w:ilvl="0">
      <w:lvlJc w:val="left"/>
      <w:lvlText w:val="."/>
      <w:numFmt w:val="bullet"/>
      <w:start w:val="1"/>
    </w:lvl>
  </w:abstractNum>
  <w:abstractNum w:abstractNumId="118">
    <w:nsid w:val="28677B7C"/>
    <w:multiLevelType w:val="hybridMultilevel"/>
    <w:lvl w:ilvl="0">
      <w:lvlJc w:val="left"/>
      <w:lvlText w:val="%1."/>
      <w:numFmt w:val="decimal"/>
      <w:start w:val="1"/>
    </w:lvl>
  </w:abstractNum>
  <w:abstractNum w:abstractNumId="119">
    <w:nsid w:val="378D97C0"/>
    <w:multiLevelType w:val="hybridMultilevel"/>
    <w:lvl w:ilvl="0">
      <w:lvlJc w:val="left"/>
      <w:lvlText w:val="."/>
      <w:numFmt w:val="bullet"/>
      <w:start w:val="1"/>
    </w:lvl>
    <w:lvl w:ilvl="1">
      <w:lvlJc w:val="left"/>
      <w:lvlText w:val="%2."/>
      <w:numFmt w:val="decimal"/>
      <w:start w:val="2"/>
    </w:lvl>
  </w:abstractNum>
  <w:abstractNum w:abstractNumId="120">
    <w:nsid w:val="1D91467C"/>
    <w:multiLevelType w:val="hybridMultilevel"/>
    <w:lvl w:ilvl="0">
      <w:lvlJc w:val="left"/>
      <w:lvlText w:val="."/>
      <w:numFmt w:val="bullet"/>
      <w:start w:val="1"/>
    </w:lvl>
    <w:lvl w:ilvl="1">
      <w:lvlJc w:val="left"/>
      <w:lvlText w:val="%2."/>
      <w:numFmt w:val="decimal"/>
      <w:start w:val="3"/>
    </w:lvl>
  </w:abstractNum>
  <w:abstractNum w:abstractNumId="121">
    <w:nsid w:val="316032BB"/>
    <w:multiLevelType w:val="hybridMultilevel"/>
    <w:lvl w:ilvl="0">
      <w:lvlJc w:val="left"/>
      <w:lvlText w:val="."/>
      <w:numFmt w:val="bullet"/>
      <w:start w:val="1"/>
    </w:lvl>
  </w:abstractNum>
  <w:abstractNum w:abstractNumId="122">
    <w:nsid w:val="44344C22"/>
    <w:multiLevelType w:val="hybridMultilevel"/>
    <w:lvl w:ilvl="0">
      <w:lvlJc w:val="left"/>
      <w:lvlText w:val="%1."/>
      <w:numFmt w:val="decimal"/>
      <w:start w:val="4"/>
    </w:lvl>
  </w:abstractNum>
  <w:abstractNum w:abstractNumId="123">
    <w:nsid w:val="13CDFCFC"/>
    <w:multiLevelType w:val="hybridMultilevel"/>
    <w:lvl w:ilvl="0">
      <w:lvlJc w:val="left"/>
      <w:lvlText w:val="."/>
      <w:numFmt w:val="bullet"/>
      <w:start w:val="1"/>
    </w:lvl>
    <w:lvl w:ilvl="1">
      <w:lvlJc w:val="left"/>
      <w:lvlText w:val="%2."/>
      <w:numFmt w:val="decimal"/>
      <w:start w:val="5"/>
    </w:lvl>
  </w:abstractNum>
  <w:abstractNum w:abstractNumId="124">
    <w:nsid w:val="471745E4"/>
    <w:multiLevelType w:val="hybridMultilevel"/>
    <w:lvl w:ilvl="0">
      <w:lvlJc w:val="left"/>
      <w:lvlText w:val="."/>
      <w:numFmt w:val="bullet"/>
      <w:start w:val="1"/>
    </w:lvl>
    <w:lvl w:ilvl="1">
      <w:lvlJc w:val="left"/>
      <w:lvlText w:val="%2."/>
      <w:numFmt w:val="decimal"/>
      <w:start w:val="6"/>
    </w:lvl>
  </w:abstractNum>
  <w:abstractNum w:abstractNumId="125">
    <w:nsid w:val="1DDBC66"/>
    <w:multiLevelType w:val="hybridMultilevel"/>
    <w:lvl w:ilvl="0">
      <w:lvlJc w:val="left"/>
      <w:lvlText w:val="."/>
      <w:numFmt w:val="bullet"/>
      <w:start w:val="1"/>
    </w:lvl>
    <w:lvl w:ilvl="1">
      <w:lvlJc w:val="left"/>
      <w:lvlText w:val="%2."/>
      <w:numFmt w:val="decimal"/>
      <w:start w:val="7"/>
    </w:lvl>
  </w:abstractNum>
  <w:abstractNum w:abstractNumId="126">
    <w:nsid w:val="30AADFDA"/>
    <w:multiLevelType w:val="hybridMultilevel"/>
    <w:lvl w:ilvl="0">
      <w:lvlJc w:val="left"/>
      <w:lvlText w:val="."/>
      <w:numFmt w:val="bullet"/>
      <w:start w:val="1"/>
    </w:lvl>
    <w:lvl w:ilvl="1">
      <w:lvlJc w:val="left"/>
      <w:lvlText w:val="%2."/>
      <w:numFmt w:val="decimal"/>
      <w:start w:val="8"/>
    </w:lvl>
  </w:abstractNum>
  <w:abstractNum w:abstractNumId="127">
    <w:nsid w:val="30EADA61"/>
    <w:multiLevelType w:val="hybridMultilevel"/>
    <w:lvl w:ilvl="0">
      <w:lvlJc w:val="left"/>
      <w:lvlText w:val="."/>
      <w:numFmt w:val="bullet"/>
      <w:start w:val="1"/>
    </w:lvl>
    <w:lvl w:ilvl="1">
      <w:lvlJc w:val="left"/>
      <w:lvlText w:val="%2."/>
      <w:numFmt w:val="decimal"/>
      <w:start w:val="1"/>
    </w:lvl>
  </w:abstractNum>
  <w:abstractNum w:abstractNumId="128">
    <w:nsid w:val="27179C0B"/>
    <w:multiLevelType w:val="hybridMultilevel"/>
    <w:lvl w:ilvl="0">
      <w:lvlJc w:val="left"/>
      <w:lvlText w:val="."/>
      <w:numFmt w:val="bullet"/>
      <w:start w:val="1"/>
    </w:lvl>
  </w:abstractNum>
  <w:abstractNum w:abstractNumId="129">
    <w:nsid w:val="5E636063"/>
    <w:multiLevelType w:val="hybridMultilevel"/>
    <w:lvl w:ilvl="0">
      <w:lvlJc w:val="left"/>
      <w:lvlText w:val="%1."/>
      <w:numFmt w:val="decimal"/>
      <w:start w:val="2"/>
    </w:lvl>
  </w:abstractNum>
  <w:abstractNum w:abstractNumId="130">
    <w:nsid w:val="215641AF"/>
    <w:multiLevelType w:val="hybridMultilevel"/>
    <w:lvl w:ilvl="0">
      <w:lvlJc w:val="left"/>
      <w:lvlText w:val="."/>
      <w:numFmt w:val="bullet"/>
      <w:start w:val="1"/>
    </w:lvl>
    <w:lvl w:ilvl="1">
      <w:lvlJc w:val="left"/>
      <w:lvlText w:val="%2."/>
      <w:numFmt w:val="decimal"/>
      <w:start w:val="3"/>
    </w:lvl>
  </w:abstractNum>
  <w:abstractNum w:abstractNumId="131">
    <w:nsid w:val="53280662"/>
    <w:multiLevelType w:val="hybridMultilevel"/>
    <w:lvl w:ilvl="0">
      <w:lvlJc w:val="left"/>
      <w:lvlText w:val="."/>
      <w:numFmt w:val="bullet"/>
      <w:start w:val="1"/>
    </w:lvl>
  </w:abstractNum>
  <w:abstractNum w:abstractNumId="132">
    <w:nsid w:val="46B24DBC"/>
    <w:multiLevelType w:val="hybridMultilevel"/>
    <w:lvl w:ilvl="0">
      <w:lvlJc w:val="left"/>
      <w:lvlText w:val="%1."/>
      <w:numFmt w:val="decimal"/>
      <w:start w:val="4"/>
    </w:lvl>
  </w:abstractNum>
  <w:abstractNum w:abstractNumId="133">
    <w:nsid w:val="75B52783"/>
    <w:multiLevelType w:val="hybridMultilevel"/>
    <w:lvl w:ilvl="0">
      <w:lvlJc w:val="left"/>
      <w:lvlText w:val="."/>
      <w:numFmt w:val="bullet"/>
      <w:start w:val="1"/>
    </w:lvl>
    <w:lvl w:ilvl="1">
      <w:lvlJc w:val="left"/>
      <w:lvlText w:val="%2."/>
      <w:numFmt w:val="decimal"/>
      <w:start w:val="5"/>
    </w:lvl>
  </w:abstractNum>
  <w:abstractNum w:abstractNumId="134">
    <w:nsid w:val="57CE66B4"/>
    <w:multiLevelType w:val="hybridMultilevel"/>
    <w:lvl w:ilvl="0">
      <w:lvlJc w:val="left"/>
      <w:lvlText w:val="."/>
      <w:numFmt w:val="bullet"/>
      <w:start w:val="1"/>
    </w:lvl>
    <w:lvl w:ilvl="1">
      <w:lvlJc w:val="left"/>
      <w:lvlText w:val="%2."/>
      <w:numFmt w:val="decimal"/>
      <w:start w:val="6"/>
    </w:lvl>
  </w:abstractNum>
  <w:abstractNum w:abstractNumId="135">
    <w:nsid w:val="67A70B69"/>
    <w:multiLevelType w:val="hybridMultilevel"/>
    <w:lvl w:ilvl="0">
      <w:lvlJc w:val="left"/>
      <w:lvlText w:val="."/>
      <w:numFmt w:val="bullet"/>
      <w:start w:val="1"/>
    </w:lvl>
    <w:lvl w:ilvl="1">
      <w:lvlJc w:val="left"/>
      <w:lvlText w:val="%2."/>
      <w:numFmt w:val="decimal"/>
      <w:start w:val="7"/>
    </w:lvl>
  </w:abstractNum>
  <w:abstractNum w:abstractNumId="136">
    <w:nsid w:val="5953172F"/>
    <w:multiLevelType w:val="hybridMultilevel"/>
    <w:lvl w:ilvl="0">
      <w:lvlJc w:val="left"/>
      <w:lvlText w:val="."/>
      <w:numFmt w:val="bullet"/>
      <w:start w:val="1"/>
    </w:lvl>
    <w:lvl w:ilvl="1">
      <w:lvlJc w:val="left"/>
      <w:lvlText w:val="%2."/>
      <w:numFmt w:val="decimal"/>
      <w:start w:val="8"/>
    </w:lvl>
  </w:abstractNum>
  <w:abstractNum w:abstractNumId="137">
    <w:nsid w:val="27EDFE3A"/>
    <w:multiLevelType w:val="hybridMultilevel"/>
    <w:lvl w:ilvl="0">
      <w:lvlJc w:val="left"/>
      <w:lvlText w:val="(%1)"/>
      <w:numFmt w:val="lowerLetter"/>
      <w:start w:val="1"/>
    </w:lvl>
  </w:abstractNum>
  <w:abstractNum w:abstractNumId="138">
    <w:nsid w:val="52AC7DFF"/>
    <w:multiLevelType w:val="hybridMultilevel"/>
    <w:lvl w:ilvl="0">
      <w:lvlJc w:val="left"/>
      <w:lvlText w:val="(%1)"/>
      <w:numFmt w:val="lowerLetter"/>
      <w:start w:val="2"/>
    </w:lvl>
  </w:abstractNum>
  <w:abstractNum w:abstractNumId="139">
    <w:nsid w:val="C4C3AF"/>
    <w:multiLevelType w:val="hybridMultilevel"/>
    <w:lvl w:ilvl="0">
      <w:lvlJc w:val="left"/>
      <w:lvlText w:val="%1."/>
      <w:numFmt w:val="decimal"/>
      <w:start w:val="1"/>
    </w:lvl>
  </w:abstractNum>
  <w:abstractNum w:abstractNumId="140">
    <w:nsid w:val="44380727"/>
    <w:multiLevelType w:val="hybridMultilevel"/>
    <w:lvl w:ilvl="0">
      <w:lvlJc w:val="left"/>
      <w:lvlText w:val="."/>
      <w:numFmt w:val="bullet"/>
      <w:start w:val="1"/>
    </w:lvl>
    <w:lvl w:ilvl="1">
      <w:lvlJc w:val="left"/>
      <w:lvlText w:val="%2."/>
      <w:numFmt w:val="decimal"/>
      <w:start w:val="2"/>
    </w:lvl>
  </w:abstractNum>
  <w:abstractNum w:abstractNumId="141">
    <w:nsid w:val="6C053B16"/>
    <w:multiLevelType w:val="hybridMultilevel"/>
    <w:lvl w:ilvl="0">
      <w:lvlJc w:val="left"/>
      <w:lvlText w:val="."/>
      <w:numFmt w:val="bullet"/>
      <w:start w:val="1"/>
    </w:lvl>
  </w:abstractNum>
  <w:abstractNum w:abstractNumId="142">
    <w:nsid w:val="4F294393"/>
    <w:multiLevelType w:val="hybridMultilevel"/>
    <w:lvl w:ilvl="0">
      <w:lvlJc w:val="left"/>
      <w:lvlText w:val="%1."/>
      <w:numFmt w:val="decimal"/>
      <w:start w:val="1"/>
    </w:lvl>
  </w:abstractNum>
  <w:abstractNum w:abstractNumId="143">
    <w:nsid w:val="5243BFAC"/>
    <w:multiLevelType w:val="hybridMultilevel"/>
    <w:lvl w:ilvl="0">
      <w:lvlJc w:val="left"/>
      <w:lvlText w:val="."/>
      <w:numFmt w:val="bullet"/>
      <w:start w:val="1"/>
    </w:lvl>
    <w:lvl w:ilvl="1">
      <w:lvlJc w:val="left"/>
      <w:lvlText w:val="%2."/>
      <w:numFmt w:val="decimal"/>
      <w:start w:val="2"/>
    </w:lvl>
  </w:abstractNum>
  <w:abstractNum w:abstractNumId="144">
    <w:nsid w:val="425EB207"/>
    <w:multiLevelType w:val="hybridMultilevel"/>
    <w:lvl w:ilvl="0">
      <w:lvlJc w:val="left"/>
      <w:lvlText w:val="."/>
      <w:numFmt w:val="bullet"/>
      <w:start w:val="1"/>
    </w:lvl>
    <w:lvl w:ilvl="1">
      <w:lvlJc w:val="left"/>
      <w:lvlText w:val="%2."/>
      <w:numFmt w:val="decimal"/>
      <w:start w:val="3"/>
    </w:lvl>
  </w:abstractNum>
  <w:abstractNum w:abstractNumId="145">
    <w:nsid w:val="334A6F1F"/>
    <w:multiLevelType w:val="hybridMultilevel"/>
    <w:lvl w:ilvl="0">
      <w:lvlJc w:val="left"/>
      <w:lvlText w:val="."/>
      <w:numFmt w:val="bullet"/>
      <w:start w:val="1"/>
    </w:lvl>
    <w:lvl w:ilvl="1">
      <w:lvlJc w:val="left"/>
      <w:lvlText w:val="%2."/>
      <w:numFmt w:val="decimal"/>
      <w:start w:val="4"/>
    </w:lvl>
  </w:abstractNum>
  <w:abstractNum w:abstractNumId="146">
    <w:nsid w:val="2E5B12B8"/>
    <w:multiLevelType w:val="hybridMultilevel"/>
    <w:lvl w:ilvl="0">
      <w:lvlJc w:val="left"/>
      <w:lvlText w:val="."/>
      <w:numFmt w:val="bullet"/>
      <w:start w:val="1"/>
    </w:lvl>
    <w:lvl w:ilvl="1">
      <w:lvlJc w:val="left"/>
      <w:lvlText w:val="%2."/>
      <w:numFmt w:val="decimal"/>
      <w:start w:val="5"/>
    </w:lvl>
  </w:abstractNum>
  <w:abstractNum w:abstractNumId="147">
    <w:nsid w:val="5C03D76D"/>
    <w:multiLevelType w:val="hybridMultilevel"/>
    <w:lvl w:ilvl="0">
      <w:lvlJc w:val="left"/>
      <w:lvlText w:val="."/>
      <w:numFmt w:val="bullet"/>
      <w:start w:val="1"/>
    </w:lvl>
    <w:lvl w:ilvl="1">
      <w:lvlJc w:val="left"/>
      <w:lvlText w:val="%2."/>
      <w:numFmt w:val="decimal"/>
      <w:start w:val="6"/>
    </w:lvl>
  </w:abstractNum>
  <w:abstractNum w:abstractNumId="148">
    <w:nsid w:val="66A48D11"/>
    <w:multiLevelType w:val="hybridMultilevel"/>
    <w:lvl w:ilvl="0">
      <w:lvlJc w:val="left"/>
      <w:lvlText w:val="."/>
      <w:numFmt w:val="bullet"/>
      <w:start w:val="1"/>
    </w:lvl>
    <w:lvl w:ilvl="1">
      <w:lvlJc w:val="left"/>
      <w:lvlText w:val="%2."/>
      <w:numFmt w:val="decimal"/>
      <w:start w:val="7"/>
    </w:lvl>
  </w:abstractNum>
  <w:abstractNum w:abstractNumId="149">
    <w:nsid w:val="56C28E34"/>
    <w:multiLevelType w:val="hybridMultilevel"/>
    <w:lvl w:ilvl="0">
      <w:lvlJc w:val="left"/>
      <w:lvlText w:val="."/>
      <w:numFmt w:val="bullet"/>
      <w:start w:val="1"/>
    </w:lvl>
    <w:lvl w:ilvl="1">
      <w:lvlJc w:val="left"/>
      <w:lvlText w:val="%2."/>
      <w:numFmt w:val="decimal"/>
      <w:start w:val="8"/>
    </w:lvl>
  </w:abstractNum>
  <w:abstractNum w:abstractNumId="150">
    <w:nsid w:val="13916F2D"/>
    <w:multiLevelType w:val="hybridMultilevel"/>
    <w:lvl w:ilvl="0">
      <w:lvlJc w:val="left"/>
      <w:lvlText w:val="%1"/>
      <w:numFmt w:val="decimal"/>
      <w:start w:val="1"/>
    </w:lvl>
    <w:lvl w:ilvl="1">
      <w:lvlJc w:val="left"/>
      <w:lvlText w:val="(%2)"/>
      <w:numFmt w:val="lowerLetter"/>
      <w:start w:val="1"/>
    </w:lvl>
  </w:abstractNum>
  <w:abstractNum w:abstractNumId="151">
    <w:nsid w:val="435D38D"/>
    <w:multiLevelType w:val="hybridMultilevel"/>
    <w:lvl w:ilvl="0">
      <w:lvlJc w:val="left"/>
      <w:lvlText w:val="%1."/>
      <w:numFmt w:val="decimal"/>
      <w:start w:val="9"/>
    </w:lvl>
    <w:lvl w:ilvl="1">
      <w:lvlJc w:val="left"/>
      <w:lvlText w:val="%2"/>
      <w:numFmt w:val="lowerLetter"/>
      <w:start w:val="1"/>
    </w:lvl>
  </w:abstractNum>
  <w:abstractNum w:abstractNumId="152">
    <w:nsid w:val="822C0EF"/>
    <w:multiLevelType w:val="hybridMultilevel"/>
    <w:lvl w:ilvl="0">
      <w:lvlJc w:val="left"/>
      <w:lvlText w:val="."/>
      <w:numFmt w:val="bullet"/>
      <w:start w:val="1"/>
    </w:lvl>
  </w:abstractNum>
  <w:abstractNum w:abstractNumId="153">
    <w:nsid w:val="57C5BB4F"/>
    <w:multiLevelType w:val="hybridMultilevel"/>
    <w:lvl w:ilvl="0">
      <w:lvlJc w:val="left"/>
      <w:lvlText w:val="%1."/>
      <w:numFmt w:val="decimal"/>
      <w:start w:val="10"/>
    </w:lvl>
  </w:abstractNum>
  <w:abstractNum w:abstractNumId="154">
    <w:nsid w:val="1803D089"/>
    <w:multiLevelType w:val="hybridMultilevel"/>
    <w:lvl w:ilvl="0">
      <w:lvlJc w:val="left"/>
      <w:lvlText w:val="."/>
      <w:numFmt w:val="bullet"/>
      <w:start w:val="1"/>
    </w:lvl>
    <w:lvl w:ilvl="1">
      <w:lvlJc w:val="left"/>
      <w:lvlText w:val="(%2)"/>
      <w:numFmt w:val="lowerLetter"/>
      <w:start w:val="1"/>
    </w:lvl>
  </w:abstractNum>
  <w:abstractNum w:abstractNumId="155">
    <w:nsid w:val="4F3A06D4"/>
    <w:multiLevelType w:val="hybridMultilevel"/>
    <w:lvl w:ilvl="0">
      <w:lvlJc w:val="left"/>
      <w:lvlText w:val="(%1)"/>
      <w:numFmt w:val="lowerLetter"/>
      <w:start w:val="11"/>
    </w:lvl>
  </w:abstractNum>
  <w:abstractNum w:abstractNumId="156">
    <w:nsid w:val="59A377B6"/>
    <w:multiLevelType w:val="hybridMultilevel"/>
    <w:lvl w:ilvl="0">
      <w:lvlJc w:val="left"/>
      <w:lvlText w:val="(%1)"/>
      <w:numFmt w:val="lowerLetter"/>
      <w:start w:val="24"/>
    </w:lvl>
  </w:abstractNum>
  <w:abstractNum w:abstractNumId="157">
    <w:nsid w:val="48AEB063"/>
    <w:multiLevelType w:val="hybridMultilevel"/>
    <w:lvl w:ilvl="0">
      <w:lvlJc w:val="left"/>
      <w:lvlText w:val="(%1)"/>
      <w:numFmt w:val="lowerLetter"/>
      <w:start w:val="27"/>
    </w:lvl>
  </w:abstractNum>
  <w:abstractNum w:abstractNumId="158">
    <w:nsid w:val="24E135"/>
    <w:multiLevelType w:val="hybridMultilevel"/>
    <w:lvl w:ilvl="0">
      <w:lvlJc w:val="left"/>
      <w:lvlText w:val="%1."/>
      <w:numFmt w:val="decimal"/>
      <w:start w:val="1"/>
    </w:lvl>
  </w:abstractNum>
  <w:abstractNum w:abstractNumId="159">
    <w:nsid w:val="BB13C1"/>
    <w:multiLevelType w:val="hybridMultilevel"/>
    <w:lvl w:ilvl="0">
      <w:lvlJc w:val="left"/>
      <w:lvlText w:val="."/>
      <w:numFmt w:val="bullet"/>
      <w:start w:val="1"/>
    </w:lvl>
    <w:lvl w:ilvl="1">
      <w:lvlJc w:val="left"/>
      <w:lvlText w:val="%2."/>
      <w:numFmt w:val="decimal"/>
      <w:start w:val="2"/>
    </w:lvl>
  </w:abstractNum>
  <w:abstractNum w:abstractNumId="160">
    <w:nsid w:val="271210C7"/>
    <w:multiLevelType w:val="hybridMultilevel"/>
    <w:lvl w:ilvl="0">
      <w:lvlJc w:val="left"/>
      <w:lvlText w:val="."/>
      <w:numFmt w:val="bullet"/>
      <w:start w:val="1"/>
    </w:lvl>
  </w:abstractNum>
  <w:abstractNum w:abstractNumId="161">
    <w:nsid w:val="217B22E4"/>
    <w:multiLevelType w:val="hybridMultilevel"/>
    <w:lvl w:ilvl="0">
      <w:lvlJc w:val="left"/>
      <w:lvlText w:val="%1."/>
      <w:numFmt w:val="decimal"/>
      <w:start w:val="3"/>
    </w:lvl>
  </w:abstractNum>
  <w:abstractNum w:abstractNumId="162">
    <w:nsid w:val="53E31A24"/>
    <w:multiLevelType w:val="hybridMultilevel"/>
    <w:lvl w:ilvl="0">
      <w:lvlJc w:val="left"/>
      <w:lvlText w:val="."/>
      <w:numFmt w:val="bullet"/>
      <w:start w:val="1"/>
    </w:lvl>
    <w:lvl w:ilvl="1">
      <w:lvlJc w:val="left"/>
      <w:lvlText w:val="%2."/>
      <w:numFmt w:val="decimal"/>
      <w:start w:val="4"/>
    </w:lvl>
  </w:abstractNum>
  <w:abstractNum w:abstractNumId="163">
    <w:nsid w:val="6DC45E83"/>
    <w:multiLevelType w:val="hybridMultilevel"/>
    <w:lvl w:ilvl="0">
      <w:lvlJc w:val="left"/>
      <w:lvlText w:val="."/>
      <w:numFmt w:val="bullet"/>
      <w:start w:val="1"/>
    </w:lvl>
  </w:abstractNum>
  <w:abstractNum w:abstractNumId="164">
    <w:nsid w:val="17304A67"/>
    <w:multiLevelType w:val="hybridMultilevel"/>
    <w:lvl w:ilvl="0">
      <w:lvlJc w:val="left"/>
      <w:lvlText w:val="%1."/>
      <w:numFmt w:val="decimal"/>
      <w:start w:val="5"/>
    </w:lvl>
  </w:abstractNum>
  <w:abstractNum w:abstractNumId="165">
    <w:nsid w:val="2BB180D8"/>
    <w:multiLevelType w:val="hybridMultilevel"/>
    <w:lvl w:ilvl="0">
      <w:lvlJc w:val="left"/>
      <w:lvlText w:val="."/>
      <w:numFmt w:val="bullet"/>
      <w:start w:val="1"/>
    </w:lvl>
    <w:lvl w:ilvl="1">
      <w:lvlJc w:val="left"/>
      <w:lvlText w:val="%2."/>
      <w:numFmt w:val="decimal"/>
      <w:start w:val="6"/>
    </w:lvl>
  </w:abstractNum>
  <w:abstractNum w:abstractNumId="166">
    <w:nsid w:val="556B69ED"/>
    <w:multiLevelType w:val="hybridMultilevel"/>
    <w:lvl w:ilvl="0">
      <w:lvlJc w:val="left"/>
      <w:lvlText w:val="."/>
      <w:numFmt w:val="bullet"/>
      <w:start w:val="1"/>
    </w:lvl>
    <w:lvl w:ilvl="1">
      <w:lvlJc w:val="left"/>
      <w:lvlText w:val="%2."/>
      <w:numFmt w:val="decimal"/>
      <w:start w:val="7"/>
    </w:lvl>
  </w:abstractNum>
  <w:abstractNum w:abstractNumId="167">
    <w:nsid w:val="70836196"/>
    <w:multiLevelType w:val="hybridMultilevel"/>
    <w:lvl w:ilvl="0">
      <w:lvlJc w:val="left"/>
      <w:lvlText w:val="."/>
      <w:numFmt w:val="bullet"/>
      <w:start w:val="1"/>
    </w:lvl>
  </w:abstractNum>
  <w:abstractNum w:abstractNumId="168">
    <w:nsid w:val="539F7F12"/>
    <w:multiLevelType w:val="hybridMultilevel"/>
    <w:lvl w:ilvl="0">
      <w:lvlJc w:val="left"/>
      <w:lvlText w:val="%1."/>
      <w:numFmt w:val="decimal"/>
      <w:start w:val="8"/>
    </w:lvl>
  </w:abstractNum>
  <w:abstractNum w:abstractNumId="169">
    <w:nsid w:val="2817E7EC"/>
    <w:multiLevelType w:val="hybridMultilevel"/>
    <w:lvl w:ilvl="0">
      <w:lvlJc w:val="left"/>
      <w:lvlText w:val="."/>
      <w:numFmt w:val="bullet"/>
      <w:start w:val="1"/>
    </w:lvl>
    <w:lvl w:ilvl="1">
      <w:lvlJc w:val="left"/>
      <w:lvlText w:val="%2."/>
      <w:numFmt w:val="decimal"/>
      <w:start w:val="9"/>
    </w:lvl>
  </w:abstractNum>
  <w:abstractNum w:abstractNumId="170">
    <w:nsid w:val="71482545"/>
    <w:multiLevelType w:val="hybridMultilevel"/>
    <w:lvl w:ilvl="0">
      <w:lvlJc w:val="left"/>
      <w:lvlText w:val="."/>
      <w:numFmt w:val="bullet"/>
      <w:start w:val="1"/>
    </w:lvl>
    <w:lvl w:ilvl="1">
      <w:lvlJc w:val="left"/>
      <w:lvlText w:val="%2."/>
      <w:numFmt w:val="decimal"/>
      <w:start w:val="10"/>
    </w:lvl>
  </w:abstractNum>
  <w:abstractNum w:abstractNumId="171">
    <w:nsid w:val="17D78639"/>
    <w:multiLevelType w:val="hybridMultilevel"/>
    <w:lvl w:ilvl="0">
      <w:lvlJc w:val="left"/>
      <w:lvlText w:val="."/>
      <w:numFmt w:val="bullet"/>
      <w:start w:val="1"/>
    </w:lvl>
    <w:lvl w:ilvl="1">
      <w:lvlJc w:val="left"/>
      <w:lvlText w:val="%2."/>
      <w:numFmt w:val="decimal"/>
      <w:start w:val="11"/>
    </w:lvl>
  </w:abstractNum>
  <w:abstractNum w:abstractNumId="172">
    <w:nsid w:val="141D2302"/>
    <w:multiLevelType w:val="hybridMultilevel"/>
    <w:lvl w:ilvl="0">
      <w:lvlJc w:val="left"/>
      <w:lvlText w:val="."/>
      <w:numFmt w:val="bullet"/>
      <w:start w:val="1"/>
    </w:lvl>
    <w:lvl w:ilvl="1">
      <w:lvlJc w:val="left"/>
      <w:lvlText w:val="%2."/>
      <w:numFmt w:val="decimal"/>
      <w:start w:val="12"/>
    </w:lvl>
  </w:abstractNum>
  <w:abstractNum w:abstractNumId="173">
    <w:nsid w:val="407168D8"/>
    <w:multiLevelType w:val="hybridMultilevel"/>
    <w:lvl w:ilvl="0">
      <w:lvlJc w:val="left"/>
      <w:lvlText w:val="."/>
      <w:numFmt w:val="bullet"/>
      <w:start w:val="1"/>
    </w:lvl>
    <w:lvl w:ilvl="1">
      <w:lvlJc w:val="left"/>
      <w:lvlText w:val="%2."/>
      <w:numFmt w:val="decimal"/>
      <w:start w:val="13"/>
    </w:lvl>
  </w:abstractNum>
  <w:abstractNum w:abstractNumId="174">
    <w:nsid w:val="6A1B45E5"/>
    <w:multiLevelType w:val="hybridMultilevel"/>
    <w:lvl w:ilvl="0">
      <w:lvlJc w:val="left"/>
      <w:lvlText w:val="."/>
      <w:numFmt w:val="bullet"/>
      <w:start w:val="1"/>
    </w:lvl>
  </w:abstractNum>
  <w:abstractNum w:abstractNumId="175">
    <w:nsid w:val="567BD50A"/>
    <w:multiLevelType w:val="hybridMultilevel"/>
    <w:lvl w:ilvl="0">
      <w:lvlJc w:val="left"/>
      <w:lvlText w:val="%1."/>
      <w:numFmt w:val="decimal"/>
      <w:start w:val="1"/>
    </w:lvl>
  </w:abstractNum>
  <w:abstractNum w:abstractNumId="176">
    <w:nsid w:val="73BBD7F8"/>
    <w:multiLevelType w:val="hybridMultilevel"/>
    <w:lvl w:ilvl="0">
      <w:lvlJc w:val="left"/>
      <w:lvlText w:val="(%1)"/>
      <w:numFmt w:val="lowerLetter"/>
      <w:start w:val="1"/>
    </w:lvl>
  </w:abstractNum>
  <w:abstractNum w:abstractNumId="177">
    <w:nsid w:val="1876589D"/>
    <w:multiLevelType w:val="hybridMultilevel"/>
    <w:lvl w:ilvl="0">
      <w:lvlJc w:val="left"/>
      <w:lvlText w:val="(%1)"/>
      <w:numFmt w:val="lowerLetter"/>
      <w:start w:val="2"/>
    </w:lvl>
  </w:abstractNum>
  <w:abstractNum w:abstractNumId="178">
    <w:nsid w:val="327FAC77"/>
    <w:multiLevelType w:val="hybridMultilevel"/>
    <w:lvl w:ilvl="0">
      <w:lvlJc w:val="left"/>
      <w:lvlText w:val="%1."/>
      <w:numFmt w:val="decimal"/>
      <w:start w:val="1"/>
    </w:lvl>
  </w:abstractNum>
  <w:abstractNum w:abstractNumId="179">
    <w:nsid w:val="5A606509"/>
    <w:multiLevelType w:val="hybridMultilevel"/>
    <w:lvl w:ilvl="0">
      <w:lvlJc w:val="left"/>
      <w:lvlText w:val="."/>
      <w:numFmt w:val="bullet"/>
      <w:start w:val="1"/>
    </w:lvl>
  </w:abstractNum>
  <w:abstractNum w:abstractNumId="180">
    <w:nsid w:val="6F38E6D1"/>
    <w:multiLevelType w:val="hybridMultilevel"/>
    <w:lvl w:ilvl="0">
      <w:lvlJc w:val="left"/>
      <w:lvlText w:val="%1."/>
      <w:numFmt w:val="decimal"/>
      <w:start w:val="2"/>
    </w:lvl>
  </w:abstractNum>
  <w:abstractNum w:abstractNumId="181">
    <w:nsid w:val="46111BA5"/>
    <w:multiLevelType w:val="hybridMultilevel"/>
    <w:lvl w:ilvl="0">
      <w:lvlJc w:val="left"/>
      <w:lvlText w:val="."/>
      <w:numFmt w:val="bullet"/>
      <w:start w:val="1"/>
    </w:lvl>
    <w:lvl w:ilvl="1">
      <w:lvlJc w:val="left"/>
      <w:lvlText w:val="%2."/>
      <w:numFmt w:val="decimal"/>
      <w:start w:val="3"/>
    </w:lvl>
  </w:abstractNum>
  <w:abstractNum w:abstractNumId="182">
    <w:nsid w:val="5E963896"/>
    <w:multiLevelType w:val="hybridMultilevel"/>
    <w:lvl w:ilvl="0">
      <w:lvlJc w:val="left"/>
      <w:lvlText w:val="."/>
      <w:numFmt w:val="bullet"/>
      <w:start w:val="1"/>
    </w:lvl>
    <w:lvl w:ilvl="1">
      <w:lvlJc w:val="left"/>
      <w:lvlText w:val="(%2)"/>
      <w:numFmt w:val="lowerLetter"/>
      <w:start w:val="1"/>
    </w:lvl>
  </w:abstractNum>
  <w:abstractNum w:abstractNumId="183">
    <w:nsid w:val="775BA7C1"/>
    <w:multiLevelType w:val="hybridMultilevel"/>
    <w:lvl w:ilvl="0">
      <w:lvlJc w:val="left"/>
      <w:lvlText w:val="%1"/>
      <w:numFmt w:val="decimal"/>
      <w:start w:val="1"/>
    </w:lvl>
    <w:lvl w:ilvl="1">
      <w:lvlJc w:val="left"/>
      <w:lvlText w:val="(%2)"/>
      <w:numFmt w:val="lowerLetter"/>
      <w:start w:val="7"/>
    </w:lvl>
  </w:abstractNum>
  <w:abstractNum w:abstractNumId="184">
    <w:nsid w:val="1DD6D6F4"/>
    <w:multiLevelType w:val="hybridMultilevel"/>
    <w:lvl w:ilvl="0">
      <w:lvlJc w:val="left"/>
      <w:lvlText w:val="%1."/>
      <w:numFmt w:val="decimal"/>
      <w:start w:val="4"/>
    </w:lvl>
    <w:lvl w:ilvl="1">
      <w:lvlJc w:val="left"/>
      <w:lvlText w:val="%2"/>
      <w:numFmt w:val="lowerLetter"/>
      <w:start w:val="1"/>
    </w:lvl>
  </w:abstractNum>
  <w:abstractNum w:abstractNumId="185">
    <w:nsid w:val="769A091F"/>
    <w:multiLevelType w:val="hybridMultilevel"/>
    <w:lvl w:ilvl="0">
      <w:lvlJc w:val="left"/>
      <w:lvlText w:val="(%1)"/>
      <w:numFmt w:val="lowerLetter"/>
      <w:start w:val="1"/>
    </w:lvl>
    <w:lvl w:ilvl="1">
      <w:lvlJc w:val="left"/>
      <w:lvlText w:val="*"/>
      <w:numFmt w:val="bullet"/>
      <w:start w:val="1"/>
    </w:lvl>
  </w:abstractNum>
  <w:abstractNum w:abstractNumId="186">
    <w:nsid w:val="4695AE95"/>
    <w:multiLevelType w:val="hybridMultilevel"/>
    <w:lvl w:ilvl="0">
      <w:lvlJc w:val="left"/>
      <w:lvlText w:val="%1."/>
      <w:numFmt w:val="decimal"/>
      <w:start w:val="1"/>
    </w:lvl>
  </w:abstractNum>
  <w:abstractNum w:abstractNumId="187">
    <w:nsid w:val="777A4EAA"/>
    <w:multiLevelType w:val="hybridMultilevel"/>
    <w:lvl w:ilvl="0">
      <w:lvlJc w:val="left"/>
      <w:lvlText w:val="(%1)"/>
      <w:numFmt w:val="decimal"/>
      <w:start w:val="1"/>
    </w:lvl>
  </w:abstractNum>
  <w:abstractNum w:abstractNumId="188">
    <w:nsid w:val="3F48B982"/>
    <w:multiLevelType w:val="hybridMultilevel"/>
    <w:lvl w:ilvl="0">
      <w:lvlJc w:val="left"/>
      <w:lvlText w:val="(%1)"/>
      <w:numFmt w:val="decimal"/>
      <w:start w:val="3"/>
    </w:lvl>
  </w:abstractNum>
  <w:abstractNum w:abstractNumId="189">
    <w:nsid w:val="46BA8FCA"/>
    <w:multiLevelType w:val="hybridMultilevel"/>
    <w:lvl w:ilvl="0">
      <w:lvlJc w:val="left"/>
      <w:lvlText w:val="(%1)"/>
      <w:numFmt w:val="decimal"/>
      <w:start w:val="1"/>
    </w:lvl>
  </w:abstractNum>
  <w:abstractNum w:abstractNumId="190">
    <w:nsid w:val="7835626C"/>
    <w:multiLevelType w:val="hybridMultilevel"/>
    <w:lvl w:ilvl="0">
      <w:lvlJc w:val="left"/>
      <w:lvlText w:val="(%1)"/>
      <w:numFmt w:val="decimal"/>
      <w:start w:val="2"/>
    </w:lvl>
  </w:abstractNum>
  <w:abstractNum w:abstractNumId="191">
    <w:nsid w:val="665ACA49"/>
    <w:multiLevelType w:val="hybridMultilevel"/>
    <w:lvl w:ilvl="0">
      <w:lvlJc w:val="left"/>
      <w:lvlText w:val="(%1)"/>
      <w:numFmt w:val="lowerLetter"/>
      <w:start w:val="1"/>
    </w:lvl>
  </w:abstractNum>
  <w:abstractNum w:abstractNumId="192">
    <w:nsid w:val="6835B2AE"/>
    <w:multiLevelType w:val="hybridMultilevel"/>
    <w:lvl w:ilvl="0">
      <w:lvlJc w:val="left"/>
      <w:lvlText w:val="(%1)"/>
      <w:numFmt w:val="lowerLetter"/>
      <w:start w:val="4"/>
    </w:lvl>
  </w:abstractNum>
  <w:abstractNum w:abstractNumId="193">
    <w:nsid w:val="4C187C90"/>
    <w:multiLevelType w:val="hybridMultilevel"/>
    <w:lvl w:ilvl="0">
      <w:lvlJc w:val="left"/>
      <w:lvlText w:val="(%1)"/>
      <w:numFmt w:val="lowerLetter"/>
      <w:start w:val="1"/>
    </w:lvl>
  </w:abstractNum>
  <w:abstractNum w:abstractNumId="194">
    <w:nsid w:val="541F28CD"/>
    <w:multiLevelType w:val="hybridMultilevel"/>
    <w:lvl w:ilvl="0">
      <w:lvlJc w:val="left"/>
      <w:lvlText w:val="(%1)"/>
      <w:numFmt w:val="lowerLetter"/>
      <w:start w:val="2"/>
    </w:lvl>
  </w:abstractNum>
  <w:abstractNum w:abstractNumId="195">
    <w:nsid w:val="7F65FD16"/>
    <w:multiLevelType w:val="hybridMultilevel"/>
    <w:lvl w:ilvl="0">
      <w:lvlJc w:val="left"/>
      <w:lvlText w:val="(%1)"/>
      <w:numFmt w:val="lowerLetter"/>
      <w:start w:val="3"/>
    </w:lvl>
  </w:abstractNum>
  <w:abstractNum w:abstractNumId="196">
    <w:nsid w:val="77C9FD68"/>
    <w:multiLevelType w:val="hybridMultilevel"/>
    <w:lvl w:ilvl="0">
      <w:lvlJc w:val="left"/>
      <w:lvlText w:val="(%1)"/>
      <w:numFmt w:val="lowerLetter"/>
      <w:start w:val="4"/>
    </w:lvl>
  </w:abstractNum>
  <w:abstractNum w:abstractNumId="197">
    <w:nsid w:val="298A92BA"/>
    <w:multiLevelType w:val="hybridMultilevel"/>
    <w:lvl w:ilvl="0">
      <w:lvlJc w:val="left"/>
      <w:lvlText w:val="(%1)"/>
      <w:numFmt w:val="lowerLetter"/>
      <w:start w:val="8"/>
    </w:lvl>
    <w:lvl w:ilvl="1">
      <w:lvlJc w:val="left"/>
      <w:lvlText w:val="(%2)"/>
      <w:numFmt w:val="decimal"/>
      <w:start w:val="1"/>
    </w:lvl>
  </w:abstractNum>
  <w:abstractNum w:abstractNumId="198">
    <w:nsid w:val="6FE95EAC"/>
    <w:multiLevelType w:val="hybridMultilevel"/>
    <w:lvl w:ilvl="0">
      <w:lvlJc w:val="left"/>
      <w:lvlText w:val="(%1)"/>
      <w:numFmt w:val="decimal"/>
      <w:start w:val="3"/>
    </w:lvl>
  </w:abstractNum>
  <w:abstractNum w:abstractNumId="199">
    <w:nsid w:val="4B697C7A"/>
    <w:multiLevelType w:val="hybridMultilevel"/>
    <w:lvl w:ilvl="0">
      <w:lvlJc w:val="left"/>
      <w:lvlText w:val="(%1)"/>
      <w:numFmt w:val="lowerLetter"/>
      <w:start w:val="12"/>
    </w:lvl>
  </w:abstractNum>
  <w:abstractNum w:abstractNumId="200">
    <w:nsid w:val="51A27AA6"/>
    <w:multiLevelType w:val="hybridMultilevel"/>
    <w:lvl w:ilvl="0">
      <w:lvlJc w:val="left"/>
      <w:lvlText w:val="(%1)"/>
      <w:numFmt w:val="lowerLetter"/>
      <w:start w:val="17"/>
    </w:lvl>
  </w:abstractNum>
  <w:abstractNum w:abstractNumId="201">
    <w:nsid w:val="613183F2"/>
    <w:multiLevelType w:val="hybridMultilevel"/>
    <w:lvl w:ilvl="0">
      <w:lvlJc w:val="left"/>
      <w:lvlText w:val="(%1)"/>
      <w:numFmt w:val="lowerLetter"/>
      <w:start w:val="26"/>
    </w:lvl>
  </w:abstractNum>
  <w:abstractNum w:abstractNumId="202">
    <w:nsid w:val="634102B4"/>
    <w:multiLevelType w:val="hybridMultilevel"/>
    <w:lvl w:ilvl="0">
      <w:lvlJc w:val="left"/>
      <w:lvlText w:val="(%1)"/>
      <w:numFmt w:val="lowerLetter"/>
      <w:start w:val="1"/>
    </w:lvl>
    <w:lvl w:ilvl="1">
      <w:lvlJc w:val="left"/>
      <w:lvlText w:val="(%2)"/>
      <w:numFmt w:val="decimal"/>
      <w:start w:val="1"/>
    </w:lvl>
  </w:abstractNum>
  <w:abstractNum w:abstractNumId="203">
    <w:nsid w:val="65BF9DA8"/>
    <w:multiLevelType w:val="hybridMultilevel"/>
    <w:lvl w:ilvl="0">
      <w:lvlJc w:val="left"/>
      <w:lvlText w:val="%1"/>
      <w:numFmt w:val="lowerLetter"/>
      <w:start w:val="1"/>
    </w:lvl>
    <w:lvl w:ilvl="1">
      <w:lvlJc w:val="left"/>
      <w:lvlText w:val="(%2)"/>
      <w:numFmt w:val="decimal"/>
      <w:start w:val="9"/>
    </w:lvl>
  </w:abstractNum>
  <w:abstractNum w:abstractNumId="204">
    <w:nsid w:val="21A2ECCA"/>
    <w:multiLevelType w:val="hybridMultilevel"/>
    <w:lvl w:ilvl="0">
      <w:lvlJc w:val="left"/>
      <w:lvlText w:val="(%1)"/>
      <w:numFmt w:val="lowerLetter"/>
      <w:start w:val="3"/>
    </w:lvl>
    <w:lvl w:ilvl="1">
      <w:lvlJc w:val="left"/>
      <w:lvlText w:val="%2"/>
      <w:numFmt w:val="decimal"/>
      <w:start w:val="1"/>
    </w:lvl>
  </w:abstractNum>
  <w:abstractNum w:abstractNumId="205">
    <w:nsid w:val="4D5C4899"/>
    <w:multiLevelType w:val="hybridMultilevel"/>
    <w:lvl w:ilvl="0">
      <w:lvlJc w:val="left"/>
      <w:lvlText w:val="(%1)"/>
      <w:numFmt w:val="lowerLetter"/>
      <w:start w:val="1"/>
    </w:lvl>
  </w:abstractNum>
  <w:abstractNum w:abstractNumId="206">
    <w:nsid w:val="3C3B72B2"/>
    <w:multiLevelType w:val="hybridMultilevel"/>
    <w:lvl w:ilvl="0">
      <w:lvlJc w:val="left"/>
      <w:lvlText w:val="%1"/>
      <w:numFmt w:val="decimal"/>
      <w:start w:val="1"/>
    </w:lvl>
    <w:lvl w:ilvl="1">
      <w:lvlJc w:val="left"/>
      <w:lvlText w:val="(%2)"/>
      <w:numFmt w:val="lowerLetter"/>
      <w:start w:val="2"/>
    </w:lvl>
  </w:abstractNum>
  <w:abstractNum w:abstractNumId="207">
    <w:nsid w:val="155EC4C2"/>
    <w:multiLevelType w:val="hybridMultilevel"/>
    <w:lvl w:ilvl="0">
      <w:lvlJc w:val="left"/>
      <w:lvlText w:val="2"/>
      <w:numFmt w:val="bullet"/>
      <w:start w:val="1"/>
    </w:lvl>
  </w:abstractNum>
  <w:abstractNum w:abstractNumId="208">
    <w:nsid w:val="65D2A137"/>
    <w:multiLevelType w:val="hybridMultilevel"/>
    <w:lvl w:ilvl="0">
      <w:lvlJc w:val="left"/>
      <w:lvlText w:val="(%1)"/>
      <w:numFmt w:val="lowerLetter"/>
      <w:start w:val="1"/>
    </w:lvl>
  </w:abstractNum>
  <w:abstractNum w:abstractNumId="209">
    <w:nsid w:val="6EBB1F2A"/>
    <w:multiLevelType w:val="hybridMultilevel"/>
    <w:lvl w:ilvl="0">
      <w:lvlJc w:val="left"/>
      <w:lvlText w:val="(%1)"/>
      <w:numFmt w:val="lowerLetter"/>
      <w:start w:val="1"/>
    </w:lvl>
  </w:abstractNum>
  <w:abstractNum w:abstractNumId="210">
    <w:nsid w:val="6FBF29CB"/>
    <w:multiLevelType w:val="hybridMultilevel"/>
    <w:lvl w:ilvl="0">
      <w:lvlJc w:val="left"/>
      <w:lvlText w:val="(%1)"/>
      <w:numFmt w:val="lowerLetter"/>
      <w:start w:val="2"/>
    </w:lvl>
    <w:lvl w:ilvl="1">
      <w:lvlJc w:val="left"/>
      <w:lvlText w:val="(%2)"/>
      <w:numFmt w:val="lowerLetter"/>
      <w:start w:val="9"/>
    </w:lvl>
  </w:abstractNum>
  <w:abstractNum w:abstractNumId="211">
    <w:nsid w:val="550B8808"/>
    <w:multiLevelType w:val="hybridMultilevel"/>
    <w:lvl w:ilvl="0">
      <w:lvlJc w:val="left"/>
      <w:lvlText w:val="(%1)"/>
      <w:numFmt w:val="lowerRoman"/>
      <w:start w:val="2"/>
    </w:lvl>
  </w:abstractNum>
  <w:abstractNum w:abstractNumId="212">
    <w:nsid w:val="34CC3ACF"/>
    <w:multiLevelType w:val="hybridMultilevel"/>
    <w:lvl w:ilvl="0">
      <w:lvlJc w:val="left"/>
      <w:lvlText w:val="(%1)"/>
      <w:numFmt w:val="lowerLetter"/>
      <w:start w:val="7"/>
    </w:lvl>
  </w:abstractNum>
  <w:abstractNum w:abstractNumId="213">
    <w:nsid w:val="4E556261"/>
    <w:multiLevelType w:val="hybridMultilevel"/>
    <w:lvl w:ilvl="0">
      <w:lvlJc w:val="left"/>
      <w:lvlText w:val="(%1)"/>
      <w:numFmt w:val="lowerLetter"/>
      <w:start w:val="1"/>
    </w:lvl>
  </w:abstractNum>
  <w:abstractNum w:abstractNumId="214">
    <w:nsid w:val="4C672FC9"/>
    <w:multiLevelType w:val="hybridMultilevel"/>
    <w:lvl w:ilvl="0">
      <w:lvlJc w:val="left"/>
      <w:lvlText w:val="(%1)"/>
      <w:numFmt w:val="lowerLetter"/>
      <w:start w:val="2"/>
    </w:lvl>
    <w:lvl w:ilvl="1">
      <w:lvlJc w:val="left"/>
      <w:lvlText w:val="(%2)"/>
      <w:numFmt w:val="decimal"/>
      <w:start w:val="1"/>
    </w:lvl>
  </w:abstractNum>
  <w:abstractNum w:abstractNumId="215">
    <w:nsid w:val="52A311C3"/>
    <w:multiLevelType w:val="hybridMultilevel"/>
    <w:lvl w:ilvl="0">
      <w:lvlJc w:val="left"/>
      <w:lvlText w:val="%1"/>
      <w:numFmt w:val="lowerLetter"/>
      <w:start w:val="1"/>
    </w:lvl>
    <w:lvl w:ilvl="1">
      <w:lvlJc w:val="left"/>
      <w:lvlText w:val="(%2)"/>
      <w:numFmt w:val="decimal"/>
      <w:start w:val="2"/>
    </w:lvl>
  </w:abstractNum>
  <w:abstractNum w:abstractNumId="216">
    <w:nsid w:val="44EF6B80"/>
    <w:multiLevelType w:val="hybridMultilevel"/>
    <w:lvl w:ilvl="0">
      <w:lvlJc w:val="left"/>
      <w:lvlText w:val="(%1)"/>
      <w:numFmt w:val="lowerLetter"/>
      <w:start w:val="7"/>
    </w:lvl>
    <w:lvl w:ilvl="1">
      <w:lvlJc w:val="left"/>
      <w:lvlText w:val="(%2)"/>
      <w:numFmt w:val="decimal"/>
      <w:start w:val="1"/>
    </w:lvl>
  </w:abstractNum>
  <w:abstractNum w:abstractNumId="217">
    <w:nsid w:val="12FCDE5E"/>
    <w:multiLevelType w:val="hybridMultilevel"/>
    <w:lvl w:ilvl="0">
      <w:lvlJc w:val="left"/>
      <w:lvlText w:val="(%1)"/>
      <w:numFmt w:val="lowerLetter"/>
      <w:start w:val="1"/>
    </w:lvl>
    <w:lvl w:ilvl="1">
      <w:lvlJc w:val="left"/>
      <w:lvlText w:val="(%2)"/>
      <w:numFmt w:val="decimal"/>
      <w:start w:val="1"/>
    </w:lvl>
  </w:abstractNum>
  <w:abstractNum w:abstractNumId="218">
    <w:nsid w:val="4A1D606E"/>
    <w:multiLevelType w:val="hybridMultilevel"/>
    <w:lvl w:ilvl="0">
      <w:lvlJc w:val="left"/>
      <w:lvlText w:val="%1"/>
      <w:numFmt w:val="lowerLetter"/>
      <w:start w:val="1"/>
    </w:lvl>
    <w:lvl w:ilvl="1">
      <w:lvlJc w:val="left"/>
      <w:lvlText w:val="(%2)"/>
      <w:numFmt w:val="decimal"/>
      <w:start w:val="3"/>
    </w:lvl>
  </w:abstractNum>
  <w:abstractNum w:abstractNumId="219">
    <w:nsid w:val="4382503"/>
    <w:multiLevelType w:val="hybridMultilevel"/>
    <w:lvl w:ilvl="0">
      <w:lvlJc w:val="left"/>
      <w:lvlText w:val="(%1)"/>
      <w:numFmt w:val="lowerLetter"/>
      <w:start w:val="3"/>
    </w:lvl>
    <w:lvl w:ilvl="1">
      <w:lvlJc w:val="left"/>
      <w:lvlText w:val="(%2)"/>
      <w:numFmt w:val="decimal"/>
      <w:start w:val="1"/>
    </w:lvl>
  </w:abstractNum>
  <w:abstractNum w:abstractNumId="220">
    <w:nsid w:val="59B76E28"/>
    <w:multiLevelType w:val="hybridMultilevel"/>
    <w:lvl w:ilvl="0">
      <w:lvlJc w:val="left"/>
      <w:lvlText w:val="(%1)"/>
      <w:numFmt w:val="lowerLetter"/>
      <w:start w:val="1"/>
    </w:lvl>
  </w:abstractNum>
  <w:abstractNum w:abstractNumId="221">
    <w:nsid w:val="4252C2DA"/>
    <w:multiLevelType w:val="hybridMultilevel"/>
    <w:lvl w:ilvl="0">
      <w:lvlJc w:val="left"/>
      <w:lvlText w:val="(%1)"/>
      <w:numFmt w:val="lowerLetter"/>
      <w:start w:val="1"/>
    </w:lvl>
  </w:abstractNum>
  <w:abstractNum w:abstractNumId="222">
    <w:nsid w:val="6A92EF4C"/>
    <w:multiLevelType w:val="hybridMultilevel"/>
    <w:lvl w:ilvl="0">
      <w:lvlJc w:val="left"/>
      <w:lvlText w:val="%1."/>
      <w:numFmt w:val="decimal"/>
      <w:start w:val="1"/>
    </w:lvl>
  </w:abstractNum>
  <w:abstractNum w:abstractNumId="223">
    <w:nsid w:val="41ED20D7"/>
    <w:multiLevelType w:val="hybridMultilevel"/>
    <w:lvl w:ilvl="0">
      <w:lvlJc w:val="left"/>
      <w:lvlText w:val="(%1)"/>
      <w:numFmt w:val="lowerRoman"/>
      <w:start w:val="1"/>
    </w:lvl>
  </w:abstractNum>
  <w:abstractNum w:abstractNumId="224">
    <w:nsid w:val="E6B3F6A"/>
    <w:multiLevelType w:val="hybridMultilevel"/>
    <w:lvl w:ilvl="0">
      <w:lvlJc w:val="left"/>
      <w:lvlText w:val="(%1)"/>
      <w:numFmt w:val="lowerRoman"/>
      <w:start w:val="3"/>
    </w:lvl>
  </w:abstractNum>
  <w:abstractNum w:abstractNumId="225">
    <w:nsid w:val="3EB21819"/>
    <w:multiLevelType w:val="hybridMultilevel"/>
    <w:lvl w:ilvl="0">
      <w:lvlJc w:val="left"/>
      <w:lvlText w:val="1"/>
      <w:numFmt w:val="bullet"/>
      <w:start w:val="1"/>
    </w:lvl>
  </w:abstractNum>
  <w:abstractNum w:abstractNumId="226">
    <w:nsid w:val="41531DED"/>
    <w:multiLevelType w:val="hybridMultilevel"/>
    <w:lvl w:ilvl="0">
      <w:lvlJc w:val="left"/>
      <w:lvlText w:val="2"/>
      <w:numFmt w:val="bullet"/>
      <w:start w:val="1"/>
    </w:lvl>
  </w:abstractNum>
  <w:abstractNum w:abstractNumId="227">
    <w:nsid w:val="6353CD2"/>
    <w:multiLevelType w:val="hybridMultilevel"/>
    <w:lvl w:ilvl="0">
      <w:lvlJc w:val="left"/>
      <w:lvlText w:val="3"/>
      <w:numFmt w:val="bullet"/>
      <w:start w:val="1"/>
    </w:lvl>
  </w:abstractNum>
  <w:abstractNum w:abstractNumId="228">
    <w:nsid w:val="683CAAD3"/>
    <w:multiLevelType w:val="hybridMultilevel"/>
    <w:lvl w:ilvl="0">
      <w:lvlJc w:val="left"/>
      <w:lvlText w:val="4"/>
      <w:numFmt w:val="bullet"/>
      <w:start w:val="1"/>
    </w:lvl>
  </w:abstractNum>
  <w:abstractNum w:abstractNumId="229">
    <w:nsid w:val="313C7C99"/>
    <w:multiLevelType w:val="hybridMultilevel"/>
    <w:lvl w:ilvl="0">
      <w:lvlJc w:val="left"/>
      <w:lvlText w:val="5"/>
      <w:numFmt w:val="bullet"/>
      <w:start w:val="1"/>
    </w:lvl>
  </w:abstractNum>
  <w:abstractNum w:abstractNumId="230">
    <w:nsid w:val="519EB94C"/>
    <w:multiLevelType w:val="hybridMultilevel"/>
    <w:lvl w:ilvl="0">
      <w:lvlJc w:val="left"/>
      <w:lvlText w:val="(%1)"/>
      <w:numFmt w:val="lowerRoman"/>
      <w:start w:val="4"/>
    </w:lvl>
  </w:abstractNum>
  <w:abstractNum w:abstractNumId="231">
    <w:nsid w:val="39DF2579"/>
    <w:multiLevelType w:val="hybridMultilevel"/>
    <w:lvl w:ilvl="0">
      <w:lvlJc w:val="left"/>
      <w:lvlText w:val="(%1)"/>
      <w:numFmt w:val="lowerRoman"/>
      <w:start w:val="5"/>
    </w:lvl>
  </w:abstractNum>
  <w:abstractNum w:abstractNumId="232">
    <w:nsid w:val="126E008B"/>
    <w:multiLevelType w:val="hybridMultilevel"/>
    <w:lvl w:ilvl="0">
      <w:lvlJc w:val="left"/>
      <w:lvlText w:val="6"/>
      <w:numFmt w:val="bullet"/>
      <w:start w:val="1"/>
    </w:lvl>
  </w:abstractNum>
  <w:abstractNum w:abstractNumId="233">
    <w:nsid w:val="34DFBC00"/>
    <w:multiLevelType w:val="hybridMultilevel"/>
    <w:lvl w:ilvl="0">
      <w:lvlJc w:val="left"/>
      <w:lvlText w:val="(%1)"/>
      <w:numFmt w:val="lowerLetter"/>
      <w:start w:val="1"/>
    </w:lvl>
    <w:lvl w:ilvl="1">
      <w:lvlJc w:val="left"/>
      <w:lvlText w:val="(%2)"/>
      <w:numFmt w:val="lowerRoman"/>
      <w:start w:val="1"/>
    </w:lvl>
  </w:abstractNum>
  <w:abstractNum w:abstractNumId="234">
    <w:nsid w:val="1F9EC322"/>
    <w:multiLevelType w:val="hybridMultilevel"/>
    <w:lvl w:ilvl="0">
      <w:lvlJc w:val="left"/>
      <w:lvlText w:val="(%1)"/>
      <w:numFmt w:val="lowerLetter"/>
      <w:start w:val="1"/>
    </w:lvl>
  </w:abstractNum>
  <w:abstractNum w:abstractNumId="235">
    <w:nsid w:val="3410ED56"/>
    <w:multiLevelType w:val="hybridMultilevel"/>
    <w:lvl w:ilvl="0">
      <w:lvlJc w:val="left"/>
      <w:lvlText w:val="%1."/>
      <w:numFmt w:val="decimal"/>
      <w:start w:val="2"/>
    </w:lvl>
    <w:lvl w:ilvl="1">
      <w:lvlJc w:val="left"/>
      <w:lvlText w:val="(%2)"/>
      <w:numFmt w:val="lowerLetter"/>
      <w:start w:val="1"/>
    </w:lvl>
  </w:abstractNum>
  <w:abstractNum w:abstractNumId="236">
    <w:nsid w:val="23C049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37">
    <w:nsid w:val="5BDA35D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8">
    <w:nsid w:val="496FB218"/>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239">
    <w:nsid w:val="680EA5D1"/>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34"/>
    </w:lvl>
    <w:lvl w:ilvl="3">
      <w:lvlJc w:val="left"/>
      <w:lvlText w:val="(%4)"/>
      <w:numFmt w:val="decimal"/>
      <w:start w:val="3"/>
    </w:lvl>
  </w:abstractNum>
  <w:abstractNum w:abstractNumId="240">
    <w:nsid w:val="4A9554F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241">
    <w:nsid w:val="392EDBE4"/>
    <w:multiLevelType w:val="hybridMultilevel"/>
    <w:lvl w:ilvl="0">
      <w:lvlJc w:val="left"/>
      <w:lvlText w:val="(%1)"/>
      <w:numFmt w:val="lowerRoman"/>
      <w:start w:val="2"/>
    </w:lvl>
  </w:abstractNum>
  <w:abstractNum w:abstractNumId="242">
    <w:nsid w:val="3D1A2DD9"/>
    <w:multiLevelType w:val="hybridMultilevel"/>
    <w:lvl w:ilvl="0">
      <w:lvlJc w:val="left"/>
      <w:lvlText w:val="7"/>
      <w:numFmt w:val="bullet"/>
      <w:start w:val="1"/>
    </w:lvl>
  </w:abstractNum>
  <w:abstractNum w:abstractNumId="243">
    <w:nsid w:val="7F618F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44">
    <w:nsid w:val="7843E45"/>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245">
    <w:nsid w:val="9815DA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46">
    <w:nsid w:val="5204A19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3"/>
    </w:lvl>
  </w:abstractNum>
  <w:abstractNum w:abstractNumId="247">
    <w:nsid w:val="4C73A9C6"/>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248">
    <w:nsid w:val="1C7E3C0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49">
    <w:nsid w:val="1C2201F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0">
    <w:nsid w:val="50ABCEC9"/>
    <w:multiLevelType w:val="hybridMultilevel"/>
    <w:lvl w:ilvl="0">
      <w:lvlJc w:val="left"/>
      <w:lvlText w:val="(%1)"/>
      <w:numFmt w:val="lowerLetter"/>
      <w:start w:val="2"/>
    </w:lvl>
    <w:lvl w:ilvl="1">
      <w:lvlJc w:val="left"/>
      <w:lvlText w:val="(%2)"/>
      <w:numFmt w:val="lowerRoman"/>
      <w:start w:val="1"/>
    </w:lvl>
  </w:abstractNum>
  <w:abstractNum w:abstractNumId="251">
    <w:nsid w:val="7635AA2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252">
    <w:nsid w:val="5E74C4D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53">
    <w:nsid w:val="3B3EBE1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54">
    <w:nsid w:val="3822CB0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55">
    <w:nsid w:val="6CE00443"/>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56">
    <w:nsid w:val="79F0D62F"/>
    <w:multiLevelType w:val="hybridMultilevel"/>
    <w:lvl w:ilvl="0">
      <w:lvlJc w:val="left"/>
      <w:lvlText w:val="8"/>
      <w:numFmt w:val="bullet"/>
      <w:start w:val="1"/>
    </w:lvl>
  </w:abstractNum>
  <w:abstractNum w:abstractNumId="257">
    <w:nsid w:val="7975E8E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8">
    <w:nsid w:val="7315411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59">
    <w:nsid w:val="622D8102"/>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60">
    <w:nsid w:val="2AB26587"/>
    <w:multiLevelType w:val="hybridMultilevel"/>
    <w:lvl w:ilvl="0">
      <w:lvlJc w:val="left"/>
      <w:lvlText w:val="(%1)"/>
      <w:numFmt w:val="decimal"/>
      <w:start w:val="2"/>
    </w:lvl>
  </w:abstractNum>
  <w:abstractNum w:abstractNumId="261">
    <w:nsid w:val="44B3FA61"/>
    <w:multiLevelType w:val="hybridMultilevel"/>
    <w:lvl w:ilvl="0">
      <w:lvlJc w:val="left"/>
      <w:lvlText w:val="="/>
      <w:numFmt w:val="bullet"/>
      <w:start w:val="1"/>
    </w:lvl>
  </w:abstractNum>
  <w:abstractNum w:abstractNumId="262">
    <w:nsid w:val="1C0CA67C"/>
    <w:multiLevelType w:val="hybridMultilevel"/>
    <w:lvl w:ilvl="0">
      <w:lvlJc w:val="left"/>
      <w:lvlText w:val="(%1)"/>
      <w:numFmt w:val="lowerRoman"/>
      <w:start w:val="2"/>
    </w:lvl>
  </w:abstractNum>
  <w:abstractNum w:abstractNumId="263">
    <w:nsid w:val="3D206613"/>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264">
    <w:nsid w:val="7993B662"/>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65">
    <w:nsid w:val="3BAB699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266">
    <w:nsid w:val="71315369"/>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9"/>
    </w:lvl>
    <w:lvl w:ilvl="3">
      <w:lvlJc w:val="left"/>
      <w:lvlText w:val="(%4)"/>
      <w:numFmt w:val="decimal"/>
      <w:start w:val="1"/>
    </w:lvl>
  </w:abstractNum>
  <w:abstractNum w:abstractNumId="267">
    <w:nsid w:val="7BCFBAFC"/>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268">
    <w:nsid w:val="17859F72"/>
    <w:multiLevelType w:val="hybridMultilevel"/>
    <w:lvl w:ilvl="0">
      <w:lvlJc w:val="left"/>
      <w:lvlText w:val="(%1)"/>
      <w:numFmt w:val="upperLetter"/>
      <w:start w:val="1"/>
    </w:lvl>
  </w:abstractNum>
  <w:abstractNum w:abstractNumId="269">
    <w:nsid w:val="3AA10581"/>
    <w:multiLevelType w:val="hybridMultilevel"/>
    <w:lvl w:ilvl="0">
      <w:lvlJc w:val="left"/>
      <w:lvlText w:val="(%1)"/>
      <w:numFmt w:val="upperLetter"/>
      <w:start w:val="2"/>
    </w:lvl>
  </w:abstractNum>
  <w:abstractNum w:abstractNumId="270">
    <w:nsid w:val="63DE60CD"/>
    <w:multiLevelType w:val="hybridMultilevel"/>
    <w:lvl w:ilvl="0">
      <w:lvlJc w:val="left"/>
      <w:lvlText w:val="%1"/>
      <w:numFmt w:val="decimal"/>
      <w:start w:val="1"/>
    </w:lvl>
    <w:lvl w:ilvl="1">
      <w:lvlJc w:val="left"/>
      <w:lvlText w:val="(%2)"/>
      <w:numFmt w:val="lowerRoman"/>
      <w:start w:val="2"/>
    </w:lvl>
  </w:abstractNum>
  <w:abstractNum w:abstractNumId="271">
    <w:nsid w:val="621AF471"/>
    <w:multiLevelType w:val="hybridMultilevel"/>
    <w:lvl w:ilvl="0">
      <w:lvlJc w:val="left"/>
      <w:lvlText w:val="%1."/>
      <w:numFmt w:val="decimal"/>
      <w:start w:val="10"/>
    </w:lvl>
    <w:lvl w:ilvl="1">
      <w:lvlJc w:val="left"/>
      <w:lvlText w:val="%2"/>
      <w:numFmt w:val="lowerRoman"/>
      <w:start w:val="1"/>
    </w:lvl>
  </w:abstractNum>
  <w:abstractNum w:abstractNumId="272">
    <w:nsid w:val="73CFE165"/>
    <w:multiLevelType w:val="hybridMultilevel"/>
    <w:lvl w:ilvl="0">
      <w:lvlJc w:val="left"/>
      <w:lvlText w:val="%1."/>
      <w:numFmt w:val="decimal"/>
      <w:start w:val="11"/>
    </w:lvl>
    <w:lvl w:ilvl="1">
      <w:lvlJc w:val="left"/>
      <w:lvlText w:val="(%2)"/>
      <w:numFmt w:val="lowerLetter"/>
      <w:start w:val="1"/>
    </w:lvl>
  </w:abstractNum>
  <w:abstractNum w:abstractNumId="273">
    <w:nsid w:val="20F88EA6"/>
    <w:multiLevelType w:val="hybridMultilevel"/>
    <w:lvl w:ilvl="0">
      <w:lvlJc w:val="left"/>
      <w:lvlText w:val="%1"/>
      <w:numFmt w:val="decimal"/>
      <w:start w:val="1"/>
    </w:lvl>
    <w:lvl w:ilvl="1">
      <w:lvlJc w:val="left"/>
      <w:lvlText w:val="(%2)"/>
      <w:numFmt w:val="lowerLetter"/>
      <w:start w:val="2"/>
    </w:lvl>
  </w:abstractNum>
  <w:abstractNum w:abstractNumId="274">
    <w:nsid w:val="617C843E"/>
    <w:multiLevelType w:val="hybridMultilevel"/>
    <w:lvl w:ilvl="0">
      <w:lvlJc w:val="left"/>
      <w:lvlText w:val="%1."/>
      <w:numFmt w:val="decimal"/>
      <w:start w:val="13"/>
    </w:lvl>
    <w:lvl w:ilvl="1">
      <w:lvlJc w:val="left"/>
      <w:lvlText w:val="(%2)"/>
      <w:numFmt w:val="lowerLetter"/>
      <w:start w:val="1"/>
    </w:lvl>
  </w:abstractNum>
  <w:abstractNum w:abstractNumId="275">
    <w:nsid w:val="7B541FAB"/>
    <w:multiLevelType w:val="hybridMultilevel"/>
    <w:lvl w:ilvl="0">
      <w:lvlJc w:val="left"/>
      <w:lvlText w:val="%1"/>
      <w:numFmt w:val="decimal"/>
      <w:start w:val="1"/>
    </w:lvl>
    <w:lvl w:ilvl="1">
      <w:lvlJc w:val="left"/>
      <w:lvlText w:val="(%2)"/>
      <w:numFmt w:val="lowerLetter"/>
      <w:start w:val="2"/>
    </w:lvl>
  </w:abstractNum>
  <w:abstractNum w:abstractNumId="276">
    <w:nsid w:val="2A79EC49"/>
    <w:multiLevelType w:val="hybridMultilevel"/>
    <w:lvl w:ilvl="0">
      <w:lvlJc w:val="left"/>
      <w:lvlText w:val="%1."/>
      <w:numFmt w:val="decimal"/>
      <w:start w:val="14"/>
    </w:lvl>
    <w:lvl w:ilvl="1">
      <w:lvlJc w:val="left"/>
      <w:lvlText w:val="%2"/>
      <w:numFmt w:val="lowerLetter"/>
      <w:start w:val="1"/>
    </w:lvl>
  </w:abstractNum>
  <w:abstractNum w:abstractNumId="277">
    <w:nsid w:val="338125CF"/>
    <w:multiLevelType w:val="hybridMultilevel"/>
    <w:lvl w:ilvl="0">
      <w:lvlJc w:val="left"/>
      <w:lvlText w:val="%1."/>
      <w:numFmt w:val="decimal"/>
      <w:start w:val="16"/>
    </w:lvl>
  </w:abstractNum>
  <w:abstractNum w:abstractNumId="278">
    <w:nsid w:val="47C7C971"/>
    <w:multiLevelType w:val="hybridMultilevel"/>
    <w:lvl w:ilvl="0">
      <w:lvlJc w:val="left"/>
      <w:lvlText w:val="9"/>
      <w:numFmt w:val="bullet"/>
      <w:start w:val="1"/>
    </w:lvl>
  </w:abstractNum>
  <w:abstractNum w:abstractNumId="279">
    <w:nsid w:val="46F8284B"/>
    <w:multiLevelType w:val="hybridMultilevel"/>
    <w:lvl w:ilvl="0">
      <w:lvlJc w:val="left"/>
      <w:lvlText w:val="%1."/>
      <w:numFmt w:val="decimal"/>
      <w:start w:val="1"/>
    </w:lvl>
    <w:lvl w:ilvl="1">
      <w:lvlJc w:val="left"/>
      <w:lvlText w:val="*"/>
      <w:numFmt w:val="bullet"/>
      <w:start w:val="1"/>
    </w:lvl>
  </w:abstractNum>
  <w:abstractNum w:abstractNumId="280">
    <w:nsid w:val="4FA327CE"/>
    <w:multiLevelType w:val="hybridMultilevel"/>
    <w:lvl w:ilvl="0">
      <w:lvlJc w:val="left"/>
      <w:lvlText w:val="%1."/>
      <w:numFmt w:val="upperLetter"/>
      <w:start w:val="1"/>
    </w:lvl>
  </w:abstractNum>
  <w:abstractNum w:abstractNumId="281">
    <w:nsid w:val="1873983A"/>
    <w:multiLevelType w:val="hybridMultilevel"/>
    <w:lvl w:ilvl="0">
      <w:lvlJc w:val="left"/>
      <w:lvlText w:val="%1."/>
      <w:numFmt w:val="decimal"/>
      <w:start w:val="1"/>
    </w:lvl>
    <w:lvl w:ilvl="1">
      <w:lvlJc w:val="left"/>
      <w:lvlText w:val="%2"/>
      <w:numFmt w:val="lowerLetter"/>
      <w:start w:val="1"/>
    </w:lvl>
  </w:abstractNum>
  <w:abstractNum w:abstractNumId="282">
    <w:nsid w:val="3D2DD275"/>
    <w:multiLevelType w:val="hybridMultilevel"/>
    <w:lvl w:ilvl="0">
      <w:lvlJc w:val="left"/>
      <w:lvlText w:val="1"/>
      <w:numFmt w:val="bullet"/>
      <w:start w:val="1"/>
    </w:lvl>
  </w:abstractNum>
  <w:abstractNum w:abstractNumId="283">
    <w:nsid w:val="2E17ECA7"/>
    <w:multiLevelType w:val="hybridMultilevel"/>
    <w:lvl w:ilvl="0">
      <w:lvlJc w:val="left"/>
      <w:lvlText w:val="%1."/>
      <w:numFmt w:val="lowerLetter"/>
      <w:start w:val="2"/>
    </w:lvl>
  </w:abstractNum>
  <w:abstractNum w:abstractNumId="284">
    <w:nsid w:val="53B2564F"/>
    <w:multiLevelType w:val="hybridMultilevel"/>
    <w:lvl w:ilvl="0">
      <w:lvlJc w:val="left"/>
      <w:lvlText w:val="2"/>
      <w:numFmt w:val="bullet"/>
      <w:start w:val="1"/>
    </w:lvl>
  </w:abstractNum>
  <w:abstractNum w:abstractNumId="285">
    <w:nsid w:val="75509D76"/>
    <w:multiLevelType w:val="hybridMultilevel"/>
    <w:lvl w:ilvl="0">
      <w:lvlJc w:val="left"/>
      <w:lvlText w:val="%1."/>
      <w:numFmt w:val="lowerLetter"/>
      <w:start w:val="15"/>
    </w:lvl>
  </w:abstractNum>
  <w:abstractNum w:abstractNumId="286">
    <w:nsid w:val="1AF7F0EA"/>
    <w:multiLevelType w:val="hybridMultilevel"/>
    <w:lvl w:ilvl="0">
      <w:lvlJc w:val="left"/>
      <w:lvlText w:val="%1"/>
      <w:numFmt w:val="decimal"/>
      <w:start w:val="1"/>
    </w:lvl>
    <w:lvl w:ilvl="1">
      <w:lvlJc w:val="left"/>
      <w:lvlText w:val="%2."/>
      <w:numFmt w:val="lowerLetter"/>
      <w:start w:val="24"/>
    </w:lvl>
    <w:lvl w:ilvl="2">
      <w:lvlJc w:val="left"/>
      <w:lvlText w:val="%3"/>
      <w:numFmt w:val="lowerRoman"/>
      <w:start w:val="1"/>
    </w:lvl>
  </w:abstractNum>
  <w:abstractNum w:abstractNumId="287">
    <w:nsid w:val="4DA32C7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88">
    <w:nsid w:val="6EC68664"/>
    <w:multiLevelType w:val="hybridMultilevel"/>
    <w:lvl w:ilvl="0">
      <w:lvlJc w:val="left"/>
      <w:lvlText w:val="(%1)"/>
      <w:numFmt w:val="decimal"/>
      <w:start w:val="5"/>
    </w:lvl>
    <w:lvl w:ilvl="1">
      <w:lvlJc w:val="left"/>
      <w:lvlText w:val="%2."/>
      <w:numFmt w:val="lowerRoman"/>
      <w:start w:val="4"/>
    </w:lvl>
  </w:abstractNum>
  <w:abstractNum w:abstractNumId="289">
    <w:nsid w:val="E0D31FF"/>
    <w:multiLevelType w:val="hybridMultilevel"/>
    <w:lvl w:ilvl="0">
      <w:lvlJc w:val="left"/>
      <w:lvlText w:val="%1."/>
      <w:numFmt w:val="lowerLetter"/>
      <w:start w:val="2"/>
    </w:lvl>
    <w:lvl w:ilvl="1">
      <w:lvlJc w:val="left"/>
      <w:lvlText w:val="%2."/>
      <w:numFmt w:val="lowerLetter"/>
      <w:start w:val="9"/>
    </w:lvl>
  </w:abstractNum>
  <w:abstractNum w:abstractNumId="290">
    <w:nsid w:val="2FD0AD81"/>
    <w:multiLevelType w:val="hybridMultilevel"/>
    <w:lvl w:ilvl="0">
      <w:lvlJc w:val="left"/>
      <w:lvlText w:val="%1"/>
      <w:numFmt w:val="lowerLetter"/>
      <w:start w:val="1"/>
    </w:lvl>
    <w:lvl w:ilvl="1">
      <w:lvlJc w:val="left"/>
      <w:lvlText w:val="%2."/>
      <w:numFmt w:val="lowerRoman"/>
      <w:start w:val="2"/>
    </w:lvl>
  </w:abstractNum>
  <w:abstractNum w:abstractNumId="291">
    <w:nsid w:val="1978EBEB"/>
    <w:multiLevelType w:val="hybridMultilevel"/>
    <w:lvl w:ilvl="0">
      <w:lvlJc w:val="left"/>
      <w:lvlText w:val="%1."/>
      <w:numFmt w:val="lowerLetter"/>
      <w:start w:val="4"/>
    </w:lvl>
    <w:lvl w:ilvl="1">
      <w:lvlJc w:val="left"/>
      <w:lvlText w:val="%2."/>
      <w:numFmt w:val="lowerRoman"/>
      <w:start w:val="1"/>
    </w:lvl>
  </w:abstractNum>
  <w:abstractNum w:abstractNumId="292">
    <w:nsid w:val="52C12C61"/>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93">
    <w:nsid w:val="4BDD53FD"/>
    <w:multiLevelType w:val="hybridMultilevel"/>
    <w:lvl w:ilvl="0">
      <w:lvlJc w:val="left"/>
      <w:lvlText w:val="%1"/>
      <w:numFmt w:val="decimal"/>
      <w:start w:val="1"/>
    </w:lvl>
    <w:lvl w:ilvl="1">
      <w:lvlJc w:val="left"/>
      <w:lvlText w:val="(%2)"/>
      <w:numFmt w:val="upperLetter"/>
      <w:start w:val="3"/>
    </w:lvl>
  </w:abstractNum>
  <w:abstractNum w:abstractNumId="294">
    <w:nsid w:val="569951FE"/>
    <w:multiLevelType w:val="hybridMultilevel"/>
    <w:lvl w:ilvl="0">
      <w:lvlJc w:val="left"/>
      <w:lvlText w:val="(%1)"/>
      <w:numFmt w:val="decimal"/>
      <w:start w:val="2"/>
    </w:lvl>
    <w:lvl w:ilvl="1">
      <w:lvlJc w:val="left"/>
      <w:lvlText w:val="(%2)"/>
      <w:numFmt w:val="upperLetter"/>
      <w:start w:val="1"/>
    </w:lvl>
  </w:abstractNum>
  <w:abstractNum w:abstractNumId="295">
    <w:nsid w:val="4C54E2C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6">
    <w:nsid w:val="788BD9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97">
    <w:nsid w:val="47CAA5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8">
    <w:nsid w:val="48249DBF"/>
    <w:multiLevelType w:val="hybridMultilevel"/>
    <w:lvl w:ilvl="0">
      <w:lvlJc w:val="left"/>
      <w:lvlText w:val="%1."/>
      <w:numFmt w:val="lowerLetter"/>
      <w:start w:val="2"/>
    </w:lvl>
  </w:abstractNum>
  <w:abstractNum w:abstractNumId="299">
    <w:nsid w:val="1F0E5D0D"/>
    <w:multiLevelType w:val="hybridMultilevel"/>
    <w:lvl w:ilvl="0">
      <w:lvlJc w:val="left"/>
      <w:lvlText w:val="%1."/>
      <w:numFmt w:val="lowerLetter"/>
      <w:start w:val="6"/>
    </w:lvl>
  </w:abstractNum>
  <w:abstractNum w:abstractNumId="300">
    <w:nsid w:val="26BAAE9"/>
    <w:multiLevelType w:val="hybridMultilevel"/>
    <w:lvl w:ilvl="0">
      <w:lvlJc w:val="left"/>
      <w:lvlText w:val="%1."/>
      <w:numFmt w:val="lowerLetter"/>
      <w:start w:val="10"/>
    </w:lvl>
  </w:abstractNum>
  <w:abstractNum w:abstractNumId="301">
    <w:nsid w:val="2C02FE8C"/>
    <w:multiLevelType w:val="hybridMultilevel"/>
    <w:lvl w:ilvl="0">
      <w:lvlJc w:val="left"/>
      <w:lvlText w:val="%1."/>
      <w:numFmt w:val="lowerLetter"/>
      <w:start w:val="17"/>
    </w:lvl>
    <w:lvl w:ilvl="1">
      <w:lvlJc w:val="left"/>
      <w:lvlText w:val="%2."/>
      <w:numFmt w:val="lowerRoman"/>
      <w:start w:val="1"/>
    </w:lvl>
    <w:lvl w:ilvl="2">
      <w:lvlJc w:val="left"/>
      <w:lvlText w:val="(%3)"/>
      <w:numFmt w:val="decimal"/>
      <w:start w:val="1"/>
    </w:lvl>
  </w:abstractNum>
  <w:abstractNum w:abstractNumId="302">
    <w:nsid w:val="129517E"/>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abstractNum>
  <w:abstractNum w:abstractNumId="303">
    <w:nsid w:val="763B8C4E"/>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304">
    <w:nsid w:val="4CFB8D32"/>
    <w:multiLevelType w:val="hybridMultilevel"/>
    <w:lvl w:ilvl="0">
      <w:lvlJc w:val="left"/>
      <w:lvlText w:val="(%1)"/>
      <w:numFmt w:val="upperLetter"/>
      <w:start w:val="2"/>
    </w:lvl>
    <w:lvl w:ilvl="1">
      <w:lvlJc w:val="left"/>
      <w:lvlText w:val="%2."/>
      <w:numFmt w:val="lowerRoman"/>
      <w:start w:val="3"/>
    </w:lvl>
    <w:lvl w:ilvl="2">
      <w:lvlJc w:val="left"/>
      <w:lvlText w:val="%3"/>
      <w:numFmt w:val="decimal"/>
      <w:start w:val="1"/>
    </w:lvl>
  </w:abstractNum>
  <w:abstractNum w:abstractNumId="305">
    <w:nsid w:val="62A5D5BD"/>
    <w:multiLevelType w:val="hybridMultilevel"/>
    <w:lvl w:ilvl="0">
      <w:lvlJc w:val="left"/>
      <w:lvlText w:val="%1."/>
      <w:numFmt w:val="decimal"/>
      <w:start w:val="4"/>
    </w:lvl>
    <w:lvl w:ilvl="1">
      <w:lvlJc w:val="left"/>
      <w:lvlText w:val="%2"/>
      <w:numFmt w:val="lowerLetter"/>
      <w:start w:val="1"/>
    </w:lvl>
  </w:abstractNum>
  <w:abstractNum w:abstractNumId="306">
    <w:nsid w:val="718FABF9"/>
    <w:multiLevelType w:val="hybridMultilevel"/>
    <w:lvl w:ilvl="0">
      <w:lvlJc w:val="left"/>
      <w:lvlText w:val="%1"/>
      <w:numFmt w:val="decimal"/>
      <w:start w:val="1"/>
    </w:lvl>
    <w:lvl w:ilvl="1">
      <w:lvlJc w:val="left"/>
      <w:lvlText w:val="%2."/>
      <w:numFmt w:val="lowerLetter"/>
      <w:start w:val="2"/>
    </w:lvl>
  </w:abstractNum>
  <w:abstractNum w:abstractNumId="307">
    <w:nsid w:val="7775797C"/>
    <w:multiLevelType w:val="hybridMultilevel"/>
    <w:lvl w:ilvl="0">
      <w:lvlJc w:val="left"/>
      <w:lvlText w:val="%1."/>
      <w:numFmt w:val="decimal"/>
      <w:start w:val="5"/>
    </w:lvl>
    <w:lvl w:ilvl="1">
      <w:lvlJc w:val="left"/>
      <w:lvlText w:val="%2"/>
      <w:numFmt w:val="lowerLetter"/>
      <w:start w:val="1"/>
    </w:lvl>
  </w:abstractNum>
  <w:abstractNum w:abstractNumId="308">
    <w:nsid w:val="1626FB8C"/>
    <w:multiLevelType w:val="hybridMultilevel"/>
    <w:lvl w:ilvl="0">
      <w:lvlJc w:val="left"/>
      <w:lvlText w:val="%1."/>
      <w:numFmt w:val="decimal"/>
      <w:start w:val="7"/>
    </w:lvl>
    <w:lvl w:ilvl="1">
      <w:lvlJc w:val="left"/>
      <w:lvlText w:val="%2."/>
      <w:numFmt w:val="lowerLetter"/>
      <w:start w:val="1"/>
    </w:lvl>
  </w:abstractNum>
  <w:abstractNum w:abstractNumId="309">
    <w:nsid w:val="3957756A"/>
    <w:multiLevelType w:val="hybridMultilevel"/>
    <w:lvl w:ilvl="0">
      <w:lvlJc w:val="left"/>
      <w:lvlText w:val="%1."/>
      <w:numFmt w:val="lowerLetter"/>
      <w:start w:val="3"/>
    </w:lvl>
  </w:abstractNum>
  <w:abstractNum w:abstractNumId="310">
    <w:nsid w:val="3E6DA1C7"/>
    <w:multiLevelType w:val="hybridMultilevel"/>
    <w:lvl w:ilvl="0">
      <w:lvlJc w:val="left"/>
      <w:lvlText w:val="%1"/>
      <w:numFmt w:val="decimal"/>
      <w:start w:val="1"/>
    </w:lvl>
    <w:lvl w:ilvl="1">
      <w:lvlJc w:val="left"/>
      <w:lvlText w:val="%2."/>
      <w:numFmt w:val="lowerLetter"/>
      <w:start w:val="4"/>
    </w:lvl>
  </w:abstractNum>
  <w:abstractNum w:abstractNumId="311">
    <w:nsid w:val="65CA235B"/>
    <w:multiLevelType w:val="hybridMultilevel"/>
    <w:lvl w:ilvl="0">
      <w:lvlJc w:val="left"/>
      <w:lvlText w:val="%1."/>
      <w:numFmt w:val="decimal"/>
      <w:start w:val="8"/>
    </w:lvl>
    <w:lvl w:ilvl="1">
      <w:lvlJc w:val="left"/>
      <w:lvlText w:val="%2."/>
      <w:numFmt w:val="lowerLetter"/>
      <w:start w:val="1"/>
    </w:lvl>
  </w:abstractNum>
  <w:abstractNum w:abstractNumId="312">
    <w:nsid w:val="51CB0DA4"/>
    <w:multiLevelType w:val="hybridMultilevel"/>
    <w:lvl w:ilvl="0">
      <w:lvlJc w:val="left"/>
      <w:lvlText w:val="%1"/>
      <w:numFmt w:val="decimal"/>
      <w:start w:val="1"/>
    </w:lvl>
    <w:lvl w:ilvl="1">
      <w:lvlJc w:val="left"/>
      <w:lvlText w:val="%2."/>
      <w:numFmt w:val="lowerLetter"/>
      <w:start w:val="2"/>
    </w:lvl>
  </w:abstractNum>
  <w:abstractNum w:abstractNumId="313">
    <w:nsid w:val="7B9B743C"/>
    <w:multiLevelType w:val="hybridMultilevel"/>
    <w:lvl w:ilvl="0">
      <w:lvlJc w:val="left"/>
      <w:lvlText w:val="%1."/>
      <w:numFmt w:val="decimal"/>
      <w:start w:val="10"/>
    </w:lvl>
    <w:lvl w:ilvl="1">
      <w:lvlJc w:val="left"/>
      <w:lvlText w:val="%2."/>
      <w:numFmt w:val="lowerLetter"/>
      <w:start w:val="1"/>
    </w:lvl>
  </w:abstractNum>
  <w:abstractNum w:abstractNumId="314">
    <w:nsid w:val="13E21002"/>
    <w:multiLevelType w:val="hybridMultilevel"/>
    <w:lvl w:ilvl="0">
      <w:lvlJc w:val="left"/>
      <w:lvlText w:val="%1."/>
      <w:numFmt w:val="lowerLetter"/>
      <w:start w:val="3"/>
    </w:lvl>
  </w:abstractNum>
  <w:abstractNum w:abstractNumId="315">
    <w:nsid w:val="257D63F4"/>
    <w:multiLevelType w:val="hybridMultilevel"/>
    <w:lvl w:ilvl="0">
      <w:lvlJc w:val="left"/>
      <w:lvlText w:val="%1."/>
      <w:numFmt w:val="lowerLetter"/>
      <w:start w:val="6"/>
    </w:lvl>
  </w:abstractNum>
  <w:abstractNum w:abstractNumId="316">
    <w:nsid w:val="70EC11B2"/>
    <w:multiLevelType w:val="hybridMultilevel"/>
    <w:lvl w:ilvl="0">
      <w:lvlJc w:val="left"/>
      <w:lvlText w:val="%1."/>
      <w:numFmt w:val="lowerLetter"/>
      <w:start w:val="15"/>
    </w:lvl>
    <w:lvl w:ilvl="1">
      <w:lvlJc w:val="left"/>
      <w:lvlText w:val="*"/>
      <w:numFmt w:val="bullet"/>
      <w:start w:val="1"/>
    </w:lvl>
  </w:abstractNum>
  <w:abstractNum w:abstractNumId="317">
    <w:nsid w:val="2EDA00ED"/>
    <w:multiLevelType w:val="hybridMultilevel"/>
    <w:lvl w:ilvl="0">
      <w:lvlJc w:val="left"/>
      <w:lvlText w:val="•"/>
      <w:numFmt w:val="bullet"/>
      <w:start w:val="1"/>
    </w:lvl>
  </w:abstractNum>
  <w:abstractNum w:abstractNumId="318">
    <w:nsid w:val="73209072"/>
    <w:multiLevelType w:val="hybridMultilevel"/>
    <w:lvl w:ilvl="0">
      <w:lvlJc w:val="left"/>
      <w:lvlText w:val="(%1)"/>
      <w:numFmt w:val="lowerLetter"/>
      <w:start w:val="1"/>
    </w:lvl>
  </w:abstractNum>
  <w:abstractNum w:abstractNumId="319">
    <w:nsid w:val="5FB29816"/>
    <w:multiLevelType w:val="hybridMultilevel"/>
    <w:lvl w:ilvl="0">
      <w:lvlJc w:val="left"/>
      <w:lvlText w:val="(%1)"/>
      <w:numFmt w:val="lowerLetter"/>
      <w:start w:val="3"/>
    </w:lvl>
  </w:abstractNum>
  <w:abstractNum w:abstractNumId="320">
    <w:nsid w:val="3CE732EC"/>
    <w:multiLevelType w:val="hybridMultilevel"/>
    <w:lvl w:ilvl="0">
      <w:lvlJc w:val="left"/>
      <w:lvlText w:val="(%1)"/>
      <w:numFmt w:val="lowerLetter"/>
      <w:start w:val="4"/>
    </w:lvl>
  </w:abstractNum>
  <w:abstractNum w:abstractNumId="321">
    <w:nsid w:val="22F13DF3"/>
    <w:multiLevelType w:val="hybridMultilevel"/>
    <w:lvl w:ilvl="0">
      <w:lvlJc w:val="left"/>
      <w:lvlText w:val="(%1)"/>
      <w:numFmt w:val="lowerRoman"/>
      <w:start w:val="1"/>
    </w:lvl>
  </w:abstractNum>
  <w:abstractNum w:abstractNumId="322">
    <w:nsid w:val="792B8401"/>
    <w:multiLevelType w:val="hybridMultilevel"/>
    <w:lvl w:ilvl="0">
      <w:lvlJc w:val="left"/>
      <w:lvlText w:val="(%1)"/>
      <w:numFmt w:val="lowerLetter"/>
      <w:start w:val="10"/>
    </w:lvl>
  </w:abstractNum>
  <w:abstractNum w:abstractNumId="323">
    <w:nsid w:val="FA85F4D"/>
    <w:multiLevelType w:val="hybridMultilevel"/>
    <w:lvl w:ilvl="0">
      <w:lvlJc w:val="left"/>
      <w:lvlText w:val="(%1)"/>
      <w:numFmt w:val="lowerLetter"/>
      <w:start w:val="15"/>
    </w:lvl>
  </w:abstractNum>
  <w:abstractNum w:abstractNumId="324">
    <w:nsid w:val="6ECE91F0"/>
    <w:multiLevelType w:val="hybridMultilevel"/>
    <w:lvl w:ilvl="0">
      <w:lvlJc w:val="left"/>
      <w:lvlText w:val="(%1)"/>
      <w:numFmt w:val="lowerLetter"/>
      <w:start w:val="9"/>
    </w:lvl>
  </w:abstractNum>
  <w:abstractNum w:abstractNumId="325">
    <w:nsid w:val="4FC4D600"/>
    <w:multiLevelType w:val="hybridMultilevel"/>
    <w:lvl w:ilvl="0">
      <w:lvlJc w:val="left"/>
      <w:lvlText w:val="(%1)"/>
      <w:numFmt w:val="low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2026-05-08T16:11:18Z</dcterms:created>
  <dcterms:modified xsi:type="dcterms:W3CDTF">2026-05-08T16:11:18Z</dcterms:modified>
</cp:coreProperties>
</file>