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483870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5" w:lineRule="exact"/>
        <w:rPr>
          <w:sz w:val="24"/>
          <w:szCs w:val="24"/>
          <w:color w:val="auto"/>
        </w:rPr>
      </w:pPr>
    </w:p>
    <w:p>
      <w:pPr>
        <w:ind w:left="460" w:hanging="43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For the transition period from __________ to__________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001-38790</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tcPr>
          <w:p>
            <w:pPr>
              <w:jc w:val="right"/>
              <w:ind w:right="790"/>
              <w:spacing w:after="0"/>
              <w:rPr>
                <w:sz w:val="20"/>
                <w:szCs w:val="20"/>
                <w:color w:val="auto"/>
              </w:rPr>
            </w:pPr>
            <w:r>
              <w:rPr>
                <w:rFonts w:ascii="Arial" w:cs="Arial" w:eastAsia="Arial" w:hAnsi="Arial"/>
                <w:sz w:val="18"/>
                <w:szCs w:val="18"/>
                <w:b w:val="1"/>
                <w:bCs w:val="1"/>
                <w:color w:val="auto"/>
              </w:rPr>
              <w:t>83-1482060</w:t>
            </w:r>
          </w:p>
        </w:tc>
      </w:tr>
      <w:tr>
        <w:trPr>
          <w:trHeight w:val="256"/>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4"/>
              </w:rPr>
              <w:t>(I.R.S. Employer Identification No.)</w:t>
            </w:r>
          </w:p>
        </w:tc>
      </w:tr>
      <w:tr>
        <w:trPr>
          <w:trHeight w:val="468"/>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90"/>
              </w:rPr>
              <w:t>111 W. 19th Street, 8th Floor</w:t>
            </w:r>
          </w:p>
        </w:tc>
        <w:tc>
          <w:tcPr>
            <w:tcW w:w="3700" w:type="dxa"/>
            <w:vAlign w:val="bottom"/>
          </w:tcPr>
          <w:p>
            <w:pPr>
              <w:spacing w:after="0"/>
              <w:rPr>
                <w:sz w:val="24"/>
                <w:szCs w:val="24"/>
                <w:color w:val="auto"/>
              </w:rPr>
            </w:pPr>
          </w:p>
        </w:tc>
      </w:tr>
      <w:tr>
        <w:trPr>
          <w:trHeight w:val="261"/>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95"/>
              </w:rPr>
              <w:t>New York, NY</w:t>
            </w:r>
          </w:p>
        </w:tc>
        <w:tc>
          <w:tcPr>
            <w:tcW w:w="3700" w:type="dxa"/>
            <w:vAlign w:val="bottom"/>
          </w:tcPr>
          <w:p>
            <w:pPr>
              <w:jc w:val="right"/>
              <w:ind w:right="990"/>
              <w:spacing w:after="0"/>
              <w:rPr>
                <w:sz w:val="20"/>
                <w:szCs w:val="20"/>
                <w:color w:val="auto"/>
              </w:rPr>
            </w:pPr>
            <w:r>
              <w:rPr>
                <w:rFonts w:ascii="Arial" w:cs="Arial" w:eastAsia="Arial" w:hAnsi="Arial"/>
                <w:sz w:val="18"/>
                <w:szCs w:val="18"/>
                <w:b w:val="1"/>
                <w:bCs w:val="1"/>
                <w:color w:val="auto"/>
              </w:rPr>
              <w:t>10011</w:t>
            </w:r>
          </w:p>
        </w:tc>
      </w:tr>
      <w:tr>
        <w:trPr>
          <w:trHeight w:val="243"/>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(Address of principal executive offices)</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(516) 268-7400</w:t>
      </w:r>
    </w:p>
    <w:p>
      <w:pPr>
        <w:spacing w:after="0" w:line="121"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67" w:lineRule="exact"/>
        <w:rPr>
          <w:sz w:val="24"/>
          <w:szCs w:val="24"/>
          <w:color w:val="auto"/>
        </w:rPr>
      </w:pPr>
    </w:p>
    <w:p>
      <w:pPr>
        <w:jc w:val="both"/>
        <w:ind w:right="40"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68" w:lineRule="exact"/>
        <w:rPr>
          <w:sz w:val="24"/>
          <w:szCs w:val="24"/>
          <w:color w:val="auto"/>
        </w:rPr>
      </w:pPr>
    </w:p>
    <w:p>
      <w:pPr>
        <w:ind w:right="20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96" w:right="339" w:bottom="1440" w:gutter="0" w:footer="0" w:header="0"/>
        </w:sectPr>
      </w:pPr>
    </w:p>
    <w:p>
      <w:pPr>
        <w:spacing w:after="0" w:line="130"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ind w:left="7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ectPr>
          <w:pgSz w:w="11900" w:h="16838" w:orient="portrait"/>
          <w:cols w:equalWidth="0" w:num="2">
            <w:col w:w="8320" w:space="720"/>
            <w:col w:w="2200"/>
          </w:cols>
          <w:pgMar w:left="320" w:top="296" w:right="339" w:bottom="1440" w:gutter="0" w:footer="0" w:header="0"/>
          <w:type w:val="continuous"/>
        </w:sect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296" w:right="339" w:bottom="1440" w:gutter="0" w:footer="0" w:header="0"/>
          <w:type w:val="continuous"/>
        </w:sectPr>
      </w:pPr>
    </w:p>
    <w:p>
      <w:pPr>
        <w:spacing w:after="0" w:line="260" w:lineRule="exact"/>
        <w:rPr>
          <w:sz w:val="24"/>
          <w:szCs w:val="24"/>
          <w:color w:val="auto"/>
        </w:rPr>
      </w:pPr>
    </w:p>
    <w:p>
      <w:pPr>
        <w:ind w:right="180"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7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8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3"/>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5"/>
              </w:rPr>
              <w:t>Class A common stock</w:t>
            </w:r>
          </w:p>
        </w:tc>
        <w:tc>
          <w:tcPr>
            <w:tcW w:w="100" w:type="dxa"/>
            <w:vAlign w:val="bottom"/>
          </w:tcPr>
          <w:p>
            <w:pPr>
              <w:spacing w:after="0"/>
              <w:rPr>
                <w:sz w:val="21"/>
                <w:szCs w:val="21"/>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9"/>
              </w:rPr>
              <w:t>“NFE”</w:t>
            </w:r>
          </w:p>
        </w:tc>
        <w:tc>
          <w:tcPr>
            <w:tcW w:w="80" w:type="dxa"/>
            <w:vAlign w:val="bottom"/>
          </w:tcPr>
          <w:p>
            <w:pPr>
              <w:spacing w:after="0"/>
              <w:rPr>
                <w:sz w:val="21"/>
                <w:szCs w:val="21"/>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As of August 4, 2023, the registrant had 205,031,406 shares of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40" w:type="dxa"/>
            <w:vAlign w:val="bottom"/>
            <w:gridSpan w:val="3"/>
          </w:tcPr>
          <w:p>
            <w:pPr>
              <w:ind w:left="900"/>
              <w:spacing w:after="0"/>
              <w:rPr>
                <w:sz w:val="20"/>
                <w:szCs w:val="20"/>
                <w:color w:val="auto"/>
              </w:rPr>
            </w:pPr>
            <w:r>
              <w:rPr>
                <w:rFonts w:ascii="Arial" w:cs="Arial" w:eastAsia="Arial" w:hAnsi="Arial"/>
                <w:sz w:val="18"/>
                <w:szCs w:val="18"/>
                <w:b w:val="1"/>
                <w:bCs w:val="1"/>
                <w:color w:val="auto"/>
              </w:rPr>
              <w:t>TABLE OF CONTENTS</w:t>
            </w:r>
          </w:p>
        </w:tc>
        <w:tc>
          <w:tcPr>
            <w:tcW w:w="33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8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GLOSSARY OF TERMS</w:t>
            </w: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ii</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78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CAUTIONARY STATEMENT ON FORWARD-LOOKING STATEMENTS</w:t>
            </w: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iv</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8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223"/>
        </w:trPr>
        <w:tc>
          <w:tcPr>
            <w:tcW w:w="20" w:type="dxa"/>
            <w:vAlign w:val="bottom"/>
            <w:shd w:val="clear" w:color="auto" w:fill="CCEEFF"/>
          </w:tcPr>
          <w:p>
            <w:pPr>
              <w:spacing w:after="0"/>
              <w:rPr>
                <w:sz w:val="19"/>
                <w:szCs w:val="19"/>
                <w:color w:val="auto"/>
              </w:rPr>
            </w:pPr>
          </w:p>
        </w:tc>
        <w:tc>
          <w:tcPr>
            <w:tcW w:w="78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PART I FINANCIAL INFORMATION</w:t>
            </w: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0"/>
              </w:rPr>
              <w:t>Item 1.</w:t>
            </w:r>
          </w:p>
        </w:tc>
        <w:tc>
          <w:tcPr>
            <w:tcW w:w="650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w:t>
            </w: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0"/>
              </w:rPr>
              <w:t>Item 2.</w:t>
            </w:r>
          </w:p>
        </w:tc>
        <w:tc>
          <w:tcPr>
            <w:tcW w:w="6500" w:type="dxa"/>
            <w:vAlign w:val="bottom"/>
            <w:tcBorders>
              <w:bottom w:val="single" w:sz="8" w:color="0000FF"/>
            </w:tcBorders>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34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223"/>
        </w:trPr>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0"/>
              </w:rPr>
              <w:t>Item 3.</w:t>
            </w:r>
          </w:p>
        </w:tc>
        <w:tc>
          <w:tcPr>
            <w:tcW w:w="650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8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0"/>
              </w:rPr>
              <w:t>Item 4.</w:t>
            </w:r>
          </w:p>
        </w:tc>
        <w:tc>
          <w:tcPr>
            <w:tcW w:w="1820" w:type="dxa"/>
            <w:vAlign w:val="bottom"/>
            <w:tcBorders>
              <w:bottom w:val="single" w:sz="8" w:color="0000FF"/>
            </w:tcBorders>
            <w:gridSpan w:val="9"/>
            <w:shd w:val="clear" w:color="auto" w:fill="CCEEFF"/>
          </w:tcPr>
          <w:p>
            <w:pPr>
              <w:spacing w:after="0" w:line="189" w:lineRule="exact"/>
              <w:rPr>
                <w:sz w:val="20"/>
                <w:szCs w:val="20"/>
                <w:color w:val="auto"/>
              </w:rPr>
            </w:pPr>
            <w:r>
              <w:rPr>
                <w:rFonts w:ascii="Arial" w:cs="Arial" w:eastAsia="Arial" w:hAnsi="Arial"/>
                <w:sz w:val="18"/>
                <w:szCs w:val="18"/>
                <w:color w:val="0000FF"/>
                <w:w w:val="88"/>
              </w:rPr>
              <w:t>Controls and Procedures.</w:t>
            </w:r>
          </w:p>
        </w:tc>
        <w:tc>
          <w:tcPr>
            <w:tcW w:w="4680" w:type="dxa"/>
            <w:vAlign w:val="bottom"/>
            <w:tcBorders>
              <w:bottom w:val="single" w:sz="8" w:color="CCEEFF"/>
            </w:tcBorders>
            <w:gridSpan w:val="4"/>
            <w:shd w:val="clear" w:color="auto" w:fill="CCEEFF"/>
          </w:tcPr>
          <w:p>
            <w:pPr>
              <w:spacing w:after="0"/>
              <w:rPr>
                <w:sz w:val="18"/>
                <w:szCs w:val="18"/>
                <w:color w:val="auto"/>
              </w:rPr>
            </w:pPr>
          </w:p>
        </w:tc>
        <w:tc>
          <w:tcPr>
            <w:tcW w:w="334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47</w:t>
            </w: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6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340" w:type="dxa"/>
            <w:vAlign w:val="bottom"/>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788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PART II OTHER INFORMATION</w:t>
            </w: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223"/>
        </w:trPr>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0"/>
              </w:rPr>
              <w:t>Item 1.</w:t>
            </w:r>
          </w:p>
        </w:tc>
        <w:tc>
          <w:tcPr>
            <w:tcW w:w="650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Legal Proceedings.</w:t>
            </w: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0"/>
              <w:spacing w:after="0" w:line="189" w:lineRule="exact"/>
              <w:rPr>
                <w:sz w:val="20"/>
                <w:szCs w:val="20"/>
                <w:color w:val="auto"/>
              </w:rPr>
            </w:pPr>
            <w:r>
              <w:rPr>
                <w:rFonts w:ascii="Arial" w:cs="Arial" w:eastAsia="Arial" w:hAnsi="Arial"/>
                <w:sz w:val="18"/>
                <w:szCs w:val="18"/>
                <w:color w:val="auto"/>
                <w:w w:val="95"/>
              </w:rPr>
              <w:t>Item 1A.</w:t>
            </w:r>
          </w:p>
        </w:tc>
        <w:tc>
          <w:tcPr>
            <w:tcW w:w="650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48</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0"/>
              </w:rPr>
              <w:t>Item 2.</w:t>
            </w:r>
          </w:p>
        </w:tc>
        <w:tc>
          <w:tcPr>
            <w:tcW w:w="650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8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223"/>
        </w:trPr>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0"/>
              </w:rPr>
              <w:t>Item 3.</w:t>
            </w:r>
          </w:p>
        </w:tc>
        <w:tc>
          <w:tcPr>
            <w:tcW w:w="650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0"/>
              </w:rPr>
              <w:t>Item 4.</w:t>
            </w:r>
          </w:p>
        </w:tc>
        <w:tc>
          <w:tcPr>
            <w:tcW w:w="650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0"/>
              </w:rPr>
              <w:t>Item 5.</w:t>
            </w:r>
          </w:p>
        </w:tc>
        <w:tc>
          <w:tcPr>
            <w:tcW w:w="650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Other Information.</w:t>
            </w: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80</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223"/>
        </w:trPr>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8"/>
                <w:szCs w:val="18"/>
                <w:color w:val="auto"/>
                <w:w w:val="90"/>
              </w:rPr>
              <w:t>Item 6.</w:t>
            </w:r>
          </w:p>
        </w:tc>
        <w:tc>
          <w:tcPr>
            <w:tcW w:w="650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Exhibits.</w:t>
            </w: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w:t>
            </w:r>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8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334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3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commonly used in the liquefied natural gas industry, to the extent applicable and as used in this Quarterly Report on Form 10-Q (“Quarterly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Report”), the terms listed below have the following meanings:</w:t>
      </w:r>
    </w:p>
    <w:p>
      <w:pPr>
        <w:spacing w:after="0" w:line="251"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ADO</w:t>
      </w:r>
      <w:r>
        <w:rPr>
          <w:sz w:val="20"/>
          <w:szCs w:val="20"/>
          <w:color w:val="auto"/>
        </w:rPr>
        <w:tab/>
      </w:r>
      <w:r>
        <w:rPr>
          <w:rFonts w:ascii="Arial" w:cs="Arial" w:eastAsia="Arial" w:hAnsi="Arial"/>
          <w:sz w:val="18"/>
          <w:szCs w:val="18"/>
          <w:color w:val="auto"/>
        </w:rPr>
        <w:t>automotive diesel oil</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Bcf/yr</w:t>
      </w:r>
      <w:r>
        <w:rPr>
          <w:sz w:val="20"/>
          <w:szCs w:val="20"/>
          <w:color w:val="auto"/>
        </w:rPr>
        <w:tab/>
      </w:r>
      <w:r>
        <w:rPr>
          <w:rFonts w:ascii="Arial" w:cs="Arial" w:eastAsia="Arial" w:hAnsi="Arial"/>
          <w:sz w:val="18"/>
          <w:szCs w:val="18"/>
          <w:color w:val="auto"/>
        </w:rPr>
        <w:t>billion cubic feet per year</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6"/>
          <w:szCs w:val="16"/>
          <w:color w:val="auto"/>
        </w:rPr>
        <w:t>Btu</w:t>
      </w:r>
      <w:r>
        <w:rPr>
          <w:sz w:val="20"/>
          <w:szCs w:val="20"/>
          <w:color w:val="auto"/>
        </w:rPr>
        <w:tab/>
      </w:r>
      <w:r>
        <w:rPr>
          <w:rFonts w:ascii="Arial" w:cs="Arial" w:eastAsia="Arial" w:hAnsi="Arial"/>
          <w:sz w:val="16"/>
          <w:szCs w:val="16"/>
          <w:color w:val="auto"/>
        </w:rPr>
        <w:t>the amount of heat required to raise the temperature of one avoirdupois pound of pure water from 59 degrees Fahrenheit to 60 degrees</w:t>
      </w:r>
    </w:p>
    <w:p>
      <w:pPr>
        <w:spacing w:after="0" w:line="2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Fahrenheit at an absolute pressure of 14.696 pounds per square inch gage</w:t>
      </w:r>
    </w:p>
    <w:p>
      <w:pPr>
        <w:spacing w:after="0" w:line="209"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CAA</w:t>
      </w:r>
      <w:r>
        <w:rPr>
          <w:sz w:val="20"/>
          <w:szCs w:val="20"/>
          <w:color w:val="auto"/>
        </w:rPr>
        <w:tab/>
      </w:r>
      <w:r>
        <w:rPr>
          <w:rFonts w:ascii="Arial" w:cs="Arial" w:eastAsia="Arial" w:hAnsi="Arial"/>
          <w:sz w:val="18"/>
          <w:szCs w:val="18"/>
          <w:color w:val="auto"/>
        </w:rPr>
        <w:t>Clean Air Act</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CERCLA</w:t>
      </w:r>
      <w:r>
        <w:rPr>
          <w:sz w:val="20"/>
          <w:szCs w:val="20"/>
          <w:color w:val="auto"/>
        </w:rPr>
        <w:tab/>
      </w:r>
      <w:r>
        <w:rPr>
          <w:rFonts w:ascii="Arial" w:cs="Arial" w:eastAsia="Arial" w:hAnsi="Arial"/>
          <w:sz w:val="18"/>
          <w:szCs w:val="18"/>
          <w:color w:val="auto"/>
        </w:rPr>
        <w:t>Comprehensive Environmental Response, Compensation and Liability Act</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CWA</w:t>
      </w:r>
      <w:r>
        <w:rPr>
          <w:sz w:val="20"/>
          <w:szCs w:val="20"/>
          <w:color w:val="auto"/>
        </w:rPr>
        <w:tab/>
      </w:r>
      <w:r>
        <w:rPr>
          <w:rFonts w:ascii="Arial" w:cs="Arial" w:eastAsia="Arial" w:hAnsi="Arial"/>
          <w:sz w:val="18"/>
          <w:szCs w:val="18"/>
          <w:color w:val="auto"/>
        </w:rPr>
        <w:t>Clean Water Act</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DOE</w:t>
      </w:r>
      <w:r>
        <w:rPr>
          <w:sz w:val="20"/>
          <w:szCs w:val="20"/>
          <w:color w:val="auto"/>
        </w:rPr>
        <w:tab/>
      </w:r>
      <w:r>
        <w:rPr>
          <w:rFonts w:ascii="Arial" w:cs="Arial" w:eastAsia="Arial" w:hAnsi="Arial"/>
          <w:sz w:val="18"/>
          <w:szCs w:val="18"/>
          <w:color w:val="auto"/>
        </w:rPr>
        <w:t>U.S. Department of Energy</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DOT</w:t>
      </w:r>
      <w:r>
        <w:rPr>
          <w:sz w:val="20"/>
          <w:szCs w:val="20"/>
          <w:color w:val="auto"/>
        </w:rPr>
        <w:tab/>
      </w:r>
      <w:r>
        <w:rPr>
          <w:rFonts w:ascii="Arial" w:cs="Arial" w:eastAsia="Arial" w:hAnsi="Arial"/>
          <w:sz w:val="18"/>
          <w:szCs w:val="18"/>
          <w:color w:val="auto"/>
        </w:rPr>
        <w:t>U.S. Department of Transportation</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EPA</w:t>
      </w:r>
      <w:r>
        <w:rPr>
          <w:sz w:val="20"/>
          <w:szCs w:val="20"/>
          <w:color w:val="auto"/>
        </w:rPr>
        <w:tab/>
      </w:r>
      <w:r>
        <w:rPr>
          <w:rFonts w:ascii="Arial" w:cs="Arial" w:eastAsia="Arial" w:hAnsi="Arial"/>
          <w:sz w:val="18"/>
          <w:szCs w:val="18"/>
          <w:color w:val="auto"/>
        </w:rPr>
        <w:t>U.S. Environmental Protection Agency</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FTA countries</w:t>
      </w:r>
      <w:r>
        <w:rPr>
          <w:sz w:val="20"/>
          <w:szCs w:val="20"/>
          <w:color w:val="auto"/>
        </w:rPr>
        <w:tab/>
      </w:r>
      <w:r>
        <w:rPr>
          <w:rFonts w:ascii="Arial" w:cs="Arial" w:eastAsia="Arial" w:hAnsi="Arial"/>
          <w:sz w:val="16"/>
          <w:szCs w:val="16"/>
          <w:color w:val="auto"/>
        </w:rPr>
        <w:t>countries with which the United States has a free trade agreement providing for national treatment for trade in natural gas</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GAAP</w:t>
      </w:r>
      <w:r>
        <w:rPr>
          <w:sz w:val="20"/>
          <w:szCs w:val="20"/>
          <w:color w:val="auto"/>
        </w:rPr>
        <w:tab/>
      </w:r>
      <w:r>
        <w:rPr>
          <w:rFonts w:ascii="Arial" w:cs="Arial" w:eastAsia="Arial" w:hAnsi="Arial"/>
          <w:sz w:val="18"/>
          <w:szCs w:val="18"/>
          <w:color w:val="auto"/>
        </w:rPr>
        <w:t>generally accepted accounting principles in the United States</w:t>
      </w:r>
    </w:p>
    <w:p>
      <w:pPr>
        <w:spacing w:after="0" w:line="212"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GHG</w:t>
      </w:r>
      <w:r>
        <w:rPr>
          <w:sz w:val="20"/>
          <w:szCs w:val="20"/>
          <w:color w:val="auto"/>
        </w:rPr>
        <w:tab/>
      </w:r>
      <w:r>
        <w:rPr>
          <w:rFonts w:ascii="Arial" w:cs="Arial" w:eastAsia="Arial" w:hAnsi="Arial"/>
          <w:sz w:val="18"/>
          <w:szCs w:val="18"/>
          <w:color w:val="auto"/>
        </w:rPr>
        <w:t>greenhouse gases</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GSA</w:t>
      </w:r>
      <w:r>
        <w:rPr>
          <w:sz w:val="20"/>
          <w:szCs w:val="20"/>
          <w:color w:val="auto"/>
        </w:rPr>
        <w:tab/>
      </w:r>
      <w:r>
        <w:rPr>
          <w:rFonts w:ascii="Arial" w:cs="Arial" w:eastAsia="Arial" w:hAnsi="Arial"/>
          <w:sz w:val="18"/>
          <w:szCs w:val="18"/>
          <w:color w:val="auto"/>
        </w:rPr>
        <w:t>gas sales agreement</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Henry Hub</w:t>
      </w:r>
      <w:r>
        <w:rPr>
          <w:sz w:val="20"/>
          <w:szCs w:val="20"/>
          <w:color w:val="auto"/>
        </w:rPr>
        <w:tab/>
      </w:r>
      <w:r>
        <w:rPr>
          <w:rFonts w:ascii="Arial" w:cs="Arial" w:eastAsia="Arial" w:hAnsi="Arial"/>
          <w:sz w:val="16"/>
          <w:szCs w:val="16"/>
          <w:color w:val="auto"/>
        </w:rPr>
        <w:t>a natural gas pipeline located in Erath, Louisiana that serves as the official delivery location for futures contracts on the New York</w:t>
      </w:r>
    </w:p>
    <w:p>
      <w:pPr>
        <w:spacing w:after="0" w:line="3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Mercantile Exchange</w:t>
      </w:r>
    </w:p>
    <w:p>
      <w:pPr>
        <w:spacing w:after="0" w:line="238"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ISO container</w:t>
      </w:r>
      <w:r>
        <w:rPr>
          <w:sz w:val="20"/>
          <w:szCs w:val="20"/>
          <w:color w:val="auto"/>
        </w:rPr>
        <w:tab/>
      </w:r>
      <w:r>
        <w:rPr>
          <w:rFonts w:ascii="Arial" w:cs="Arial" w:eastAsia="Arial" w:hAnsi="Arial"/>
          <w:sz w:val="16"/>
          <w:szCs w:val="16"/>
          <w:color w:val="auto"/>
        </w:rPr>
        <w:t>International Organization of Standardization, an intermodal container</w:t>
      </w:r>
    </w:p>
    <w:p>
      <w:pPr>
        <w:spacing w:after="0" w:line="239"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LNG</w:t>
      </w:r>
      <w:r>
        <w:rPr>
          <w:sz w:val="20"/>
          <w:szCs w:val="20"/>
          <w:color w:val="auto"/>
        </w:rPr>
        <w:tab/>
      </w:r>
      <w:r>
        <w:rPr>
          <w:rFonts w:ascii="Arial" w:cs="Arial" w:eastAsia="Arial" w:hAnsi="Arial"/>
          <w:sz w:val="18"/>
          <w:szCs w:val="18"/>
          <w:color w:val="auto"/>
        </w:rPr>
        <w:t>natural gas in its liquid state at or below its boiling point at or near atmospheric pressure</w:t>
      </w:r>
    </w:p>
    <w:p>
      <w:pPr>
        <w:spacing w:after="0" w:line="252"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MMBtu</w:t>
      </w:r>
      <w:r>
        <w:rPr>
          <w:sz w:val="20"/>
          <w:szCs w:val="20"/>
          <w:color w:val="auto"/>
        </w:rPr>
        <w:tab/>
      </w:r>
      <w:r>
        <w:rPr>
          <w:rFonts w:ascii="Arial" w:cs="Arial" w:eastAsia="Arial" w:hAnsi="Arial"/>
          <w:sz w:val="18"/>
          <w:szCs w:val="18"/>
          <w:color w:val="auto"/>
        </w:rPr>
        <w:t>one million Btus, which corresponds to approximately 12.1 gallons of LNG</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mtpa</w:t>
      </w:r>
      <w:r>
        <w:rPr>
          <w:sz w:val="20"/>
          <w:szCs w:val="20"/>
          <w:color w:val="auto"/>
        </w:rPr>
        <w:tab/>
      </w:r>
      <w:r>
        <w:rPr>
          <w:rFonts w:ascii="Arial" w:cs="Arial" w:eastAsia="Arial" w:hAnsi="Arial"/>
          <w:sz w:val="18"/>
          <w:szCs w:val="18"/>
          <w:color w:val="auto"/>
        </w:rPr>
        <w:t>metric tons per year</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MW</w:t>
      </w:r>
      <w:r>
        <w:rPr>
          <w:sz w:val="20"/>
          <w:szCs w:val="20"/>
          <w:color w:val="auto"/>
        </w:rPr>
        <w:tab/>
      </w:r>
      <w:r>
        <w:rPr>
          <w:rFonts w:ascii="Arial" w:cs="Arial" w:eastAsia="Arial" w:hAnsi="Arial"/>
          <w:sz w:val="18"/>
          <w:szCs w:val="18"/>
          <w:color w:val="auto"/>
        </w:rPr>
        <w:t>megawatt. We estimate 2,500 LNG gallons would be required to produce one megawatt</w:t>
      </w:r>
    </w:p>
    <w:p>
      <w:pPr>
        <w:spacing w:after="0" w:line="225"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NGA</w:t>
      </w:r>
      <w:r>
        <w:rPr>
          <w:sz w:val="20"/>
          <w:szCs w:val="20"/>
          <w:color w:val="auto"/>
        </w:rPr>
        <w:tab/>
      </w:r>
      <w:r>
        <w:rPr>
          <w:rFonts w:ascii="Arial" w:cs="Arial" w:eastAsia="Arial" w:hAnsi="Arial"/>
          <w:sz w:val="18"/>
          <w:szCs w:val="18"/>
          <w:color w:val="auto"/>
        </w:rPr>
        <w:t>Natural Gas Act of 1938, as amended</w:t>
      </w:r>
    </w:p>
    <w:p>
      <w:pPr>
        <w:spacing w:after="0" w:line="210"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non-FTA</w:t>
      </w:r>
      <w:r>
        <w:rPr>
          <w:sz w:val="20"/>
          <w:szCs w:val="20"/>
          <w:color w:val="auto"/>
        </w:rPr>
        <w:tab/>
      </w:r>
      <w:r>
        <w:rPr>
          <w:rFonts w:ascii="Arial" w:cs="Arial" w:eastAsia="Arial" w:hAnsi="Arial"/>
          <w:sz w:val="16"/>
          <w:szCs w:val="16"/>
          <w:color w:val="auto"/>
        </w:rPr>
        <w:t>countries without a free trade agreement with the United States providing for national treatment for trade in natural gas and with which</w:t>
      </w:r>
    </w:p>
    <w:p>
      <w:pPr>
        <w:ind w:left="20"/>
        <w:spacing w:after="0" w:line="184" w:lineRule="auto"/>
        <w:tabs>
          <w:tab w:leader="none" w:pos="1340" w:val="left"/>
        </w:tabs>
        <w:rPr>
          <w:sz w:val="20"/>
          <w:szCs w:val="20"/>
          <w:color w:val="auto"/>
        </w:rPr>
      </w:pPr>
      <w:r>
        <w:rPr>
          <w:rFonts w:ascii="Arial" w:cs="Arial" w:eastAsia="Arial" w:hAnsi="Arial"/>
          <w:sz w:val="26"/>
          <w:szCs w:val="26"/>
          <w:color w:val="auto"/>
          <w:vertAlign w:val="superscript"/>
        </w:rPr>
        <w:t>countries</w:t>
      </w:r>
      <w:r>
        <w:rPr>
          <w:sz w:val="20"/>
          <w:szCs w:val="20"/>
          <w:color w:val="auto"/>
        </w:rPr>
        <w:tab/>
      </w:r>
      <w:r>
        <w:rPr>
          <w:rFonts w:ascii="Arial" w:cs="Arial" w:eastAsia="Arial" w:hAnsi="Arial"/>
          <w:sz w:val="15"/>
          <w:szCs w:val="15"/>
          <w:color w:val="auto"/>
        </w:rPr>
        <w:t>trade is permitted</w:t>
      </w:r>
    </w:p>
    <w:p>
      <w:pPr>
        <w:spacing w:after="0" w:line="254"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color w:val="auto"/>
        </w:rPr>
        <w:t>OPA</w:t>
      </w:r>
      <w:r>
        <w:rPr>
          <w:sz w:val="20"/>
          <w:szCs w:val="20"/>
          <w:color w:val="auto"/>
        </w:rPr>
        <w:tab/>
      </w:r>
      <w:r>
        <w:rPr>
          <w:rFonts w:ascii="Arial" w:cs="Arial" w:eastAsia="Arial" w:hAnsi="Arial"/>
          <w:sz w:val="18"/>
          <w:szCs w:val="18"/>
          <w:color w:val="auto"/>
        </w:rPr>
        <w:t>Oil Pollution Act</w:t>
      </w:r>
    </w:p>
    <w:p>
      <w:pPr>
        <w:sectPr>
          <w:pgSz w:w="11900" w:h="16838" w:orient="portrait"/>
          <w:cols w:equalWidth="0" w:num="1">
            <w:col w:w="11080"/>
          </w:cols>
          <w:pgMar w:left="320" w:top="29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96" w:right="4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OUR</w:t>
            </w:r>
          </w:p>
        </w:tc>
        <w:tc>
          <w:tcPr>
            <w:tcW w:w="10240" w:type="dxa"/>
            <w:vAlign w:val="bottom"/>
          </w:tcPr>
          <w:p>
            <w:pPr>
              <w:ind w:left="360"/>
              <w:spacing w:after="0"/>
              <w:rPr>
                <w:sz w:val="20"/>
                <w:szCs w:val="20"/>
                <w:color w:val="auto"/>
              </w:rPr>
            </w:pPr>
            <w:r>
              <w:rPr>
                <w:rFonts w:ascii="Arial" w:cs="Arial" w:eastAsia="Arial" w:hAnsi="Arial"/>
                <w:sz w:val="18"/>
                <w:szCs w:val="18"/>
                <w:color w:val="auto"/>
              </w:rPr>
              <w:t>Office of Utilities Regulation (Jamaica)</w:t>
            </w:r>
          </w:p>
        </w:tc>
      </w:tr>
      <w:tr>
        <w:trPr>
          <w:trHeight w:val="432"/>
        </w:trPr>
        <w:tc>
          <w:tcPr>
            <w:tcW w:w="1000" w:type="dxa"/>
            <w:vAlign w:val="bottom"/>
          </w:tcPr>
          <w:p>
            <w:pPr>
              <w:ind w:left="20"/>
              <w:spacing w:after="0"/>
              <w:rPr>
                <w:sz w:val="20"/>
                <w:szCs w:val="20"/>
                <w:color w:val="auto"/>
              </w:rPr>
            </w:pPr>
            <w:r>
              <w:rPr>
                <w:rFonts w:ascii="Arial" w:cs="Arial" w:eastAsia="Arial" w:hAnsi="Arial"/>
                <w:sz w:val="18"/>
                <w:szCs w:val="18"/>
                <w:color w:val="auto"/>
              </w:rPr>
              <w:t>PHMSA</w:t>
            </w:r>
          </w:p>
        </w:tc>
        <w:tc>
          <w:tcPr>
            <w:tcW w:w="10240" w:type="dxa"/>
            <w:vAlign w:val="bottom"/>
          </w:tcPr>
          <w:p>
            <w:pPr>
              <w:ind w:left="360"/>
              <w:spacing w:after="0"/>
              <w:rPr>
                <w:sz w:val="20"/>
                <w:szCs w:val="20"/>
                <w:color w:val="auto"/>
              </w:rPr>
            </w:pPr>
            <w:r>
              <w:rPr>
                <w:rFonts w:ascii="Arial" w:cs="Arial" w:eastAsia="Arial" w:hAnsi="Arial"/>
                <w:sz w:val="18"/>
                <w:szCs w:val="18"/>
                <w:color w:val="auto"/>
              </w:rPr>
              <w:t>Pipeline and Hazardous Materials Safety Administration</w:t>
            </w:r>
          </w:p>
        </w:tc>
      </w:tr>
      <w:tr>
        <w:trPr>
          <w:trHeight w:val="432"/>
        </w:trPr>
        <w:tc>
          <w:tcPr>
            <w:tcW w:w="1000" w:type="dxa"/>
            <w:vAlign w:val="bottom"/>
          </w:tcPr>
          <w:p>
            <w:pPr>
              <w:ind w:left="20"/>
              <w:spacing w:after="0"/>
              <w:rPr>
                <w:sz w:val="20"/>
                <w:szCs w:val="20"/>
                <w:color w:val="auto"/>
              </w:rPr>
            </w:pPr>
            <w:r>
              <w:rPr>
                <w:rFonts w:ascii="Arial" w:cs="Arial" w:eastAsia="Arial" w:hAnsi="Arial"/>
                <w:sz w:val="18"/>
                <w:szCs w:val="18"/>
                <w:color w:val="auto"/>
              </w:rPr>
              <w:t>PPA</w:t>
            </w:r>
          </w:p>
        </w:tc>
        <w:tc>
          <w:tcPr>
            <w:tcW w:w="10240" w:type="dxa"/>
            <w:vAlign w:val="bottom"/>
          </w:tcPr>
          <w:p>
            <w:pPr>
              <w:ind w:left="360"/>
              <w:spacing w:after="0"/>
              <w:rPr>
                <w:sz w:val="20"/>
                <w:szCs w:val="20"/>
                <w:color w:val="auto"/>
              </w:rPr>
            </w:pPr>
            <w:r>
              <w:rPr>
                <w:rFonts w:ascii="Arial" w:cs="Arial" w:eastAsia="Arial" w:hAnsi="Arial"/>
                <w:sz w:val="18"/>
                <w:szCs w:val="18"/>
                <w:color w:val="auto"/>
              </w:rPr>
              <w:t>power purchase agreement</w:t>
            </w:r>
          </w:p>
        </w:tc>
      </w:tr>
      <w:tr>
        <w:trPr>
          <w:trHeight w:val="432"/>
        </w:trPr>
        <w:tc>
          <w:tcPr>
            <w:tcW w:w="1000" w:type="dxa"/>
            <w:vAlign w:val="bottom"/>
          </w:tcPr>
          <w:p>
            <w:pPr>
              <w:ind w:left="20"/>
              <w:spacing w:after="0"/>
              <w:rPr>
                <w:sz w:val="20"/>
                <w:szCs w:val="20"/>
                <w:color w:val="auto"/>
              </w:rPr>
            </w:pPr>
            <w:r>
              <w:rPr>
                <w:rFonts w:ascii="Arial" w:cs="Arial" w:eastAsia="Arial" w:hAnsi="Arial"/>
                <w:sz w:val="18"/>
                <w:szCs w:val="18"/>
                <w:color w:val="auto"/>
              </w:rPr>
              <w:t>SSA</w:t>
            </w:r>
          </w:p>
        </w:tc>
        <w:tc>
          <w:tcPr>
            <w:tcW w:w="10240" w:type="dxa"/>
            <w:vAlign w:val="bottom"/>
          </w:tcPr>
          <w:p>
            <w:pPr>
              <w:ind w:left="360"/>
              <w:spacing w:after="0"/>
              <w:rPr>
                <w:sz w:val="20"/>
                <w:szCs w:val="20"/>
                <w:color w:val="auto"/>
              </w:rPr>
            </w:pPr>
            <w:r>
              <w:rPr>
                <w:rFonts w:ascii="Arial" w:cs="Arial" w:eastAsia="Arial" w:hAnsi="Arial"/>
                <w:sz w:val="18"/>
                <w:szCs w:val="18"/>
                <w:color w:val="auto"/>
              </w:rPr>
              <w:t>steam supply agreement</w:t>
            </w:r>
          </w:p>
        </w:tc>
      </w:tr>
      <w:tr>
        <w:trPr>
          <w:trHeight w:val="432"/>
        </w:trPr>
        <w:tc>
          <w:tcPr>
            <w:tcW w:w="1000" w:type="dxa"/>
            <w:vAlign w:val="bottom"/>
          </w:tcPr>
          <w:p>
            <w:pPr>
              <w:ind w:left="20"/>
              <w:spacing w:after="0"/>
              <w:rPr>
                <w:sz w:val="20"/>
                <w:szCs w:val="20"/>
                <w:color w:val="auto"/>
              </w:rPr>
            </w:pPr>
            <w:r>
              <w:rPr>
                <w:rFonts w:ascii="Arial" w:cs="Arial" w:eastAsia="Arial" w:hAnsi="Arial"/>
                <w:sz w:val="18"/>
                <w:szCs w:val="18"/>
                <w:color w:val="auto"/>
              </w:rPr>
              <w:t>TBtu</w:t>
            </w:r>
          </w:p>
        </w:tc>
        <w:tc>
          <w:tcPr>
            <w:tcW w:w="10240" w:type="dxa"/>
            <w:vAlign w:val="bottom"/>
          </w:tcPr>
          <w:p>
            <w:pPr>
              <w:ind w:left="360"/>
              <w:spacing w:after="0"/>
              <w:rPr>
                <w:sz w:val="20"/>
                <w:szCs w:val="20"/>
                <w:color w:val="auto"/>
              </w:rPr>
            </w:pPr>
            <w:r>
              <w:rPr>
                <w:rFonts w:ascii="Arial" w:cs="Arial" w:eastAsia="Arial" w:hAnsi="Arial"/>
                <w:sz w:val="18"/>
                <w:szCs w:val="18"/>
                <w:color w:val="auto"/>
              </w:rPr>
              <w:t>one trillion Btus, which corresponds to approximately 12,100,000 gallons of LNG</w:t>
            </w:r>
          </w:p>
        </w:tc>
      </w:tr>
      <w:tr>
        <w:trPr>
          <w:trHeight w:val="906"/>
        </w:trPr>
        <w:tc>
          <w:tcPr>
            <w:tcW w:w="1000" w:type="dxa"/>
            <w:vAlign w:val="bottom"/>
          </w:tcPr>
          <w:p>
            <w:pPr>
              <w:spacing w:after="0"/>
              <w:rPr>
                <w:sz w:val="24"/>
                <w:szCs w:val="24"/>
                <w:color w:val="auto"/>
              </w:rPr>
            </w:pPr>
          </w:p>
        </w:tc>
        <w:tc>
          <w:tcPr>
            <w:tcW w:w="10240" w:type="dxa"/>
            <w:vAlign w:val="bottom"/>
          </w:tcPr>
          <w:p>
            <w:pPr>
              <w:ind w:left="4560"/>
              <w:spacing w:after="0"/>
              <w:rPr>
                <w:sz w:val="20"/>
                <w:szCs w:val="20"/>
                <w:color w:val="auto"/>
              </w:rPr>
            </w:pPr>
            <w:r>
              <w:rPr>
                <w:rFonts w:ascii="Arial" w:cs="Arial" w:eastAsia="Arial" w:hAnsi="Arial"/>
                <w:sz w:val="14"/>
                <w:szCs w:val="14"/>
                <w:color w:val="auto"/>
              </w:rPr>
              <w:t>iii</w:t>
            </w:r>
          </w:p>
        </w:tc>
      </w:tr>
      <w:tr>
        <w:trPr>
          <w:trHeight w:val="114"/>
        </w:trPr>
        <w:tc>
          <w:tcPr>
            <w:tcW w:w="1000" w:type="dxa"/>
            <w:vAlign w:val="bottom"/>
            <w:tcBorders>
              <w:bottom w:val="single" w:sz="8" w:color="9A9A9A"/>
            </w:tcBorders>
          </w:tcPr>
          <w:p>
            <w:pPr>
              <w:spacing w:after="0"/>
              <w:rPr>
                <w:sz w:val="9"/>
                <w:szCs w:val="9"/>
                <w:color w:val="auto"/>
              </w:rPr>
            </w:pPr>
          </w:p>
        </w:tc>
        <w:tc>
          <w:tcPr>
            <w:tcW w:w="10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229"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7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 w:lineRule="exact"/>
        <w:rPr>
          <w:rFonts w:ascii="Arial" w:cs="Arial" w:eastAsia="Arial" w:hAnsi="Arial"/>
          <w:sz w:val="18"/>
          <w:szCs w:val="18"/>
          <w:color w:val="auto"/>
        </w:rPr>
      </w:pPr>
    </w:p>
    <w:p>
      <w:pPr>
        <w:ind w:left="660" w:right="48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subsidiaries, affiliates, joint ventures and special purpose entities in which we invest and their ability to make dividends or distributions to us;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construction and operational risks related to our facilities and assets, including cost overruns and delays;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LNG or natural gas to be a competitive source of energy in the markets in which we operate, and seek to operate;</w:t>
      </w:r>
    </w:p>
    <w:p>
      <w:pPr>
        <w:ind w:left="660" w:hanging="328"/>
        <w:spacing w:after="0" w:line="264"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or failure to obtain and maintain approvals and permits from governmental and regulatory agencies;</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obtain a return on our investments for the development of our projects and assets and the implementation of our business strategy;</w:t>
      </w:r>
    </w:p>
    <w:p>
      <w:pPr>
        <w:spacing w:after="0" w:line="7"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sufficient working capital for the development and operation of our business and assets;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convert our customer pipeline into actual sales;</w:t>
      </w:r>
    </w:p>
    <w:p>
      <w:pPr>
        <w:ind w:left="660" w:hanging="328"/>
        <w:spacing w:after="0" w:line="21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asset, geographic or customer diversification, including loss of one or more of our customers;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ind w:left="660" w:right="20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procure LNG at necessary quantities or at favorable prices to meet customer demand, or otherwise to manage LNG supply and price risks, including hedging arrangements;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develop and implement our technological solutions;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service our debt and comply with our covenant restrictions;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obtain additional financing to effect our strategy;</w:t>
      </w:r>
    </w:p>
    <w:p>
      <w:pPr>
        <w:ind w:left="660" w:right="58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complete mergers, sales, divestments or similar transactions related to our businesses or assets or to integrate such businesses or assets and realize the anticipated benefits;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social and other risks related to the jurisdictions in which we do, or seek to do, business;</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events or other natural or manmade disasters or phenomena;</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of the global COVID-19 pandemic or any other major health and safety incident;</w:t>
      </w:r>
    </w:p>
    <w:p>
      <w:pPr>
        <w:ind w:left="660" w:hanging="328"/>
        <w:spacing w:after="0" w:line="23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increased labor costs, disputes or strikes, and the unavailability of skilled workers or our failure to attract and retain qualified personnel;</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tax treatment of, or changes in tax laws applicable to, us or our business or of an investment in our Class A shares;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Quarterly Report.</w:t>
      </w:r>
    </w:p>
    <w:p>
      <w:pPr>
        <w:spacing w:after="0" w:line="223" w:lineRule="exact"/>
        <w:rPr>
          <w:sz w:val="20"/>
          <w:szCs w:val="20"/>
          <w:color w:val="auto"/>
        </w:rPr>
      </w:pPr>
    </w:p>
    <w:p>
      <w:pPr>
        <w:ind w:right="60" w:firstLine="324"/>
        <w:spacing w:after="0" w:line="276" w:lineRule="auto"/>
        <w:rPr>
          <w:sz w:val="20"/>
          <w:szCs w:val="20"/>
          <w:color w:val="auto"/>
        </w:rPr>
      </w:pPr>
      <w:r>
        <w:rPr>
          <w:rFonts w:ascii="Arial" w:cs="Arial" w:eastAsia="Arial" w:hAnsi="Arial"/>
          <w:sz w:val="16"/>
          <w:szCs w:val="16"/>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2022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2023 and December 31,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ind w:right="428"/>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5"/>
        </w:trPr>
        <w:tc>
          <w:tcPr>
            <w:tcW w:w="7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76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40"/>
              <w:spacing w:after="0"/>
              <w:rPr>
                <w:sz w:val="20"/>
                <w:szCs w:val="20"/>
                <w:color w:val="auto"/>
              </w:rPr>
            </w:pPr>
            <w:r>
              <w:rPr>
                <w:rFonts w:ascii="Arial" w:cs="Arial" w:eastAsia="Arial" w:hAnsi="Arial"/>
                <w:sz w:val="14"/>
                <w:szCs w:val="14"/>
                <w:b w:val="1"/>
                <w:bCs w:val="1"/>
                <w:color w:val="auto"/>
              </w:rPr>
              <w:t>Current assets</w:t>
            </w: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104,342</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675,492</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100,513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165,396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Receivables, net of allowances of $805 and $884, respectively</w:t>
            </w:r>
          </w:p>
        </w:tc>
        <w:tc>
          <w:tcPr>
            <w:tcW w:w="3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275,292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280,313</w:t>
            </w:r>
          </w:p>
        </w:tc>
        <w:tc>
          <w:tcPr>
            <w:tcW w:w="0" w:type="dxa"/>
            <w:vAlign w:val="bottom"/>
          </w:tcPr>
          <w:p>
            <w:pPr>
              <w:spacing w:after="0"/>
              <w:rPr>
                <w:sz w:val="1"/>
                <w:szCs w:val="1"/>
                <w:color w:val="auto"/>
              </w:rPr>
            </w:pPr>
          </w:p>
        </w:tc>
      </w:tr>
      <w:tr>
        <w:trPr>
          <w:trHeight w:val="186"/>
        </w:trPr>
        <w:tc>
          <w:tcPr>
            <w:tcW w:w="764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128,411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39,070</w:t>
            </w:r>
          </w:p>
        </w:tc>
        <w:tc>
          <w:tcPr>
            <w:tcW w:w="0" w:type="dxa"/>
            <w:vAlign w:val="bottom"/>
          </w:tcPr>
          <w:p>
            <w:pPr>
              <w:spacing w:after="0"/>
              <w:rPr>
                <w:sz w:val="1"/>
                <w:szCs w:val="1"/>
                <w:color w:val="auto"/>
              </w:rPr>
            </w:pPr>
          </w:p>
        </w:tc>
      </w:tr>
      <w:tr>
        <w:trPr>
          <w:trHeight w:val="200"/>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 net</w:t>
            </w:r>
          </w:p>
        </w:tc>
        <w:tc>
          <w:tcPr>
            <w:tcW w:w="3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105,133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226,883</w:t>
            </w:r>
          </w:p>
        </w:tc>
        <w:tc>
          <w:tcPr>
            <w:tcW w:w="0" w:type="dxa"/>
            <w:vAlign w:val="bottom"/>
          </w:tcPr>
          <w:p>
            <w:pPr>
              <w:spacing w:after="0"/>
              <w:rPr>
                <w:sz w:val="1"/>
                <w:szCs w:val="1"/>
                <w:color w:val="auto"/>
              </w:rPr>
            </w:pPr>
          </w:p>
        </w:tc>
      </w:tr>
      <w:tr>
        <w:trPr>
          <w:trHeight w:val="194"/>
        </w:trPr>
        <w:tc>
          <w:tcPr>
            <w:tcW w:w="7640" w:type="dxa"/>
            <w:vAlign w:val="bottom"/>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713,691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1,387,154</w:t>
            </w:r>
          </w:p>
        </w:tc>
        <w:tc>
          <w:tcPr>
            <w:tcW w:w="0" w:type="dxa"/>
            <w:vAlign w:val="bottom"/>
          </w:tcPr>
          <w:p>
            <w:pPr>
              <w:spacing w:after="0"/>
              <w:rPr>
                <w:sz w:val="1"/>
                <w:szCs w:val="1"/>
                <w:color w:val="auto"/>
              </w:rPr>
            </w:pPr>
          </w:p>
        </w:tc>
      </w:tr>
      <w:tr>
        <w:trPr>
          <w:trHeight w:val="116"/>
        </w:trPr>
        <w:tc>
          <w:tcPr>
            <w:tcW w:w="7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7640" w:type="dxa"/>
            <w:vAlign w:val="bottom"/>
          </w:tcPr>
          <w:p>
            <w:pPr>
              <w:ind w:left="140"/>
              <w:spacing w:after="0"/>
              <w:rPr>
                <w:sz w:val="20"/>
                <w:szCs w:val="20"/>
                <w:color w:val="auto"/>
              </w:rPr>
            </w:pPr>
            <w:r>
              <w:rPr>
                <w:rFonts w:ascii="Arial" w:cs="Arial" w:eastAsia="Arial" w:hAnsi="Arial"/>
                <w:sz w:val="14"/>
                <w:szCs w:val="14"/>
                <w:color w:val="auto"/>
              </w:rPr>
              <w:t>Construction in progress</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4,593,132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2,418,608</w:t>
            </w:r>
          </w:p>
        </w:tc>
        <w:tc>
          <w:tcPr>
            <w:tcW w:w="0" w:type="dxa"/>
            <w:vAlign w:val="bottom"/>
          </w:tcPr>
          <w:p>
            <w:pPr>
              <w:spacing w:after="0"/>
              <w:rPr>
                <w:sz w:val="1"/>
                <w:szCs w:val="1"/>
                <w:color w:val="auto"/>
              </w:rPr>
            </w:pPr>
          </w:p>
        </w:tc>
      </w:tr>
      <w:tr>
        <w:trPr>
          <w:trHeight w:val="186"/>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Property, plant and equipment, net</w:t>
            </w:r>
          </w:p>
        </w:tc>
        <w:tc>
          <w:tcPr>
            <w:tcW w:w="3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2,161,930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2,116,727</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Equity method investments</w:t>
            </w: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138,569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392,306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Right-of-use assets</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504,299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377,877</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74,540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85,897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3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776,760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776,760</w:t>
            </w:r>
          </w:p>
        </w:tc>
        <w:tc>
          <w:tcPr>
            <w:tcW w:w="0" w:type="dxa"/>
            <w:vAlign w:val="bottom"/>
          </w:tcPr>
          <w:p>
            <w:pPr>
              <w:spacing w:after="0"/>
              <w:rPr>
                <w:sz w:val="1"/>
                <w:szCs w:val="1"/>
                <w:color w:val="auto"/>
              </w:rPr>
            </w:pPr>
          </w:p>
        </w:tc>
      </w:tr>
      <w:tr>
        <w:trPr>
          <w:trHeight w:val="186"/>
        </w:trPr>
        <w:tc>
          <w:tcPr>
            <w:tcW w:w="7640" w:type="dxa"/>
            <w:vAlign w:val="bottom"/>
          </w:tcPr>
          <w:p>
            <w:pPr>
              <w:ind w:left="140"/>
              <w:spacing w:after="0"/>
              <w:rPr>
                <w:sz w:val="20"/>
                <w:szCs w:val="20"/>
                <w:color w:val="auto"/>
              </w:rPr>
            </w:pPr>
            <w:r>
              <w:rPr>
                <w:rFonts w:ascii="Arial" w:cs="Arial" w:eastAsia="Arial" w:hAnsi="Arial"/>
                <w:sz w:val="14"/>
                <w:szCs w:val="14"/>
                <w:color w:val="auto"/>
              </w:rPr>
              <w:t>Deferred tax assets, net</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8,074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8,074</w:t>
            </w:r>
          </w:p>
        </w:tc>
        <w:tc>
          <w:tcPr>
            <w:tcW w:w="0" w:type="dxa"/>
            <w:vAlign w:val="bottom"/>
          </w:tcPr>
          <w:p>
            <w:pPr>
              <w:spacing w:after="0"/>
              <w:rPr>
                <w:sz w:val="1"/>
                <w:szCs w:val="1"/>
                <w:color w:val="auto"/>
              </w:rPr>
            </w:pPr>
          </w:p>
        </w:tc>
      </w:tr>
      <w:tr>
        <w:trPr>
          <w:trHeight w:val="206"/>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non-current assets, net</w:t>
            </w:r>
          </w:p>
        </w:tc>
        <w:tc>
          <w:tcPr>
            <w:tcW w:w="3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164,244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141,679</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9,135,239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7,705,082</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6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Current liabilities</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Current portion of long-term debt and short-term borrowings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366,945</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64,820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602,759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80,387</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821,137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1,162,412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lease liabilities</w:t>
            </w:r>
          </w:p>
        </w:tc>
        <w:tc>
          <w:tcPr>
            <w:tcW w:w="3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133,431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48,741</w:t>
            </w:r>
          </w:p>
        </w:tc>
        <w:tc>
          <w:tcPr>
            <w:tcW w:w="0" w:type="dxa"/>
            <w:vAlign w:val="bottom"/>
          </w:tcPr>
          <w:p>
            <w:pPr>
              <w:spacing w:after="0"/>
              <w:rPr>
                <w:sz w:val="1"/>
                <w:szCs w:val="1"/>
                <w:color w:val="auto"/>
              </w:rPr>
            </w:pPr>
          </w:p>
        </w:tc>
      </w:tr>
      <w:tr>
        <w:trPr>
          <w:trHeight w:val="186"/>
        </w:trPr>
        <w:tc>
          <w:tcPr>
            <w:tcW w:w="7640" w:type="dxa"/>
            <w:vAlign w:val="bottom"/>
          </w:tcPr>
          <w:p>
            <w:pPr>
              <w:ind w:left="14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143,598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52,878</w:t>
            </w:r>
          </w:p>
        </w:tc>
        <w:tc>
          <w:tcPr>
            <w:tcW w:w="0" w:type="dxa"/>
            <w:vAlign w:val="bottom"/>
          </w:tcPr>
          <w:p>
            <w:pPr>
              <w:spacing w:after="0"/>
              <w:rPr>
                <w:sz w:val="1"/>
                <w:szCs w:val="1"/>
                <w:color w:val="auto"/>
              </w:rPr>
            </w:pPr>
          </w:p>
        </w:tc>
      </w:tr>
      <w:tr>
        <w:trPr>
          <w:trHeight w:val="199"/>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2,067,870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1,409,238</w:t>
            </w:r>
          </w:p>
        </w:tc>
        <w:tc>
          <w:tcPr>
            <w:tcW w:w="0" w:type="dxa"/>
            <w:vAlign w:val="bottom"/>
          </w:tcPr>
          <w:p>
            <w:pPr>
              <w:spacing w:after="0"/>
              <w:rPr>
                <w:sz w:val="1"/>
                <w:szCs w:val="1"/>
                <w:color w:val="auto"/>
              </w:rPr>
            </w:pPr>
          </w:p>
        </w:tc>
      </w:tr>
      <w:tr>
        <w:trPr>
          <w:trHeight w:val="108"/>
        </w:trPr>
        <w:tc>
          <w:tcPr>
            <w:tcW w:w="7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3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5,064,188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4,476,865</w:t>
            </w:r>
          </w:p>
        </w:tc>
        <w:tc>
          <w:tcPr>
            <w:tcW w:w="0" w:type="dxa"/>
            <w:vAlign w:val="bottom"/>
          </w:tcPr>
          <w:p>
            <w:pPr>
              <w:spacing w:after="0"/>
              <w:rPr>
                <w:sz w:val="1"/>
                <w:szCs w:val="1"/>
                <w:color w:val="auto"/>
              </w:rPr>
            </w:pPr>
          </w:p>
        </w:tc>
      </w:tr>
      <w:tr>
        <w:trPr>
          <w:trHeight w:val="186"/>
        </w:trPr>
        <w:tc>
          <w:tcPr>
            <w:tcW w:w="7640" w:type="dxa"/>
            <w:vAlign w:val="bottom"/>
          </w:tcPr>
          <w:p>
            <w:pPr>
              <w:ind w:left="140"/>
              <w:spacing w:after="0"/>
              <w:rPr>
                <w:sz w:val="20"/>
                <w:szCs w:val="20"/>
                <w:color w:val="auto"/>
              </w:rPr>
            </w:pPr>
            <w:r>
              <w:rPr>
                <w:rFonts w:ascii="Arial" w:cs="Arial" w:eastAsia="Arial" w:hAnsi="Arial"/>
                <w:sz w:val="14"/>
                <w:szCs w:val="14"/>
                <w:color w:val="auto"/>
              </w:rPr>
              <w:t>Non-current lease liabilities</w:t>
            </w:r>
          </w:p>
        </w:tc>
        <w:tc>
          <w:tcPr>
            <w:tcW w:w="3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349,331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302,121</w:t>
            </w:r>
          </w:p>
        </w:tc>
        <w:tc>
          <w:tcPr>
            <w:tcW w:w="0" w:type="dxa"/>
            <w:vAlign w:val="bottom"/>
          </w:tcPr>
          <w:p>
            <w:pPr>
              <w:spacing w:after="0"/>
              <w:rPr>
                <w:sz w:val="1"/>
                <w:szCs w:val="1"/>
                <w:color w:val="auto"/>
              </w:rPr>
            </w:pPr>
          </w:p>
        </w:tc>
      </w:tr>
      <w:tr>
        <w:trPr>
          <w:trHeight w:val="186"/>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liabilities, net</w:t>
            </w:r>
          </w:p>
        </w:tc>
        <w:tc>
          <w:tcPr>
            <w:tcW w:w="3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27,192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25,989</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Other long-term liabilities</w:t>
            </w: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75,783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49,010</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7,584,364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6,263,223</w:t>
            </w:r>
          </w:p>
        </w:tc>
        <w:tc>
          <w:tcPr>
            <w:tcW w:w="0" w:type="dxa"/>
            <w:vAlign w:val="bottom"/>
          </w:tcPr>
          <w:p>
            <w:pPr>
              <w:spacing w:after="0"/>
              <w:rPr>
                <w:sz w:val="1"/>
                <w:szCs w:val="1"/>
                <w:color w:val="auto"/>
              </w:rPr>
            </w:pPr>
          </w:p>
        </w:tc>
      </w:tr>
      <w:tr>
        <w:trPr>
          <w:trHeight w:val="105"/>
        </w:trPr>
        <w:tc>
          <w:tcPr>
            <w:tcW w:w="7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 (Note 19)</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7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640" w:type="dxa"/>
            <w:vAlign w:val="bottom"/>
          </w:tcPr>
          <w:p>
            <w:pPr>
              <w:ind w:left="140"/>
              <w:spacing w:after="0"/>
              <w:rPr>
                <w:sz w:val="20"/>
                <w:szCs w:val="20"/>
                <w:color w:val="auto"/>
              </w:rPr>
            </w:pPr>
            <w:r>
              <w:rPr>
                <w:rFonts w:ascii="Arial" w:cs="Arial" w:eastAsia="Arial" w:hAnsi="Arial"/>
                <w:sz w:val="14"/>
                <w:szCs w:val="14"/>
                <w:color w:val="auto"/>
                <w:w w:val="93"/>
              </w:rPr>
              <w:t>Class A common stock, $0.01 par value, 750 million shares authorized, 205.0 million issued and outstanding as of June 30, 2023;</w:t>
            </w: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140"/>
              <w:spacing w:after="0"/>
              <w:rPr>
                <w:sz w:val="20"/>
                <w:szCs w:val="20"/>
                <w:color w:val="auto"/>
              </w:rPr>
            </w:pPr>
            <w:r>
              <w:rPr>
                <w:rFonts w:ascii="Arial" w:cs="Arial" w:eastAsia="Arial" w:hAnsi="Arial"/>
                <w:sz w:val="14"/>
                <w:szCs w:val="14"/>
                <w:color w:val="auto"/>
              </w:rPr>
              <w:t>208.8 million issued and outstanding as of December 31, 2022</w:t>
            </w:r>
          </w:p>
        </w:tc>
        <w:tc>
          <w:tcPr>
            <w:tcW w:w="3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25"/>
        </w:trPr>
        <w:tc>
          <w:tcPr>
            <w:tcW w:w="7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3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1,039,201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1,170,254</w:t>
            </w:r>
          </w:p>
        </w:tc>
        <w:tc>
          <w:tcPr>
            <w:tcW w:w="0" w:type="dxa"/>
            <w:vAlign w:val="bottom"/>
          </w:tcPr>
          <w:p>
            <w:pPr>
              <w:spacing w:after="0"/>
              <w:rPr>
                <w:sz w:val="1"/>
                <w:szCs w:val="1"/>
                <w:color w:val="auto"/>
              </w:rPr>
            </w:pPr>
          </w:p>
        </w:tc>
      </w:tr>
      <w:tr>
        <w:trPr>
          <w:trHeight w:val="182"/>
        </w:trPr>
        <w:tc>
          <w:tcPr>
            <w:tcW w:w="764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290,564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62,080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3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74,346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55,398</w:t>
            </w:r>
          </w:p>
        </w:tc>
        <w:tc>
          <w:tcPr>
            <w:tcW w:w="0" w:type="dxa"/>
            <w:vAlign w:val="bottom"/>
          </w:tcPr>
          <w:p>
            <w:pPr>
              <w:spacing w:after="0"/>
              <w:rPr>
                <w:sz w:val="1"/>
                <w:szCs w:val="1"/>
                <w:color w:val="auto"/>
              </w:rPr>
            </w:pPr>
          </w:p>
        </w:tc>
      </w:tr>
      <w:tr>
        <w:trPr>
          <w:trHeight w:val="179"/>
        </w:trPr>
        <w:tc>
          <w:tcPr>
            <w:tcW w:w="7640" w:type="dxa"/>
            <w:vAlign w:val="bottom"/>
          </w:tcPr>
          <w:p>
            <w:pPr>
              <w:ind w:left="140"/>
              <w:spacing w:after="0"/>
              <w:rPr>
                <w:sz w:val="20"/>
                <w:szCs w:val="20"/>
                <w:color w:val="auto"/>
              </w:rPr>
            </w:pPr>
            <w:r>
              <w:rPr>
                <w:rFonts w:ascii="Arial" w:cs="Arial" w:eastAsia="Arial" w:hAnsi="Arial"/>
                <w:sz w:val="14"/>
                <w:szCs w:val="14"/>
                <w:b w:val="1"/>
                <w:bCs w:val="1"/>
                <w:color w:val="auto"/>
              </w:rPr>
              <w:t>Total stockholders’ equity attributable to NFE</w:t>
            </w:r>
          </w:p>
        </w:tc>
        <w:tc>
          <w:tcPr>
            <w:tcW w:w="3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1,406,161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1,289,820</w:t>
            </w:r>
          </w:p>
        </w:tc>
        <w:tc>
          <w:tcPr>
            <w:tcW w:w="0" w:type="dxa"/>
            <w:vAlign w:val="bottom"/>
          </w:tcPr>
          <w:p>
            <w:pPr>
              <w:spacing w:after="0"/>
              <w:rPr>
                <w:sz w:val="1"/>
                <w:szCs w:val="1"/>
                <w:color w:val="auto"/>
              </w:rPr>
            </w:pPr>
          </w:p>
        </w:tc>
      </w:tr>
      <w:tr>
        <w:trPr>
          <w:trHeight w:val="206"/>
        </w:trPr>
        <w:tc>
          <w:tcPr>
            <w:tcW w:w="7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3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144,714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152,039</w:t>
            </w:r>
          </w:p>
        </w:tc>
        <w:tc>
          <w:tcPr>
            <w:tcW w:w="0" w:type="dxa"/>
            <w:vAlign w:val="bottom"/>
          </w:tcPr>
          <w:p>
            <w:pPr>
              <w:spacing w:after="0"/>
              <w:rPr>
                <w:sz w:val="1"/>
                <w:szCs w:val="1"/>
                <w:color w:val="auto"/>
              </w:rPr>
            </w:pPr>
          </w:p>
        </w:tc>
      </w:tr>
      <w:tr>
        <w:trPr>
          <w:trHeight w:val="176"/>
        </w:trPr>
        <w:tc>
          <w:tcPr>
            <w:tcW w:w="7640" w:type="dxa"/>
            <w:vAlign w:val="bottom"/>
          </w:tcPr>
          <w:p>
            <w:pPr>
              <w:ind w:left="140"/>
              <w:spacing w:after="0"/>
              <w:rPr>
                <w:sz w:val="20"/>
                <w:szCs w:val="20"/>
                <w:color w:val="auto"/>
              </w:rPr>
            </w:pPr>
            <w:r>
              <w:rPr>
                <w:rFonts w:ascii="Arial" w:cs="Arial" w:eastAsia="Arial" w:hAnsi="Arial"/>
                <w:sz w:val="14"/>
                <w:szCs w:val="14"/>
                <w:b w:val="1"/>
                <w:bCs w:val="1"/>
                <w:color w:val="auto"/>
              </w:rPr>
              <w:t>Total stockholders’ equity</w:t>
            </w:r>
          </w:p>
        </w:tc>
        <w:tc>
          <w:tcPr>
            <w:tcW w:w="3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1,550,875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1,441,859</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9,135,239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7,705,082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2023 and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5"/>
              </w:rPr>
              <w:t>Three Months Ended June 30,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29"/>
        </w:trPr>
        <w:tc>
          <w:tcPr>
            <w:tcW w:w="4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6"/>
        </w:trPr>
        <w:tc>
          <w:tcPr>
            <w:tcW w:w="4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494,619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497,240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996,307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897,315</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Vessel charter revenue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65,840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167,554</w:t>
            </w: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25,104</w:t>
            </w:r>
          </w:p>
        </w:tc>
        <w:tc>
          <w:tcPr>
            <w:tcW w:w="0" w:type="dxa"/>
            <w:vAlign w:val="bottom"/>
          </w:tcPr>
          <w:p>
            <w:pPr>
              <w:spacing w:after="0"/>
              <w:rPr>
                <w:sz w:val="1"/>
                <w:szCs w:val="1"/>
                <w:color w:val="auto"/>
              </w:rPr>
            </w:pPr>
          </w:p>
        </w:tc>
      </w:tr>
      <w:tr>
        <w:trPr>
          <w:trHeight w:val="223"/>
        </w:trPr>
        <w:tc>
          <w:tcPr>
            <w:tcW w:w="4860" w:type="dxa"/>
            <w:vAlign w:val="bottom"/>
          </w:tcPr>
          <w:p>
            <w:pPr>
              <w:ind w:left="1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561,345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584,855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1,140,476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1,089,973</w:t>
            </w:r>
          </w:p>
        </w:tc>
        <w:tc>
          <w:tcPr>
            <w:tcW w:w="0" w:type="dxa"/>
            <w:vAlign w:val="bottom"/>
          </w:tcPr>
          <w:p>
            <w:pPr>
              <w:spacing w:after="0"/>
              <w:rPr>
                <w:sz w:val="1"/>
                <w:szCs w:val="1"/>
                <w:color w:val="auto"/>
              </w:rPr>
            </w:pPr>
          </w:p>
        </w:tc>
      </w:tr>
      <w:tr>
        <w:trPr>
          <w:trHeight w:val="102"/>
        </w:trPr>
        <w:tc>
          <w:tcPr>
            <w:tcW w:w="48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Cost of sales (exclusive of depreciation and amortization shown</w:t>
            </w:r>
          </w:p>
        </w:tc>
        <w:tc>
          <w:tcPr>
            <w:tcW w:w="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225,768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272,401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410,706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480,699</w:t>
            </w: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separately below)</w:t>
            </w:r>
          </w:p>
        </w:tc>
        <w:tc>
          <w:tcPr>
            <w:tcW w:w="26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41,592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43,658</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55,803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107,941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98,351</w:t>
            </w:r>
          </w:p>
        </w:tc>
        <w:tc>
          <w:tcPr>
            <w:tcW w:w="0" w:type="dxa"/>
            <w:vAlign w:val="bottom"/>
          </w:tcPr>
          <w:p>
            <w:pPr>
              <w:spacing w:after="0"/>
              <w:rPr>
                <w:sz w:val="1"/>
                <w:szCs w:val="1"/>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and integration costs</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76,490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70,646</w:t>
            </w: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expense</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48,109</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451,160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682,287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789,822</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300,151</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64,396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136,069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92,756</w:t>
            </w:r>
          </w:p>
        </w:tc>
        <w:tc>
          <w:tcPr>
            <w:tcW w:w="0" w:type="dxa"/>
            <w:vAlign w:val="bottom"/>
          </w:tcPr>
          <w:p>
            <w:pPr>
              <w:spacing w:after="0"/>
              <w:rPr>
                <w:sz w:val="1"/>
                <w:szCs w:val="1"/>
                <w:color w:val="auto"/>
              </w:rPr>
            </w:pPr>
          </w:p>
        </w:tc>
      </w:tr>
      <w:tr>
        <w:trPr>
          <w:trHeight w:val="22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(41,827)</w:t>
            </w:r>
          </w:p>
        </w:tc>
        <w:tc>
          <w:tcPr>
            <w:tcW w:w="0" w:type="dxa"/>
            <w:vAlign w:val="bottom"/>
          </w:tcPr>
          <w:p>
            <w:pPr>
              <w:spacing w:after="0"/>
              <w:rPr>
                <w:sz w:val="1"/>
                <w:szCs w:val="1"/>
                <w:color w:val="auto"/>
              </w:rPr>
            </w:pPr>
          </w:p>
        </w:tc>
      </w:tr>
      <w:tr>
        <w:trPr>
          <w:trHeight w:val="169"/>
        </w:trPr>
        <w:tc>
          <w:tcPr>
            <w:tcW w:w="4860" w:type="dxa"/>
            <w:vAlign w:val="bottom"/>
          </w:tcPr>
          <w:p>
            <w:pPr>
              <w:ind w:left="140"/>
              <w:spacing w:after="0" w:line="169" w:lineRule="exact"/>
              <w:rPr>
                <w:sz w:val="20"/>
                <w:szCs w:val="20"/>
                <w:color w:val="auto"/>
              </w:rPr>
            </w:pPr>
            <w:r>
              <w:rPr>
                <w:rFonts w:ascii="Arial" w:cs="Arial" w:eastAsia="Arial" w:hAnsi="Arial"/>
                <w:sz w:val="18"/>
                <w:szCs w:val="18"/>
                <w:b w:val="1"/>
                <w:bCs w:val="1"/>
                <w:color w:val="auto"/>
                <w:w w:val="91"/>
              </w:rPr>
              <w:t>Income before income from equity method investments and</w:t>
            </w:r>
          </w:p>
        </w:tc>
        <w:tc>
          <w:tcPr>
            <w:tcW w:w="2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133,153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107,957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303,699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249,222</w:t>
            </w:r>
          </w:p>
        </w:tc>
        <w:tc>
          <w:tcPr>
            <w:tcW w:w="0" w:type="dxa"/>
            <w:vAlign w:val="bottom"/>
          </w:tcPr>
          <w:p>
            <w:pPr>
              <w:spacing w:after="0"/>
              <w:rPr>
                <w:sz w:val="1"/>
                <w:szCs w:val="1"/>
                <w:color w:val="auto"/>
              </w:rPr>
            </w:pPr>
          </w:p>
        </w:tc>
      </w:tr>
      <w:tr>
        <w:trPr>
          <w:trHeight w:val="239"/>
        </w:trPr>
        <w:tc>
          <w:tcPr>
            <w:tcW w:w="4860" w:type="dxa"/>
            <w:vAlign w:val="bottom"/>
          </w:tcPr>
          <w:p>
            <w:pPr>
              <w:ind w:left="140"/>
              <w:spacing w:after="0"/>
              <w:rPr>
                <w:sz w:val="20"/>
                <w:szCs w:val="20"/>
                <w:color w:val="auto"/>
              </w:rPr>
            </w:pPr>
            <w:r>
              <w:rPr>
                <w:rFonts w:ascii="Arial" w:cs="Arial" w:eastAsia="Arial" w:hAnsi="Arial"/>
                <w:sz w:val="18"/>
                <w:szCs w:val="18"/>
                <w:b w:val="1"/>
                <w:bCs w:val="1"/>
                <w:color w:val="auto"/>
              </w:rPr>
              <w:t>income taxes</w:t>
            </w:r>
          </w:p>
        </w:tc>
        <w:tc>
          <w:tcPr>
            <w:tcW w:w="2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equity method investments</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(372,927)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(322,692)</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Tax provision (benefit)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(86,539)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(136,220)</w:t>
            </w:r>
          </w:p>
        </w:tc>
        <w:tc>
          <w:tcPr>
            <w:tcW w:w="0" w:type="dxa"/>
            <w:vAlign w:val="bottom"/>
          </w:tcPr>
          <w:p>
            <w:pPr>
              <w:spacing w:after="0"/>
              <w:rPr>
                <w:sz w:val="1"/>
                <w:szCs w:val="1"/>
                <w:color w:val="auto"/>
              </w:rPr>
            </w:pPr>
          </w:p>
        </w:tc>
      </w:tr>
      <w:tr>
        <w:trPr>
          <w:trHeight w:val="237"/>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62,750</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(loss) attributable to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Pr>
          <w:p>
            <w:pPr>
              <w:ind w:left="20"/>
              <w:spacing w:after="0" w:line="203" w:lineRule="exact"/>
              <w:rPr>
                <w:sz w:val="20"/>
                <w:szCs w:val="20"/>
                <w:color w:val="auto"/>
              </w:rPr>
            </w:pPr>
            <w:r>
              <w:rPr>
                <w:rFonts w:ascii="Arial" w:cs="Arial" w:eastAsia="Arial" w:hAnsi="Arial"/>
                <w:sz w:val="18"/>
                <w:szCs w:val="18"/>
                <w:color w:val="auto"/>
              </w:rPr>
              <w:t>Net income (loss) per share – diluted</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8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205,045,121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209,669,188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206,867,828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209,797,133</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205,711,467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209,669,188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207,534,174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209,810,647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120,100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(178,431)</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271,666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62,750</w:t>
            </w: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81,127</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290,715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143,877</w:t>
            </w: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Comprehensive (income) loss attributable to non-controlling</w:t>
            </w:r>
          </w:p>
        </w:tc>
        <w:tc>
          <w:tcPr>
            <w:tcW w:w="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140"/>
              <w:spacing w:after="0"/>
              <w:rPr>
                <w:sz w:val="20"/>
                <w:szCs w:val="20"/>
                <w:color w:val="auto"/>
              </w:rPr>
            </w:pPr>
            <w:r>
              <w:rPr>
                <w:rFonts w:ascii="Arial" w:cs="Arial" w:eastAsia="Arial" w:hAnsi="Arial"/>
                <w:sz w:val="18"/>
                <w:szCs w:val="18"/>
                <w:b w:val="1"/>
                <w:bCs w:val="1"/>
                <w:color w:val="auto"/>
                <w:w w:val="94"/>
              </w:rPr>
              <w:t>Comprehensive income (loss) attributable to stockholders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136,250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(208,322)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288,402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148,821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34" w:lineRule="auto"/>
        <w:rPr>
          <w:sz w:val="20"/>
          <w:szCs w:val="20"/>
          <w:color w:val="auto"/>
        </w:rPr>
      </w:pPr>
      <w:r>
        <w:rPr>
          <w:rFonts w:ascii="Arial" w:cs="Arial" w:eastAsia="Arial" w:hAnsi="Arial"/>
          <w:sz w:val="18"/>
          <w:szCs w:val="18"/>
          <w:b w:val="1"/>
          <w:bCs w:val="1"/>
          <w:color w:val="auto"/>
        </w:rPr>
        <w:t>For the three and six months ended June 30, 2023 and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 except share amounts)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gridSpan w:val="7"/>
            <w:vMerge w:val="restart"/>
          </w:tcPr>
          <w:p>
            <w:pPr>
              <w:ind w:left="320"/>
              <w:spacing w:after="0"/>
              <w:rPr>
                <w:sz w:val="20"/>
                <w:szCs w:val="20"/>
                <w:color w:val="auto"/>
              </w:rPr>
            </w:pPr>
            <w:r>
              <w:rPr>
                <w:rFonts w:ascii="Arial" w:cs="Arial" w:eastAsia="Arial" w:hAnsi="Arial"/>
                <w:sz w:val="14"/>
                <w:szCs w:val="14"/>
                <w:b w:val="1"/>
                <w:bCs w:val="1"/>
                <w:color w:val="auto"/>
              </w:rPr>
              <w:t>Class A common stock</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Accumulated other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paid-in</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controlling</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restart"/>
          </w:tcPr>
          <w:p>
            <w:pPr>
              <w:jc w:val="center"/>
              <w:ind w:right="120"/>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28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3"/>
              </w:rPr>
              <w:t>Retained earnings</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Shares</w:t>
            </w:r>
          </w:p>
        </w:tc>
        <w:tc>
          <w:tcPr>
            <w:tcW w:w="100" w:type="dxa"/>
            <w:vAlign w:val="bottom"/>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interest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9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208,770,088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1,170,254</w:t>
            </w:r>
          </w:p>
        </w:tc>
        <w:tc>
          <w:tcPr>
            <w:tcW w:w="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62,080</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55,398</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152,039</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1,441,859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150,206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1,360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151,566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comprehensive income</w:t>
            </w:r>
          </w:p>
        </w:tc>
        <w:tc>
          <w:tcPr>
            <w:tcW w:w="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840" w:type="dxa"/>
            <w:vAlign w:val="bottom"/>
          </w:tcPr>
          <w:p>
            <w:pPr>
              <w:ind w:left="80"/>
              <w:spacing w:after="0"/>
              <w:rPr>
                <w:sz w:val="20"/>
                <w:szCs w:val="20"/>
                <w:color w:val="auto"/>
              </w:rPr>
            </w:pPr>
            <w:r>
              <w:rPr>
                <w:rFonts w:ascii="Arial" w:cs="Arial" w:eastAsia="Arial" w:hAnsi="Arial"/>
                <w:sz w:val="14"/>
                <w:szCs w:val="14"/>
                <w:color w:val="auto"/>
              </w:rPr>
              <w:t>Cancellation of shares</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(4,100,000)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(122,713)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(122,754)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Dividends</w:t>
            </w:r>
          </w:p>
        </w:tc>
        <w:tc>
          <w:tcPr>
            <w:tcW w:w="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(20,467)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(3,019)</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(23,486)</w:t>
            </w:r>
          </w:p>
        </w:tc>
        <w:tc>
          <w:tcPr>
            <w:tcW w:w="0" w:type="dxa"/>
            <w:vAlign w:val="bottom"/>
          </w:tcPr>
          <w:p>
            <w:pPr>
              <w:spacing w:after="0"/>
              <w:rPr>
                <w:sz w:val="1"/>
                <w:szCs w:val="1"/>
                <w:color w:val="auto"/>
              </w:rPr>
            </w:pPr>
          </w:p>
        </w:tc>
      </w:tr>
      <w:tr>
        <w:trPr>
          <w:trHeight w:val="199"/>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2023</w:t>
            </w:r>
          </w:p>
        </w:tc>
        <w:tc>
          <w:tcPr>
            <w:tcW w:w="980" w:type="dxa"/>
            <w:vAlign w:val="bottom"/>
            <w:gridSpan w:val="2"/>
          </w:tcPr>
          <w:p>
            <w:pPr>
              <w:jc w:val="right"/>
              <w:ind w:right="9"/>
              <w:spacing w:after="0"/>
              <w:rPr>
                <w:sz w:val="20"/>
                <w:szCs w:val="20"/>
                <w:color w:val="auto"/>
              </w:rPr>
            </w:pPr>
            <w:r>
              <w:rPr>
                <w:rFonts w:ascii="Arial" w:cs="Arial" w:eastAsia="Arial" w:hAnsi="Arial"/>
                <w:sz w:val="14"/>
                <w:szCs w:val="14"/>
                <w:color w:val="auto"/>
              </w:rPr>
              <w:t>204,670,088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2,047</w:t>
            </w:r>
          </w:p>
        </w:tc>
        <w:tc>
          <w:tcPr>
            <w:tcW w:w="40" w:type="dxa"/>
            <w:vAlign w:val="bottom"/>
          </w:tcPr>
          <w:p>
            <w:pPr>
              <w:spacing w:after="0"/>
              <w:rPr>
                <w:sz w:val="17"/>
                <w:szCs w:val="17"/>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1,047,541</w:t>
            </w:r>
          </w:p>
        </w:tc>
        <w:tc>
          <w:tcPr>
            <w:tcW w:w="60" w:type="dxa"/>
            <w:vAlign w:val="bottom"/>
          </w:tcPr>
          <w:p>
            <w:pPr>
              <w:spacing w:after="0"/>
              <w:rPr>
                <w:sz w:val="17"/>
                <w:szCs w:val="17"/>
                <w:color w:val="auto"/>
              </w:rPr>
            </w:pPr>
          </w:p>
        </w:tc>
        <w:tc>
          <w:tcPr>
            <w:tcW w:w="200" w:type="dxa"/>
            <w:vAlign w:val="bottom"/>
            <w:gridSpan w:val="3"/>
          </w:tcPr>
          <w:p>
            <w:pPr>
              <w:ind w:left="12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191,819</w:t>
            </w:r>
          </w:p>
        </w:tc>
        <w:tc>
          <w:tcPr>
            <w:tcW w:w="2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57,344</w:t>
            </w:r>
          </w:p>
        </w:tc>
        <w:tc>
          <w:tcPr>
            <w:tcW w:w="40" w:type="dxa"/>
            <w:vAlign w:val="bottom"/>
          </w:tcPr>
          <w:p>
            <w:pPr>
              <w:spacing w:after="0"/>
              <w:rPr>
                <w:sz w:val="17"/>
                <w:szCs w:val="17"/>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150,575</w:t>
            </w:r>
          </w:p>
        </w:tc>
        <w:tc>
          <w:tcPr>
            <w:tcW w:w="40" w:type="dxa"/>
            <w:vAlign w:val="bottom"/>
          </w:tcPr>
          <w:p>
            <w:pPr>
              <w:spacing w:after="0"/>
              <w:rPr>
                <w:sz w:val="17"/>
                <w:szCs w:val="17"/>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1,449,326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Net income</w:t>
            </w:r>
          </w:p>
        </w:tc>
        <w:tc>
          <w:tcPr>
            <w:tcW w:w="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119,248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120,100</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80"/>
              <w:spacing w:after="0"/>
              <w:rPr>
                <w:sz w:val="20"/>
                <w:szCs w:val="20"/>
                <w:color w:val="auto"/>
              </w:rPr>
            </w:pPr>
            <w:r>
              <w:rPr>
                <w:rFonts w:ascii="Arial" w:cs="Arial" w:eastAsia="Arial" w:hAnsi="Arial"/>
                <w:sz w:val="14"/>
                <w:szCs w:val="14"/>
                <w:color w:val="auto"/>
              </w:rPr>
              <w:t>Other comprehensive income (loss)</w:t>
            </w:r>
          </w:p>
        </w:tc>
        <w:tc>
          <w:tcPr>
            <w:tcW w:w="4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17,002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(94)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16,908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Share-based compensation expense</w:t>
            </w:r>
          </w:p>
        </w:tc>
        <w:tc>
          <w:tcPr>
            <w:tcW w:w="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840" w:type="dxa"/>
            <w:vAlign w:val="bottom"/>
          </w:tcPr>
          <w:p>
            <w:pPr>
              <w:ind w:left="80"/>
              <w:spacing w:after="0" w:line="143" w:lineRule="exact"/>
              <w:rPr>
                <w:sz w:val="20"/>
                <w:szCs w:val="20"/>
                <w:color w:val="auto"/>
              </w:rPr>
            </w:pPr>
            <w:r>
              <w:rPr>
                <w:rFonts w:ascii="Arial" w:cs="Arial" w:eastAsia="Arial" w:hAnsi="Arial"/>
                <w:sz w:val="14"/>
                <w:szCs w:val="14"/>
                <w:color w:val="auto"/>
              </w:rPr>
              <w:t>Issuance of shares for vested share-based</w:t>
            </w: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Pr>
          <w:p>
            <w:pPr>
              <w:ind w:left="240"/>
              <w:spacing w:after="0"/>
              <w:rPr>
                <w:sz w:val="20"/>
                <w:szCs w:val="20"/>
                <w:color w:val="auto"/>
              </w:rPr>
            </w:pPr>
            <w:r>
              <w:rPr>
                <w:rFonts w:ascii="Arial" w:cs="Arial" w:eastAsia="Arial" w:hAnsi="Arial"/>
                <w:sz w:val="14"/>
                <w:szCs w:val="14"/>
                <w:color w:val="auto"/>
              </w:rPr>
              <w:t>compensation awards</w:t>
            </w:r>
          </w:p>
        </w:tc>
        <w:tc>
          <w:tcPr>
            <w:tcW w:w="980" w:type="dxa"/>
            <w:vAlign w:val="bottom"/>
            <w:gridSpan w:val="2"/>
          </w:tcPr>
          <w:p>
            <w:pPr>
              <w:jc w:val="right"/>
              <w:ind w:right="9"/>
              <w:spacing w:after="0"/>
              <w:rPr>
                <w:sz w:val="20"/>
                <w:szCs w:val="20"/>
                <w:color w:val="auto"/>
              </w:rPr>
            </w:pPr>
            <w:r>
              <w:rPr>
                <w:rFonts w:ascii="Arial" w:cs="Arial" w:eastAsia="Arial" w:hAnsi="Arial"/>
                <w:sz w:val="14"/>
                <w:szCs w:val="14"/>
                <w:color w:val="auto"/>
              </w:rPr>
              <w:t>689,401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Shares withheld from employees related to</w:t>
            </w: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share-based compensation, at cost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(328,083)</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(9,519)</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(9,519)</w:t>
            </w:r>
          </w:p>
        </w:tc>
        <w:tc>
          <w:tcPr>
            <w:tcW w:w="0" w:type="dxa"/>
            <w:vAlign w:val="bottom"/>
          </w:tcPr>
          <w:p>
            <w:pPr>
              <w:spacing w:after="0"/>
              <w:rPr>
                <w:sz w:val="1"/>
                <w:szCs w:val="1"/>
                <w:color w:val="auto"/>
              </w:rPr>
            </w:pPr>
          </w:p>
        </w:tc>
      </w:tr>
      <w:tr>
        <w:trPr>
          <w:trHeight w:val="186"/>
        </w:trPr>
        <w:tc>
          <w:tcPr>
            <w:tcW w:w="2840" w:type="dxa"/>
            <w:vAlign w:val="bottom"/>
          </w:tcPr>
          <w:p>
            <w:pPr>
              <w:ind w:left="80"/>
              <w:spacing w:after="0"/>
              <w:rPr>
                <w:sz w:val="20"/>
                <w:szCs w:val="20"/>
                <w:color w:val="auto"/>
              </w:rPr>
            </w:pPr>
            <w:r>
              <w:rPr>
                <w:rFonts w:ascii="Arial" w:cs="Arial" w:eastAsia="Arial" w:hAnsi="Arial"/>
                <w:sz w:val="14"/>
                <w:szCs w:val="14"/>
                <w:color w:val="auto"/>
              </w:rPr>
              <w:t>Dividends</w:t>
            </w:r>
          </w:p>
        </w:tc>
        <w:tc>
          <w:tcPr>
            <w:tcW w:w="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(20,503)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(6,619)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(27,122)</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2023</w:t>
            </w:r>
          </w:p>
        </w:tc>
        <w:tc>
          <w:tcPr>
            <w:tcW w:w="9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205,031,406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w:t>
            </w: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1,039,201</w:t>
            </w:r>
          </w:p>
        </w:tc>
        <w:tc>
          <w:tcPr>
            <w:tcW w:w="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290,564</w:t>
            </w:r>
          </w:p>
        </w:tc>
        <w:tc>
          <w:tcPr>
            <w:tcW w:w="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74,346</w:t>
            </w: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144,714</w:t>
            </w: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1,550,875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gridSpan w:val="7"/>
            <w:vMerge w:val="restart"/>
          </w:tcPr>
          <w:p>
            <w:pPr>
              <w:ind w:left="320"/>
              <w:spacing w:after="0"/>
              <w:rPr>
                <w:sz w:val="20"/>
                <w:szCs w:val="20"/>
                <w:color w:val="auto"/>
              </w:rPr>
            </w:pPr>
            <w:r>
              <w:rPr>
                <w:rFonts w:ascii="Arial" w:cs="Arial" w:eastAsia="Arial" w:hAnsi="Arial"/>
                <w:sz w:val="14"/>
                <w:szCs w:val="14"/>
                <w:b w:val="1"/>
                <w:bCs w:val="1"/>
                <w:color w:val="auto"/>
              </w:rPr>
              <w:t>Class A common stock</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7"/>
              </w:rPr>
              <w:t>Retained earnings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 other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5"/>
        </w:trPr>
        <w:tc>
          <w:tcPr>
            <w:tcW w:w="2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7"/>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220"/>
              <w:spacing w:after="0" w:line="125" w:lineRule="exact"/>
              <w:rPr>
                <w:sz w:val="20"/>
                <w:szCs w:val="20"/>
                <w:color w:val="auto"/>
              </w:rPr>
            </w:pPr>
            <w:r>
              <w:rPr>
                <w:rFonts w:ascii="Arial" w:cs="Arial" w:eastAsia="Arial" w:hAnsi="Arial"/>
                <w:sz w:val="14"/>
                <w:szCs w:val="14"/>
                <w:b w:val="1"/>
                <w:bCs w:val="1"/>
                <w:color w:val="auto"/>
                <w:w w:val="95"/>
              </w:rPr>
              <w:t>paid-in</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ind w:left="40"/>
              <w:spacing w:after="0" w:line="12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jc w:val="center"/>
              <w:ind w:right="14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1"/>
              </w:rPr>
              <w:t>controlling</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6"/>
              </w:rPr>
              <w:t>income (loss)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0"/>
              </w:rPr>
              <w:t>interest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equity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206,863,242</w:t>
            </w: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1,923,990</w:t>
            </w:r>
          </w:p>
        </w:tc>
        <w:tc>
          <w:tcPr>
            <w:tcW w:w="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(132,399)</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(2,085)</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202,479</w:t>
            </w: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1,994,054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40" w:type="dxa"/>
            <w:vAlign w:val="bottom"/>
          </w:tcPr>
          <w:p>
            <w:pPr>
              <w:ind w:left="8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238,269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2,912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241,181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comprehensive income</w:t>
            </w: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118,874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40" w:type="dxa"/>
            <w:vAlign w:val="bottom"/>
          </w:tcPr>
          <w:p>
            <w:pPr>
              <w:ind w:left="80"/>
              <w:spacing w:after="0"/>
              <w:rPr>
                <w:sz w:val="20"/>
                <w:szCs w:val="20"/>
                <w:color w:val="auto"/>
              </w:rPr>
            </w:pPr>
            <w:r>
              <w:rPr>
                <w:rFonts w:ascii="Arial" w:cs="Arial" w:eastAsia="Arial" w:hAnsi="Arial"/>
                <w:sz w:val="14"/>
                <w:szCs w:val="14"/>
                <w:color w:val="auto"/>
              </w:rPr>
              <w:t>Share-based compensation expense</w:t>
            </w:r>
          </w:p>
        </w:tc>
        <w:tc>
          <w:tcPr>
            <w:tcW w:w="4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Issuance of shares for vested RSUs</w:t>
            </w:r>
          </w:p>
        </w:tc>
        <w:tc>
          <w:tcPr>
            <w:tcW w:w="10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1,121,255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840" w:type="dxa"/>
            <w:vAlign w:val="bottom"/>
          </w:tcPr>
          <w:p>
            <w:pPr>
              <w:ind w:left="80"/>
              <w:spacing w:after="0"/>
              <w:rPr>
                <w:sz w:val="20"/>
                <w:szCs w:val="20"/>
                <w:color w:val="auto"/>
              </w:rPr>
            </w:pPr>
            <w:r>
              <w:rPr>
                <w:rFonts w:ascii="Arial" w:cs="Arial" w:eastAsia="Arial" w:hAnsi="Arial"/>
                <w:sz w:val="14"/>
                <w:szCs w:val="14"/>
                <w:color w:val="auto"/>
              </w:rPr>
              <w:t>Shares withheld from employees related to</w:t>
            </w: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40" w:type="dxa"/>
            <w:vAlign w:val="bottom"/>
          </w:tcPr>
          <w:p>
            <w:pPr>
              <w:ind w:left="240"/>
              <w:spacing w:after="0"/>
              <w:rPr>
                <w:sz w:val="20"/>
                <w:szCs w:val="20"/>
                <w:color w:val="auto"/>
              </w:rPr>
            </w:pPr>
            <w:r>
              <w:rPr>
                <w:rFonts w:ascii="Arial" w:cs="Arial" w:eastAsia="Arial" w:hAnsi="Arial"/>
                <w:sz w:val="14"/>
                <w:szCs w:val="14"/>
                <w:color w:val="auto"/>
              </w:rPr>
              <w:t>share-based compensation, at cost</w:t>
            </w:r>
          </w:p>
        </w:tc>
        <w:tc>
          <w:tcPr>
            <w:tcW w:w="1060" w:type="dxa"/>
            <w:vAlign w:val="bottom"/>
            <w:gridSpan w:val="3"/>
          </w:tcPr>
          <w:p>
            <w:pPr>
              <w:jc w:val="right"/>
              <w:ind w:right="40"/>
              <w:spacing w:after="0"/>
              <w:rPr>
                <w:sz w:val="20"/>
                <w:szCs w:val="20"/>
                <w:color w:val="auto"/>
              </w:rPr>
            </w:pPr>
            <w:r>
              <w:rPr>
                <w:rFonts w:ascii="Arial" w:cs="Arial" w:eastAsia="Arial" w:hAnsi="Arial"/>
                <w:sz w:val="14"/>
                <w:szCs w:val="14"/>
                <w:color w:val="auto"/>
              </w:rPr>
              <w:t>(442,146)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(15,274)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(15,274)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Dividends</w:t>
            </w:r>
          </w:p>
        </w:tc>
        <w:tc>
          <w:tcPr>
            <w:tcW w:w="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(20,754)</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40" w:type="dxa"/>
            <w:vAlign w:val="bottom"/>
          </w:tcPr>
          <w:p>
            <w:pPr>
              <w:spacing w:after="0"/>
              <w:rPr>
                <w:sz w:val="17"/>
                <w:szCs w:val="17"/>
                <w:color w:val="auto"/>
              </w:rPr>
            </w:pPr>
          </w:p>
        </w:tc>
        <w:tc>
          <w:tcPr>
            <w:tcW w:w="10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207,542,351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1,888,842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105,870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116,789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204,328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2,317,905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income (loss)</w:t>
            </w:r>
          </w:p>
        </w:tc>
        <w:tc>
          <w:tcPr>
            <w:tcW w:w="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(169,765)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(178,431)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840" w:type="dxa"/>
            <w:vAlign w:val="bottom"/>
          </w:tcPr>
          <w:p>
            <w:pPr>
              <w:ind w:left="80"/>
              <w:spacing w:after="0"/>
              <w:rPr>
                <w:sz w:val="20"/>
                <w:szCs w:val="20"/>
                <w:color w:val="auto"/>
              </w:rPr>
            </w:pPr>
            <w:r>
              <w:rPr>
                <w:rFonts w:ascii="Arial" w:cs="Arial" w:eastAsia="Arial" w:hAnsi="Arial"/>
                <w:sz w:val="14"/>
                <w:szCs w:val="14"/>
                <w:color w:val="auto"/>
              </w:rPr>
              <w:t>Other comprehensive (loss)</w:t>
            </w:r>
          </w:p>
        </w:tc>
        <w:tc>
          <w:tcPr>
            <w:tcW w:w="4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(38,557)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(1,146)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(39,703)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Share-based compensation expense</w:t>
            </w:r>
          </w:p>
        </w:tc>
        <w:tc>
          <w:tcPr>
            <w:tcW w:w="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840" w:type="dxa"/>
            <w:vAlign w:val="bottom"/>
          </w:tcPr>
          <w:p>
            <w:pPr>
              <w:ind w:left="80"/>
              <w:spacing w:after="0"/>
              <w:rPr>
                <w:sz w:val="20"/>
                <w:szCs w:val="20"/>
                <w:color w:val="auto"/>
              </w:rPr>
            </w:pPr>
            <w:r>
              <w:rPr>
                <w:rFonts w:ascii="Arial" w:cs="Arial" w:eastAsia="Arial" w:hAnsi="Arial"/>
                <w:sz w:val="14"/>
                <w:szCs w:val="14"/>
                <w:color w:val="auto"/>
              </w:rPr>
              <w:t>Issuance of shares for vested RSUs</w:t>
            </w: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13,898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Dividends</w:t>
            </w:r>
          </w:p>
        </w:tc>
        <w:tc>
          <w:tcPr>
            <w:tcW w:w="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(20,582)</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(7,019)</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40" w:type="dxa"/>
            <w:vAlign w:val="bottom"/>
            <w:tcBorders>
              <w:top w:val="single" w:sz="8" w:color="CCEEFF"/>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207,556,249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2,076</w:t>
            </w: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1,868,618</w:t>
            </w: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(63,895)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78,232</w:t>
            </w: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187,497</w:t>
            </w: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2,072,528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2023 and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163"/>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6"/>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9"/>
        </w:trPr>
        <w:tc>
          <w:tcPr>
            <w:tcW w:w="8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271,666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62,750</w:t>
            </w:r>
          </w:p>
        </w:tc>
      </w:tr>
      <w:tr>
        <w:trPr>
          <w:trHeight w:val="182"/>
        </w:trPr>
        <w:tc>
          <w:tcPr>
            <w:tcW w:w="8160" w:type="dxa"/>
            <w:vAlign w:val="bottom"/>
          </w:tcPr>
          <w:p>
            <w:pPr>
              <w:ind w:left="140"/>
              <w:spacing w:after="0"/>
              <w:rPr>
                <w:sz w:val="20"/>
                <w:szCs w:val="20"/>
                <w:color w:val="auto"/>
              </w:rPr>
            </w:pPr>
            <w:r>
              <w:rPr>
                <w:rFonts w:ascii="Arial" w:cs="Arial" w:eastAsia="Arial" w:hAnsi="Arial"/>
                <w:sz w:val="14"/>
                <w:szCs w:val="14"/>
                <w:color w:val="auto"/>
              </w:rPr>
              <w:t>Adjustments for:</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8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76,949</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71,172</w:t>
            </w:r>
          </w:p>
        </w:tc>
      </w:tr>
      <w:tr>
        <w:trPr>
          <w:trHeight w:val="186"/>
        </w:trPr>
        <w:tc>
          <w:tcPr>
            <w:tcW w:w="8160" w:type="dxa"/>
            <w:vAlign w:val="bottom"/>
          </w:tcPr>
          <w:p>
            <w:pPr>
              <w:ind w:left="240"/>
              <w:spacing w:after="0"/>
              <w:rPr>
                <w:sz w:val="20"/>
                <w:szCs w:val="20"/>
                <w:color w:val="auto"/>
              </w:rPr>
            </w:pPr>
            <w:r>
              <w:rPr>
                <w:rFonts w:ascii="Arial" w:cs="Arial" w:eastAsia="Arial" w:hAnsi="Arial"/>
                <w:sz w:val="14"/>
                <w:szCs w:val="14"/>
                <w:color w:val="auto"/>
              </w:rPr>
              <w:t>(Earnings) losses of equity method investees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322,692</w:t>
            </w:r>
          </w:p>
        </w:tc>
      </w:tr>
      <w:tr>
        <w:trPr>
          <w:trHeight w:val="186"/>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Drydocking expenditure</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(12,439)</w:t>
            </w:r>
          </w:p>
        </w:tc>
      </w:tr>
      <w:tr>
        <w:trPr>
          <w:trHeight w:val="182"/>
        </w:trPr>
        <w:tc>
          <w:tcPr>
            <w:tcW w:w="8160" w:type="dxa"/>
            <w:vAlign w:val="bottom"/>
          </w:tcPr>
          <w:p>
            <w:pPr>
              <w:ind w:left="240"/>
              <w:spacing w:after="0"/>
              <w:rPr>
                <w:sz w:val="20"/>
                <w:szCs w:val="20"/>
                <w:color w:val="auto"/>
              </w:rPr>
            </w:pPr>
            <w:r>
              <w:rPr>
                <w:rFonts w:ascii="Arial" w:cs="Arial" w:eastAsia="Arial" w:hAnsi="Arial"/>
                <w:sz w:val="14"/>
                <w:szCs w:val="14"/>
                <w:color w:val="auto"/>
              </w:rPr>
              <w:t>Dividends received from equity method investees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5,830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14,859</w:t>
            </w:r>
          </w:p>
        </w:tc>
      </w:tr>
      <w:tr>
        <w:trPr>
          <w:trHeight w:val="20"/>
        </w:trPr>
        <w:tc>
          <w:tcPr>
            <w:tcW w:w="8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8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market value of derivatives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(9,798)</w:t>
            </w:r>
          </w:p>
        </w:tc>
      </w:tr>
      <w:tr>
        <w:trPr>
          <w:trHeight w:val="182"/>
        </w:trPr>
        <w:tc>
          <w:tcPr>
            <w:tcW w:w="8160" w:type="dxa"/>
            <w:vAlign w:val="bottom"/>
          </w:tcPr>
          <w:p>
            <w:pPr>
              <w:ind w:left="240"/>
              <w:spacing w:after="0"/>
              <w:rPr>
                <w:sz w:val="20"/>
                <w:szCs w:val="20"/>
                <w:color w:val="auto"/>
              </w:rPr>
            </w:pPr>
            <w:r>
              <w:rPr>
                <w:rFonts w:ascii="Arial" w:cs="Arial" w:eastAsia="Arial" w:hAnsi="Arial"/>
                <w:sz w:val="14"/>
                <w:szCs w:val="14"/>
                <w:color w:val="auto"/>
              </w:rPr>
              <w:t>Deferred taxes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(178,109)</w:t>
            </w:r>
          </w:p>
        </w:tc>
      </w:tr>
      <w:tr>
        <w:trPr>
          <w:trHeight w:val="20"/>
        </w:trPr>
        <w:tc>
          <w:tcPr>
            <w:tcW w:w="8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Asset impairment expense</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48,109</w:t>
            </w:r>
          </w:p>
        </w:tc>
      </w:tr>
      <w:tr>
        <w:trPr>
          <w:trHeight w:val="186"/>
        </w:trPr>
        <w:tc>
          <w:tcPr>
            <w:tcW w:w="8160" w:type="dxa"/>
            <w:vAlign w:val="bottom"/>
          </w:tcPr>
          <w:p>
            <w:pPr>
              <w:ind w:left="240"/>
              <w:spacing w:after="0"/>
              <w:rPr>
                <w:sz w:val="20"/>
                <w:szCs w:val="20"/>
                <w:color w:val="auto"/>
              </w:rPr>
            </w:pPr>
            <w:r>
              <w:rPr>
                <w:rFonts w:ascii="Arial" w:cs="Arial" w:eastAsia="Arial" w:hAnsi="Arial"/>
                <w:sz w:val="14"/>
                <w:szCs w:val="14"/>
                <w:color w:val="auto"/>
              </w:rPr>
              <w:t>Earnings recognized from vessels chartered to third parties transferred to Energos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(71,536)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Loss on the disposal of equity method investment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37,401</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160" w:type="dxa"/>
            <w:vAlign w:val="bottom"/>
          </w:tcPr>
          <w:p>
            <w:pPr>
              <w:ind w:left="24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12,435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6,808</w:t>
            </w:r>
          </w:p>
        </w:tc>
      </w:tr>
      <w:tr>
        <w:trPr>
          <w:trHeight w:val="20"/>
        </w:trPr>
        <w:tc>
          <w:tcPr>
            <w:tcW w:w="8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2"/>
        </w:trPr>
        <w:tc>
          <w:tcPr>
            <w:tcW w:w="8160" w:type="dxa"/>
            <w:vAlign w:val="bottom"/>
          </w:tcPr>
          <w:p>
            <w:pPr>
              <w:ind w:left="140"/>
              <w:spacing w:after="0"/>
              <w:rPr>
                <w:sz w:val="20"/>
                <w:szCs w:val="20"/>
                <w:color w:val="auto"/>
              </w:rPr>
            </w:pPr>
            <w:r>
              <w:rPr>
                <w:rFonts w:ascii="Arial" w:cs="Arial" w:eastAsia="Arial" w:hAnsi="Arial"/>
                <w:sz w:val="14"/>
                <w:szCs w:val="14"/>
                <w:color w:val="auto"/>
              </w:rPr>
              <w:t>(Increase) in receivables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(14,532)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(123,843)</w:t>
            </w:r>
          </w:p>
        </w:tc>
      </w:tr>
      <w:tr>
        <w:trPr>
          <w:trHeight w:val="20"/>
        </w:trPr>
        <w:tc>
          <w:tcPr>
            <w:tcW w:w="8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in inventories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(60,710)</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(35,167)</w:t>
            </w:r>
          </w:p>
        </w:tc>
      </w:tr>
      <w:tr>
        <w:trPr>
          <w:trHeight w:val="186"/>
        </w:trPr>
        <w:tc>
          <w:tcPr>
            <w:tcW w:w="8160" w:type="dxa"/>
            <w:vAlign w:val="bottom"/>
          </w:tcPr>
          <w:p>
            <w:pPr>
              <w:ind w:left="140"/>
              <w:spacing w:after="0"/>
              <w:rPr>
                <w:sz w:val="20"/>
                <w:szCs w:val="20"/>
                <w:color w:val="auto"/>
              </w:rPr>
            </w:pPr>
            <w:r>
              <w:rPr>
                <w:rFonts w:ascii="Arial" w:cs="Arial" w:eastAsia="Arial" w:hAnsi="Arial"/>
                <w:sz w:val="14"/>
                <w:szCs w:val="14"/>
                <w:color w:val="auto"/>
              </w:rPr>
              <w:t>Decrease (increase) in other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63,576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(58,949)</w:t>
            </w:r>
          </w:p>
        </w:tc>
      </w:tr>
      <w:tr>
        <w:trPr>
          <w:trHeight w:val="186"/>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Decrease in right-of-use assets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40,655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35,265</w:t>
            </w:r>
          </w:p>
        </w:tc>
      </w:tr>
      <w:tr>
        <w:trPr>
          <w:trHeight w:val="182"/>
        </w:trPr>
        <w:tc>
          <w:tcPr>
            <w:tcW w:w="8160" w:type="dxa"/>
            <w:vAlign w:val="bottom"/>
          </w:tcPr>
          <w:p>
            <w:pPr>
              <w:ind w:left="140"/>
              <w:spacing w:after="0"/>
              <w:rPr>
                <w:sz w:val="20"/>
                <w:szCs w:val="20"/>
                <w:color w:val="auto"/>
              </w:rPr>
            </w:pPr>
            <w:r>
              <w:rPr>
                <w:rFonts w:ascii="Arial" w:cs="Arial" w:eastAsia="Arial" w:hAnsi="Arial"/>
                <w:sz w:val="14"/>
                <w:szCs w:val="14"/>
                <w:color w:val="auto"/>
              </w:rPr>
              <w:t>Increase in accounts payable/accrued liabilities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75,746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71,603</w:t>
            </w:r>
          </w:p>
        </w:tc>
      </w:tr>
      <w:tr>
        <w:trPr>
          <w:trHeight w:val="20"/>
        </w:trPr>
        <w:tc>
          <w:tcPr>
            <w:tcW w:w="8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8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(Decrease) in lease liabilities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(38,885)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(31,352)</w:t>
            </w:r>
          </w:p>
        </w:tc>
      </w:tr>
      <w:tr>
        <w:trPr>
          <w:trHeight w:val="197"/>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Increase (decrease) in other liabilities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116,959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(12,668)</w:t>
            </w:r>
          </w:p>
        </w:tc>
      </w:tr>
      <w:tr>
        <w:trPr>
          <w:trHeight w:val="202"/>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503,877</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170,933</w:t>
            </w:r>
          </w:p>
        </w:tc>
      </w:tr>
      <w:tr>
        <w:trPr>
          <w:trHeight w:val="88"/>
        </w:trPr>
        <w:tc>
          <w:tcPr>
            <w:tcW w:w="816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6"/>
        </w:trPr>
        <w:tc>
          <w:tcPr>
            <w:tcW w:w="816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(1,465,642)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(441,708)</w:t>
            </w:r>
          </w:p>
        </w:tc>
      </w:tr>
      <w:tr>
        <w:trPr>
          <w:trHeight w:val="186"/>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 of equity method investment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60" w:type="dxa"/>
            <w:vAlign w:val="bottom"/>
          </w:tcPr>
          <w:p>
            <w:pPr>
              <w:ind w:left="140"/>
              <w:spacing w:after="0"/>
              <w:rPr>
                <w:sz w:val="20"/>
                <w:szCs w:val="20"/>
                <w:color w:val="auto"/>
              </w:rPr>
            </w:pPr>
            <w:r>
              <w:rPr>
                <w:rFonts w:ascii="Arial" w:cs="Arial" w:eastAsia="Arial" w:hAnsi="Arial"/>
                <w:sz w:val="14"/>
                <w:szCs w:val="14"/>
                <w:color w:val="auto"/>
              </w:rPr>
              <w:t>Other investing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816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(1,367,092)</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(441,708)</w:t>
            </w:r>
          </w:p>
        </w:tc>
      </w:tr>
      <w:tr>
        <w:trPr>
          <w:trHeight w:val="94"/>
        </w:trPr>
        <w:tc>
          <w:tcPr>
            <w:tcW w:w="8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2"/>
        </w:trPr>
        <w:tc>
          <w:tcPr>
            <w:tcW w:w="8160" w:type="dxa"/>
            <w:vAlign w:val="bottom"/>
          </w:tcPr>
          <w:p>
            <w:pPr>
              <w:ind w:left="140"/>
              <w:spacing w:after="0"/>
              <w:rPr>
                <w:sz w:val="20"/>
                <w:szCs w:val="20"/>
                <w:color w:val="auto"/>
              </w:rPr>
            </w:pPr>
            <w:r>
              <w:rPr>
                <w:rFonts w:ascii="Arial" w:cs="Arial" w:eastAsia="Arial" w:hAnsi="Arial"/>
                <w:sz w:val="14"/>
                <w:szCs w:val="14"/>
                <w:color w:val="auto"/>
              </w:rPr>
              <w:t>Proceeds from borrowings of debt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919,625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437,917</w:t>
            </w:r>
          </w:p>
        </w:tc>
      </w:tr>
      <w:tr>
        <w:trPr>
          <w:trHeight w:val="20"/>
        </w:trPr>
        <w:tc>
          <w:tcPr>
            <w:tcW w:w="8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8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deferred financing costs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(4,805)</w:t>
            </w:r>
          </w:p>
        </w:tc>
      </w:tr>
      <w:tr>
        <w:trPr>
          <w:trHeight w:val="182"/>
        </w:trPr>
        <w:tc>
          <w:tcPr>
            <w:tcW w:w="8160" w:type="dxa"/>
            <w:vAlign w:val="bottom"/>
          </w:tcPr>
          <w:p>
            <w:pPr>
              <w:ind w:left="140"/>
              <w:spacing w:after="0"/>
              <w:rPr>
                <w:sz w:val="20"/>
                <w:szCs w:val="20"/>
                <w:color w:val="auto"/>
              </w:rPr>
            </w:pPr>
            <w:r>
              <w:rPr>
                <w:rFonts w:ascii="Arial" w:cs="Arial" w:eastAsia="Arial" w:hAnsi="Arial"/>
                <w:sz w:val="14"/>
                <w:szCs w:val="14"/>
                <w:color w:val="auto"/>
              </w:rPr>
              <w:t>Repayment of debt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(146,030)</w:t>
            </w:r>
          </w:p>
        </w:tc>
      </w:tr>
      <w:tr>
        <w:trPr>
          <w:trHeight w:val="20"/>
        </w:trPr>
        <w:tc>
          <w:tcPr>
            <w:tcW w:w="8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Payments related to tax withholdings for share-based compensation</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(9,519)</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(13,054)</w:t>
            </w:r>
          </w:p>
        </w:tc>
      </w:tr>
      <w:tr>
        <w:trPr>
          <w:trHeight w:val="186"/>
        </w:trPr>
        <w:tc>
          <w:tcPr>
            <w:tcW w:w="8160" w:type="dxa"/>
            <w:vAlign w:val="bottom"/>
          </w:tcPr>
          <w:p>
            <w:pPr>
              <w:ind w:left="140"/>
              <w:spacing w:after="0"/>
              <w:rPr>
                <w:sz w:val="20"/>
                <w:szCs w:val="20"/>
                <w:color w:val="auto"/>
              </w:rPr>
            </w:pPr>
            <w:r>
              <w:rPr>
                <w:rFonts w:ascii="Arial" w:cs="Arial" w:eastAsia="Arial" w:hAnsi="Arial"/>
                <w:sz w:val="14"/>
                <w:szCs w:val="14"/>
                <w:color w:val="auto"/>
              </w:rPr>
              <w:t>Payment of dividends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(676,918)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(47,374)</w:t>
            </w:r>
          </w:p>
        </w:tc>
      </w:tr>
      <w:tr>
        <w:trPr>
          <w:trHeight w:val="189"/>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financing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8160" w:type="dxa"/>
            <w:vAlign w:val="bottom"/>
          </w:tcPr>
          <w:p>
            <w:pPr>
              <w:ind w:left="240"/>
              <w:spacing w:after="0"/>
              <w:rPr>
                <w:sz w:val="20"/>
                <w:szCs w:val="20"/>
                <w:color w:val="auto"/>
              </w:rPr>
            </w:pPr>
            <w:r>
              <w:rPr>
                <w:rFonts w:ascii="Arial" w:cs="Arial" w:eastAsia="Arial" w:hAnsi="Arial"/>
                <w:sz w:val="14"/>
                <w:szCs w:val="14"/>
                <w:b w:val="1"/>
                <w:bCs w:val="1"/>
                <w:color w:val="auto"/>
              </w:rPr>
              <w:t>Net cash provided by financing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222,583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226,654</w:t>
            </w:r>
          </w:p>
        </w:tc>
      </w:tr>
      <w:tr>
        <w:trPr>
          <w:trHeight w:val="18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of changes in foreign exchange rates on cash and cash equivalents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1,608</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(2,018)</w:t>
            </w:r>
          </w:p>
        </w:tc>
      </w:tr>
      <w:tr>
        <w:trPr>
          <w:trHeight w:val="188"/>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(639,024)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(46,139)</w:t>
            </w:r>
          </w:p>
        </w:tc>
      </w:tr>
      <w:tr>
        <w:trPr>
          <w:trHeight w:val="19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855,083</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264,030</w:t>
            </w:r>
          </w:p>
        </w:tc>
      </w:tr>
      <w:tr>
        <w:trPr>
          <w:trHeight w:val="202"/>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 end of period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216,059</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217,891</w:t>
            </w:r>
          </w:p>
        </w:tc>
      </w:tr>
      <w:tr>
        <w:trPr>
          <w:trHeight w:val="20"/>
        </w:trPr>
        <w:tc>
          <w:tcPr>
            <w:tcW w:w="8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8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w w:val="95"/>
              </w:rPr>
              <w:t>Changes in accounts payable and accrued liabilities associated with construction in progress and property, plant and equipment additions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732,858</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5,302</w:t>
            </w:r>
          </w:p>
        </w:tc>
      </w:tr>
      <w:tr>
        <w:trPr>
          <w:trHeight w:val="20"/>
        </w:trPr>
        <w:tc>
          <w:tcPr>
            <w:tcW w:w="8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Principal payments on financing obligation to Energos by third party charterers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(32,836)</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60" w:type="dxa"/>
            <w:vAlign w:val="bottom"/>
          </w:tcPr>
          <w:p>
            <w:pPr>
              <w:ind w:left="20"/>
              <w:spacing w:after="0"/>
              <w:rPr>
                <w:sz w:val="20"/>
                <w:szCs w:val="20"/>
                <w:color w:val="auto"/>
              </w:rPr>
            </w:pPr>
            <w:r>
              <w:rPr>
                <w:rFonts w:ascii="Arial" w:cs="Arial" w:eastAsia="Arial" w:hAnsi="Arial"/>
                <w:sz w:val="14"/>
                <w:szCs w:val="14"/>
                <w:color w:val="auto"/>
              </w:rPr>
              <w:t>Shares received in Hilli Exchange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(122,754)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obligation</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24,320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identifies the balance sheet line-items included in Cash and cash equivalents, Current restricted cash, and Non-current restricted cash presented in the Condensed Consolidated Statement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5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r>
      <w:tr>
        <w:trPr>
          <w:trHeight w:val="26"/>
        </w:trPr>
        <w:tc>
          <w:tcPr>
            <w:tcW w:w="8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9"/>
        </w:trPr>
        <w:tc>
          <w:tcPr>
            <w:tcW w:w="81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104,342</w:t>
            </w:r>
          </w:p>
        </w:tc>
        <w:tc>
          <w:tcPr>
            <w:tcW w:w="104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138,329</w:t>
            </w:r>
          </w:p>
        </w:tc>
      </w:tr>
      <w:tr>
        <w:trPr>
          <w:trHeight w:val="204"/>
        </w:trPr>
        <w:tc>
          <w:tcPr>
            <w:tcW w:w="8160" w:type="dxa"/>
            <w:vAlign w:val="bottom"/>
          </w:tcPr>
          <w:p>
            <w:pPr>
              <w:ind w:left="20"/>
              <w:spacing w:after="0"/>
              <w:rPr>
                <w:sz w:val="20"/>
                <w:szCs w:val="20"/>
                <w:color w:val="auto"/>
              </w:rPr>
            </w:pPr>
            <w:r>
              <w:rPr>
                <w:rFonts w:ascii="Arial" w:cs="Arial" w:eastAsia="Arial" w:hAnsi="Arial"/>
                <w:sz w:val="14"/>
                <w:szCs w:val="14"/>
                <w:color w:val="auto"/>
              </w:rPr>
              <w:t>Current restricted cash</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100,513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71,602</w:t>
            </w:r>
          </w:p>
        </w:tc>
      </w:tr>
      <w:tr>
        <w:trPr>
          <w:trHeight w:val="26"/>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0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restricted cash</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7,960</w:t>
            </w:r>
          </w:p>
        </w:tc>
      </w:tr>
      <w:tr>
        <w:trPr>
          <w:trHeight w:val="190"/>
        </w:trPr>
        <w:tc>
          <w:tcPr>
            <w:tcW w:w="8160" w:type="dxa"/>
            <w:vAlign w:val="bottom"/>
          </w:tcPr>
          <w:p>
            <w:pPr>
              <w:ind w:left="20"/>
              <w:spacing w:after="0"/>
              <w:rPr>
                <w:sz w:val="20"/>
                <w:szCs w:val="20"/>
                <w:color w:val="auto"/>
              </w:rPr>
            </w:pPr>
            <w:r>
              <w:rPr>
                <w:rFonts w:ascii="Arial" w:cs="Arial" w:eastAsia="Arial" w:hAnsi="Arial"/>
                <w:sz w:val="14"/>
                <w:szCs w:val="14"/>
                <w:color w:val="auto"/>
              </w:rPr>
              <w:t>Cash and cash equivalents classified as held for sale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11,204</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 end of period</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216,059</w:t>
            </w: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217,891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Cash and cash equivalents includes $11,204 which has been classified as assets held for sale and included in Other non-current assets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The Company has liquefaction, regasification and power generation operations in the United States, Jamaica, Brazil and Mexico. The Company has marine operations with vessels operating under time charters and in the spot market globally.</w:t>
      </w:r>
    </w:p>
    <w:p>
      <w:pPr>
        <w:spacing w:after="0" w:line="17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 currently conducts its business through two operating segments, Terminals and Infrastructure and Ships. The business and reportable segment information reflect how the Chief Operating Decision Maker (“CODM”) regularly reviews and manages the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contained herein were prepared in accordance with accounting principles generally accepted in the United States of America (“GAAP”) and reflect all normal and recurring adjustments which are, in the opinion of management, necessary to provide a fair statement of the financial position, results of operations and cash flows of the Company for the interim periods presented. These condensed consolidated financial statements and accompanying notes should be read in conjunction with the Company’s annual audited consolidated financial statements and accompanying notes included in its Annual Report on Form 10-K for the year ended December 31, 2022 (the "Annual Report"). Certain prior year amounts have been reclassified to conform to current year presentation.</w:t>
      </w:r>
    </w:p>
    <w:p>
      <w:pPr>
        <w:spacing w:after="0" w:line="178"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preparation of condensed consolidated financial statements in accordance with GAAP requires management to make estimates and assumptions, impacting the reported amounts of assets and liabilities, net earnings and disclosures of contingent assets and liabilities as of the date of the condensed consolidated financial statements. Actual results could be different from these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Adoption of new and revised standards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reviewed recently issued accounting pronouncements and concluded that such pronouncements are either not applicable to the Company or no material impact is expected in the condensed consolidated financial statements as a result of future adoption.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Operating revenue in the condensed consolidated statements of operations and comprehensive income (loss) includes revenue from sales of LNG and natural gas as well as outputs from the Company’s natural gas-fueled power generation facilities, including power and steam, and the sale of LNG cargos. For the three and six months ended June 30, 2023, the Company recognized LNG cargo sales to customers of $267,777 and $617,138, respectively, which includes $162,500 and $332,000 of contract settlements, respectively. LNG cargo sales for the three and six months ended June 30, 2022 were $309,030 and $594,201, respectively.</w:t>
      </w:r>
    </w:p>
    <w:p>
      <w:pPr>
        <w:spacing w:after="0" w:line="21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Under most customer contracts, invoicing occurs once the Company’s performance obligations have been satisfied, at which point payment is unconditional. As of June 30, 2023 and December 31, 2022, receivables related to revenue from contracts with customers totaled $269,973 and $280,382, respectively, and were included in Receivables, net on the condensed consolidated balance sheets, net of current expected credit losses of $805 and $884, respectively. Other items included in Receivables, net not related to revenue from contracts with customers represent leases, which are accounted for outside the scope of ASC 606, and receivables associated with reimbursable costs.</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Contract assets are comprised of the transaction price allocated to completed performance obligations that will be billed to customers in subsequent periods. The Company has recognized contract liabilities, comprised of unconditional payments due or paid under the contracts with customers prior to the Company’s satisfaction of the related performance obligations. The contract liabilities and contract assets balances as of June 30, 2023 and December 31, 2022 are detailed below:</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net - current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Contract assets, net - non-current</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24,379</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28,651</w:t>
            </w:r>
          </w:p>
        </w:tc>
      </w:tr>
      <w:tr>
        <w:trPr>
          <w:trHeight w:val="257"/>
        </w:trPr>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contract assets,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w:t>
            </w:r>
          </w:p>
        </w:tc>
      </w:tr>
      <w:tr>
        <w:trPr>
          <w:trHeight w:val="270"/>
        </w:trPr>
        <w:tc>
          <w:tcPr>
            <w:tcW w:w="7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in the year from:</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Amounts included in contract liabilities at the beginning of the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12,613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2,951</w:t>
            </w:r>
          </w:p>
        </w:tc>
      </w:tr>
    </w:tbl>
    <w:p>
      <w:pPr>
        <w:spacing w:after="0" w:line="29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Contract assets are presented net of expected credit losses of $351 and $401 as of June 30, 2023 and December 31, 2022, respectively. As of June 30, 2023 and December 31, 2022, contract assets was comprised of $32,603 and $36,483 of unbilled receivables, respectively, which represent unconditional rights to payment only subject to the passage of time.</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Contract liabilities increased during the six months ended June 30, 2023 due to upfront payments received under the Company's contracts in Puerto Rico to provide temporary power and to operate and maintain PREPA's power generation assets. These payments will be recognized as revenue over the expected term of these contracts.</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has recognized costs to fulfill contracts with customers, which primarily consist of expenses required to enhance resources to deliver under agreements with these customers. These costs can include set-up and mobilization costs incurred ahead of the service period, and such costs will be recognized on a straight-line basis over the expected terms of the agreements. As of June 30, 2023, the Company has capitalized $26,349 of which $2,104 of these costs is presented within Prepaid expenses and other current assets, net and $24,245 is presented within Other non-current assets, net on the condensed consolidated balance sheets. As of December 31, 2022, the Company had capitalized $10,377, of which $604 of these costs was presented within Prepaid expenses and other current assets, net and $9,773 was presented within Other non-current assets, net on the condensed consolidated balance sheets.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70"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reflects the minimum guaranteed volumes in each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Period</w:t>
            </w:r>
          </w:p>
        </w:tc>
        <w:tc>
          <w:tcPr>
            <w:tcW w:w="4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Revenue</w:t>
            </w:r>
          </w:p>
        </w:tc>
      </w:tr>
      <w:tr>
        <w:trPr>
          <w:trHeight w:val="22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846,988</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2,043,173</w:t>
            </w:r>
          </w:p>
        </w:tc>
      </w:tr>
      <w:tr>
        <w:trPr>
          <w:trHeight w:val="24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1,355,952</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525,753</w:t>
            </w:r>
          </w:p>
        </w:tc>
      </w:tr>
      <w:tr>
        <w:trPr>
          <w:trHeight w:val="23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522,876</w:t>
            </w:r>
          </w:p>
        </w:tc>
      </w:tr>
      <w:tr>
        <w:trPr>
          <w:trHeight w:val="243"/>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7,988,459</w:t>
            </w:r>
          </w:p>
        </w:tc>
      </w:tr>
      <w:tr>
        <w:trPr>
          <w:trHeight w:val="223"/>
        </w:trPr>
        <w:tc>
          <w:tcPr>
            <w:tcW w:w="9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13,283,201</w:t>
            </w:r>
          </w:p>
        </w:tc>
      </w:tr>
    </w:tbl>
    <w:p>
      <w:pPr>
        <w:spacing w:after="0" w:line="29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delivery of each unit of LNG, natural gas, power or steam. As each unit of LNG, natural gas, power or steam represents a separate performance obligation, future volumes are wholly unsatisfied.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arrangements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Property, plant and equipment subject to vessel charters accounted for as operating leases is included within Vessels within "Note 12 Property, plant and equipment, net." Vessels included in the Energos Formation Transaction (defined below in "Note 10 Equity method investments"), including those vessels chartered to third parties, continue to be recognized on the condensed consolidated balance sheet. The carrying amount of these vessels that are leased to third parties under operating leases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8"/>
              </w:rPr>
              <w:t>902,839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1,292,957</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2"/>
              </w:rPr>
              <w:t>(74,615)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(80,233)</w:t>
            </w:r>
          </w:p>
        </w:tc>
      </w:tr>
      <w:tr>
        <w:trPr>
          <w:trHeight w:val="257"/>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8"/>
              </w:rPr>
              <w:t>828,224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1,212,724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components of lease income from vessel operating leases for the three and six months ended June 30, 2023 and 2022 are shown below. As the Company has not recognized the sale of all of the vessels included in the Energos Formation Transaction, the operating lease income shown below for the three and six months ended June 30, 2023 is comprised of revenue from third-party charters of vessels included in the Energos Formation Transaction.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60" w:type="dxa"/>
            <w:vAlign w:val="bottom"/>
          </w:tcPr>
          <w:p>
            <w:pPr>
              <w:spacing w:after="0"/>
              <w:rPr>
                <w:sz w:val="20"/>
                <w:szCs w:val="20"/>
                <w:color w:val="auto"/>
              </w:rPr>
            </w:pPr>
          </w:p>
        </w:tc>
        <w:tc>
          <w:tcPr>
            <w:tcW w:w="318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29"/>
        </w:trPr>
        <w:tc>
          <w:tcPr>
            <w:tcW w:w="47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65,840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151,904</w:t>
            </w:r>
          </w:p>
        </w:tc>
      </w:tr>
      <w:tr>
        <w:trPr>
          <w:trHeight w:val="24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income</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11,232</w:t>
            </w:r>
          </w:p>
        </w:tc>
      </w:tr>
      <w:tr>
        <w:trPr>
          <w:trHeight w:val="248"/>
        </w:trPr>
        <w:tc>
          <w:tcPr>
            <w:tcW w:w="4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lease income</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65,840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142,364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163,136</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Prior to the completion of the Energos Formation Transaction, the Company's charter of the </w:t>
      </w:r>
      <w:r>
        <w:rPr>
          <w:rFonts w:ascii="Arial" w:cs="Arial" w:eastAsia="Arial" w:hAnsi="Arial"/>
          <w:sz w:val="16"/>
          <w:szCs w:val="16"/>
          <w:i w:val="1"/>
          <w:iCs w:val="1"/>
          <w:color w:val="auto"/>
        </w:rPr>
        <w:t>Nanook</w:t>
      </w:r>
      <w:r>
        <w:rPr>
          <w:rFonts w:ascii="Arial" w:cs="Arial" w:eastAsia="Arial" w:hAnsi="Arial"/>
          <w:sz w:val="16"/>
          <w:szCs w:val="16"/>
          <w:color w:val="auto"/>
        </w:rPr>
        <w:t xml:space="preserve"> was accounted for as a finance lease, and the Company recognized interest income of $11,545 and $23,126 for the three and six months ended June 30, 2022, respectively, related to this finance lease, which was presented within other revenue in the condensed consolidated statements of operations and comprehensive income (loss). The Company also recognized revenue of $2,784 and $4,418 for the three and six months ended June 30, 2022, respectively, related to the operation and services agreement and variable charter revenue within Vessel charter revenue in the condensed consolidated statements of operations and comprehensive income (loss). The Company recognized the sale of the net investment in the finance lease of the </w:t>
      </w:r>
      <w:r>
        <w:rPr>
          <w:rFonts w:ascii="Arial" w:cs="Arial" w:eastAsia="Arial" w:hAnsi="Arial"/>
          <w:sz w:val="16"/>
          <w:szCs w:val="16"/>
          <w:i w:val="1"/>
          <w:iCs w:val="1"/>
          <w:color w:val="auto"/>
        </w:rPr>
        <w:t>Nanook</w:t>
      </w:r>
      <w:r>
        <w:rPr>
          <w:rFonts w:ascii="Arial" w:cs="Arial" w:eastAsia="Arial" w:hAnsi="Arial"/>
          <w:sz w:val="16"/>
          <w:szCs w:val="16"/>
          <w:color w:val="auto"/>
        </w:rPr>
        <w:t xml:space="preserve"> as part of the Energos Formation Transaction.</w:t>
      </w:r>
    </w:p>
    <w:p>
      <w:pPr>
        <w:spacing w:after="0" w:line="16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 xml:space="preserve">Subsequent to the Energos Formation Transaction, all cash receipts on vessel charters, including the finance lease of the </w:t>
      </w:r>
      <w:r>
        <w:rPr>
          <w:rFonts w:ascii="Arial" w:cs="Arial" w:eastAsia="Arial" w:hAnsi="Arial"/>
          <w:sz w:val="18"/>
          <w:szCs w:val="18"/>
          <w:i w:val="1"/>
          <w:iCs w:val="1"/>
          <w:color w:val="auto"/>
        </w:rPr>
        <w:t>Nanook</w:t>
      </w:r>
      <w:r>
        <w:rPr>
          <w:rFonts w:ascii="Arial" w:cs="Arial" w:eastAsia="Arial" w:hAnsi="Arial"/>
          <w:sz w:val="18"/>
          <w:szCs w:val="18"/>
          <w:color w:val="auto"/>
        </w:rPr>
        <w:t>, will be received by Energos. As such, there are no future cash receipts from operating leases, and the future cash receipts from other finance leases are not significant as of June 30,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 as lessee</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right-of-use ("ROU") asset and lease liability.</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ROU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ROU assets, current lease liabilities and non-current lease liabilities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right-of-use-assets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355,883</w:t>
            </w:r>
          </w:p>
        </w:tc>
      </w:tr>
      <w:tr>
        <w:trPr>
          <w:trHeight w:val="229"/>
        </w:trPr>
        <w:tc>
          <w:tcPr>
            <w:tcW w:w="7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Finance right-of-use-assets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62,107</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21,994</w:t>
            </w:r>
          </w:p>
        </w:tc>
      </w:tr>
      <w:tr>
        <w:trPr>
          <w:trHeight w:val="257"/>
        </w:trPr>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right-of-use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504,299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377,877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105,739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44,371</w:t>
            </w: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32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r>
      <w:tr>
        <w:trPr>
          <w:trHeight w:val="223"/>
        </w:trPr>
        <w:tc>
          <w:tcPr>
            <w:tcW w:w="7040" w:type="dxa"/>
            <w:vAlign w:val="bottom"/>
          </w:tcPr>
          <w:p>
            <w:pPr>
              <w:ind w:left="240"/>
              <w:spacing w:after="0"/>
              <w:rPr>
                <w:sz w:val="20"/>
                <w:szCs w:val="20"/>
                <w:color w:val="auto"/>
              </w:rPr>
            </w:pPr>
            <w:r>
              <w:rPr>
                <w:rFonts w:ascii="Arial" w:cs="Arial" w:eastAsia="Arial" w:hAnsi="Arial"/>
                <w:sz w:val="18"/>
                <w:szCs w:val="18"/>
                <w:color w:val="auto"/>
              </w:rPr>
              <w:t>Total current lease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133,431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48,741</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96"/>
        </w:trPr>
        <w:tc>
          <w:tcPr>
            <w:tcW w:w="7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Non-current lease liabilities:</w:t>
            </w:r>
          </w:p>
        </w:tc>
        <w:tc>
          <w:tcPr>
            <w:tcW w:w="3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319,240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290,899</w:t>
            </w: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32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30,091</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11,222</w:t>
            </w:r>
          </w:p>
        </w:tc>
      </w:tr>
      <w:tr>
        <w:trPr>
          <w:trHeight w:val="223"/>
        </w:trPr>
        <w:tc>
          <w:tcPr>
            <w:tcW w:w="7040" w:type="dxa"/>
            <w:vAlign w:val="bottom"/>
          </w:tcPr>
          <w:p>
            <w:pPr>
              <w:ind w:left="240"/>
              <w:spacing w:after="0"/>
              <w:rPr>
                <w:sz w:val="20"/>
                <w:szCs w:val="20"/>
                <w:color w:val="auto"/>
              </w:rPr>
            </w:pPr>
            <w:r>
              <w:rPr>
                <w:rFonts w:ascii="Arial" w:cs="Arial" w:eastAsia="Arial" w:hAnsi="Arial"/>
                <w:sz w:val="18"/>
                <w:szCs w:val="18"/>
                <w:color w:val="auto"/>
              </w:rPr>
              <w:t>Total non-current lease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349,331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302,121</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Finance lease ROU assets are recorded net of accumulated amortization of $9,693 and $2,134 as of June 30, 2023 and December 31, 2022, respectively.</w:t>
      </w:r>
    </w:p>
    <w:p>
      <w:pPr>
        <w:spacing w:after="0" w:line="20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For the three and six months ended June 30, 2023 and 2022, the Company’s operating lease cost recorded within the condensed consolidated statements of operations and comprehensive income (loss)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32"/>
        </w:trPr>
        <w:tc>
          <w:tcPr>
            <w:tcW w:w="46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lease cost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38,913</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w:t>
            </w:r>
          </w:p>
        </w:tc>
      </w:tr>
      <w:tr>
        <w:trPr>
          <w:trHeight w:val="270"/>
        </w:trPr>
        <w:tc>
          <w:tcPr>
            <w:tcW w:w="4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Cost of sales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15,137</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20,112</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30,891</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41,015</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Lease cost - Operations and maintenance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1,609</w:t>
            </w: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Selling, general and administrative</w:t>
            </w: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r>
    </w:tbl>
    <w:p>
      <w:pPr>
        <w:spacing w:after="0" w:line="28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three months ended June 30, 2023 and 2022, the Company has capitalized $14,449 and $2,973 of lease costs, respectively. For the six months ended June 30, 2023 and 2022, the Company has capitalized $18,705 and $11,215 of lease costs, respectively. Capitalized costs include vessels and port space used during the commissioning of development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projects. Short-term lease costs for vessels chartered by the Company to transport inventory from a supplier’s facilities to the Company’s storage locations are capitalized to inventory.</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leases of turbines, ISO tanks and a parcel of land that transfer the ownership in underlying assets to the Company at the end of the lease, and these leases are treated as finance leases. For the three and six months ended June 30, 2023 and 2022, the Company’s finance interest expense and amortization recorded in Interest expense and Depreciation and amortization, respectively, within the condensed consolidated statements of operations and comprehensive income (loss)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29"/>
        </w:trPr>
        <w:tc>
          <w:tcPr>
            <w:tcW w:w="4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19"/>
                <w:szCs w:val="19"/>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related to finance leases</w:t>
            </w:r>
          </w:p>
        </w:tc>
        <w:tc>
          <w:tcPr>
            <w:tcW w:w="10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w w:val="99"/>
              </w:rPr>
              <w:t>Amortization of right-of-use asset related to finance leases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5,771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759</w:t>
            </w:r>
          </w:p>
        </w:tc>
      </w:tr>
    </w:tbl>
    <w:p>
      <w:pPr>
        <w:spacing w:after="0" w:line="29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Cash paid for operating leases is reported in operating activities in the condensed consolidated statements of cash flows. Supplemental cash flow information related to leases was as follows for the six months ended June 30, 2023 and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8"/>
                <w:szCs w:val="18"/>
                <w:b w:val="1"/>
                <w:bCs w:val="1"/>
                <w:color w:val="auto"/>
              </w:rPr>
              <w:t>Six Months Ended June 30,</w:t>
            </w:r>
          </w:p>
        </w:tc>
      </w:tr>
      <w:tr>
        <w:trPr>
          <w:trHeight w:val="230"/>
        </w:trPr>
        <w:tc>
          <w:tcPr>
            <w:tcW w:w="7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r>
      <w:tr>
        <w:trPr>
          <w:trHeight w:val="22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outflows for operating lease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52,254</w:t>
            </w:r>
          </w:p>
        </w:tc>
      </w:tr>
      <w:tr>
        <w:trPr>
          <w:trHeight w:val="237"/>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Cash outflows for finance lease liabilities</w:t>
            </w: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5,589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2,554</w:t>
            </w:r>
          </w:p>
        </w:tc>
      </w:tr>
      <w:tr>
        <w:trPr>
          <w:trHeight w:val="23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126,863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134,075</w:t>
            </w:r>
          </w:p>
        </w:tc>
      </w:t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47,672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26"/>
        </w:trPr>
        <w:tc>
          <w:tcPr>
            <w:tcW w:w="7060" w:type="dxa"/>
            <w:vAlign w:val="bottom"/>
            <w:gridSpan w:val="2"/>
          </w:tcPr>
          <w:p>
            <w:pPr>
              <w:spacing w:after="0"/>
              <w:rPr>
                <w:sz w:val="20"/>
                <w:szCs w:val="20"/>
                <w:color w:val="auto"/>
              </w:rPr>
            </w:pPr>
            <w:r>
              <w:rPr>
                <w:rFonts w:ascii="Arial" w:cs="Arial" w:eastAsia="Arial" w:hAnsi="Arial"/>
                <w:sz w:val="18"/>
                <w:szCs w:val="18"/>
                <w:color w:val="auto"/>
                <w:w w:val="91"/>
              </w:rPr>
              <w:t>The future payments due under operating and finance leases as of June 30, 2023 are as follows:</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73"/>
        </w:trPr>
        <w:tc>
          <w:tcPr>
            <w:tcW w:w="7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5"/>
              </w:rPr>
              <w:t>Operating Leases</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5"/>
              </w:rPr>
              <w:t>Financing Leases</w:t>
            </w:r>
          </w:p>
        </w:tc>
      </w:tr>
      <w:tr>
        <w:trPr>
          <w:trHeight w:val="23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remainder of 2023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16,095</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136,911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29,997</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w:t>
            </w: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2026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52,013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3,041</w:t>
            </w: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185,473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r>
      <w:tr>
        <w:trPr>
          <w:trHeight w:val="236"/>
        </w:trPr>
        <w:tc>
          <w:tcPr>
            <w:tcW w:w="7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568,174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62,939</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effects of discounting</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143,195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w:t>
            </w:r>
          </w:p>
        </w:tc>
      </w:tr>
      <w:tr>
        <w:trPr>
          <w:trHeight w:val="243"/>
        </w:trPr>
        <w:tc>
          <w:tcPr>
            <w:tcW w:w="7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424,979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57,783</w:t>
            </w: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7"/>
        </w:trPr>
        <w:tc>
          <w:tcPr>
            <w:tcW w:w="70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r>
      <w:tr>
        <w:trPr>
          <w:trHeight w:val="243"/>
        </w:trPr>
        <w:tc>
          <w:tcPr>
            <w:tcW w:w="7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Current lease liability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105,739</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w:t>
            </w:r>
          </w:p>
        </w:tc>
      </w:tr>
      <w:tr>
        <w:trPr>
          <w:trHeight w:val="230"/>
        </w:trPr>
        <w:tc>
          <w:tcPr>
            <w:tcW w:w="7060" w:type="dxa"/>
            <w:vAlign w:val="bottom"/>
            <w:gridSpan w:val="2"/>
          </w:tcPr>
          <w:p>
            <w:pPr>
              <w:ind w:left="240"/>
              <w:spacing w:after="0"/>
              <w:rPr>
                <w:sz w:val="20"/>
                <w:szCs w:val="20"/>
                <w:color w:val="auto"/>
              </w:rPr>
            </w:pPr>
            <w:r>
              <w:rPr>
                <w:rFonts w:ascii="Arial" w:cs="Arial" w:eastAsia="Arial" w:hAnsi="Arial"/>
                <w:sz w:val="18"/>
                <w:szCs w:val="18"/>
                <w:color w:val="auto"/>
              </w:rPr>
              <w:t>Non-current lease liability</w:t>
            </w: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319,240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30,091</w:t>
            </w:r>
          </w:p>
        </w:tc>
      </w:tr>
    </w:tbl>
    <w:p>
      <w:pPr>
        <w:spacing w:after="0" w:line="29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June 30, 2023, the weighted average remaining lease term for operating leases was 6.4 years and finance leases was 2.4 years. Because the Company generally does not have access to the rate implicit in the lease, the incremental borrowing rate is utilized as the discount rate. The weighted average discount rate associated with operating leases as of June 30, 2023 was 8.8% and as of December 31, 2022 was 8.5%. The weighted average discount rate associated with finance leases as of June 30, 2023 was 8.3% and as of December 31, 2022 was 5.1%.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risk management</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has utilized commodity swap transactions to manage exposure to changes in market pricing of natural gas or LNG. Realized and unrealized gains and losses on these transactions have been recognized in Cost of sales in the condensed consolidated statements of operations and comprehensive income (loss).</w:t>
      </w:r>
    </w:p>
    <w:p>
      <w:pPr>
        <w:spacing w:after="0" w:line="184"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During the fourth quarter of 2022, the Company entered into a commodity swap transaction to swap market pricing exposure for approximately 6.8 TBtus for a fixed price of $40.55 per MMBtu. The swap settled during the first quarter of 2023 resulting in a gain of $41,315 recognized as a reduction to Cost of sales in the condensed consolidated statements of operations and comprehensive income (loss). The gain was comprised of a realized gain of $146,112 and the reversal of the unrealized gain of $104,797 recognized in the fourth quarter of 2022.</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January 2023, the Company entered into a commodity swap transaction. Mark-to-market unrealized gains of $2,816 for the three months ended June 30, 2023 and losses of $2,914 for the six months ended June 30, 2023 on this instrument have been recognized in Cost of sales in the condensed consolidated statements of operations and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currency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party to an interest rate swap, and in the first quarter of 2023, the interest rate swap was terminated.</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mark-to-market gain or loss on the interest rate swap and other derivative instruments that are not intended to mitigate commodity risk are reported in Other (income) expense, net in the condensed consolidated statements of operations and comprehensive income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7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225"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either directly or indirectly, such as quoted prices for similar assets or liabilities or market corroborated inputs.</w:t>
      </w:r>
    </w:p>
    <w:p>
      <w:pPr>
        <w:spacing w:after="0" w:line="170"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for which there is little or no market data and which require the Company to develop its own assumptions about how market participants price the asset or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Market approach – uses prices and other relevant information generated by market transactions involving identical or comparable assets or liabilities.</w:t>
      </w:r>
    </w:p>
    <w:p>
      <w:pPr>
        <w:spacing w:after="0" w:line="248" w:lineRule="exact"/>
        <w:rPr>
          <w:rFonts w:ascii="Arial" w:cs="Arial" w:eastAsia="Arial" w:hAnsi="Arial"/>
          <w:sz w:val="16"/>
          <w:szCs w:val="16"/>
          <w:color w:val="auto"/>
        </w:rPr>
      </w:pPr>
    </w:p>
    <w:p>
      <w:pPr>
        <w:ind w:left="340" w:right="1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approach – uses valuation techniques, such as the discounted cash flow technique, to convert future amounts to a single present amount based on current market expectations about those future amounts.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approach – based on the amount that currently would be required to replace the service capacity of an asset (replacement cost).</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uses the market approach when valuing investment in equity securities which is recorded in Other non-current assets on the condensed consolidated balance sheets as of June 30, 2023 and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income approach when valuing the following financial instruments: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right="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swap - The Company did not have any interest rate swaps outstanding as of June 30, 2023. As of December 31, 2022, the Company had an interest rate swap that was recorded within Other non-current assets on the condensed consolidated balance sheets.</w:t>
      </w:r>
    </w:p>
    <w:p>
      <w:pPr>
        <w:spacing w:after="0" w:line="170"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liability and asset associated with commodity swaps are recorded within Other current liabilities and Prepaid expenses and other current assets on the condensed consolidated balance sheets as of June 30, 2023 and December 31, 2022, respectively.</w:t>
      </w:r>
    </w:p>
    <w:p>
      <w:pPr>
        <w:spacing w:after="0" w:line="170" w:lineRule="exact"/>
        <w:rPr>
          <w:rFonts w:ascii="Arial" w:cs="Arial" w:eastAsia="Arial" w:hAnsi="Arial"/>
          <w:sz w:val="18"/>
          <w:szCs w:val="18"/>
          <w:color w:val="auto"/>
        </w:rPr>
      </w:pPr>
    </w:p>
    <w:p>
      <w:pPr>
        <w:ind w:left="340" w:right="12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Contingent consideration derivative liability represents consideration due to the sellers in asset acquisitions when certain contingent events occur. The liabilities associated with these derivative liabilities are recorded within Other current liabilities and Other long-term liabilities on the condensed consolidated balance sheets based on the timing of expected settlement.</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fair value of derivative instruments, including commodity swaps is estimated considering current interest rates, foreign exchange rates, closing quoted market prices and the creditworthiness of counterparties. The Company estimates fair value of the contingent consideration derivative liabilities using a discounted cash flows method with discount rates based on the average yield curve for bonds with similar credit ratings and matching terms to the discount periods as well as a probability of the contingent events occurring.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financial assets and financial liabilities, including those that are measured at fair value, as of June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Level 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June 30, 2023</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660" w:type="dxa"/>
            <w:vAlign w:val="bottom"/>
          </w:tcPr>
          <w:p>
            <w:pPr>
              <w:ind w:left="140"/>
              <w:spacing w:after="0"/>
              <w:rPr>
                <w:sz w:val="20"/>
                <w:szCs w:val="20"/>
                <w:color w:val="auto"/>
              </w:rPr>
            </w:pPr>
            <w:r>
              <w:rPr>
                <w:rFonts w:ascii="Arial" w:cs="Arial" w:eastAsia="Arial" w:hAnsi="Arial"/>
                <w:sz w:val="18"/>
                <w:szCs w:val="18"/>
                <w:color w:val="auto"/>
              </w:rPr>
              <w:t>Investment in equity securities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12,789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7,678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20,467</w:t>
            </w:r>
          </w:p>
        </w:tc>
      </w:tr>
      <w:tr>
        <w:trPr>
          <w:trHeight w:val="276"/>
        </w:trPr>
        <w:tc>
          <w:tcPr>
            <w:tcW w:w="4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swap</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r>
      <w:tr>
        <w:trPr>
          <w:trHeight w:val="237"/>
        </w:trPr>
        <w:tc>
          <w:tcPr>
            <w:tcW w:w="4660" w:type="dxa"/>
            <w:vAlign w:val="bottom"/>
          </w:tcPr>
          <w:p>
            <w:pPr>
              <w:ind w:left="140"/>
              <w:spacing w:after="0"/>
              <w:rPr>
                <w:sz w:val="20"/>
                <w:szCs w:val="20"/>
                <w:color w:val="auto"/>
              </w:rPr>
            </w:pPr>
            <w:r>
              <w:rPr>
                <w:rFonts w:ascii="Arial" w:cs="Arial" w:eastAsia="Arial" w:hAnsi="Arial"/>
                <w:sz w:val="18"/>
                <w:szCs w:val="18"/>
                <w:color w:val="auto"/>
              </w:rPr>
              <w:t>Contingent consideration derivative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44,552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44,552</w:t>
            </w:r>
          </w:p>
        </w:tc>
      </w:tr>
      <w:tr>
        <w:trPr>
          <w:trHeight w:val="276"/>
        </w:trPr>
        <w:tc>
          <w:tcPr>
            <w:tcW w:w="4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660" w:type="dxa"/>
            <w:vAlign w:val="bottom"/>
          </w:tcPr>
          <w:p>
            <w:pPr>
              <w:ind w:left="140"/>
              <w:spacing w:after="0"/>
              <w:rPr>
                <w:sz w:val="20"/>
                <w:szCs w:val="20"/>
                <w:color w:val="auto"/>
              </w:rPr>
            </w:pPr>
            <w:r>
              <w:rPr>
                <w:rFonts w:ascii="Arial" w:cs="Arial" w:eastAsia="Arial" w:hAnsi="Arial"/>
                <w:sz w:val="18"/>
                <w:szCs w:val="18"/>
                <w:color w:val="auto"/>
              </w:rPr>
              <w:t>Investment in equity securities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10,128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7,678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17,806</w:t>
            </w:r>
          </w:p>
        </w:tc>
      </w:tr>
      <w:tr>
        <w:trPr>
          <w:trHeight w:val="236"/>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w:t>
            </w: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Commodity swap</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104,797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104,797</w:t>
            </w:r>
          </w:p>
        </w:tc>
      </w:tr>
      <w:tr>
        <w:trPr>
          <w:trHeight w:val="270"/>
        </w:trPr>
        <w:tc>
          <w:tcPr>
            <w:tcW w:w="46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9"/>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4"/>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 derivative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46,619</w:t>
            </w:r>
          </w:p>
        </w:tc>
      </w:tr>
    </w:tbl>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believes the carrying amounts of cash and cash equivalents, accounts receivable and accounts payable approximated their fair value as of June 30, 2023 and December 31, 2022 and are classified as Level 1 within the fair value hierarchy.</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table below summarizes the fair value adjustment to instruments measured at Level 3 in the fair value hierarchy, including the contingent consideration derivative liabilities. These adjustments have been recorded within Other (income) expense, net in the condensed consolidated statements of operations and comprehensive income (loss) for the three and six months ended June 30, 2023 and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30"/>
        </w:trPr>
        <w:tc>
          <w:tcPr>
            <w:tcW w:w="46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168"/>
        </w:trPr>
        <w:tc>
          <w:tcPr>
            <w:tcW w:w="46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Contingent consideration derivative liabilities - Fair value</w:t>
            </w: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 gain</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Foreign currency forward purchase - (gain)</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7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(17,471)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(17,471)</w:t>
            </w:r>
          </w:p>
        </w:tc>
      </w:tr>
    </w:tbl>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six months ended June 30, 2023 and 2022, the Company had no settlements of other financial instruments or any transfers in or out of Level 3 in the fair value hierarchy.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7. Restricted cash</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7040" w:type="dxa"/>
            <w:vAlign w:val="bottom"/>
          </w:tcPr>
          <w:p>
            <w:pPr>
              <w:spacing w:after="0"/>
              <w:rPr>
                <w:sz w:val="20"/>
                <w:szCs w:val="20"/>
                <w:color w:val="auto"/>
              </w:rPr>
            </w:pPr>
            <w:r>
              <w:rPr>
                <w:rFonts w:ascii="Arial" w:cs="Arial" w:eastAsia="Arial" w:hAnsi="Arial"/>
                <w:sz w:val="18"/>
                <w:szCs w:val="18"/>
                <w:color w:val="auto"/>
              </w:rPr>
              <w:t>As of June 30, 2023 and December 31, 2022, restricted cash consisted of the following:</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73"/>
        </w:trPr>
        <w:tc>
          <w:tcPr>
            <w:tcW w:w="7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3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restricted under the terms of loan agreements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124,085</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Collateral for letters of credit and performance bonds</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59,835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41,392</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 for interest rate swaps</w:t>
            </w:r>
          </w:p>
        </w:tc>
        <w:tc>
          <w:tcPr>
            <w:tcW w:w="3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3"/>
        </w:trPr>
        <w:tc>
          <w:tcPr>
            <w:tcW w:w="7040" w:type="dxa"/>
            <w:vAlign w:val="bottom"/>
          </w:tcPr>
          <w:p>
            <w:pPr>
              <w:ind w:left="120"/>
              <w:spacing w:after="0"/>
              <w:rPr>
                <w:sz w:val="20"/>
                <w:szCs w:val="20"/>
                <w:color w:val="auto"/>
              </w:rPr>
            </w:pPr>
            <w:r>
              <w:rPr>
                <w:rFonts w:ascii="Arial" w:cs="Arial" w:eastAsia="Arial" w:hAnsi="Arial"/>
                <w:sz w:val="18"/>
                <w:szCs w:val="18"/>
                <w:color w:val="auto"/>
              </w:rPr>
              <w:t>Total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100,513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167,977</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7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Current restricted cash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100,513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165,396</w:t>
            </w: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restricted cash</w:t>
            </w:r>
          </w:p>
        </w:tc>
        <w:tc>
          <w:tcPr>
            <w:tcW w:w="3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r>
    </w:tbl>
    <w:p>
      <w:pPr>
        <w:spacing w:after="0" w:line="29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June 30, 2023, the balance presented as collateral for letters of credit and performance bonds includes $21,300 to support a letter of credit to facilitate the purchase of turbines that was completed in the third quarter of 2023. A portion of these turbines will be utilized to support the Company's contract to generate temporary power in Puerto Rico.</w:t>
      </w:r>
    </w:p>
    <w:p>
      <w:pPr>
        <w:spacing w:after="0" w:line="18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Use of cash proceeds under the Barcarena Term Loan are restricted to certain payments to construct the Barcarena Power Plant (each as defined in our Annual Report). Non-current restricted cash is presented in Other non-current assets, net on the condensed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8. Inventory</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7040" w:type="dxa"/>
            <w:vAlign w:val="bottom"/>
          </w:tcPr>
          <w:p>
            <w:pPr>
              <w:spacing w:after="0"/>
              <w:rPr>
                <w:sz w:val="20"/>
                <w:szCs w:val="20"/>
                <w:color w:val="auto"/>
              </w:rPr>
            </w:pPr>
            <w:r>
              <w:rPr>
                <w:rFonts w:ascii="Arial" w:cs="Arial" w:eastAsia="Arial" w:hAnsi="Arial"/>
                <w:sz w:val="18"/>
                <w:szCs w:val="18"/>
                <w:color w:val="auto"/>
              </w:rPr>
              <w:t>As of June 30, 2023 and December 31, 2022, inventory consisted of the following:</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73"/>
        </w:trPr>
        <w:tc>
          <w:tcPr>
            <w:tcW w:w="70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LNG and natural gas inventory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15,398</w:t>
            </w: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Automotive diesel oil inventory</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9,195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8,164</w:t>
            </w: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Bunker fuel, materials, supplies and other</w:t>
            </w:r>
          </w:p>
        </w:tc>
        <w:tc>
          <w:tcPr>
            <w:tcW w:w="3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w:t>
            </w:r>
          </w:p>
        </w:tc>
      </w:tr>
      <w:tr>
        <w:trPr>
          <w:trHeight w:val="223"/>
        </w:trPr>
        <w:tc>
          <w:tcPr>
            <w:tcW w:w="704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128,411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39,070</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Inventory is adjusted to the lower of cost or net realizable value each quarter. Changes in the value of inventory are recorded within Cost of sales in the condensed consolidated statements of operations and comprehensive income (loss). During the six months ended June 30, 2023, the Company recognized an adjustment to inventory of $6,232. In the second quarter of 2023, the Company acquired a spot cargo at a higher cost to obtain a new customer contract, and the net realizable value of this cargo was below the cost as of June 30, 2023. No adjustments were recorded during the six months ended June 30, 2022.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9. Prepaid expenses and other current assets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9100" w:type="dxa"/>
            <w:vAlign w:val="bottom"/>
            <w:gridSpan w:val="3"/>
          </w:tcPr>
          <w:p>
            <w:pPr>
              <w:spacing w:after="0"/>
              <w:rPr>
                <w:sz w:val="20"/>
                <w:szCs w:val="20"/>
                <w:color w:val="auto"/>
              </w:rPr>
            </w:pPr>
            <w:r>
              <w:rPr>
                <w:rFonts w:ascii="Arial" w:cs="Arial" w:eastAsia="Arial" w:hAnsi="Arial"/>
                <w:sz w:val="18"/>
                <w:szCs w:val="18"/>
                <w:color w:val="auto"/>
                <w:w w:val="98"/>
              </w:rPr>
              <w:t>As of June 30, 2023 and December 31, 2022, prepaid expenses and other current assets consisted of the following:</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79"/>
        </w:trPr>
        <w:tc>
          <w:tcPr>
            <w:tcW w:w="70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56,380</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Recoverable taxes</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60,956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37,504</w:t>
            </w: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swap</w:t>
            </w:r>
          </w:p>
        </w:tc>
        <w:tc>
          <w:tcPr>
            <w:tcW w:w="3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104,797</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2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27,504</w:t>
            </w:r>
          </w:p>
        </w:tc>
      </w:tr>
      <w:tr>
        <w:trPr>
          <w:trHeight w:val="237"/>
        </w:trPr>
        <w:tc>
          <w:tcPr>
            <w:tcW w:w="7040" w:type="dxa"/>
            <w:vAlign w:val="bottom"/>
          </w:tcPr>
          <w:p>
            <w:pPr>
              <w:ind w:left="140"/>
              <w:spacing w:after="0"/>
              <w:rPr>
                <w:sz w:val="20"/>
                <w:szCs w:val="20"/>
                <w:color w:val="auto"/>
              </w:rPr>
            </w:pPr>
            <w:r>
              <w:rPr>
                <w:rFonts w:ascii="Arial" w:cs="Arial" w:eastAsia="Arial" w:hAnsi="Arial"/>
                <w:sz w:val="18"/>
                <w:szCs w:val="18"/>
                <w:color w:val="auto"/>
              </w:rPr>
              <w:t>Total prepaid expenses and other current assets,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105,133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226,883</w:t>
            </w:r>
          </w:p>
        </w:tc>
      </w:tr>
      <w:tr>
        <w:trPr>
          <w:trHeight w:val="21"/>
        </w:trPr>
        <w:tc>
          <w:tcPr>
            <w:tcW w:w="7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Prepaid expenses as December 31, 2022 included $34,882 of prepaid LNG inventory. The Company does not have any significant prepaid LNG as of June 30, 2023. Other current assets as of June 30, 2023 and December 31, 2022 primarily consists of deposits and the current portion of contract assets (Note 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10. Equity method investments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40" w:type="dxa"/>
            <w:vAlign w:val="bottom"/>
          </w:tcPr>
          <w:p>
            <w:pPr>
              <w:spacing w:after="0"/>
              <w:rPr>
                <w:sz w:val="20"/>
                <w:szCs w:val="20"/>
                <w:color w:val="auto"/>
              </w:rPr>
            </w:pPr>
            <w:r>
              <w:rPr>
                <w:rFonts w:ascii="Arial" w:cs="Arial" w:eastAsia="Arial" w:hAnsi="Arial"/>
                <w:sz w:val="18"/>
                <w:szCs w:val="18"/>
                <w:color w:val="auto"/>
              </w:rPr>
              <w:t>Changes in the balance of the Company’s equity method investments is as follows:</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0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7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as of December 31, 2022</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392,306</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Dividends</w:t>
            </w: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investees</w:t>
            </w:r>
          </w:p>
        </w:tc>
        <w:tc>
          <w:tcPr>
            <w:tcW w:w="3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Sale of equity method investments</w:t>
            </w: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(260,156)</w:t>
            </w:r>
          </w:p>
        </w:tc>
        <w:tc>
          <w:tcPr>
            <w:tcW w:w="0" w:type="dxa"/>
            <w:vAlign w:val="bottom"/>
          </w:tcPr>
          <w:p>
            <w:pPr>
              <w:spacing w:after="0"/>
              <w:rPr>
                <w:sz w:val="1"/>
                <w:szCs w:val="1"/>
                <w:color w:val="auto"/>
              </w:rPr>
            </w:pPr>
          </w:p>
        </w:tc>
      </w:tr>
      <w:tr>
        <w:trPr>
          <w:trHeight w:val="261"/>
        </w:trPr>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method investments as of June 30, 2023</w:t>
            </w:r>
          </w:p>
        </w:tc>
        <w:tc>
          <w:tcPr>
            <w:tcW w:w="3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138,569</w:t>
            </w:r>
          </w:p>
        </w:tc>
        <w:tc>
          <w:tcPr>
            <w:tcW w:w="0" w:type="dxa"/>
            <w:vAlign w:val="bottom"/>
          </w:tcPr>
          <w:p>
            <w:pPr>
              <w:spacing w:after="0"/>
              <w:rPr>
                <w:sz w:val="1"/>
                <w:szCs w:val="1"/>
                <w:color w:val="auto"/>
              </w:rPr>
            </w:pPr>
          </w:p>
        </w:tc>
      </w:tr>
      <w:tr>
        <w:trPr>
          <w:trHeight w:val="20"/>
        </w:trPr>
        <w:tc>
          <w:tcPr>
            <w:tcW w:w="918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w w:val="97"/>
              </w:rPr>
              <w:t>The carrying amounts of the Company's equity method investments as of June 30, 2023 and December 31, 2022 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18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30"/>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Hilli LLC</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Energos</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138,569</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132,306</w:t>
            </w:r>
          </w:p>
        </w:tc>
        <w:tc>
          <w:tcPr>
            <w:tcW w:w="0" w:type="dxa"/>
            <w:vAlign w:val="bottom"/>
          </w:tcPr>
          <w:p>
            <w:pPr>
              <w:spacing w:after="0"/>
              <w:rPr>
                <w:sz w:val="1"/>
                <w:szCs w:val="1"/>
                <w:color w:val="auto"/>
              </w:rPr>
            </w:pPr>
          </w:p>
        </w:tc>
      </w:tr>
      <w:tr>
        <w:trPr>
          <w:trHeight w:val="261"/>
        </w:trPr>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392,306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June 30, 2023, the carrying value of the Company’s equity method investment was less than its proportionate share of the underlying net assets of its investee by $1,548. At December 31, 2022, the carrying value of the Company’s equity method investments exceeded its proportionate share of the underlying net assets of its investees by $16,976, and the basis difference attributable to amortizable net assets was amortized to Income (loss) from equity method investments in the condensed consolidated statements of operations and comprehensive income (loss) over the remaining estimated useful lives of the underlying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Hilli LLC</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March 15, 2023, the Company completed a transaction with Golar LNG Limited ("GLNG") for the sale of the Company's investment in the common units of Hilli LLC in exchange for approximately 4.1 million NFE shares and $100,000 in cash (the "Hilli Exchange"). In the fourth quarter of 2022, the Company recognized an other-than-temporary impairment on the investment in Hilli LLC of $118,558; this impairment was recognized in Income (loss) from equity method investments in the consolidated statements of operations and comprehensive income (loss). Upon completion of the Hilli Exchange, a loss on disposal of $37,401 was recognized in Other (income) expense, net in the condensed consolidated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statements of operations and comprehensive income (loss). As a result of the Hilli Exchange, the Company no longer has an ownership interest in the </w:t>
      </w:r>
      <w:r>
        <w:rPr>
          <w:rFonts w:ascii="Arial" w:cs="Arial" w:eastAsia="Arial" w:hAnsi="Arial"/>
          <w:sz w:val="16"/>
          <w:szCs w:val="16"/>
          <w:i w:val="1"/>
          <w:iCs w:val="1"/>
          <w:color w:val="auto"/>
        </w:rPr>
        <w:t>Hilli</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NFE shares received from GLNG were cancelled upon closing of the Hilli Exchange.</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had guaranteed 50% of the outstanding principal and interest amounts payable by Hilli Corp., a direct subsidiary of Hilli LLC. The Company had also guaranteed letters of credit issued by a financial institution in the event of Hilli Corp.’s underperformance or non-performance under the liquefaction tolling agreement with its customer. In conjunction with the Hilli Exchange, the Company is no longer a guarantor under these arrangements, and the remaining guarantee liability of $2,286 was derecognized as a reduction to Selling, general and administrative in the condensed consolidated statements of operations in the first quarter of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Energos</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August 2022, the Company completed a transaction (the “Energos Formation Transaction”) with an affiliate of Apollo Global Management, Inc., pursuant to which the Company transferred ownership of 11 vessel to Energos Infrastructure ("Energos") in exchange for approximately $1.85 billion in cash and a 20% equity interest in Energos. The Company's equity investment provides certain rights, including representation on the board of directors, which give the Company significant influence over the operations of Energos, and as such, the investment has been accounted for under the equity method; this investment is included within the Ships segment. Energos is also an affiliate, and all transactions with Energos are transactions with an affiliate.</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Due to the timing and availability of financial information of Energos, the Company recognizes its proportional share of the income or loss from the equity method investment on a financial reporting lag of one fiscal quarter. For the three and six months ended June 30, 2023, the Company has recognized earnings from Energos of $2,269 and $6,263.</w:t>
      </w:r>
    </w:p>
    <w:p>
      <w:pPr>
        <w:sectPr>
          <w:pgSz w:w="11900" w:h="16838" w:orient="portrait"/>
          <w:cols w:equalWidth="0" w:num="1">
            <w:col w:w="11240"/>
          </w:cols>
          <w:pgMar w:left="320" w:top="296"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Construction in progress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construction in progress activity during the six months ended June 30, 2023 is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Construction in progress as of December 31,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Impact of currency translation adjustment</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 placed in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Construction in progress as of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June 30, 2023</w:t>
      </w:r>
    </w:p>
    <w:p>
      <w:pPr>
        <w:spacing w:after="0" w:line="54" w:lineRule="exact"/>
        <w:rPr>
          <w:sz w:val="20"/>
          <w:szCs w:val="20"/>
          <w:color w:val="auto"/>
        </w:rPr>
      </w:pPr>
    </w:p>
    <w:p>
      <w:pPr>
        <w:ind w:left="1240" w:hanging="1236"/>
        <w:spacing w:after="0"/>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2,418,608</w:t>
      </w:r>
    </w:p>
    <w:p>
      <w:pPr>
        <w:spacing w:after="0" w:line="34"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2,248,628</w:t>
      </w:r>
    </w:p>
    <w:p>
      <w:pPr>
        <w:spacing w:after="0" w:line="34" w:lineRule="exact"/>
        <w:rPr>
          <w:rFonts w:ascii="Arial" w:cs="Arial" w:eastAsia="Arial" w:hAnsi="Arial"/>
          <w:sz w:val="17"/>
          <w:szCs w:val="17"/>
          <w:color w:val="auto"/>
        </w:rPr>
      </w:pPr>
    </w:p>
    <w:p>
      <w:pPr>
        <w:ind w:left="1480"/>
        <w:spacing w:after="0"/>
        <w:rPr>
          <w:rFonts w:ascii="Arial" w:cs="Arial" w:eastAsia="Arial" w:hAnsi="Arial"/>
          <w:sz w:val="17"/>
          <w:szCs w:val="17"/>
          <w:color w:val="auto"/>
        </w:rPr>
      </w:pPr>
      <w:r>
        <w:rPr>
          <w:rFonts w:ascii="Arial" w:cs="Arial" w:eastAsia="Arial" w:hAnsi="Arial"/>
          <w:sz w:val="17"/>
          <w:szCs w:val="17"/>
          <w:color w:val="auto"/>
        </w:rPr>
        <w:t>28,620</w:t>
      </w:r>
    </w:p>
    <w:p>
      <w:pPr>
        <w:spacing w:after="0" w:line="4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(102,724)</w:t>
      </w:r>
    </w:p>
    <w:p>
      <w:pPr>
        <w:spacing w:after="0" w:line="36" w:lineRule="exact"/>
        <w:rPr>
          <w:sz w:val="20"/>
          <w:szCs w:val="20"/>
          <w:color w:val="auto"/>
        </w:rPr>
      </w:pPr>
    </w:p>
    <w:p>
      <w:pPr>
        <w:ind w:left="1240" w:hanging="1236"/>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4,593,132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13030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480" w:space="720"/>
            <w:col w:w="2040"/>
          </w:cols>
          <w:pgMar w:left="320" w:top="296" w:right="339" w:bottom="1440" w:gutter="0" w:footer="0" w:header="0"/>
          <w:type w:val="continuous"/>
        </w:sectPr>
      </w:pP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expense of $118,573 and $29,495, inclusive of amortized debt issuance costs, was capitalized for the six months ended June 30, 2023 and 2022, respectively.</w:t>
      </w:r>
    </w:p>
    <w:p>
      <w:pPr>
        <w:spacing w:after="0" w:line="1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has significant development activities in Latin America as well as the development of the Company's Fast LNG liquefaction solution, and the completion of such developments are subject to risks of successful completion, including those related to government approvals, site identification, financing, construction permitting and contract compliance. The Company's development activities for the six months ended June 30, 2023 were primarily focused on Fast LNG and to construct temporary power generation assets to support the Puerto Rican grid stabilization project; additions to construction in progress in the first six months of 2023 of $2,031,681 were to develop Fast LNG projects and Puerto Rican temporary power.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12. Property, plant and equipment, net</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9100" w:type="dxa"/>
            <w:vAlign w:val="bottom"/>
            <w:gridSpan w:val="3"/>
          </w:tcPr>
          <w:p>
            <w:pPr>
              <w:spacing w:after="0"/>
              <w:rPr>
                <w:sz w:val="20"/>
                <w:szCs w:val="20"/>
                <w:color w:val="auto"/>
              </w:rPr>
            </w:pPr>
            <w:r>
              <w:rPr>
                <w:rFonts w:ascii="Arial" w:cs="Arial" w:eastAsia="Arial" w:hAnsi="Arial"/>
                <w:sz w:val="18"/>
                <w:szCs w:val="18"/>
                <w:color w:val="auto"/>
                <w:w w:val="92"/>
              </w:rPr>
              <w:t>As of June 30, 2023 and December 31, 2022, the Company’s property, plant and equipment, net consisted of the following:</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79"/>
        </w:trPr>
        <w:tc>
          <w:tcPr>
            <w:tcW w:w="70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1,524,959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1,518,839</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Terminal and power plant equipment</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248,192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218,296</w:t>
            </w: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CHP facilities</w:t>
            </w:r>
          </w:p>
        </w:tc>
        <w:tc>
          <w:tcPr>
            <w:tcW w:w="3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123,897</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Gas terminals</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177,780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177,780</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ISO containers and other equipment</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134,324</w:t>
            </w: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LNG liquefaction facilities</w:t>
            </w: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63,316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63,316</w:t>
            </w: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pipelines</w:t>
            </w:r>
          </w:p>
        </w:tc>
        <w:tc>
          <w:tcPr>
            <w:tcW w:w="3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65,985</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Land</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53,665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52,995</w:t>
            </w: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(300,468)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(248,082)</w:t>
            </w: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2,161,930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2,116,727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book value of the vessels that was recognized due to the failed sale leaseback in the Energos Formation Transaction as of June 30, 2023 and December 31, 2022 was $1,308,746 and $1,328,553, respectively.</w:t>
      </w:r>
    </w:p>
    <w:p>
      <w:pPr>
        <w:spacing w:after="0" w:line="17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Depreciation expense for the three months ended June 30, 2023 and 2022 totaled $30,275 and $25,958, respectively, of which $232 and $228, respectively, is included within Cost of sales in the condensed consolidated statements of operations and comprehensive income (loss). Depreciation expense for the six months ended June 30, 2023 and 2022 totaled $56,275 and $52,067, respectively, of which $463 and $527, respectively, is included within Cost of sales in the condensed consolidated statements of operations and comprehensive income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was $776,760 as of both June 30, 2023 and December 31,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composition of intangible assets as of June 30, 2023 and December 31,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June 30, 2023</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78"/>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w w:val="93"/>
              </w:rPr>
              <w:t>Currency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0"/>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30"/>
              <w:spacing w:after="0" w:line="181" w:lineRule="exact"/>
              <w:rPr>
                <w:sz w:val="20"/>
                <w:szCs w:val="20"/>
                <w:color w:val="auto"/>
              </w:rPr>
            </w:pPr>
            <w:r>
              <w:rPr>
                <w:rFonts w:ascii="Arial" w:cs="Arial" w:eastAsia="Arial" w:hAnsi="Arial"/>
                <w:sz w:val="18"/>
                <w:szCs w:val="18"/>
                <w:b w:val="1"/>
                <w:bCs w:val="1"/>
                <w:color w:val="auto"/>
                <w:w w:val="91"/>
              </w:rPr>
              <w:t>Gross Carrying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150"/>
              <w:spacing w:after="0" w:line="181" w:lineRule="exact"/>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130"/>
              <w:spacing w:after="0" w:line="181" w:lineRule="exact"/>
              <w:rPr>
                <w:sz w:val="20"/>
                <w:szCs w:val="20"/>
                <w:color w:val="auto"/>
              </w:rPr>
            </w:pPr>
            <w:r>
              <w:rPr>
                <w:rFonts w:ascii="Arial" w:cs="Arial" w:eastAsia="Arial" w:hAnsi="Arial"/>
                <w:sz w:val="18"/>
                <w:szCs w:val="18"/>
                <w:b w:val="1"/>
                <w:bCs w:val="1"/>
                <w:color w:val="auto"/>
                <w:w w:val="98"/>
              </w:rPr>
              <w:t>Net Carrying</w:t>
            </w:r>
          </w:p>
        </w:tc>
        <w:tc>
          <w:tcPr>
            <w:tcW w:w="80" w:type="dxa"/>
            <w:vAlign w:val="bottom"/>
          </w:tcPr>
          <w:p>
            <w:pPr>
              <w:spacing w:after="0"/>
              <w:rPr>
                <w:sz w:val="15"/>
                <w:szCs w:val="15"/>
                <w:color w:val="auto"/>
              </w:rPr>
            </w:pPr>
          </w:p>
        </w:tc>
        <w:tc>
          <w:tcPr>
            <w:tcW w:w="1480" w:type="dxa"/>
            <w:vAlign w:val="bottom"/>
          </w:tcPr>
          <w:p>
            <w:pPr>
              <w:jc w:val="right"/>
              <w:ind w:right="270"/>
              <w:spacing w:after="0" w:line="181" w:lineRule="exact"/>
              <w:rPr>
                <w:sz w:val="20"/>
                <w:szCs w:val="20"/>
                <w:color w:val="auto"/>
              </w:rPr>
            </w:pPr>
            <w:r>
              <w:rPr>
                <w:rFonts w:ascii="Arial" w:cs="Arial" w:eastAsia="Arial" w:hAnsi="Arial"/>
                <w:sz w:val="18"/>
                <w:szCs w:val="18"/>
                <w:b w:val="1"/>
                <w:bCs w:val="1"/>
                <w:color w:val="auto"/>
              </w:rPr>
              <w:t>Weighted</w:t>
            </w:r>
          </w:p>
        </w:tc>
      </w:tr>
      <w:tr>
        <w:trPr>
          <w:trHeight w:val="230"/>
        </w:trPr>
        <w:tc>
          <w:tcPr>
            <w:tcW w:w="3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Amortization</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Adjustment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Average Life</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vessel charter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3460" w:type="dxa"/>
            <w:vAlign w:val="bottom"/>
          </w:tcPr>
          <w:p>
            <w:pPr>
              <w:ind w:left="140"/>
              <w:spacing w:after="0"/>
              <w:rPr>
                <w:sz w:val="20"/>
                <w:szCs w:val="20"/>
                <w:color w:val="auto"/>
              </w:rPr>
            </w:pPr>
            <w:r>
              <w:rPr>
                <w:rFonts w:ascii="Arial" w:cs="Arial" w:eastAsia="Arial" w:hAnsi="Arial"/>
                <w:sz w:val="18"/>
                <w:szCs w:val="18"/>
                <w:color w:val="auto"/>
              </w:rPr>
              <w:t>Permits and development rights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42,377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3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3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3"/>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Easements</w:t>
            </w: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w:t>
            </w:r>
          </w:p>
        </w:tc>
      </w:tr>
      <w:tr>
        <w:trPr>
          <w:trHeight w:val="248"/>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878"/>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7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1"/>
              </w:rPr>
              <w:t>Gross Carrying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3"/>
              </w:rPr>
              <w:t>Currency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8"/>
              </w:rPr>
              <w:t>Net Carrying</w:t>
            </w:r>
          </w:p>
        </w:tc>
        <w:tc>
          <w:tcPr>
            <w:tcW w:w="80" w:type="dxa"/>
            <w:vAlign w:val="bottom"/>
          </w:tcPr>
          <w:p>
            <w:pPr>
              <w:spacing w:after="0"/>
              <w:rPr>
                <w:sz w:val="15"/>
                <w:szCs w:val="15"/>
                <w:color w:val="auto"/>
              </w:rPr>
            </w:pPr>
          </w:p>
        </w:tc>
        <w:tc>
          <w:tcPr>
            <w:tcW w:w="14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Amortization</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Adjustment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Average Life</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vessel charter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Permits and development rights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41,863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Easements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Easements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157,464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85,897</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Amortization expense for the three months ended June 30, 2023 and 2022 was $6,285 and $9,959, respectively. Amortization expense for the six months ended June 30, 2023 and 2022 was $13,081 and $18,302, respectively. Amortization expense is inclusive of reductions in expense for the amortization of unfavorable contract liabilities.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Intangible assets associated with the acquired power purchase agreements have been classified as held for sale as of June 30, 2023 and December 31, 2022; no impairment loss was recognized upon classification as held for sale (See Note 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non-current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Other non-current assets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3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40,685</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Contract assets, net (Note 4)</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24,379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28,651</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equity securities (Note 6)</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17,806</w:t>
            </w: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Cost to fulfill (Note 4)</w:t>
            </w: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24,245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9,773</w:t>
            </w: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Upfront payments to customers</w:t>
            </w:r>
          </w:p>
        </w:tc>
        <w:tc>
          <w:tcPr>
            <w:tcW w:w="3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35,606</w:t>
            </w:r>
          </w:p>
        </w:tc>
      </w:tr>
      <w:tr>
        <w:trPr>
          <w:trHeight w:val="257"/>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non-current assets,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164,244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141,679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Company recognized unrealized losses on its investments in equity securities of $1,314 and $898 for the three months ended June 30, 2023 and 2022, respectively, within Other (income) expense, net in the condensed consolidated statements of operations and comprehensive income (loss). The Company recognized an unrealized gain of $1,211 and an unrealized loss of $1,090 on its investment in equity securities for the six months ended June 30, 2023 and 2022, respectively, within Other (income) expense, net in the condensed consolidated statements of operations and comprehensive income (loss). Investments in equity securities include investments without a readily determinable fair value of $7,678 as of June 30, 2023 and December 31, 2022.</w:t>
      </w:r>
    </w:p>
    <w:p>
      <w:pPr>
        <w:spacing w:after="0" w:line="16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Upfront payments to customers consist of amounts the Company has paid in relation to two natural gas sales contracts with customers to construct fuel-delivery infrastructure that the customers will own. Other non-current assets includes deferred financing costs related to the Revolving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the third quarter of 2022, NFE Brazil Holdings LLC ("Brazil Holdings"), a consolidated indirect subsidiary of NFE and indirect owner of Pecém Energia S.A. (“Pecém”) and Energetica Camacari Muricy II S.A. (“Muricy”), and Centrais Elétricas de Pernambuco S.A. – EPESA (“EPESA”), entered into a Share Purchase Agreement pursuant to which Brazil Holdings agreed to sell 100% of the shares of Pecém and Muricy to EPESA, following an internal reorganization. The sale price includes cash consideration of BRL 59 million (approximately $12 million using the exchange rate as of June 30,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2023), as well as additional consideration for the satisfaction of certain milestones. Consideration under this agreement also includes potential future earnout payments based on the revenue generated from power purchase agreements held by Pecém and Muricy. The sale of Pecém and Muricy is subject to regulatory approval as well as the customary terms and conditions and conditions precedent prior to closing.</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assets and liabilities of Pecém and Muricy were classified as held for sale as of June 30, 2023 and December 31, 2022. The estimated fair value of these entities based on the consideration in the agreement was in excess of the carrying value, and no impairment loss was recognized upon classification as held for sale. The assets and liabilities held for sale have not been classified as a separate financial statement line item on the condensed consolidated balance sheets and are presented as Other non-current assets and Other long-term liabilities. Liabilities held for sale of $20,263 and $23,543 are presented as other long-term liabilities as of June 30, 2023 and December 31, 2022, respectively. Assets held for sale include a cash balance of $11,204 and $11,614 as of June 30, 2023 and December 31, 2022, respectively, which have been included in the ending cash and cash equivalents on the condensed consolidated statement of cash flows.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15. Accrued liabilities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7040" w:type="dxa"/>
            <w:vAlign w:val="bottom"/>
          </w:tcPr>
          <w:p>
            <w:pPr>
              <w:spacing w:after="0"/>
              <w:rPr>
                <w:sz w:val="20"/>
                <w:szCs w:val="20"/>
                <w:color w:val="auto"/>
              </w:rPr>
            </w:pPr>
            <w:r>
              <w:rPr>
                <w:rFonts w:ascii="Arial" w:cs="Arial" w:eastAsia="Arial" w:hAnsi="Arial"/>
                <w:sz w:val="18"/>
                <w:szCs w:val="18"/>
                <w:color w:val="auto"/>
                <w:w w:val="97"/>
              </w:rPr>
              <w:t>As of June 30, 2023 and December 31, 2022, accrued liabilities consisted of the following:</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0"/>
        </w:trPr>
        <w:tc>
          <w:tcPr>
            <w:tcW w:w="70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development costs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364,157</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61,398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51,994</w:t>
            </w: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inventory</w:t>
            </w:r>
          </w:p>
        </w:tc>
        <w:tc>
          <w:tcPr>
            <w:tcW w:w="3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45,511</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Accrued bonuses</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23,665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37,739</w:t>
            </w: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dividend</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626,310</w:t>
            </w:r>
          </w:p>
        </w:tc>
      </w:tr>
      <w:tr>
        <w:trPr>
          <w:trHeight w:val="24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3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66,827</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36,701</w:t>
            </w: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accrued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821,137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1,162,412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16. Other current liabilities</w:t>
            </w: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7000" w:type="dxa"/>
            <w:vAlign w:val="bottom"/>
            <w:gridSpan w:val="2"/>
          </w:tcPr>
          <w:p>
            <w:pPr>
              <w:spacing w:after="0"/>
              <w:rPr>
                <w:sz w:val="20"/>
                <w:szCs w:val="20"/>
                <w:color w:val="auto"/>
              </w:rPr>
            </w:pPr>
            <w:r>
              <w:rPr>
                <w:rFonts w:ascii="Arial" w:cs="Arial" w:eastAsia="Arial" w:hAnsi="Arial"/>
                <w:sz w:val="18"/>
                <w:szCs w:val="18"/>
                <w:color w:val="auto"/>
                <w:w w:val="92"/>
              </w:rPr>
              <w:t>As of June 30, 2023 and December 31, 2022, other current liabilities consisted of the following:</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66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3"/>
              </w:rPr>
              <w:t>June 30, 2023</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19,458</w:t>
            </w: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62,403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12,748</w:t>
            </w:r>
          </w:p>
        </w:tc>
      </w:tr>
      <w:tr>
        <w:trPr>
          <w:trHeight w:val="23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obligation</w:t>
            </w:r>
          </w:p>
        </w:tc>
        <w:tc>
          <w:tcPr>
            <w:tcW w:w="3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19,159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6,261</w:t>
            </w:r>
          </w:p>
        </w:tc>
      </w:tr>
      <w:tr>
        <w:trPr>
          <w:trHeight w:val="24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3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r>
      <w:tr>
        <w:trPr>
          <w:trHeight w:val="23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6,912</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143,598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June 30, 2023, the Company recognized a repurchase obligation of $24,327, pursuant to agreement to sell and purchase an LNG cargo with the same customer. The sale and delivery of the LNG cargo to the customer was completed in the second quarter of 2023; we expect the purchase of a the LNG cargo to be completed in the third quarter of 2023. Under these agreements, the Company's price to purchase the LNG cargo exceeded the selling price to the customer, and because the purchase price exceeds the original selling prices, the purchase of the LNG cargo is accounted for as a financing arrangement. The difference between the Company's purchase price of the LNG cargo and the selling price to the customer is recognized as interest expense.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Arial" w:cs="Arial" w:eastAsia="Arial" w:hAnsi="Arial"/>
                <w:sz w:val="18"/>
                <w:szCs w:val="18"/>
                <w:b w:val="1"/>
                <w:bCs w:val="1"/>
                <w:color w:val="auto"/>
              </w:rPr>
              <w:t>17. Debt</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40" w:type="dxa"/>
            <w:vAlign w:val="bottom"/>
          </w:tcPr>
          <w:p>
            <w:pPr>
              <w:spacing w:after="0"/>
              <w:rPr>
                <w:sz w:val="20"/>
                <w:szCs w:val="20"/>
                <w:color w:val="auto"/>
              </w:rPr>
            </w:pPr>
            <w:r>
              <w:rPr>
                <w:rFonts w:ascii="Arial" w:cs="Arial" w:eastAsia="Arial" w:hAnsi="Arial"/>
                <w:sz w:val="18"/>
                <w:szCs w:val="18"/>
                <w:color w:val="auto"/>
              </w:rPr>
              <w:t>As of June 30, 2023 and December 31, 2022, debt consisted of the following:</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0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2022</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 due September 2025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1,243,351</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Senior Secured Notes, due September 2026</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1,483,823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1,481,639</w:t>
            </w:r>
          </w:p>
        </w:tc>
        <w:tc>
          <w:tcPr>
            <w:tcW w:w="0" w:type="dxa"/>
            <w:vAlign w:val="bottom"/>
          </w:tcPr>
          <w:p>
            <w:pPr>
              <w:spacing w:after="0"/>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Financing Obligation, due August 2042</w:t>
            </w:r>
          </w:p>
        </w:tc>
        <w:tc>
          <w:tcPr>
            <w:tcW w:w="3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1,371,221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1,406,091</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South Power 2029 Bonds, due May 2029</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216,575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216,177</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Barcarena Term Loan, due February 2024</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194,427</w:t>
            </w:r>
          </w:p>
        </w:tc>
        <w:tc>
          <w:tcPr>
            <w:tcW w:w="0" w:type="dxa"/>
            <w:vAlign w:val="bottom"/>
          </w:tcPr>
          <w:p>
            <w:pPr>
              <w:spacing w:after="0"/>
              <w:rPr>
                <w:sz w:val="1"/>
                <w:szCs w:val="1"/>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Revolving Facility</w:t>
            </w: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741,600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Notes, due June 2026</w:t>
            </w:r>
          </w:p>
        </w:tc>
        <w:tc>
          <w:tcPr>
            <w:tcW w:w="3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5,431,133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4,541,685</w:t>
            </w:r>
          </w:p>
        </w:tc>
        <w:tc>
          <w:tcPr>
            <w:tcW w:w="0" w:type="dxa"/>
            <w:vAlign w:val="bottom"/>
          </w:tcPr>
          <w:p>
            <w:pPr>
              <w:spacing w:after="0"/>
              <w:rPr>
                <w:sz w:val="1"/>
                <w:szCs w:val="1"/>
                <w:color w:val="auto"/>
              </w:rPr>
            </w:pPr>
          </w:p>
        </w:tc>
      </w:tr>
      <w:tr>
        <w:trPr>
          <w:trHeight w:val="20"/>
        </w:trPr>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Current portion of long-term debt and short-term borrowings</w:t>
            </w:r>
          </w:p>
        </w:tc>
        <w:tc>
          <w:tcPr>
            <w:tcW w:w="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32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366,945</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64,820</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5,064,188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4,476,865</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Long-term debt is recorded at amortized cost on the condensed consolidated balance sheets. The fair value of the Company's long-term debt is $5,217,159 and $4,327,311 as of June 30, 2023 and December 31, 2022, respectively, and is classified as Level 2 within the fair value hierarchy.</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terms of the Company's debt instruments have been described in the Annual Report on Form 10-K. Significant changes to the Company's outstanding debt are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Notes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June 2023, the Company executed a Master Loan and Security Agreement with a lender to borrow up to $200,000 under promissory notes secured by certain turbines acquired in the first quarter of 2023 to support our grid stabilization project in Puerto Rico (the “Equipment Notes”). Prior to June 30, 2023, the Company borrowed $100,000 bearing interest at approximately 7.4%, and the principal is partially repayable in monthly installments over the 36 month term of the loan with the balance due upon maturity in June 2026.</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Proceeds received were net of upfront fees due to the lender, and through June 30, 2023, the Company has incurred $1,468 in origination, structuring and other fees, associated with entry into the Equipment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Equipment Notes do not contain any restrictive financial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may, from time to time, enter into sales and repurchase agreements with a financial institution, whereby the Company sells to the financial institution an LNG cargo and concurrently enters into an agreement to repurchase the same LNG cargo immediately with the repurchase price payable at a future date, generally not to exceed 90-days from the date of the sale and repurchase (the “Short-term Borrowings”). As of June 30, 2023, the Company had $78,025 due under repurchase arrangements with a weighted average interest rate of 9.43%.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Facility</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April 2021, the Company entered into a $200,000 senior secured revolving credit facility (the "Revolving Facility"). The borrowings under the Revolving Facility bear interest at a Secured Overnight Financing Rate ("SOFR") based rate plus a margin based upon usage of the Revolving Facility. The Revolving Facility matures in 2025, with the potential for the Company to extend the maturity date once in a one-year increment. Borrowings under the Revolving Facility may be prepaid, at the option of the Company, at any time without premium.</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2022, the Revolving Facility was amended twice to increase the borrowing capacity by a total of $240,000, and in February 2023, the Company entered into an amendment which increased the borrowing capacity by $301,700, for a total</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capacity of $741,700. The amendments did not impact the interest rate or term of the Revolving Facility, and no deferred costs were written off.</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half of 2023, the Company drew $741,600 from the Revolving Facility, which is outstanding as of June 30, 2023.</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incurred $5,398 in origination, structuring and other fees, associated with entry into the Revolving Facility, which includes additional fees to expand the facility in 2022. During the first and second quarter of 2023, the Company incurred an additional $5,298 in fees in relation to the 2023 amendment. These costs have been capitalized within Other non-current assets on the condensed consolidated balance sheets. As of June 30, 2023 and December 31, 2022, total remaining unamortized deferred financing costs for the Revolving Facility was $9,198 and $5,172, respectively.</w:t>
      </w:r>
    </w:p>
    <w:p>
      <w:pPr>
        <w:spacing w:after="0" w:line="1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obligations under the Revolving Facility are guaranteed by certain of the Company's subsidiaries. The Company is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and onwards. The Company was in compliance with all covenants as of June 30,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three and six months ended June 30, 2023 and 2022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30"/>
        </w:trPr>
        <w:tc>
          <w:tcPr>
            <w:tcW w:w="4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per contractual rates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116,011</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Interest expense on Vessel Financing Obligation</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52,465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106,795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Amortization of debt issuance costs, premiums and discounts</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w:t>
            </w:r>
          </w:p>
        </w:tc>
      </w:tr>
      <w:tr>
        <w:trPr>
          <w:trHeight w:val="229"/>
        </w:trPr>
        <w:tc>
          <w:tcPr>
            <w:tcW w:w="4640" w:type="dxa"/>
            <w:vAlign w:val="bottom"/>
          </w:tcPr>
          <w:p>
            <w:pPr>
              <w:ind w:left="40"/>
              <w:spacing w:after="0"/>
              <w:rPr>
                <w:sz w:val="20"/>
                <w:szCs w:val="20"/>
                <w:color w:val="auto"/>
              </w:rPr>
            </w:pPr>
            <w:r>
              <w:rPr>
                <w:rFonts w:ascii="Arial" w:cs="Arial" w:eastAsia="Arial" w:hAnsi="Arial"/>
                <w:sz w:val="18"/>
                <w:szCs w:val="18"/>
                <w:color w:val="auto"/>
              </w:rPr>
              <w:t>Interest expense incurred on finance lease obligations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r>
      <w:tr>
        <w:trPr>
          <w:trHeight w:val="237"/>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interest costs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131,993</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64,198</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254,642</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122,251</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interest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29,495</w:t>
            </w:r>
          </w:p>
        </w:tc>
      </w:tr>
      <w:tr>
        <w:trPr>
          <w:trHeight w:val="248"/>
        </w:trPr>
        <w:tc>
          <w:tcPr>
            <w:tcW w:w="4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interest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92,756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Interest expense on the Vessel Financing Obligation includes non-cash expense of $32,460 and $82,363 for the three and six months ended June 30, 2023 related to payments received by Energos from third-party charterers.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effective tax rate for the three months ended June 30, 2023 was 11.3% compared to 32.7% for the three months ended June 30, 2022. The total tax provision for the three months ended June 30, 2023 was $15,322 compared to a benefit of $86,539 for the three months ended June 30, 2022. The effective tax rate for the six months ended June 30, 2023 was 14.0% compared to 185.4% for the six months ended June 30, 2022. The total tax provision for the six months ended June 30, 2023 was $44,282 compared to a benefit of $136,220 for the six months ended June 30, 2022. Our prior year benefit and effective tax rate was primarily driven by significant discrete items, including the remeasurement of a deferred tax liability in conjunction with an internal reorganization. The Company has not recognized any significant discrete items in the first half of 2023.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may be subject to certain legal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20. Earnings per share</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9"/>
        </w:trPr>
        <w:tc>
          <w:tcPr>
            <w:tcW w:w="4600" w:type="dxa"/>
            <w:vAlign w:val="bottom"/>
            <w:vMerge w:val="restart"/>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6"/>
        </w:trPr>
        <w:tc>
          <w:tcPr>
            <w:tcW w:w="46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(178,431)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271,666</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62,750</w:t>
            </w: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w w:val="97"/>
              </w:rPr>
              <w:t>Net (income) loss attributable to non-controlling interests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5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Class A common stock</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119,248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(169,765)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269,454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Weighted-average shares - basic</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205,045,121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209,669,188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206,867,828</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209,797,133</w:t>
            </w:r>
          </w:p>
        </w:tc>
        <w:tc>
          <w:tcPr>
            <w:tcW w:w="0" w:type="dxa"/>
            <w:vAlign w:val="bottom"/>
          </w:tcPr>
          <w:p>
            <w:pPr>
              <w:spacing w:after="0"/>
              <w:rPr>
                <w:sz w:val="1"/>
                <w:szCs w:val="1"/>
                <w:color w:val="auto"/>
              </w:rPr>
            </w:pPr>
          </w:p>
        </w:tc>
      </w:tr>
      <w:tr>
        <w:trPr>
          <w:trHeight w:val="45"/>
        </w:trPr>
        <w:tc>
          <w:tcPr>
            <w:tcW w:w="46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basic</w:t>
            </w:r>
          </w:p>
        </w:tc>
        <w:tc>
          <w:tcPr>
            <w:tcW w:w="28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46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4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(178,431)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271,666</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62,750</w:t>
            </w:r>
          </w:p>
        </w:tc>
        <w:tc>
          <w:tcPr>
            <w:tcW w:w="0" w:type="dxa"/>
            <w:vAlign w:val="bottom"/>
          </w:tcPr>
          <w:p>
            <w:pPr>
              <w:spacing w:after="0"/>
              <w:rPr>
                <w:sz w:val="1"/>
                <w:szCs w:val="1"/>
                <w:color w:val="auto"/>
              </w:rPr>
            </w:pPr>
          </w:p>
        </w:tc>
      </w:tr>
      <w:tr>
        <w:trPr>
          <w:trHeight w:val="229"/>
        </w:trPr>
        <w:tc>
          <w:tcPr>
            <w:tcW w:w="4600" w:type="dxa"/>
            <w:vAlign w:val="bottom"/>
          </w:tcPr>
          <w:p>
            <w:pPr>
              <w:ind w:left="180"/>
              <w:spacing w:after="0"/>
              <w:rPr>
                <w:sz w:val="20"/>
                <w:szCs w:val="20"/>
                <w:color w:val="auto"/>
              </w:rPr>
            </w:pPr>
            <w:r>
              <w:rPr>
                <w:rFonts w:ascii="Arial" w:cs="Arial" w:eastAsia="Arial" w:hAnsi="Arial"/>
                <w:sz w:val="18"/>
                <w:szCs w:val="18"/>
                <w:color w:val="auto"/>
                <w:w w:val="97"/>
              </w:rPr>
              <w:t>Net (income) loss attributable to non-controlling interests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attributable to dilutive securities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w w:val="99"/>
              </w:rPr>
              <w:t>Net income (loss) attributable to Class A common stock</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118,944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(169,765)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267,500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68,504</w:t>
            </w:r>
          </w:p>
        </w:tc>
        <w:tc>
          <w:tcPr>
            <w:tcW w:w="0" w:type="dxa"/>
            <w:vAlign w:val="bottom"/>
          </w:tcPr>
          <w:p>
            <w:pPr>
              <w:spacing w:after="0"/>
              <w:rPr>
                <w:sz w:val="1"/>
                <w:szCs w:val="1"/>
                <w:color w:val="auto"/>
              </w:rPr>
            </w:pPr>
          </w:p>
        </w:tc>
      </w:tr>
      <w:tr>
        <w:trPr>
          <w:trHeight w:val="276"/>
        </w:trPr>
        <w:tc>
          <w:tcPr>
            <w:tcW w:w="4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 diluted</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205,711,467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209,669,188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207,534,174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209,810,647</w:t>
            </w:r>
          </w:p>
        </w:tc>
        <w:tc>
          <w:tcPr>
            <w:tcW w:w="0" w:type="dxa"/>
            <w:vAlign w:val="bottom"/>
          </w:tcPr>
          <w:p>
            <w:pPr>
              <w:spacing w:after="0"/>
              <w:rPr>
                <w:sz w:val="1"/>
                <w:szCs w:val="1"/>
                <w:color w:val="auto"/>
              </w:rPr>
            </w:pPr>
          </w:p>
        </w:tc>
      </w:tr>
      <w:tr>
        <w:trPr>
          <w:trHeight w:val="237"/>
        </w:trPr>
        <w:tc>
          <w:tcPr>
            <w:tcW w:w="4600" w:type="dxa"/>
            <w:vAlign w:val="bottom"/>
          </w:tcPr>
          <w:p>
            <w:pPr>
              <w:ind w:left="180"/>
              <w:spacing w:after="0"/>
              <w:rPr>
                <w:sz w:val="20"/>
                <w:szCs w:val="20"/>
                <w:color w:val="auto"/>
              </w:rPr>
            </w:pPr>
            <w:r>
              <w:rPr>
                <w:rFonts w:ascii="Arial" w:cs="Arial" w:eastAsia="Arial" w:hAnsi="Arial"/>
                <w:sz w:val="18"/>
                <w:szCs w:val="18"/>
                <w:color w:val="auto"/>
              </w:rPr>
              <w:t>Net income per share -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0.58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1.29</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potentially dilutive securities excluded from the computation of diluted net income per share for the periods presented because its effects would have been anti-dilutive.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16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99"/>
              </w:rPr>
              <w:t>June 30, 2023</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2022</w:t>
            </w:r>
          </w:p>
        </w:tc>
      </w:tr>
      <w:tr>
        <w:trPr>
          <w:trHeight w:val="237"/>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30,486</w:t>
            </w:r>
          </w:p>
        </w:tc>
      </w:tr>
      <w:tr>
        <w:trPr>
          <w:trHeight w:val="229"/>
        </w:trPr>
        <w:tc>
          <w:tcPr>
            <w:tcW w:w="70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Equity Agreement shares </w:t>
            </w:r>
            <w:r>
              <w:rPr>
                <w:rFonts w:ascii="Arial" w:cs="Arial" w:eastAsia="Arial" w:hAnsi="Arial"/>
                <w:sz w:val="23"/>
                <w:szCs w:val="23"/>
                <w:color w:val="auto"/>
                <w:vertAlign w:val="superscript"/>
              </w:rPr>
              <w:t>(1)</w:t>
            </w:r>
          </w:p>
        </w:tc>
        <w:tc>
          <w:tcPr>
            <w:tcW w:w="1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475,755</w:t>
            </w:r>
          </w:p>
        </w:tc>
      </w:tr>
      <w:tr>
        <w:trPr>
          <w:trHeight w:val="243"/>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506,241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0" w:firstLine="8"/>
        <w:spacing w:after="0" w:line="267" w:lineRule="auto"/>
        <w:tabs>
          <w:tab w:leader="none" w:pos="181"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Represents Class A common stock that would be issued in relation to an agreement to issue shares executed in conjunction with a prior year asset acquisition.</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fourth quarter of 2022, the Board declared a dividend of $626,310 representing $3.00 per Class A share, which was paid in January 2023. The Company also declared and paid dividends of $20,503 and $20,582 during the three months ended June 30, 2023 and 2022, respectively, representing $0.10 per Class A share. The Company declared and paid dividends of $40,970 and $41,336 during the six months ended June 30, 2023 and 2022, respectively, representing $0.10 per Class A share.</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each of the three months ended June 30, 2023 and 2022, the Company paid dividends of $3,019 to holders of Golar LNG Partners LP's ("GMLP") 8.75% Series A Cumulative Redeemable Preferred Units (“Series A Preferred Units”). During each of the six months ended June 30, 2023 and 2022, the Company paid dividends of $6,038 to holders of the Series A Preferred Units. As these equity interests have been issued by one of the Company’s consolidated subsidiaries, the value of the Series A Preferred Units is recognized as non-controlling interest in the condensed consolidated financial statements.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three and six months ended June 30, 2023, one of the Company's majority owned consolidated subsidiaries paid a dividend to all shareholders, and the dividend of $3,600 paid to the non-controlling shareholders has been recognized as non-controlling interest in the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Share-based compensation</w:t>
      </w: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Company has granted Performance Share Units ("PSUs") to certain employees and non-employees that contain a performance condition under the New Fortress Energy Inc. 2019 Omnibus Incentive Plan. Vesting is determined based on achievement of a performance metric for the year subsequent to the grant, and the number of shares that will vest can range from zero to a multiple of units granted. As of June 30, 2023, the Company determined it was not probable that the performance condition required for the PSUs granted in the fourth quarter of 2022 ("2022 Grant") to vest would be achieved, and as such, no compensation expense was recognized for this award.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Unrecognized</w:t>
            </w:r>
          </w:p>
        </w:tc>
        <w:tc>
          <w:tcPr>
            <w:tcW w:w="1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80"/>
        </w:trPr>
        <w:tc>
          <w:tcPr>
            <w:tcW w:w="2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PSUs Granted</w:t>
            </w:r>
          </w:p>
        </w:tc>
        <w:tc>
          <w:tcPr>
            <w:tcW w:w="10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Units Granted</w:t>
            </w:r>
          </w:p>
        </w:tc>
        <w:tc>
          <w:tcPr>
            <w:tcW w:w="10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Range of Vesting</w:t>
            </w:r>
          </w:p>
        </w:tc>
        <w:tc>
          <w:tcPr>
            <w:tcW w:w="100" w:type="dxa"/>
            <w:vAlign w:val="bottom"/>
          </w:tcPr>
          <w:p>
            <w:pPr>
              <w:spacing w:after="0"/>
              <w:rPr>
                <w:sz w:val="15"/>
                <w:szCs w:val="15"/>
                <w:color w:val="auto"/>
              </w:rPr>
            </w:pPr>
          </w:p>
        </w:tc>
        <w:tc>
          <w:tcPr>
            <w:tcW w:w="16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7"/>
              </w:rPr>
              <w:t>Units Vested /</w:t>
            </w:r>
          </w:p>
        </w:tc>
        <w:tc>
          <w:tcPr>
            <w:tcW w:w="100" w:type="dxa"/>
            <w:vAlign w:val="bottom"/>
          </w:tcPr>
          <w:p>
            <w:pPr>
              <w:spacing w:after="0"/>
              <w:rPr>
                <w:sz w:val="15"/>
                <w:szCs w:val="15"/>
                <w:color w:val="auto"/>
              </w:rPr>
            </w:pPr>
          </w:p>
        </w:tc>
        <w:tc>
          <w:tcPr>
            <w:tcW w:w="16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Compensation</w:t>
            </w:r>
          </w:p>
        </w:tc>
        <w:tc>
          <w:tcPr>
            <w:tcW w:w="100" w:type="dxa"/>
            <w:vAlign w:val="bottom"/>
          </w:tcPr>
          <w:p>
            <w:pPr>
              <w:spacing w:after="0"/>
              <w:rPr>
                <w:sz w:val="15"/>
                <w:szCs w:val="15"/>
                <w:color w:val="auto"/>
              </w:rPr>
            </w:pPr>
          </w:p>
        </w:tc>
        <w:tc>
          <w:tcPr>
            <w:tcW w:w="16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Remaining Vesting</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Probable of Vesting</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1"/>
              </w:rPr>
              <w:t>Cost</w:t>
            </w:r>
            <w:r>
              <w:rPr>
                <w:rFonts w:ascii="Arial" w:cs="Arial" w:eastAsia="Arial" w:hAnsi="Arial"/>
                <w:sz w:val="23"/>
                <w:szCs w:val="23"/>
                <w:b w:val="1"/>
                <w:bCs w:val="1"/>
                <w:color w:val="auto"/>
                <w:w w:val="81"/>
                <w:vertAlign w:val="superscript"/>
              </w:rPr>
              <w:t>(1)</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37"/>
        </w:trPr>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2022 Grant</w:t>
            </w:r>
          </w:p>
        </w:tc>
        <w:tc>
          <w:tcPr>
            <w:tcW w:w="17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746,296</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 to 1,492,592</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48,309</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0.50 years</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Unrecognized compensation cost is based upon the maximum amount of shares that could vest.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services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Messrs. Edens, chief 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$1,296 and $1,144 for the three months ended June 30, 2023 and 2022, respectively, and totaled $2,641 and $2,659 for the six months ended June 30, 2023 and 2022, respectively. Costs associated with the Administrative Agreement are included within Selling, general and administrative in the condensed consolidated statements of operations and comprehensive income (loss). As of June 30, 2023 and December 31, 2022, $2,487 and $4,629 were due to Fortress, respectively.</w:t>
      </w:r>
    </w:p>
    <w:p>
      <w:pPr>
        <w:spacing w:after="0" w:line="1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administrative services, an affiliate of Fortress owns and leases an aircraft chartered by the Company for business purposes in the course of operations. The Company incurred, at aircraft operator rates, charter costs of $640 and $1,125 for the three months ended June 30, 2023 and 2022, respectively, and $1,411 and $2,147 for the six months ended June 30, 2023 and 2022, respectively. As of June 30, 2023 and December 31, 2022, $1,232 and $416 was due to this affiliate,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lease</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leased land from Florida East Coast Industries, LLC (“FECI”), which is controlled by funds managed by an affiliate of Fortress. The Company recognized expense related to the land lease of $126 and $103 during the three months ended June 30, 2023 and 2022, respectively, and $252 and $206 during the six months ended June 30, 2023 and 2022, respectively, which was included within Operations and maintenance in the condensed consolidated statements of operations and comprehensive income (loss). The Company has amounts due to FECI of $46 and $0 as of June 30, 2023 and December 31, 2022, respectively. As of June 30, 2023 and December 31, 2022, the Company has recorded a lease liability of $3,349 and $3,340, respectively, within Non-current lease liabilities on the condensed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DevTech investment</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controlling interest in the Company’s condensed consolidated financial statements. The Company recognized approximately $96 and $119 in expense within Selling, general and administrative for the three months ended June 30, 2023 and 2022, respectively, and $201 and $217 in expense within Selling, general and administrative for the six months ended June 30, 2023 and 2022, respectively. As of June 30, 2023 and December 31, 2022, $201 and $80 were due to DevTech,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Fortress affiliated entities</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provides certain administrative services to related parties including Fortress affiliated entities. No costs are incurred for such administrative services by the Company as the Company is fully reimbursed for all costs incurred. The Company has subleased a portion of office space to affiliates of entities managed by Fortress, and for the three months ended June 30, 2023 and 2022, $331 and $201 of rent and office related expenses were incurred by these affiliates, respectively. For the six months ended June 30, 2023 and 2022, $541 and $396 of rent and office related expenses were incurred by these affiliates, respectively. As of June 30, 2023 and December 31, 2022, $1,176 and $700, respectively, were due from all Fortress affiliated entities.</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$660 and $582 for the three months ended June 30, 2023 and 2022, respectively, and $1,249 and $1,182 for the six months ended June 30, 2023 and 2022, respectively. As of June 30, 2023 and December 31, 2022, $3,427 and $2,455 were due to Fortress affiliated entities,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operates in two reportable segments: Terminals and Infrastructure and Ships:</w:t>
      </w:r>
    </w:p>
    <w:p>
      <w:pPr>
        <w:spacing w:after="0" w:line="221" w:lineRule="exact"/>
        <w:rPr>
          <w:sz w:val="20"/>
          <w:szCs w:val="20"/>
          <w:color w:val="auto"/>
        </w:rPr>
      </w:pPr>
    </w:p>
    <w:p>
      <w:pPr>
        <w:ind w:left="660" w:right="140" w:hanging="328"/>
        <w:spacing w:after="0" w:line="28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Terminals and Infrastructure </w:t>
      </w:r>
      <w:r>
        <w:rPr>
          <w:rFonts w:ascii="Arial" w:cs="Arial" w:eastAsia="Arial" w:hAnsi="Arial"/>
          <w:sz w:val="17"/>
          <w:szCs w:val="17"/>
          <w:color w:val="auto"/>
        </w:rPr>
        <w:t>includes the Company’s vertically integrated gas to power solutions, spanning the entire production and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chain from natural gas procurement and liquefaction to logistics, shipping, facilities and conversion or development of natural gas-fired power generation. Vessels that are utilized in the Company’s terminal or logistics operations are included in this segment.</w:t>
      </w:r>
    </w:p>
    <w:p>
      <w:pPr>
        <w:spacing w:after="0" w:line="162"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Terminals and Infrastructure Operating Margin included the Company’s effective share of revenues, expenses and operating margin attributable to the Company's 50% investment in Centrais Elétricas de Sergipe Participações S.A. (“CELSEPAR”); the Company disposed of this investment in the fourth quarter of 2022.</w:t>
      </w:r>
    </w:p>
    <w:p>
      <w:pPr>
        <w:spacing w:after="0" w:line="197" w:lineRule="exact"/>
        <w:rPr>
          <w:sz w:val="20"/>
          <w:szCs w:val="20"/>
          <w:color w:val="auto"/>
        </w:rPr>
      </w:pPr>
    </w:p>
    <w:p>
      <w:pPr>
        <w:ind w:left="660" w:right="320"/>
        <w:spacing w:after="0" w:line="261" w:lineRule="auto"/>
        <w:rPr>
          <w:sz w:val="20"/>
          <w:szCs w:val="20"/>
          <w:color w:val="auto"/>
        </w:rPr>
      </w:pPr>
      <w:r>
        <w:rPr>
          <w:rFonts w:ascii="Arial" w:cs="Arial" w:eastAsia="Arial" w:hAnsi="Arial"/>
          <w:sz w:val="18"/>
          <w:szCs w:val="18"/>
          <w:color w:val="auto"/>
        </w:rPr>
        <w:t>Terminal and Infrastructure segment includes realized gains and losses from the settlement of derivative transactions entered into as economic hedges to reduce market risks associated with commodity prices.</w:t>
      </w:r>
    </w:p>
    <w:p>
      <w:pPr>
        <w:spacing w:after="0" w:line="167" w:lineRule="exact"/>
        <w:rPr>
          <w:sz w:val="20"/>
          <w:szCs w:val="20"/>
          <w:color w:val="auto"/>
        </w:rPr>
      </w:pPr>
    </w:p>
    <w:p>
      <w:pPr>
        <w:ind w:left="660" w:right="22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Ships </w:t>
      </w:r>
      <w:r>
        <w:rPr>
          <w:rFonts w:ascii="Arial" w:cs="Arial" w:eastAsia="Arial" w:hAnsi="Arial"/>
          <w:sz w:val="18"/>
          <w:szCs w:val="18"/>
          <w:color w:val="auto"/>
        </w:rPr>
        <w:t>includes vessels that are leased to customers under long-term or spot arrangements, and as of June 30, 2023, eight vessels are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segment. The Company’s investment in Energos is also included in the Ships segment.</w:t>
      </w:r>
    </w:p>
    <w:p>
      <w:pPr>
        <w:spacing w:after="0" w:line="166"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Ships Operating Margin included our effective share of revenue, expenses and operating margin attributable to our ownership of 50% of the common units of Hilli LLC prior to the disposition of this investment in first quarter of 2023.</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Management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segment information for the three and six months ended June 30, 2023 and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Terminals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Consolidation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61"/>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Infrastructure</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Ships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220"/>
              <w:spacing w:after="0" w:line="262" w:lineRule="exact"/>
              <w:rPr>
                <w:sz w:val="20"/>
                <w:szCs w:val="20"/>
                <w:color w:val="auto"/>
              </w:rPr>
            </w:pPr>
            <w:r>
              <w:rPr>
                <w:rFonts w:ascii="Arial" w:cs="Arial" w:eastAsia="Arial" w:hAnsi="Arial"/>
                <w:sz w:val="18"/>
                <w:szCs w:val="18"/>
                <w:b w:val="1"/>
                <w:bCs w:val="1"/>
                <w:color w:val="auto"/>
                <w:w w:val="88"/>
              </w:rPr>
              <w:t>and Other</w:t>
            </w:r>
            <w:r>
              <w:rPr>
                <w:rFonts w:ascii="Arial" w:cs="Arial" w:eastAsia="Arial" w:hAnsi="Arial"/>
                <w:sz w:val="23"/>
                <w:szCs w:val="23"/>
                <w:b w:val="1"/>
                <w:bCs w:val="1"/>
                <w:color w:val="auto"/>
                <w:w w:val="88"/>
                <w:vertAlign w:val="superscript"/>
              </w:rPr>
              <w:t>(4)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Consolidated</w:t>
            </w:r>
          </w:p>
        </w:tc>
      </w:tr>
      <w:tr>
        <w:trPr>
          <w:trHeight w:val="25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50"/>
        </w:trPr>
        <w:tc>
          <w:tcPr>
            <w:tcW w:w="24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495,504</w:t>
            </w:r>
          </w:p>
        </w:tc>
        <w:tc>
          <w:tcPr>
            <w:tcW w:w="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65,841</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561,345</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561,345</w:t>
            </w:r>
          </w:p>
        </w:tc>
      </w:tr>
      <w:tr>
        <w:trPr>
          <w:trHeight w:val="263"/>
        </w:trPr>
        <w:tc>
          <w:tcPr>
            <w:tcW w:w="240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Cost of sales</w:t>
            </w:r>
            <w:r>
              <w:rPr>
                <w:rFonts w:ascii="Arial" w:cs="Arial" w:eastAsia="Arial" w:hAnsi="Arial"/>
                <w:sz w:val="23"/>
                <w:szCs w:val="23"/>
                <w:color w:val="auto"/>
                <w:vertAlign w:val="superscript"/>
              </w:rPr>
              <w:t>(1) (3)</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222,371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222,371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225,768</w:t>
            </w:r>
          </w:p>
        </w:tc>
      </w:tr>
      <w:tr>
        <w:trPr>
          <w:trHeight w:val="250"/>
        </w:trPr>
        <w:tc>
          <w:tcPr>
            <w:tcW w:w="240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11,443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11,443</w:t>
            </w:r>
          </w:p>
        </w:tc>
      </w:tr>
      <w:tr>
        <w:trPr>
          <w:trHeight w:val="263"/>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33,697</w:t>
            </w:r>
          </w:p>
        </w:tc>
      </w:tr>
      <w:tr>
        <w:trPr>
          <w:trHeight w:val="237"/>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239,436</w:t>
            </w:r>
          </w:p>
        </w:tc>
        <w:tc>
          <w:tcPr>
            <w:tcW w:w="4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54,398</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293,834</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(3,397)</w:t>
            </w: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290,437</w:t>
            </w:r>
          </w:p>
        </w:tc>
      </w:tr>
      <w:tr>
        <w:trPr>
          <w:trHeight w:val="27"/>
        </w:trPr>
        <w:tc>
          <w:tcPr>
            <w:tcW w:w="2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24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7,924,074</w:t>
            </w:r>
          </w:p>
        </w:tc>
        <w:tc>
          <w:tcPr>
            <w:tcW w:w="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1,211,165</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9,135,239</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9,135,239</w:t>
            </w:r>
          </w:p>
        </w:tc>
      </w:tr>
      <w:tr>
        <w:trPr>
          <w:trHeight w:val="218"/>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segmental financial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8"/>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325"/>
        </w:trPr>
        <w:tc>
          <w:tcPr>
            <w:tcW w:w="2400" w:type="dxa"/>
            <w:vAlign w:val="bottom"/>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(2)</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1,316,805</w:t>
            </w:r>
          </w:p>
        </w:tc>
        <w:tc>
          <w:tcPr>
            <w:tcW w:w="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1,316,805</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1,316,805</w:t>
            </w:r>
          </w:p>
        </w:tc>
      </w:tr>
      <w:tr>
        <w:trPr>
          <w:trHeight w:val="539"/>
        </w:trPr>
        <w:tc>
          <w:tcPr>
            <w:tcW w:w="2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10"/>
          </w:tcPr>
          <w:p>
            <w:pPr>
              <w:jc w:val="center"/>
              <w:ind w:right="400"/>
              <w:spacing w:after="0"/>
              <w:rPr>
                <w:sz w:val="20"/>
                <w:szCs w:val="20"/>
                <w:color w:val="auto"/>
              </w:rPr>
            </w:pPr>
            <w:r>
              <w:rPr>
                <w:rFonts w:ascii="Arial" w:cs="Arial" w:eastAsia="Arial" w:hAnsi="Arial"/>
                <w:sz w:val="18"/>
                <w:szCs w:val="18"/>
                <w:b w:val="1"/>
                <w:bCs w:val="1"/>
                <w:color w:val="auto"/>
                <w:w w:val="90"/>
              </w:rPr>
              <w:t>Six Months Ended June 30, 2023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18"/>
        </w:trPr>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Terminals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Consolidation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61"/>
        </w:trPr>
        <w:tc>
          <w:tcPr>
            <w:tcW w:w="24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Infrastructure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Ships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center"/>
              <w:ind w:right="220"/>
              <w:spacing w:after="0" w:line="262" w:lineRule="exact"/>
              <w:rPr>
                <w:sz w:val="20"/>
                <w:szCs w:val="20"/>
                <w:color w:val="auto"/>
              </w:rPr>
            </w:pPr>
            <w:r>
              <w:rPr>
                <w:rFonts w:ascii="Arial" w:cs="Arial" w:eastAsia="Arial" w:hAnsi="Arial"/>
                <w:sz w:val="18"/>
                <w:szCs w:val="18"/>
                <w:b w:val="1"/>
                <w:bCs w:val="1"/>
                <w:color w:val="auto"/>
                <w:w w:val="88"/>
              </w:rPr>
              <w:t>and Other</w:t>
            </w:r>
            <w:r>
              <w:rPr>
                <w:rFonts w:ascii="Arial" w:cs="Arial" w:eastAsia="Arial" w:hAnsi="Arial"/>
                <w:sz w:val="23"/>
                <w:szCs w:val="23"/>
                <w:b w:val="1"/>
                <w:bCs w:val="1"/>
                <w:color w:val="auto"/>
                <w:w w:val="88"/>
                <w:vertAlign w:val="superscript"/>
              </w:rPr>
              <w:t>(4)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Consolidated</w:t>
            </w:r>
          </w:p>
        </w:tc>
      </w:tr>
      <w:tr>
        <w:trPr>
          <w:trHeight w:val="243"/>
        </w:trPr>
        <w:tc>
          <w:tcPr>
            <w:tcW w:w="2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50"/>
        </w:trPr>
        <w:tc>
          <w:tcPr>
            <w:tcW w:w="24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998,112</w:t>
            </w: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163,758</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1,161,870</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(21,394)</w:t>
            </w:r>
          </w:p>
        </w:tc>
        <w:tc>
          <w:tcPr>
            <w:tcW w:w="2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1,140,476</w:t>
            </w:r>
          </w:p>
        </w:tc>
      </w:tr>
      <w:tr>
        <w:trPr>
          <w:trHeight w:val="263"/>
        </w:trPr>
        <w:tc>
          <w:tcPr>
            <w:tcW w:w="240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Cost of sales</w:t>
            </w:r>
            <w:r>
              <w:rPr>
                <w:rFonts w:ascii="Arial" w:cs="Arial" w:eastAsia="Arial" w:hAnsi="Arial"/>
                <w:sz w:val="23"/>
                <w:szCs w:val="23"/>
                <w:color w:val="auto"/>
                <w:vertAlign w:val="superscript"/>
              </w:rPr>
              <w:t>(1) (3)</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296,169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296,169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410,706</w:t>
            </w:r>
          </w:p>
        </w:tc>
      </w:tr>
      <w:tr>
        <w:trPr>
          <w:trHeight w:val="250"/>
        </w:trPr>
        <w:tc>
          <w:tcPr>
            <w:tcW w:w="240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30,682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24,734</w:t>
            </w:r>
          </w:p>
        </w:tc>
      </w:tr>
      <w:tr>
        <w:trPr>
          <w:trHeight w:val="27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60,368</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60,368</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60,368</w:t>
            </w: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641,575</w:t>
            </w:r>
          </w:p>
        </w:tc>
        <w:tc>
          <w:tcPr>
            <w:tcW w:w="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133,076</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774,651</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(129,983)</w:t>
            </w:r>
          </w:p>
        </w:tc>
        <w:tc>
          <w:tcPr>
            <w:tcW w:w="2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644,668</w:t>
            </w:r>
          </w:p>
        </w:tc>
      </w:tr>
      <w:tr>
        <w:trPr>
          <w:trHeight w:val="27"/>
        </w:trPr>
        <w:tc>
          <w:tcPr>
            <w:tcW w:w="2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24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7,924,074</w:t>
            </w: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1,211,165</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9,135,239</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9,135,239</w:t>
            </w:r>
          </w:p>
        </w:tc>
      </w:tr>
      <w:tr>
        <w:trPr>
          <w:trHeight w:val="218"/>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segmental financial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8"/>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325"/>
        </w:trPr>
        <w:tc>
          <w:tcPr>
            <w:tcW w:w="2400" w:type="dxa"/>
            <w:vAlign w:val="bottom"/>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(2)</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2,248,628</w:t>
            </w: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2,248,628</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2,248,628</w:t>
            </w:r>
          </w:p>
        </w:tc>
      </w:tr>
      <w:tr>
        <w:trPr>
          <w:trHeight w:val="849"/>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01"/>
        </w:trPr>
        <w:tc>
          <w:tcPr>
            <w:tcW w:w="2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Three Months Ended June 30,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210"/>
              <w:spacing w:after="0" w:line="189" w:lineRule="exact"/>
              <w:rPr>
                <w:sz w:val="20"/>
                <w:szCs w:val="20"/>
                <w:color w:val="auto"/>
              </w:rPr>
            </w:pPr>
            <w:r>
              <w:rPr>
                <w:rFonts w:ascii="Arial" w:cs="Arial" w:eastAsia="Arial" w:hAnsi="Arial"/>
                <w:sz w:val="18"/>
                <w:szCs w:val="18"/>
                <w:b w:val="1"/>
                <w:bCs w:val="1"/>
                <w:color w:val="auto"/>
                <w:w w:val="96"/>
              </w:rPr>
              <w:t>Terminals and</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vMerge w:val="restart"/>
          </w:tcPr>
          <w:p>
            <w:pPr>
              <w:jc w:val="right"/>
              <w:ind w:right="530"/>
              <w:spacing w:after="0"/>
              <w:rPr>
                <w:sz w:val="20"/>
                <w:szCs w:val="20"/>
                <w:color w:val="auto"/>
              </w:rPr>
            </w:pPr>
            <w:r>
              <w:rPr>
                <w:rFonts w:ascii="Arial" w:cs="Arial" w:eastAsia="Arial" w:hAnsi="Arial"/>
                <w:sz w:val="18"/>
                <w:szCs w:val="18"/>
                <w:b w:val="1"/>
                <w:bCs w:val="1"/>
                <w:color w:val="auto"/>
              </w:rPr>
              <w:t>Ships</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w w:val="93"/>
              </w:rPr>
              <w:t>Total Segment</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220"/>
              <w:spacing w:after="0" w:line="189" w:lineRule="exact"/>
              <w:rPr>
                <w:sz w:val="20"/>
                <w:szCs w:val="20"/>
                <w:color w:val="auto"/>
              </w:rPr>
            </w:pPr>
            <w:r>
              <w:rPr>
                <w:rFonts w:ascii="Arial" w:cs="Arial" w:eastAsia="Arial" w:hAnsi="Arial"/>
                <w:sz w:val="18"/>
                <w:szCs w:val="18"/>
                <w:b w:val="1"/>
                <w:bCs w:val="1"/>
                <w:color w:val="auto"/>
                <w:w w:val="89"/>
              </w:rPr>
              <w:t>Consolidation</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Infrastructure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220"/>
              <w:spacing w:after="0" w:line="230" w:lineRule="exact"/>
              <w:rPr>
                <w:sz w:val="20"/>
                <w:szCs w:val="20"/>
                <w:color w:val="auto"/>
              </w:rPr>
            </w:pPr>
            <w:r>
              <w:rPr>
                <w:rFonts w:ascii="Arial" w:cs="Arial" w:eastAsia="Arial" w:hAnsi="Arial"/>
                <w:sz w:val="18"/>
                <w:szCs w:val="18"/>
                <w:b w:val="1"/>
                <w:bCs w:val="1"/>
                <w:color w:val="auto"/>
                <w:w w:val="88"/>
              </w:rPr>
              <w:t>and Other</w:t>
            </w:r>
            <w:r>
              <w:rPr>
                <w:rFonts w:ascii="Arial" w:cs="Arial" w:eastAsia="Arial" w:hAnsi="Arial"/>
                <w:sz w:val="23"/>
                <w:szCs w:val="23"/>
                <w:b w:val="1"/>
                <w:bCs w:val="1"/>
                <w:color w:val="auto"/>
                <w:w w:val="88"/>
                <w:vertAlign w:val="superscript"/>
              </w:rPr>
              <w:t>(4)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543,455</w:t>
            </w: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111,024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654,479</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(69,624)</w:t>
            </w:r>
          </w:p>
        </w:tc>
        <w:tc>
          <w:tcPr>
            <w:tcW w:w="2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584,855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4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Cost of sales</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271,948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271,948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272,401</w:t>
            </w: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25,543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18,628</w:t>
            </w: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20,490</w:t>
            </w: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237,712</w:t>
            </w:r>
          </w:p>
        </w:tc>
        <w:tc>
          <w:tcPr>
            <w:tcW w:w="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89,736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327,448</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(54,112)</w:t>
            </w:r>
          </w:p>
        </w:tc>
        <w:tc>
          <w:tcPr>
            <w:tcW w:w="2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273,336</w:t>
            </w: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5,189,044</w:t>
            </w: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2,062,332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7,251,376</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7,251,376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segmental financial</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2420" w:type="dxa"/>
            <w:vAlign w:val="bottom"/>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242,808</w:t>
            </w: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11,148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253,956</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253,956</w:t>
            </w:r>
          </w:p>
        </w:tc>
        <w:tc>
          <w:tcPr>
            <w:tcW w:w="0" w:type="dxa"/>
            <w:vAlign w:val="bottom"/>
          </w:tcPr>
          <w:p>
            <w:pPr>
              <w:spacing w:after="0"/>
              <w:rPr>
                <w:sz w:val="1"/>
                <w:szCs w:val="1"/>
                <w:color w:val="auto"/>
              </w:rPr>
            </w:pPr>
          </w:p>
        </w:tc>
      </w:tr>
      <w:tr>
        <w:trPr>
          <w:trHeight w:val="552"/>
        </w:trPr>
        <w:tc>
          <w:tcPr>
            <w:tcW w:w="2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9"/>
          </w:tcPr>
          <w:p>
            <w:pPr>
              <w:ind w:left="980"/>
              <w:spacing w:after="0"/>
              <w:rPr>
                <w:sz w:val="20"/>
                <w:szCs w:val="20"/>
                <w:color w:val="auto"/>
              </w:rPr>
            </w:pPr>
            <w:r>
              <w:rPr>
                <w:rFonts w:ascii="Arial" w:cs="Arial" w:eastAsia="Arial" w:hAnsi="Arial"/>
                <w:sz w:val="18"/>
                <w:szCs w:val="18"/>
                <w:b w:val="1"/>
                <w:bCs w:val="1"/>
                <w:color w:val="auto"/>
              </w:rPr>
              <w:t>Six Months Ended June 30, 2022</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80" w:type="dxa"/>
            <w:vAlign w:val="bottom"/>
          </w:tcPr>
          <w:p>
            <w:pPr>
              <w:spacing w:after="0"/>
              <w:rPr>
                <w:sz w:val="14"/>
                <w:szCs w:val="14"/>
                <w:color w:val="auto"/>
              </w:rPr>
            </w:pPr>
          </w:p>
        </w:tc>
        <w:tc>
          <w:tcPr>
            <w:tcW w:w="150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w w:val="98"/>
              </w:rPr>
              <w:t>Terminals and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Ships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3"/>
              </w:rPr>
              <w:t>Total Segment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89"/>
              </w:rPr>
              <w:t>Consolidation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6"/>
              </w:rPr>
              <w:t>Consolidated</w:t>
            </w:r>
          </w:p>
        </w:tc>
        <w:tc>
          <w:tcPr>
            <w:tcW w:w="0" w:type="dxa"/>
            <w:vAlign w:val="bottom"/>
          </w:tcPr>
          <w:p>
            <w:pPr>
              <w:spacing w:after="0"/>
              <w:rPr>
                <w:sz w:val="1"/>
                <w:szCs w:val="1"/>
                <w:color w:val="auto"/>
              </w:rPr>
            </w:pPr>
          </w:p>
        </w:tc>
      </w:tr>
      <w:tr>
        <w:trPr>
          <w:trHeight w:val="243"/>
        </w:trPr>
        <w:tc>
          <w:tcPr>
            <w:tcW w:w="24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Infrastructure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center"/>
              <w:ind w:right="220"/>
              <w:spacing w:after="0" w:line="243" w:lineRule="exact"/>
              <w:rPr>
                <w:sz w:val="20"/>
                <w:szCs w:val="20"/>
                <w:color w:val="auto"/>
              </w:rPr>
            </w:pPr>
            <w:r>
              <w:rPr>
                <w:rFonts w:ascii="Arial" w:cs="Arial" w:eastAsia="Arial" w:hAnsi="Arial"/>
                <w:sz w:val="18"/>
                <w:szCs w:val="18"/>
                <w:b w:val="1"/>
                <w:bCs w:val="1"/>
                <w:color w:val="auto"/>
                <w:w w:val="88"/>
              </w:rPr>
              <w:t>and Other</w:t>
            </w:r>
            <w:r>
              <w:rPr>
                <w:rFonts w:ascii="Arial" w:cs="Arial" w:eastAsia="Arial" w:hAnsi="Arial"/>
                <w:sz w:val="23"/>
                <w:szCs w:val="23"/>
                <w:b w:val="1"/>
                <w:bCs w:val="1"/>
                <w:color w:val="auto"/>
                <w:w w:val="88"/>
                <w:vertAlign w:val="superscript"/>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18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1,023,804</w:t>
            </w: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225,966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1,249,770</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(159,797)</w:t>
            </w:r>
          </w:p>
        </w:tc>
        <w:tc>
          <w:tcPr>
            <w:tcW w:w="2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1,089,973</w:t>
            </w: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Cost of sales</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507,480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507,480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480,699</w:t>
            </w: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54,977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41,592</w:t>
            </w:r>
          </w:p>
        </w:tc>
        <w:tc>
          <w:tcPr>
            <w:tcW w:w="0" w:type="dxa"/>
            <w:vAlign w:val="bottom"/>
          </w:tcPr>
          <w:p>
            <w:pPr>
              <w:spacing w:after="0"/>
              <w:rPr>
                <w:sz w:val="1"/>
                <w:szCs w:val="1"/>
                <w:color w:val="auto"/>
              </w:rPr>
            </w:pPr>
          </w:p>
        </w:tc>
      </w:tr>
      <w:tr>
        <w:trPr>
          <w:trHeight w:val="302"/>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1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59,782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59,782</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(16,124)</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43,658</w:t>
            </w:r>
          </w:p>
        </w:tc>
        <w:tc>
          <w:tcPr>
            <w:tcW w:w="0" w:type="dxa"/>
            <w:vAlign w:val="bottom"/>
          </w:tcPr>
          <w:p>
            <w:pPr>
              <w:spacing w:after="0"/>
              <w:rPr>
                <w:sz w:val="1"/>
                <w:szCs w:val="1"/>
                <w:color w:val="auto"/>
              </w:rPr>
            </w:pPr>
          </w:p>
        </w:tc>
      </w:tr>
      <w:tr>
        <w:trPr>
          <w:trHeight w:val="237"/>
        </w:trPr>
        <w:tc>
          <w:tcPr>
            <w:tcW w:w="24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448,795</w:t>
            </w:r>
          </w:p>
        </w:tc>
        <w:tc>
          <w:tcPr>
            <w:tcW w:w="48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178,736</w:t>
            </w:r>
          </w:p>
        </w:tc>
        <w:tc>
          <w:tcPr>
            <w:tcW w:w="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627,531</w:t>
            </w:r>
          </w:p>
        </w:tc>
        <w:tc>
          <w:tcPr>
            <w:tcW w:w="3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(103,507)</w:t>
            </w: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524,024</w:t>
            </w:r>
          </w:p>
        </w:tc>
        <w:tc>
          <w:tcPr>
            <w:tcW w:w="0" w:type="dxa"/>
            <w:vAlign w:val="bottom"/>
          </w:tcPr>
          <w:p>
            <w:pPr>
              <w:spacing w:after="0"/>
              <w:rPr>
                <w:sz w:val="1"/>
                <w:szCs w:val="1"/>
                <w:color w:val="auto"/>
              </w:rPr>
            </w:pPr>
          </w:p>
        </w:tc>
      </w:tr>
      <w:tr>
        <w:trPr>
          <w:trHeight w:val="26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5,189,044</w:t>
            </w: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2,062,332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7,251,376</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7,251,376</w:t>
            </w:r>
          </w:p>
        </w:tc>
        <w:tc>
          <w:tcPr>
            <w:tcW w:w="0" w:type="dxa"/>
            <w:vAlign w:val="bottom"/>
          </w:tcPr>
          <w:p>
            <w:pPr>
              <w:spacing w:after="0"/>
              <w:rPr>
                <w:sz w:val="1"/>
                <w:szCs w:val="1"/>
                <w:color w:val="auto"/>
              </w:rPr>
            </w:pPr>
          </w:p>
        </w:tc>
      </w:tr>
      <w:tr>
        <w:trPr>
          <w:trHeight w:val="218"/>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segmental financial</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information:</w:t>
            </w: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2420" w:type="dxa"/>
            <w:vAlign w:val="bottom"/>
          </w:tcPr>
          <w:p>
            <w:pPr>
              <w:ind w:left="20"/>
              <w:spacing w:after="0"/>
              <w:rPr>
                <w:sz w:val="20"/>
                <w:szCs w:val="20"/>
                <w:color w:val="auto"/>
              </w:rPr>
            </w:pPr>
            <w:r>
              <w:rPr>
                <w:rFonts w:ascii="Arial" w:cs="Arial" w:eastAsia="Arial" w:hAnsi="Arial"/>
                <w:sz w:val="18"/>
                <w:szCs w:val="18"/>
                <w:color w:val="auto"/>
              </w:rPr>
              <w:t>Capital expenditures</w:t>
            </w:r>
            <w:r>
              <w:rPr>
                <w:rFonts w:ascii="Arial" w:cs="Arial" w:eastAsia="Arial" w:hAnsi="Arial"/>
                <w:sz w:val="23"/>
                <w:szCs w:val="23"/>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439,198</w:t>
            </w:r>
          </w:p>
        </w:tc>
        <w:tc>
          <w:tcPr>
            <w:tcW w:w="4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14,437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453,635</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453,635</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600" w:firstLine="8"/>
        <w:spacing w:after="0" w:line="269" w:lineRule="auto"/>
        <w:tabs>
          <w:tab w:leader="none" w:pos="181"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Cost of sales in the Company’s segment measure only includes realized gains and losses on derivative transactions that are an economic hedge of commodity purchases and sales, and realized losses of $3,911 and unrealized gains of $141,853 for the three and six months ended June 30, 2023, respectively, were recognized as a reduction to Cost of sales in the segment measure.</w:t>
      </w:r>
    </w:p>
    <w:p>
      <w:pPr>
        <w:spacing w:after="0" w:line="19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recognized unrealized gains of $2,835 and unrealized losses of $108,305 on the mark-to-market value of derivative transactions for the three and six months ended June 30, 2023, respectively, and these gains and losses reconcile Cost of sales in the segment measure to Cost of sales in the condensed consolidated statements of operations and comprehensive income (loss).</w:t>
      </w:r>
    </w:p>
    <w:p>
      <w:pPr>
        <w:spacing w:after="0" w:line="203"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The Company has excluded contract acquisition costs that do not meet the criteria for capitalization from the segment measure. Contract acquisition costs of $6,232 for the three and six months ended June 30, 2023 reconcile Cost of sales in the segment measure to Cost of sales in the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Capital expenditures includes amounts capitalized to construction in progress and additions to property, plant and equipment during the period.</w:t>
      </w:r>
    </w:p>
    <w:p>
      <w:pPr>
        <w:spacing w:after="0" w:line="215" w:lineRule="exact"/>
        <w:rPr>
          <w:rFonts w:ascii="Arial" w:cs="Arial" w:eastAsia="Arial" w:hAnsi="Arial"/>
          <w:sz w:val="21"/>
          <w:szCs w:val="21"/>
          <w:color w:val="auto"/>
          <w:vertAlign w:val="superscript"/>
        </w:rPr>
      </w:pPr>
    </w:p>
    <w:p>
      <w:pPr>
        <w:ind w:right="520" w:firstLine="8"/>
        <w:spacing w:after="0" w:line="236" w:lineRule="auto"/>
        <w:tabs>
          <w:tab w:leader="none" w:pos="181"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Cost of sales is presented exclusive of costs included in Depreciation and amortization in the condensed consolidated statements of operations and comprehensive income (loss).</w:t>
      </w:r>
    </w:p>
    <w:p>
      <w:pPr>
        <w:spacing w:after="0" w:line="202" w:lineRule="exact"/>
        <w:rPr>
          <w:rFonts w:ascii="Arial" w:cs="Arial" w:eastAsia="Arial" w:hAnsi="Arial"/>
          <w:sz w:val="21"/>
          <w:szCs w:val="21"/>
          <w:color w:val="auto"/>
          <w:vertAlign w:val="superscript"/>
        </w:rPr>
      </w:pPr>
    </w:p>
    <w:p>
      <w:pPr>
        <w:ind w:right="240" w:firstLine="8"/>
        <w:spacing w:after="0" w:line="275" w:lineRule="auto"/>
        <w:tabs>
          <w:tab w:leader="none" w:pos="166"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Consolidation and Other adjusts for the inclusion of the effective share of revenues, expenses and operating margin attributable to the Company's 50% ownership of CELSEPAR and the common units of Hilli LLC in the segment measure prior to the disposition of these investments, the exclusion of the unrealized mark-to-market gain or loss on derivative instruments, and the exclusion of non-capitalizable contract acquisition costs.</w:t>
      </w:r>
    </w:p>
    <w:p>
      <w:pPr>
        <w:spacing w:after="0" w:line="16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Consolidated Segment Operating Margin is defined as net income, adjusted for Selling, general and administrative expenses, Transaction and integration costs, Depreciation and amortization, Interest expense, Other expense (income), net, Income from equity method investments and Tax provision (benefit).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the most comparable financial statement measure, to Consolidated Segment Operating Margin: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7"/>
              </w:rPr>
              <w:t>Three Months Ended June 30,</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64"/>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6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(178,431)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62,750</w:t>
            </w:r>
          </w:p>
        </w:tc>
      </w:tr>
      <w:tr>
        <w:trPr>
          <w:trHeight w:val="250"/>
        </w:trPr>
        <w:tc>
          <w:tcPr>
            <w:tcW w:w="4640" w:type="dxa"/>
            <w:vAlign w:val="bottom"/>
          </w:tcPr>
          <w:p>
            <w:pPr>
              <w:ind w:left="2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98,351</w:t>
            </w:r>
          </w:p>
        </w:tc>
      </w:tr>
      <w:tr>
        <w:trPr>
          <w:trHeight w:val="257"/>
        </w:trPr>
        <w:tc>
          <w:tcPr>
            <w:tcW w:w="4640" w:type="dxa"/>
            <w:vAlign w:val="bottom"/>
          </w:tcPr>
          <w:p>
            <w:pPr>
              <w:ind w:left="140"/>
              <w:spacing w:after="0"/>
              <w:rPr>
                <w:sz w:val="20"/>
                <w:szCs w:val="20"/>
                <w:color w:val="auto"/>
              </w:rPr>
            </w:pPr>
            <w:r>
              <w:rPr>
                <w:rFonts w:ascii="Arial" w:cs="Arial" w:eastAsia="Arial" w:hAnsi="Arial"/>
                <w:sz w:val="18"/>
                <w:szCs w:val="18"/>
                <w:color w:val="auto"/>
              </w:rPr>
              <w:t>Transaction and integration costs</w:t>
            </w: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6,767</w:t>
            </w:r>
          </w:p>
        </w:tc>
      </w:tr>
      <w:tr>
        <w:trPr>
          <w:trHeight w:val="257"/>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70,646</w:t>
            </w:r>
          </w:p>
        </w:tc>
      </w:tr>
      <w:tr>
        <w:trPr>
          <w:trHeight w:val="263"/>
        </w:trPr>
        <w:tc>
          <w:tcPr>
            <w:tcW w:w="4640" w:type="dxa"/>
            <w:vAlign w:val="bottom"/>
          </w:tcPr>
          <w:p>
            <w:pPr>
              <w:ind w:left="140"/>
              <w:spacing w:after="0"/>
              <w:rPr>
                <w:sz w:val="20"/>
                <w:szCs w:val="20"/>
                <w:color w:val="auto"/>
              </w:rPr>
            </w:pPr>
            <w:r>
              <w:rPr>
                <w:rFonts w:ascii="Arial" w:cs="Arial" w:eastAsia="Arial" w:hAnsi="Arial"/>
                <w:sz w:val="18"/>
                <w:szCs w:val="18"/>
                <w:color w:val="auto"/>
              </w:rPr>
              <w:t>Asset impairment expense</w:t>
            </w: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48,109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48,109</w:t>
            </w:r>
          </w:p>
        </w:tc>
      </w:tr>
      <w:tr>
        <w:trPr>
          <w:trHeight w:val="263"/>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92,756</w:t>
            </w:r>
          </w:p>
        </w:tc>
      </w:tr>
      <w:tr>
        <w:trPr>
          <w:trHeight w:val="256"/>
        </w:trPr>
        <w:tc>
          <w:tcPr>
            <w:tcW w:w="4640" w:type="dxa"/>
            <w:vAlign w:val="bottom"/>
          </w:tcPr>
          <w:p>
            <w:pPr>
              <w:ind w:left="1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(22,102)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(41,827)</w:t>
            </w:r>
          </w:p>
        </w:tc>
      </w:tr>
      <w:tr>
        <w:trPr>
          <w:trHeight w:val="257"/>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provision (benefit)</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(136,220)</w:t>
            </w:r>
          </w:p>
        </w:tc>
      </w:tr>
      <w:tr>
        <w:trPr>
          <w:trHeight w:val="270"/>
        </w:trPr>
        <w:tc>
          <w:tcPr>
            <w:tcW w:w="4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from equity method investments</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372,927</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322,692</w:t>
            </w:r>
          </w:p>
        </w:tc>
      </w:tr>
      <w:tr>
        <w:trPr>
          <w:trHeight w:val="270"/>
        </w:trPr>
        <w:tc>
          <w:tcPr>
            <w:tcW w:w="4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Consolidated Segment Operating Margin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273,336</w:t>
            </w:r>
          </w:p>
        </w:tc>
        <w:tc>
          <w:tcPr>
            <w:tcW w:w="4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644,668</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524,024</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EB-5 Loan Agreement</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July 21, 2023, the Company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$100,000, and outstanding borrowings bear interest at a fixed rate of 4.75%. The loan matures in 5 years from the initial advance with an option to extend the maturity by two one-year periods. It is expected that the loan will be secured by NFE's green hydrogen facility, and NFE has provided a guarantee of our obligations under the EB-5 Loan Agreement. In July 2023, $25,600 was funded under the EB-5 Loan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August 3, 2023, the Company entered into a Term Loan Credit Agreement (the “Term Loan Agreement”) pursuant to which the lenders funded term loans (the “Term Loans”) to the Company in an aggregate principal amount of $400,000. The proceeds of the Term Loans may be used for working capital and other general corporate purposes. The Term Loans will mature on August 1, 2024 and are payable in full on the maturity date.</w:t>
      </w:r>
    </w:p>
    <w:p>
      <w:pPr>
        <w:spacing w:after="0" w:line="16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Term Loans are guaranteed on a senior secured basis by each domestic subsidiary that is a guarantor under the 2025 Notes, 2026 Notes and Revolving Facility (each as defined in the Annual Report) and will be guaranteed on a senior secured basis by each foreign guarantor that is a guarantor under the 2025 Notes, 2026 Notes and Revolving Facility (each</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defined in the Annual Report) on a post-closing basis. The Term Loans are and will be secured by substantially the same collateral as the first lien obligations under the 2025 Notes, 2026 Notes and Revolving Facility.</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Term Loans bear interest at a per annum rate equal to Adjusted Term SOFR (as defined in the Term Loan Agreement) plus 3.50%. The Company may prepay Term Loans at its option at any time without premium (subject to customary break funding costs). The Company is required to prepay Term Loans with the net proceeds of certain asset sales, condemnations, and debt and convertible securities issuances, in each case subject to certain exceptions and thresholds. Additionally, commencing with the fiscal quarter ending December 31, 2023, the Company will be required to prepay Term Loans with the Company’s Excess Cash Flow (as defined in the Term Loan Agreement).</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Term Loan Agreement contains usual and customary representations and warranties, and usual and customary affirmative and negative covenants, including requirements to maintain certain levels of total debt to capitalization and total first lien debt to EBITDA, and the ratios required to be maintained are consistent with the requirements under the Revolving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On July 31, 2023, we borrowed an additional $85,000 under the Equipment Notes, and we expect to receive funding on the final tranche of the Equipment Notes of $15,000 in August 2023.</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6" w:right="41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You should read “Risk Factors” and “Cautionary Statement on Forward-Looking Statements” elsewhere in this Quarterly Report on Form 10-Q (“Quarterly Report”) and under similar headings in the Annual Report on Form 10-K for the year ended December 31, 2022 (our “Annual Report”) for a discussion of important factors that could cause actual results to differ materially from the results described in or implied by the forward-looking statements contained in the following discussion and analysis.</w:t>
      </w:r>
    </w:p>
    <w:p>
      <w:pPr>
        <w:spacing w:after="0" w:line="18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spacing w:after="0" w:line="17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Unless the context otherwise requires, references to “Company,” “NFE,” “we,” “our,” “us” or like terms refer to New Fortress Energy Inc.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in our Annual Report, “Items 1 and 2: Business and Properties” under “Sustainability—Toward a Very-Low Carbon Future.”</w:t>
      </w:r>
    </w:p>
    <w:p>
      <w:pPr>
        <w:spacing w:after="0" w:line="17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chief operating decision maker makes resource allocation decisions and assesses performance on the basis of two operating segments, Terminals and Infrastructure and Ships.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third-party suppliers and from our own liquefaction facility in Miami, Florida. Starting in the third quarter of 2023, we expect to begin to source a portion of our LNG from our modular floating liquefaction facilities, which we refer to as "Fast LNG" or "FLNG." The Terminals and Infrastructure segment includes all terminal operations in Jamaica, Puerto Rico, Mexico and Brazil, as well as vessels utilized in our terminal or logistics operations. We centrally manage our LNG supply and the deployment of our vessels utilized in our terminal or logistics operations, which allows us to optimally manage our LNG supply and fleet.</w:t>
      </w:r>
    </w:p>
    <w:p>
      <w:pPr>
        <w:spacing w:after="0" w:line="195"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Our Ships segment includes all vessels which are leased to customers under long-term or spot arrangements. The Company’s investment in Energos (defined below) is also included in the Ships segment. Over time, we expect to utilize these vessels in our own terminal operations as charter agreements for these vessels expire.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 – Terminals and Infrastructure</w:t>
      </w:r>
    </w:p>
    <w:p>
      <w:pPr>
        <w:spacing w:after="0" w:line="229"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Our management team has successfully employed our strategy to secure long-term contracts with significant customers, including Jamaica Public Service Company Limited (“JPS”), the sole public utility in Jamaica, South Jamaica Power Company Limited (“SJPC”), an affiliate of JPS, Jamalco, a bauxite mining and alumina producer in Jamaica, the Puerto Rico Electric Power Authority (“PREPA”), and Comisión Federal de Electricidad (“CFE”), Mexico’s power utility,</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each of which is described in more detail below. Our assets built to service these significant customers have been designed with capacity to service other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Montego Bay Facility</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Montego Bay Facility serves as our supply hub for the north side of Jamaica, providing natural gas to JPS to fuel the 145MW Bogue power plant in Montego Bay, Jamaica ("Bogue Power Plant"). Our Montego Bay Facility commenced commercial operations in October 2016 and is capable of processing up to 61,000 MMBtu of LNG per day and features approximately 7,000 cubic meters of onsite storage. The Montego Bay Facility also consists of an ISO loading facility that can transport LNG to numerous on-island industrial users.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Harbour Facility</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Old Harbour Facility is an offshore facility consisting of an FSRU that is capable of processing up to 750,000 MMBtus of LNG per day. The Old Harbour Facility commenced commercial operations in June 2019 and supplies natural gas to the 190MW Old Harbour power plant (“Old Harbour Power Plant”) operated by SJPC. The Old Harbour Facility is also supplying natural gas to our dual-fired combined heat and power facility in Clarendon, Jamaica (“CHP Plant”). The CHP Plant supplies electricity to JPS under a long-term agreement. The CHP Plant also provides steam to Jamalco under a long-term take-or-pay agreement. The Old Harbour Facility also supplies gas directly to Jamalco to utilize in their gas-fired boilers.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Juan Facility</w:t>
      </w:r>
    </w:p>
    <w:p>
      <w:pPr>
        <w:spacing w:after="0" w:line="22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other industrial end-user customers in Puerto Rico.</w:t>
      </w:r>
    </w:p>
    <w:p>
      <w:pPr>
        <w:spacing w:after="0" w:line="149"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the first and second quarters of 2023, we entered into agreements with Weston Solutions, Inc. ("Weston") for the installation and operation of approximately 350MW of additional power to be generated at the Palo Seco Power Plant and San Juan Power Plant in Puerto Rico as well as the supply of natural gas. Weston has been contracted by the U.S. Army Corps of Engineers to support the island’s grid stabilization project with additional power capacity to enable maintenance and repair work on Puerto Rico’s power system and grid. We commissioned 150MW of duel-fuel power generation using our gas supply in the second quarter of 2023 and we expect that the remaining 200MW will be commissioned in the third quarter of 2023.</w:t>
      </w:r>
    </w:p>
    <w:p>
      <w:pPr>
        <w:spacing w:after="0" w:line="16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the first quarter of 2023, our wholly-owned subsidiary, Genera PR LLC ("Genera"), was awarded a 10-Year contract for the operation and maintenance of PREPA’s thermal generation assets with the goal of reducing costs and improving reliability of power generation in Puerto Rico. We will receive an annual management fee and be eligible for performance-based incentive fees, beginning after the service period under the contract commenced on July 1,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 Paz Facility</w:t>
      </w:r>
    </w:p>
    <w:p>
      <w:pPr>
        <w:spacing w:after="0" w:line="22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In July 2021, we began commercial operations at the Port of Pichilingue in Baja California Sur, Mexico (the “La Paz Facility”). The La Paz Facility is expected to supply approximately 22,300 MMBtu of LNG per day to our 100MW gas-fired modular power units (the “La Paz Power Plant”) following the start of operations. Natural gas supply to the La Paz Power Plant may be increased to approximately 29,000 MMBtu of LNG per day for up to 135MW of power.</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the fourth quarter of 2022, we finalized short-form agreements with CFE to expand and extend our supply of natural gas to multiple CFE power generation facilities in Baja California Sur and to sell the La Paz Power Plant to CFE. We executed the final long-form gas sales agreement in the second quarter of 2023, which is subject to certain conditions precedent including the execution of the final agreement to sell the La Paz Power Plant. We expect to execute the final long-form agreement to sell the La Paz Power Plant in the second half of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Miami Facility</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Miami Facility began operations in April 2016. This facility has liquefaction capacity of approximately 8,300 MMBtu of LNG per day and enables us to produce LNG for sales directly to industrial end-users in southern Florida,</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including Florida East Coast Railway via our train loading facility, and other customers throughout the Caribbean using ISO containers.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LNG Supply and Cargo Sales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NFE provides reliable, affordable and clean energy supplies to customers around the world that we plan to satisfy through the following sources: 1) our current contractual supply commitments; 2) additional LNG supply contracts expected to commence in 2027; 3) our Miami Facility; and 4) supply from our own Fast LNG production. We have secured commitments to purchase and receive physical delivery of LNG volumes for 100% of our expected committed volumes for each of our downstream terminals inclusive of our Montego Bay Facility, Old Harbour Facility, San Juan Facility, La Paz Facility, Puerto Sandino Facility, Barcarena Facility and Santa Catarina Facility. Additionally, we have binding contracts for LNG volumes from two separate U.S. LNG facilities, each with a 20-year term, which are expected to commence in 2027. Finally, we plan to commence production from our own Fast LNG facilities in the third quarter of 2023. We plan to expand that capacity when additional Fast LNG units come online over the next two years.</w:t>
      </w:r>
    </w:p>
    <w:p>
      <w:pPr>
        <w:spacing w:after="0" w:line="16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recent geopolitical events in Europe have substantially impacted the natural gas and LNG markets with unprecedented price increases and volatility. The majority of our LNG supply contracts are based on a natural gas-based index, Henry Hub, plus a contractual spread. We limit our exposure to fluctuations in natural gas prices as our pricing in contracts with customers is largely based on the Henry Hub index price plus a fixed fee component. Additionally, with our own Fast LNG production expected to commence in the third quarter of 2023, we plan to further mitigate our exposure to variability in LNG prices. Due to current market conditions, we expect that our revenue and results of operations will benefit in the near term from selling cargos into the elevated global LNG market. As FLNG facilities commence production, our long-term strategy is to sell substantially all cargos produced to customers on a long-term, take-or-pay basis through our downstream terminals.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Operations – Ships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Ships segment includes Floating Storage and Regasification Units ("FSRUs"), Floating Storage Units ("FSUs") and LNG carriers ("LNGCs"), which are leased to customers under long-term or spot arrangements. At the expiration of third party charters of vessels owned by Energos Infrastructure (“Energos”), an entity formed in 2022 and described in more detail below, we plan to charter these vessels for our own operational purposes. Two FSRUs, one FSU and LNG carrier are currently utilized in our terminal operations, and the results of operations of these vessels are reflected in the Terminals and Infrastructure segment.</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 xml:space="preserve">In August 2022, we completed a transaction (the “Energos Formation Transaction”) with an affiliate of Apollo Global Management, Inc., pursuant to which we transferred ownership of 11 vessel to Energos in exchange for approximately $1.85 billion in cash and a 20% equity interest in Energos. Ten of the vessels were subject to current or future charters with NFE and one vessel (the </w:t>
      </w:r>
      <w:r>
        <w:rPr>
          <w:rFonts w:ascii="Arial" w:cs="Arial" w:eastAsia="Arial" w:hAnsi="Arial"/>
          <w:sz w:val="17"/>
          <w:szCs w:val="17"/>
          <w:i w:val="1"/>
          <w:iCs w:val="1"/>
          <w:color w:val="auto"/>
        </w:rPr>
        <w:t>Nanook</w:t>
      </w:r>
      <w:r>
        <w:rPr>
          <w:rFonts w:ascii="Arial" w:cs="Arial" w:eastAsia="Arial" w:hAnsi="Arial"/>
          <w:sz w:val="17"/>
          <w:szCs w:val="17"/>
          <w:color w:val="auto"/>
        </w:rPr>
        <w:t>) was not subject to a future NFE charter. The in-place and future charters to NFE of ten vessels prevent the recognition of the sale of those vessels to Energos, and the proceeds associated with these vessels have been treated as a failed sale leaseback As a result, these ten vessels continue to be recognized on our consolidated balance sheet as Property, plant and equipment, and the proceeds are recognized as debt. Consistent with this treatment as a failed sale leaseback, (i) the third party charter revenues continue to be recognized by us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Projects</w:t>
      </w:r>
    </w:p>
    <w:p>
      <w:pPr>
        <w:spacing w:after="0" w:line="229"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Our projects currently under development include our development of a series of modular floating liquefaction facilities to provide a source of low-cost supply of LNG to customers around the world through our Fast LNG technologies; our LNG terminal facility and power plant in Puerto Sandino, Nicaragua (“Puerto Sandino Facility”); our LNG terminal (“Barcarena Facility”) and power plant (“Barcarena Power Plant”) located in Pará, Brazil; our LNG terminal located on the southern coast of Brazil ("Santa Catarina Terminal"); and our LNG terminal (“Ireland Facility”) and power plant in Ireland. We are also in active discussions to develop projects in multiple regions around the world that may have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significant demand for additional power, LNG and natural gas, although there can be no assurance that these discussions will result in additional contracts or that we will be able to achieve our target revenue or results of operations.</w:t>
      </w:r>
    </w:p>
    <w:p>
      <w:pPr>
        <w:spacing w:after="0" w:line="170"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The design, development, construction and operation of our projects are highly regulated activities and subject to various approvals and permits. The process to obtain required permits, approvals and authorizations is complex, time-consuming, challenging and varies in each jurisdiction in which we operate. We obtain required permits, approvals and authorizations in due course in connection with each milestone for our projects.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describe each of our current development projects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LNG</w:t>
      </w:r>
    </w:p>
    <w:p>
      <w:pPr>
        <w:spacing w:after="0" w:line="225"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are currently developing multiple modular floating liquefaction facilities to provide a source of low-cost supply of LNG to customers around the world. We have designed and are constructing offshore liquefaction facilities for our growing customer base that we believe are both faster and more economical to construct than many traditional liquefaction solutions. The “Fast LNG,” or “FLNG,” design pairs advancements in modular, midsize liquefaction technology with jack up rigs, semi-submersible rigs or similar marine floating infrastructure to enable a lower cost and faster deployment schedule than land-based alternatives. Semi-permanently moored floating storage unit(s) (FSUs) will provide LNG storage alongside the floating liquefaction infrastructure, which can be deployed anywhere there is abundant and stranded natural gas.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initial Fast LNG units are being constructed at the Kiewit Offshore Services shipyard near Corpus Christi, Texas. The Kiewit facility specializes in the fabrication and integration of offshore projects. In partnership with Kiewit, we believe we have established an efficient and repeatable process to reduce cost and time to build incremental liquefaction capacity. We expect to deploy our first Fast LNG unit in the third quarter of 2023 and additional units in 2024.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plan to deploy several Fast LNG units at different locations around the world and describe our currently planned projects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Altamira</w:t>
      </w:r>
    </w:p>
    <w:p>
      <w:pPr>
        <w:spacing w:after="0" w:line="22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 the first quarter of 2023, we executed an agreement, which include conditions to effectiveness that have not been satisfied, with CFE to supply natural gas for one FLNG unit located off the coast of Altamira, Tamaulipas, Mexico. The 1.4 million ton per annum (“MTPA”) FLNG unit will utilize CFE’s firm pipeline transportation capacity on the Sur de Texas-Tuxpan Pipeline to receive feedgas volumes. We expect to deploy this FLNG unit to Altamira in the third quarter of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Louisiana</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In addition, we plan to install up to two FLNG units approximately 16 nautical miles off the southeast coast of Grand Isle, Louisiana. We have filed applications with the U.S. Maritime Administration ("MARAD") and the U.S. Coast Guard to obtain our deepwater port license application for this facility. The facility will be capable of exporting up to approximately 145 billion cubic feet of natural gas per year, equivalent to approximately 2.8 MTPA of LNG.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Lakach</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Also, in the fourth quarter of 2022, we finalized agreements, which include conditions to effectiveness that have not been satisfied, with Petróleos Mexicanos (“Pemex”) to form a long-term strategic partnership to develop the Lakach deepwater natural gas field for Pemex to supply natural gas to Mexico's onshore domestic market and for NFE to produce LNG for export to global markets. If the agreements become effective, NFE would invest in the continued development of the Lakach field over a two-year period by completing seven offshore wells and deploy a 1.4 MTPA Fast LNG unit to liquefy the majority of the produced natural gas. Remaining natural gas and associated condensate volumes would be utilized by Pemex in Mexico's onshore domestic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Puerto Sandino Facility</w:t>
      </w:r>
    </w:p>
    <w:p>
      <w:pPr>
        <w:spacing w:after="0" w:line="225" w:lineRule="exact"/>
        <w:rPr>
          <w:sz w:val="20"/>
          <w:szCs w:val="20"/>
          <w:color w:val="auto"/>
        </w:rPr>
      </w:pPr>
    </w:p>
    <w:p>
      <w:pPr>
        <w:jc w:val="both"/>
        <w:ind w:right="520" w:firstLine="324"/>
        <w:spacing w:after="0" w:line="263" w:lineRule="auto"/>
        <w:rPr>
          <w:sz w:val="20"/>
          <w:szCs w:val="20"/>
          <w:color w:val="auto"/>
        </w:rPr>
      </w:pPr>
      <w:r>
        <w:rPr>
          <w:rFonts w:ascii="Arial" w:cs="Arial" w:eastAsia="Arial" w:hAnsi="Arial"/>
          <w:sz w:val="18"/>
          <w:szCs w:val="18"/>
          <w:color w:val="auto"/>
        </w:rPr>
        <w:t>We are developing an offshore facility consisting of an FSRU and associated infrastructure, including mooring and offshore pipelines, in Puerto Sandino, Nicaragua. We have entered into a 25-year PPA with Nicaragua’s electricity distribution companies, and we expect to utilize approximately 57,500 MMBtu from LNG per day to provide natural gas to</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Puerto Sandino Power Plant in connection with the 25-year power purchase agreement. As part of our long-term partnership with the local utility, we are evaluating solutions to optimize power generation efficiency and allow for additional electrical capacity in a market that is underserved. We expect to complete this optimization in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Barcarena Facility</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Barcarena Facility consists of an FSRU and associated infrastructure, including mooring and offshore and onshore pipelines. The Barcarena Facility is capable of processing up to 790,000 MMBtu per day and storing up to 170,000 cubic meters of LNG. The Barcarena Facility is expected to supply gas to third-party industrial and power customers as well as the Barcarena Power Plant, a new 630MW combined cycle thermal power plant to be located in Pará, Brazil, which we own. The Barcarena Power Plant is supported by multiple 25-year power purchase agreements to supply electricity to the national electricity grid. The power project is scheduled to deliver power to nine committed offtakers for 25 years beginning in 2025. We substantially completed our Barcarena Facility in 2022 and expect to commence operations by the end of 2023. We expect to complete the Barcarena Power Plant and to commence operations in 2025.</w:t>
      </w:r>
    </w:p>
    <w:p>
      <w:pPr>
        <w:spacing w:after="0" w:line="195" w:lineRule="exact"/>
        <w:rPr>
          <w:sz w:val="20"/>
          <w:szCs w:val="20"/>
          <w:color w:val="auto"/>
        </w:rPr>
      </w:pPr>
    </w:p>
    <w:p>
      <w:pPr>
        <w:jc w:val="both"/>
        <w:ind w:right="120" w:firstLine="324"/>
        <w:spacing w:after="0" w:line="277" w:lineRule="auto"/>
        <w:rPr>
          <w:sz w:val="20"/>
          <w:szCs w:val="20"/>
          <w:color w:val="auto"/>
        </w:rPr>
      </w:pPr>
      <w:r>
        <w:rPr>
          <w:rFonts w:ascii="Arial" w:cs="Arial" w:eastAsia="Arial" w:hAnsi="Arial"/>
          <w:sz w:val="18"/>
          <w:szCs w:val="18"/>
          <w:color w:val="auto"/>
        </w:rPr>
        <w:t>We have financed the development of the Barcarena Power Plant pursuant to a financing agreement. For information on this financing agreement, see “—Long-Term Debt and Preferred Stock” in our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Santa Catarina Facility</w:t>
      </w:r>
    </w:p>
    <w:p>
      <w:pPr>
        <w:spacing w:after="0" w:line="225" w:lineRule="exact"/>
        <w:rPr>
          <w:sz w:val="20"/>
          <w:szCs w:val="20"/>
          <w:color w:val="auto"/>
        </w:rPr>
      </w:pPr>
    </w:p>
    <w:p>
      <w:pPr>
        <w:jc w:val="both"/>
        <w:ind w:right="120" w:firstLine="324"/>
        <w:spacing w:after="0" w:line="296" w:lineRule="auto"/>
        <w:rPr>
          <w:sz w:val="20"/>
          <w:szCs w:val="20"/>
          <w:color w:val="auto"/>
        </w:rPr>
      </w:pPr>
      <w:r>
        <w:rPr>
          <w:rFonts w:ascii="Arial" w:cs="Arial" w:eastAsia="Arial" w:hAnsi="Arial"/>
          <w:sz w:val="16"/>
          <w:szCs w:val="16"/>
          <w:color w:val="auto"/>
        </w:rPr>
        <w:t>The Santa Catarina Facility will be located on the southern coast of Brazil and will consist of an FSRU with a processing capacity of approximately 570,000 MMBtus per day and LNG storage capacity of up to 170,000 cubic meters. We are developing a 33-kilometer, 20-inch pipeline that will connect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We expect to complete our Santa Catarina Facility and commence operations in the first quarter of 2024.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Ireland Facility</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intend to develop and operate an LNG facility and power plant on the Shannon Estuary, near Tarbert, Ireland. We are in the process of obtaining final planning permission from An Bord Pleanála (“ABP”) in Ireland. While the specific timing for receiving the required permits is unknown, we have undertaken pre-development work that will allow us to complete the terminal in approximately 9-15 months after receiving the required permits. In April 2023, we were awarded a capacity contract for the development of a power plant for approximately 353 MW of electricity generation with a duration of ten years as part of the auction process operated by Ireland’s Transmission System Operator. The power plant is required to be operational by October 2026.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August 3, 2023, we entered into a Term Loan Credit Agreement (the “Term Loan Agreement”) pursuant to which the lenders funded term loans (the “Term Loans”) to us in an aggregate principal amount of $400 million. The proceeds of the Term Loans may be used for working capital and other general corporate purposes. The Term Loans will mature on August 1, 2024 and are payable in full on the maturity date.</w:t>
      </w:r>
    </w:p>
    <w:p>
      <w:pPr>
        <w:spacing w:after="0" w:line="165"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The Term Loans bear interest at a per annum rate equal to Adjusted Term SOFR plus 3.50%. We may prepay Term Loans at our option at any time without premium, and we are required to prepay Term Loans with the net proceeds of certain asset sales, condemnations, and debt and convertible securities issuances. Additionally, commencing with the fourth quarter of 2023, we will be required to prepay Term Loans with Excess Cash Flow (as defined in the Term Loan Agreement).</w:t>
      </w:r>
    </w:p>
    <w:p>
      <w:pPr>
        <w:spacing w:after="0" w:line="18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Term Loan Agreement contains usual and customary representations and warranties, and usual and customary affirmative and negative covenants, including requirements to maintain certain levels of total debt to capitalization and total first lien debt to EBITDA, and the ratios required to be maintained are consistent with the requirements under the Revolving Facility.</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June 18, 2020, we received an order from the Federal Energy Regulatory Commission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the FERC order was affirmed by the United States Court of Appeals for the District of Columbia Circuit on June 14, 2022. In order to comply with the FERC’s directive, on September 15, 2021, we filed an application for authorization to operate the San Juan Facility, which remains pending.</w:t>
      </w:r>
    </w:p>
    <w:p>
      <w:pPr>
        <w:spacing w:after="0" w:line="19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 take action to prevent the construction and operation of the pipeline and interconnect.</w:t>
      </w:r>
    </w:p>
    <w:p>
      <w:pPr>
        <w:spacing w:after="0" w:line="16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Results of Operations – Three Months Ended June 30, 2023 compared to Three Months Ended March 31, 2023 and Six Months Ended June 30, 2023 compared to Six Months Ended June 30, 2022</w:t>
      </w:r>
    </w:p>
    <w:p>
      <w:pPr>
        <w:spacing w:after="0" w:line="16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 We believe this non-GAAP measure, as we have defined it, offers a useful supplemental measure of the overall performance of our operating assets in evaluating our profitability in a manner that is consistent with metrics used for management’s evaluation of the overall performance of our operating assets.</w:t>
      </w:r>
    </w:p>
    <w:p>
      <w:pPr>
        <w:spacing w:after="0" w:line="17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Consolidated Segment Operating Margin is not a measurement of financial performance under GAAP and should not be considered in isolation or as an alternative to Gross margin, income/(loss) from operations, net income/(loss),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and facilitates measuring and achieving optimal financial performance of our current operations.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tables below present our segment information for the three months ended June 30, 2023 and March 31, 2023, and for the six months ended June 30, 2023 and June 30, 2022:</w:t>
      </w:r>
    </w:p>
    <w:p>
      <w:pPr>
        <w:spacing w:after="0" w:line="24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Three Months Ended June 30,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210"/>
              <w:spacing w:after="0" w:line="189" w:lineRule="exact"/>
              <w:rPr>
                <w:sz w:val="20"/>
                <w:szCs w:val="20"/>
                <w:color w:val="auto"/>
              </w:rPr>
            </w:pPr>
            <w:r>
              <w:rPr>
                <w:rFonts w:ascii="Arial" w:cs="Arial" w:eastAsia="Arial" w:hAnsi="Arial"/>
                <w:sz w:val="18"/>
                <w:szCs w:val="18"/>
                <w:b w:val="1"/>
                <w:bCs w:val="1"/>
                <w:color w:val="auto"/>
                <w:w w:val="98"/>
              </w:rPr>
              <w:t>Terminals and</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vMerge w:val="restart"/>
          </w:tcPr>
          <w:p>
            <w:pPr>
              <w:jc w:val="right"/>
              <w:ind w:right="510"/>
              <w:spacing w:after="0"/>
              <w:rPr>
                <w:sz w:val="20"/>
                <w:szCs w:val="20"/>
                <w:color w:val="auto"/>
              </w:rPr>
            </w:pPr>
            <w:r>
              <w:rPr>
                <w:rFonts w:ascii="Arial" w:cs="Arial" w:eastAsia="Arial" w:hAnsi="Arial"/>
                <w:sz w:val="18"/>
                <w:szCs w:val="18"/>
                <w:b w:val="1"/>
                <w:bCs w:val="1"/>
                <w:color w:val="auto"/>
              </w:rPr>
              <w:t>Ships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b w:val="1"/>
                <w:bCs w:val="1"/>
                <w:color w:val="auto"/>
                <w:w w:val="88"/>
              </w:rPr>
              <w:t>Total Segment</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b w:val="1"/>
                <w:bCs w:val="1"/>
                <w:color w:val="auto"/>
                <w:w w:val="88"/>
              </w:rPr>
              <w:t>Consolidation</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Infrastructure</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130"/>
              <w:spacing w:after="0" w:line="230" w:lineRule="exact"/>
              <w:rPr>
                <w:sz w:val="20"/>
                <w:szCs w:val="20"/>
                <w:color w:val="auto"/>
              </w:rPr>
            </w:pPr>
            <w:r>
              <w:rPr>
                <w:rFonts w:ascii="Arial" w:cs="Arial" w:eastAsia="Arial" w:hAnsi="Arial"/>
                <w:sz w:val="18"/>
                <w:szCs w:val="18"/>
                <w:b w:val="1"/>
                <w:bCs w:val="1"/>
                <w:color w:val="auto"/>
                <w:w w:val="90"/>
              </w:rPr>
              <w:t>and Other</w:t>
            </w:r>
            <w:r>
              <w:rPr>
                <w:rFonts w:ascii="Arial" w:cs="Arial" w:eastAsia="Arial" w:hAnsi="Arial"/>
                <w:sz w:val="23"/>
                <w:szCs w:val="23"/>
                <w:b w:val="1"/>
                <w:bCs w:val="1"/>
                <w:color w:val="auto"/>
                <w:w w:val="90"/>
                <w:vertAlign w:val="superscript"/>
              </w:rPr>
              <w:t>(3)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495,504</w:t>
            </w:r>
          </w:p>
        </w:tc>
        <w:tc>
          <w:tcPr>
            <w:tcW w:w="4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561,345</w:t>
            </w: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561,345</w:t>
            </w:r>
          </w:p>
        </w:tc>
        <w:tc>
          <w:tcPr>
            <w:tcW w:w="0" w:type="dxa"/>
            <w:vAlign w:val="bottom"/>
          </w:tcPr>
          <w:p>
            <w:pPr>
              <w:spacing w:after="0"/>
              <w:rPr>
                <w:sz w:val="1"/>
                <w:szCs w:val="1"/>
                <w:color w:val="auto"/>
              </w:rPr>
            </w:pPr>
          </w:p>
        </w:tc>
      </w:tr>
      <w:tr>
        <w:trPr>
          <w:trHeight w:val="270"/>
        </w:trPr>
        <w:tc>
          <w:tcPr>
            <w:tcW w:w="2400" w:type="dxa"/>
            <w:vAlign w:val="bottom"/>
          </w:tcPr>
          <w:p>
            <w:pPr>
              <w:ind w:left="20"/>
              <w:spacing w:after="0"/>
              <w:rPr>
                <w:sz w:val="20"/>
                <w:szCs w:val="20"/>
                <w:color w:val="auto"/>
              </w:rPr>
            </w:pPr>
            <w:r>
              <w:rPr>
                <w:rFonts w:ascii="Arial" w:cs="Arial" w:eastAsia="Arial" w:hAnsi="Arial"/>
                <w:sz w:val="18"/>
                <w:szCs w:val="18"/>
                <w:color w:val="auto"/>
              </w:rPr>
              <w:t>Cost of sales</w:t>
            </w:r>
            <w:r>
              <w:rPr>
                <w:rFonts w:ascii="Arial" w:cs="Arial" w:eastAsia="Arial" w:hAnsi="Arial"/>
                <w:sz w:val="23"/>
                <w:szCs w:val="23"/>
                <w:color w:val="auto"/>
                <w:vertAlign w:val="superscript"/>
              </w:rPr>
              <w:t>(1)(2)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222,371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222,371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225,768</w:t>
            </w: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Vessel operating expenses</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11,443</w:t>
            </w:r>
          </w:p>
        </w:tc>
        <w:tc>
          <w:tcPr>
            <w:tcW w:w="0" w:type="dxa"/>
            <w:vAlign w:val="bottom"/>
          </w:tcPr>
          <w:p>
            <w:pPr>
              <w:spacing w:after="0"/>
              <w:rPr>
                <w:sz w:val="1"/>
                <w:szCs w:val="1"/>
                <w:color w:val="auto"/>
              </w:rPr>
            </w:pPr>
          </w:p>
        </w:tc>
      </w:tr>
      <w:tr>
        <w:trPr>
          <w:trHeight w:val="257"/>
        </w:trPr>
        <w:tc>
          <w:tcPr>
            <w:tcW w:w="2400" w:type="dxa"/>
            <w:vAlign w:val="bottom"/>
            <w:tcBorders>
              <w:bottom w:val="single" w:sz="8" w:color="CCEEFF"/>
            </w:tcBorders>
          </w:tcPr>
          <w:p>
            <w:pPr>
              <w:ind w:left="20"/>
              <w:spacing w:after="0" w:line="256" w:lineRule="exact"/>
              <w:rPr>
                <w:sz w:val="20"/>
                <w:szCs w:val="20"/>
                <w:color w:val="auto"/>
              </w:rPr>
            </w:pPr>
            <w:r>
              <w:rPr>
                <w:rFonts w:ascii="Arial" w:cs="Arial" w:eastAsia="Arial" w:hAnsi="Arial"/>
                <w:sz w:val="18"/>
                <w:szCs w:val="18"/>
                <w:color w:val="auto"/>
                <w:w w:val="94"/>
              </w:rPr>
              <w:t>Operations and maintenance</w:t>
            </w:r>
            <w:r>
              <w:rPr>
                <w:rFonts w:ascii="Arial" w:cs="Arial" w:eastAsia="Arial" w:hAnsi="Arial"/>
                <w:sz w:val="23"/>
                <w:szCs w:val="23"/>
                <w:color w:val="auto"/>
                <w:w w:val="94"/>
                <w:vertAlign w:val="superscript"/>
              </w:rPr>
              <w:t>(4)</w:t>
            </w: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33,697</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33,697</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33,697</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239,436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54,398</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293,834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290,437</w:t>
            </w:r>
          </w:p>
        </w:tc>
        <w:tc>
          <w:tcPr>
            <w:tcW w:w="0" w:type="dxa"/>
            <w:vAlign w:val="bottom"/>
          </w:tcPr>
          <w:p>
            <w:pPr>
              <w:spacing w:after="0"/>
              <w:rPr>
                <w:sz w:val="1"/>
                <w:szCs w:val="1"/>
                <w:color w:val="auto"/>
              </w:rPr>
            </w:pPr>
          </w:p>
        </w:tc>
      </w:tr>
      <w:tr>
        <w:trPr>
          <w:trHeight w:val="588"/>
        </w:trPr>
        <w:tc>
          <w:tcPr>
            <w:tcW w:w="2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center"/>
              <w:ind w:right="530"/>
              <w:spacing w:after="0"/>
              <w:rPr>
                <w:sz w:val="20"/>
                <w:szCs w:val="20"/>
                <w:color w:val="auto"/>
              </w:rPr>
            </w:pPr>
            <w:r>
              <w:rPr>
                <w:rFonts w:ascii="Arial" w:cs="Arial" w:eastAsia="Arial" w:hAnsi="Arial"/>
                <w:sz w:val="18"/>
                <w:szCs w:val="18"/>
                <w:b w:val="1"/>
                <w:bCs w:val="1"/>
                <w:color w:val="auto"/>
                <w:w w:val="90"/>
              </w:rPr>
              <w:t>Three Months Ended June 30, 2023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248,322</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Depreciation and amortization</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42,115</w:t>
            </w:r>
          </w:p>
        </w:tc>
        <w:tc>
          <w:tcPr>
            <w:tcW w:w="0" w:type="dxa"/>
            <w:vAlign w:val="bottom"/>
          </w:tcPr>
          <w:p>
            <w:pPr>
              <w:spacing w:after="0"/>
              <w:rPr>
                <w:sz w:val="1"/>
                <w:szCs w:val="1"/>
                <w:color w:val="auto"/>
              </w:rPr>
            </w:pPr>
          </w:p>
        </w:tc>
      </w:tr>
      <w:tr>
        <w:trPr>
          <w:trHeight w:val="250"/>
        </w:trPr>
        <w:tc>
          <w:tcPr>
            <w:tcW w:w="458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w w:val="98"/>
              </w:rPr>
              <w:t>Consolidated Segment Operating Margin (Non-GAAP)</w:t>
            </w: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290,437</w:t>
            </w:r>
          </w:p>
        </w:tc>
        <w:tc>
          <w:tcPr>
            <w:tcW w:w="0" w:type="dxa"/>
            <w:vAlign w:val="bottom"/>
          </w:tcPr>
          <w:p>
            <w:pPr>
              <w:spacing w:after="0"/>
              <w:rPr>
                <w:sz w:val="1"/>
                <w:szCs w:val="1"/>
                <w:color w:val="auto"/>
              </w:rPr>
            </w:pPr>
          </w:p>
        </w:tc>
      </w:tr>
      <w:tr>
        <w:trPr>
          <w:trHeight w:val="588"/>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60" w:type="dxa"/>
            <w:vAlign w:val="bottom"/>
            <w:gridSpan w:val="10"/>
          </w:tcPr>
          <w:p>
            <w:pPr>
              <w:jc w:val="center"/>
              <w:ind w:right="290"/>
              <w:spacing w:after="0"/>
              <w:rPr>
                <w:sz w:val="20"/>
                <w:szCs w:val="20"/>
                <w:color w:val="auto"/>
              </w:rPr>
            </w:pPr>
            <w:r>
              <w:rPr>
                <w:rFonts w:ascii="Arial" w:cs="Arial" w:eastAsia="Arial" w:hAnsi="Arial"/>
                <w:sz w:val="18"/>
                <w:szCs w:val="18"/>
                <w:b w:val="1"/>
                <w:bCs w:val="1"/>
                <w:color w:val="auto"/>
                <w:w w:val="92"/>
              </w:rPr>
              <w:t>Three Months Ended March 31, 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w w:val="98"/>
              </w:rPr>
              <w:t>Terminals 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Ships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8"/>
              </w:rPr>
              <w:t>Total Segment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130"/>
              <w:spacing w:after="0" w:line="169" w:lineRule="exact"/>
              <w:rPr>
                <w:sz w:val="20"/>
                <w:szCs w:val="20"/>
                <w:color w:val="auto"/>
              </w:rPr>
            </w:pPr>
            <w:r>
              <w:rPr>
                <w:rFonts w:ascii="Arial" w:cs="Arial" w:eastAsia="Arial" w:hAnsi="Arial"/>
                <w:sz w:val="18"/>
                <w:szCs w:val="18"/>
                <w:b w:val="1"/>
                <w:bCs w:val="1"/>
                <w:color w:val="auto"/>
                <w:w w:val="88"/>
              </w:rPr>
              <w:t>Consolidation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Infrastructure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130"/>
              <w:spacing w:after="0" w:line="230" w:lineRule="exact"/>
              <w:rPr>
                <w:sz w:val="20"/>
                <w:szCs w:val="20"/>
                <w:color w:val="auto"/>
              </w:rPr>
            </w:pPr>
            <w:r>
              <w:rPr>
                <w:rFonts w:ascii="Arial" w:cs="Arial" w:eastAsia="Arial" w:hAnsi="Arial"/>
                <w:sz w:val="18"/>
                <w:szCs w:val="18"/>
                <w:b w:val="1"/>
                <w:bCs w:val="1"/>
                <w:color w:val="auto"/>
                <w:w w:val="90"/>
              </w:rPr>
              <w:t>and Other</w:t>
            </w:r>
            <w:r>
              <w:rPr>
                <w:rFonts w:ascii="Arial" w:cs="Arial" w:eastAsia="Arial" w:hAnsi="Arial"/>
                <w:sz w:val="23"/>
                <w:szCs w:val="23"/>
                <w:b w:val="1"/>
                <w:bCs w:val="1"/>
                <w:color w:val="auto"/>
                <w:w w:val="90"/>
                <w:vertAlign w:val="superscript"/>
              </w:rPr>
              <w:t>(3)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502,608</w:t>
            </w:r>
          </w:p>
        </w:tc>
        <w:tc>
          <w:tcPr>
            <w:tcW w:w="4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97,917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600,525</w:t>
            </w: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579,131</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line="230" w:lineRule="exact"/>
              <w:rPr>
                <w:sz w:val="20"/>
                <w:szCs w:val="20"/>
                <w:color w:val="auto"/>
              </w:rPr>
            </w:pPr>
            <w:r>
              <w:rPr>
                <w:rFonts w:ascii="Arial" w:cs="Arial" w:eastAsia="Arial" w:hAnsi="Arial"/>
                <w:sz w:val="18"/>
                <w:szCs w:val="18"/>
                <w:color w:val="auto"/>
              </w:rPr>
              <w:t>Cost of sales</w:t>
            </w:r>
            <w:r>
              <w:rPr>
                <w:rFonts w:ascii="Arial" w:cs="Arial" w:eastAsia="Arial" w:hAnsi="Arial"/>
                <w:sz w:val="23"/>
                <w:szCs w:val="23"/>
                <w:color w:val="auto"/>
                <w:vertAlign w:val="superscript"/>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73,798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73,798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111,140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184,938</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Vessel operating expenses</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w w:val="94"/>
              </w:rPr>
              <w:t>Operations and maintenance</w:t>
            </w:r>
            <w:r>
              <w:rPr>
                <w:rFonts w:ascii="Arial" w:cs="Arial" w:eastAsia="Arial" w:hAnsi="Arial"/>
                <w:sz w:val="23"/>
                <w:szCs w:val="23"/>
                <w:color w:val="auto"/>
                <w:w w:val="94"/>
                <w:vertAlign w:val="superscript"/>
              </w:rPr>
              <w:t>(4)</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26,671</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26,671</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26,671</w:t>
            </w:r>
          </w:p>
        </w:tc>
        <w:tc>
          <w:tcPr>
            <w:tcW w:w="0" w:type="dxa"/>
            <w:vAlign w:val="bottom"/>
          </w:tcPr>
          <w:p>
            <w:pPr>
              <w:spacing w:after="0"/>
              <w:rPr>
                <w:sz w:val="1"/>
                <w:szCs w:val="1"/>
                <w:color w:val="auto"/>
              </w:rPr>
            </w:pPr>
          </w:p>
        </w:tc>
      </w:tr>
      <w:tr>
        <w:trPr>
          <w:trHeight w:val="223"/>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402,139</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78,678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480,817</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(126,586)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354,231</w:t>
            </w:r>
          </w:p>
        </w:tc>
        <w:tc>
          <w:tcPr>
            <w:tcW w:w="0" w:type="dxa"/>
            <w:vAlign w:val="bottom"/>
          </w:tcPr>
          <w:p>
            <w:pPr>
              <w:spacing w:after="0"/>
              <w:rPr>
                <w:sz w:val="1"/>
                <w:szCs w:val="1"/>
                <w:color w:val="auto"/>
              </w:rPr>
            </w:pPr>
          </w:p>
        </w:tc>
      </w:tr>
      <w:tr>
        <w:trPr>
          <w:trHeight w:val="588"/>
        </w:trPr>
        <w:tc>
          <w:tcPr>
            <w:tcW w:w="2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center"/>
              <w:ind w:right="430"/>
              <w:spacing w:after="0"/>
              <w:rPr>
                <w:sz w:val="20"/>
                <w:szCs w:val="20"/>
                <w:color w:val="auto"/>
              </w:rPr>
            </w:pPr>
            <w:r>
              <w:rPr>
                <w:rFonts w:ascii="Arial" w:cs="Arial" w:eastAsia="Arial" w:hAnsi="Arial"/>
                <w:sz w:val="18"/>
                <w:szCs w:val="18"/>
                <w:b w:val="1"/>
                <w:bCs w:val="1"/>
                <w:color w:val="auto"/>
                <w:w w:val="92"/>
              </w:rPr>
              <w:t>Three Months Ended March 31, 2023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319,856</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Depreciation and amortization</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34,375</w:t>
            </w:r>
          </w:p>
        </w:tc>
        <w:tc>
          <w:tcPr>
            <w:tcW w:w="0" w:type="dxa"/>
            <w:vAlign w:val="bottom"/>
          </w:tcPr>
          <w:p>
            <w:pPr>
              <w:spacing w:after="0"/>
              <w:rPr>
                <w:sz w:val="1"/>
                <w:szCs w:val="1"/>
                <w:color w:val="auto"/>
              </w:rPr>
            </w:pPr>
          </w:p>
        </w:tc>
      </w:tr>
      <w:tr>
        <w:trPr>
          <w:trHeight w:val="257"/>
        </w:trPr>
        <w:tc>
          <w:tcPr>
            <w:tcW w:w="458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w w:val="98"/>
              </w:rPr>
              <w:t>Consolidated Segment Operating Margin (Non-GAAP)</w:t>
            </w:r>
          </w:p>
        </w:tc>
        <w:tc>
          <w:tcPr>
            <w:tcW w:w="12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354,231</w:t>
            </w:r>
          </w:p>
        </w:tc>
        <w:tc>
          <w:tcPr>
            <w:tcW w:w="0" w:type="dxa"/>
            <w:vAlign w:val="bottom"/>
          </w:tcPr>
          <w:p>
            <w:pPr>
              <w:spacing w:after="0"/>
              <w:rPr>
                <w:sz w:val="1"/>
                <w:szCs w:val="1"/>
                <w:color w:val="auto"/>
              </w:rPr>
            </w:pPr>
          </w:p>
        </w:tc>
      </w:tr>
      <w:tr>
        <w:trPr>
          <w:trHeight w:val="898"/>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center"/>
              <w:ind w:left="730"/>
              <w:spacing w:after="0"/>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Six Months Ended June 30,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210"/>
              <w:spacing w:after="0" w:line="189" w:lineRule="exact"/>
              <w:rPr>
                <w:sz w:val="20"/>
                <w:szCs w:val="20"/>
                <w:color w:val="auto"/>
              </w:rPr>
            </w:pPr>
            <w:r>
              <w:rPr>
                <w:rFonts w:ascii="Arial" w:cs="Arial" w:eastAsia="Arial" w:hAnsi="Arial"/>
                <w:sz w:val="18"/>
                <w:szCs w:val="18"/>
                <w:b w:val="1"/>
                <w:bCs w:val="1"/>
                <w:color w:val="auto"/>
                <w:w w:val="96"/>
              </w:rPr>
              <w:t>Terminals and</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vMerge w:val="restart"/>
          </w:tcPr>
          <w:p>
            <w:pPr>
              <w:jc w:val="right"/>
              <w:ind w:right="530"/>
              <w:spacing w:after="0"/>
              <w:rPr>
                <w:sz w:val="20"/>
                <w:szCs w:val="20"/>
                <w:color w:val="auto"/>
              </w:rPr>
            </w:pPr>
            <w:r>
              <w:rPr>
                <w:rFonts w:ascii="Arial" w:cs="Arial" w:eastAsia="Arial" w:hAnsi="Arial"/>
                <w:sz w:val="18"/>
                <w:szCs w:val="18"/>
                <w:b w:val="1"/>
                <w:bCs w:val="1"/>
                <w:color w:val="auto"/>
              </w:rPr>
              <w:t>Ships</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w w:val="93"/>
              </w:rPr>
              <w:t>Total Segment</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center"/>
              <w:ind w:right="220"/>
              <w:spacing w:after="0" w:line="189" w:lineRule="exact"/>
              <w:rPr>
                <w:sz w:val="20"/>
                <w:szCs w:val="20"/>
                <w:color w:val="auto"/>
              </w:rPr>
            </w:pPr>
            <w:r>
              <w:rPr>
                <w:rFonts w:ascii="Arial" w:cs="Arial" w:eastAsia="Arial" w:hAnsi="Arial"/>
                <w:sz w:val="18"/>
                <w:szCs w:val="18"/>
                <w:b w:val="1"/>
                <w:bCs w:val="1"/>
                <w:color w:val="auto"/>
                <w:w w:val="89"/>
              </w:rPr>
              <w:t>Consolidation</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Infrastructure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right="220"/>
              <w:spacing w:after="0" w:line="230" w:lineRule="exact"/>
              <w:rPr>
                <w:sz w:val="20"/>
                <w:szCs w:val="20"/>
                <w:color w:val="auto"/>
              </w:rPr>
            </w:pPr>
            <w:r>
              <w:rPr>
                <w:rFonts w:ascii="Arial" w:cs="Arial" w:eastAsia="Arial" w:hAnsi="Arial"/>
                <w:sz w:val="18"/>
                <w:szCs w:val="18"/>
                <w:b w:val="1"/>
                <w:bCs w:val="1"/>
                <w:color w:val="auto"/>
                <w:w w:val="88"/>
              </w:rPr>
              <w:t>and Other</w:t>
            </w:r>
            <w:r>
              <w:rPr>
                <w:rFonts w:ascii="Arial" w:cs="Arial" w:eastAsia="Arial" w:hAnsi="Arial"/>
                <w:sz w:val="23"/>
                <w:szCs w:val="23"/>
                <w:b w:val="1"/>
                <w:bCs w:val="1"/>
                <w:color w:val="auto"/>
                <w:w w:val="88"/>
                <w:vertAlign w:val="superscript"/>
              </w:rPr>
              <w:t>(3)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998,112</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163,758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1,161,870</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(21,394)</w:t>
            </w: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1,140,476</w:t>
            </w:r>
          </w:p>
        </w:tc>
        <w:tc>
          <w:tcPr>
            <w:tcW w:w="0" w:type="dxa"/>
            <w:vAlign w:val="bottom"/>
          </w:tcPr>
          <w:p>
            <w:pPr>
              <w:spacing w:after="0"/>
              <w:rPr>
                <w:sz w:val="1"/>
                <w:szCs w:val="1"/>
                <w:color w:val="auto"/>
              </w:rPr>
            </w:pPr>
          </w:p>
        </w:tc>
      </w:tr>
      <w:tr>
        <w:trPr>
          <w:trHeight w:val="270"/>
        </w:trPr>
        <w:tc>
          <w:tcPr>
            <w:tcW w:w="2420" w:type="dxa"/>
            <w:vAlign w:val="bottom"/>
          </w:tcPr>
          <w:p>
            <w:pPr>
              <w:ind w:left="20"/>
              <w:spacing w:after="0"/>
              <w:rPr>
                <w:sz w:val="20"/>
                <w:szCs w:val="20"/>
                <w:color w:val="auto"/>
              </w:rPr>
            </w:pPr>
            <w:r>
              <w:rPr>
                <w:rFonts w:ascii="Arial" w:cs="Arial" w:eastAsia="Arial" w:hAnsi="Arial"/>
                <w:sz w:val="18"/>
                <w:szCs w:val="18"/>
                <w:color w:val="auto"/>
              </w:rPr>
              <w:t>Cost of sales</w:t>
            </w:r>
            <w:r>
              <w:rPr>
                <w:rFonts w:ascii="Arial" w:cs="Arial" w:eastAsia="Arial" w:hAnsi="Arial"/>
                <w:sz w:val="23"/>
                <w:szCs w:val="23"/>
                <w:color w:val="auto"/>
                <w:vertAlign w:val="superscript"/>
              </w:rPr>
              <w:t>(1)(2)</w:t>
            </w: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296,169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296,169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114,537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410,706</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Vessel operating expenses</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63"/>
        </w:trPr>
        <w:tc>
          <w:tcPr>
            <w:tcW w:w="2420" w:type="dxa"/>
            <w:vAlign w:val="bottom"/>
            <w:tcBorders>
              <w:bottom w:val="single" w:sz="8" w:color="CCEEFF"/>
            </w:tcBorders>
          </w:tcPr>
          <w:p>
            <w:pPr>
              <w:ind w:left="20"/>
              <w:spacing w:after="0" w:line="256" w:lineRule="exact"/>
              <w:rPr>
                <w:sz w:val="20"/>
                <w:szCs w:val="20"/>
                <w:color w:val="auto"/>
              </w:rPr>
            </w:pPr>
            <w:r>
              <w:rPr>
                <w:rFonts w:ascii="Arial" w:cs="Arial" w:eastAsia="Arial" w:hAnsi="Arial"/>
                <w:sz w:val="18"/>
                <w:szCs w:val="18"/>
                <w:color w:val="auto"/>
                <w:w w:val="95"/>
              </w:rPr>
              <w:t>Operations and maintenance</w:t>
            </w:r>
            <w:r>
              <w:rPr>
                <w:rFonts w:ascii="Arial" w:cs="Arial" w:eastAsia="Arial" w:hAnsi="Arial"/>
                <w:sz w:val="23"/>
                <w:szCs w:val="23"/>
                <w:color w:val="auto"/>
                <w:w w:val="95"/>
                <w:vertAlign w:val="superscript"/>
              </w:rPr>
              <w:t>(4)</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60,368</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60,368</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641,575</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133,076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774,651</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(129,983)</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644,668</w:t>
            </w:r>
          </w:p>
        </w:tc>
        <w:tc>
          <w:tcPr>
            <w:tcW w:w="0" w:type="dxa"/>
            <w:vAlign w:val="bottom"/>
          </w:tcPr>
          <w:p>
            <w:pPr>
              <w:spacing w:after="0"/>
              <w:rPr>
                <w:sz w:val="1"/>
                <w:szCs w:val="1"/>
                <w:color w:val="auto"/>
              </w:rPr>
            </w:pPr>
          </w:p>
        </w:tc>
      </w:tr>
      <w:tr>
        <w:trPr>
          <w:trHeight w:val="594"/>
        </w:trPr>
        <w:tc>
          <w:tcPr>
            <w:tcW w:w="2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w w:val="90"/>
              </w:rPr>
              <w:t>Six Months Ended June 30, 2023</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568,178</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Depreciation and amortization</w:t>
            </w:r>
          </w:p>
        </w:tc>
        <w:tc>
          <w:tcPr>
            <w:tcW w:w="20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76,490</w:t>
            </w:r>
          </w:p>
        </w:tc>
        <w:tc>
          <w:tcPr>
            <w:tcW w:w="0" w:type="dxa"/>
            <w:vAlign w:val="bottom"/>
          </w:tcPr>
          <w:p>
            <w:pPr>
              <w:spacing w:after="0"/>
              <w:rPr>
                <w:sz w:val="1"/>
                <w:szCs w:val="1"/>
                <w:color w:val="auto"/>
              </w:rPr>
            </w:pPr>
          </w:p>
        </w:tc>
      </w:tr>
      <w:tr>
        <w:trPr>
          <w:trHeight w:val="250"/>
        </w:trPr>
        <w:tc>
          <w:tcPr>
            <w:tcW w:w="434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w w:val="93"/>
              </w:rPr>
              <w:t>Consolidated Segment Operating Margin (Non-GAAP)</w:t>
            </w: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644,668</w:t>
            </w:r>
          </w:p>
        </w:tc>
        <w:tc>
          <w:tcPr>
            <w:tcW w:w="0" w:type="dxa"/>
            <w:vAlign w:val="bottom"/>
          </w:tcPr>
          <w:p>
            <w:pPr>
              <w:spacing w:after="0"/>
              <w:rPr>
                <w:sz w:val="1"/>
                <w:szCs w:val="1"/>
                <w:color w:val="auto"/>
              </w:rPr>
            </w:pPr>
          </w:p>
        </w:tc>
      </w:tr>
      <w:tr>
        <w:trPr>
          <w:trHeight w:val="594"/>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gridSpan w:val="10"/>
          </w:tcPr>
          <w:p>
            <w:pPr>
              <w:ind w:left="1220"/>
              <w:spacing w:after="0"/>
              <w:rPr>
                <w:sz w:val="20"/>
                <w:szCs w:val="20"/>
                <w:color w:val="auto"/>
              </w:rPr>
            </w:pPr>
            <w:r>
              <w:rPr>
                <w:rFonts w:ascii="Arial" w:cs="Arial" w:eastAsia="Arial" w:hAnsi="Arial"/>
                <w:sz w:val="18"/>
                <w:szCs w:val="18"/>
                <w:b w:val="1"/>
                <w:bCs w:val="1"/>
                <w:color w:val="auto"/>
              </w:rPr>
              <w:t>Six Months Ended June 30, 2022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0" w:type="dxa"/>
            <w:vAlign w:val="bottom"/>
          </w:tcPr>
          <w:p>
            <w:pPr>
              <w:spacing w:after="0"/>
              <w:rPr>
                <w:sz w:val="14"/>
                <w:szCs w:val="14"/>
                <w:color w:val="auto"/>
              </w:rPr>
            </w:pPr>
          </w:p>
        </w:tc>
        <w:tc>
          <w:tcPr>
            <w:tcW w:w="150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w w:val="96"/>
              </w:rPr>
              <w:t>Terminals 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Ships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3"/>
              </w:rPr>
              <w:t>Total Segment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jc w:val="center"/>
              <w:ind w:right="220"/>
              <w:spacing w:after="0" w:line="169" w:lineRule="exact"/>
              <w:rPr>
                <w:sz w:val="20"/>
                <w:szCs w:val="20"/>
                <w:color w:val="auto"/>
              </w:rPr>
            </w:pPr>
            <w:r>
              <w:rPr>
                <w:rFonts w:ascii="Arial" w:cs="Arial" w:eastAsia="Arial" w:hAnsi="Arial"/>
                <w:sz w:val="18"/>
                <w:szCs w:val="18"/>
                <w:b w:val="1"/>
                <w:bCs w:val="1"/>
                <w:color w:val="auto"/>
                <w:w w:val="89"/>
              </w:rPr>
              <w:t>Consolidation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2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Infrastructure</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right="110"/>
              <w:spacing w:after="0" w:line="230" w:lineRule="exact"/>
              <w:rPr>
                <w:sz w:val="20"/>
                <w:szCs w:val="20"/>
                <w:color w:val="auto"/>
              </w:rPr>
            </w:pPr>
            <w:r>
              <w:rPr>
                <w:rFonts w:ascii="Arial" w:cs="Arial" w:eastAsia="Arial" w:hAnsi="Arial"/>
                <w:sz w:val="18"/>
                <w:szCs w:val="18"/>
                <w:b w:val="1"/>
                <w:bCs w:val="1"/>
                <w:color w:val="auto"/>
                <w:w w:val="88"/>
              </w:rPr>
              <w:t>and Other</w:t>
            </w:r>
            <w:r>
              <w:rPr>
                <w:rFonts w:ascii="Arial" w:cs="Arial" w:eastAsia="Arial" w:hAnsi="Arial"/>
                <w:sz w:val="23"/>
                <w:szCs w:val="23"/>
                <w:b w:val="1"/>
                <w:bCs w:val="1"/>
                <w:color w:val="auto"/>
                <w:w w:val="88"/>
                <w:vertAlign w:val="superscript"/>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1,023,804</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225,966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1,249,770</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(159,797)</w:t>
            </w: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1,089,973</w:t>
            </w:r>
          </w:p>
        </w:tc>
        <w:tc>
          <w:tcPr>
            <w:tcW w:w="0" w:type="dxa"/>
            <w:vAlign w:val="bottom"/>
          </w:tcPr>
          <w:p>
            <w:pPr>
              <w:spacing w:after="0"/>
              <w:rPr>
                <w:sz w:val="1"/>
                <w:szCs w:val="1"/>
                <w:color w:val="auto"/>
              </w:rPr>
            </w:pPr>
          </w:p>
        </w:tc>
      </w:tr>
      <w:tr>
        <w:trPr>
          <w:trHeight w:val="270"/>
        </w:trPr>
        <w:tc>
          <w:tcPr>
            <w:tcW w:w="2420" w:type="dxa"/>
            <w:vAlign w:val="bottom"/>
          </w:tcPr>
          <w:p>
            <w:pPr>
              <w:ind w:left="20"/>
              <w:spacing w:after="0"/>
              <w:rPr>
                <w:sz w:val="20"/>
                <w:szCs w:val="20"/>
                <w:color w:val="auto"/>
              </w:rPr>
            </w:pPr>
            <w:r>
              <w:rPr>
                <w:rFonts w:ascii="Arial" w:cs="Arial" w:eastAsia="Arial" w:hAnsi="Arial"/>
                <w:sz w:val="18"/>
                <w:szCs w:val="18"/>
                <w:color w:val="auto"/>
              </w:rPr>
              <w:t>Cost of sales</w:t>
            </w:r>
            <w:r>
              <w:rPr>
                <w:rFonts w:ascii="Arial" w:cs="Arial" w:eastAsia="Arial" w:hAnsi="Arial"/>
                <w:sz w:val="23"/>
                <w:szCs w:val="23"/>
                <w:color w:val="auto"/>
                <w:vertAlign w:val="superscript"/>
              </w:rPr>
              <w:t>(2)</w:t>
            </w: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507,480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507,480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(26,781)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480,699</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Vessel operating expenses</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(13,385)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20"/>
              <w:spacing w:after="0" w:line="256" w:lineRule="exact"/>
              <w:rPr>
                <w:sz w:val="20"/>
                <w:szCs w:val="20"/>
                <w:color w:val="auto"/>
              </w:rPr>
            </w:pPr>
            <w:r>
              <w:rPr>
                <w:rFonts w:ascii="Arial" w:cs="Arial" w:eastAsia="Arial" w:hAnsi="Arial"/>
                <w:sz w:val="18"/>
                <w:szCs w:val="18"/>
                <w:color w:val="auto"/>
                <w:w w:val="95"/>
              </w:rPr>
              <w:t>Operations and maintenance</w:t>
            </w:r>
            <w:r>
              <w:rPr>
                <w:rFonts w:ascii="Arial" w:cs="Arial" w:eastAsia="Arial" w:hAnsi="Arial"/>
                <w:sz w:val="23"/>
                <w:szCs w:val="23"/>
                <w:color w:val="auto"/>
                <w:w w:val="95"/>
                <w:vertAlign w:val="superscript"/>
              </w:rPr>
              <w:t>(4)</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59,782</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59,782</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(16,124)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43,658</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448,795</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178,736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627,531</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(103,507)</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524,024</w:t>
            </w:r>
          </w:p>
        </w:tc>
        <w:tc>
          <w:tcPr>
            <w:tcW w:w="0" w:type="dxa"/>
            <w:vAlign w:val="bottom"/>
          </w:tcPr>
          <w:p>
            <w:pPr>
              <w:spacing w:after="0"/>
              <w:rPr>
                <w:sz w:val="1"/>
                <w:szCs w:val="1"/>
                <w:color w:val="auto"/>
              </w:rPr>
            </w:pPr>
          </w:p>
        </w:tc>
      </w:tr>
      <w:tr>
        <w:trPr>
          <w:trHeight w:val="594"/>
        </w:trPr>
        <w:tc>
          <w:tcPr>
            <w:tcW w:w="2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w w:val="90"/>
              </w:rPr>
              <w:t>Six Months Ended June 30, 2022</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453,378</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Depreciation and amortization</w:t>
            </w:r>
          </w:p>
        </w:tc>
        <w:tc>
          <w:tcPr>
            <w:tcW w:w="20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70,646</w:t>
            </w:r>
          </w:p>
        </w:tc>
        <w:tc>
          <w:tcPr>
            <w:tcW w:w="0" w:type="dxa"/>
            <w:vAlign w:val="bottom"/>
          </w:tcPr>
          <w:p>
            <w:pPr>
              <w:spacing w:after="0"/>
              <w:rPr>
                <w:sz w:val="1"/>
                <w:szCs w:val="1"/>
                <w:color w:val="auto"/>
              </w:rPr>
            </w:pPr>
          </w:p>
        </w:tc>
      </w:tr>
      <w:tr>
        <w:trPr>
          <w:trHeight w:val="257"/>
        </w:trPr>
        <w:tc>
          <w:tcPr>
            <w:tcW w:w="434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w w:val="93"/>
              </w:rPr>
              <w:t>Consolidated Segment Operating Margin (Non-GAAP)</w:t>
            </w: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ind w:left="12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400" w:firstLine="8"/>
        <w:spacing w:after="0" w:line="269" w:lineRule="auto"/>
        <w:tabs>
          <w:tab w:leader="none" w:pos="181"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Cost of sales in the Company’s segment measure only includes realized gains and losses on derivative transactions that are an economic hedge of commodity purchases and sales, and realized losses of $3.9 million and unrealized gains of $141.9 million for the three and six months ended June 30, 2023, respectively, were recognized as a reduction to Cost of sales in the segment measure.</w:t>
      </w:r>
    </w:p>
    <w:p>
      <w:pPr>
        <w:spacing w:after="0" w:line="19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recognized unrealized gains of $2.8 million and unrealized losses of $108.3 million on the mark-to-market value of derivative transactions for the three and six months ended June 30, 2023, respectively, and these gains and losses reconcile Cost of sales in the segment measure to Cost of sales in the condensed consolidated statements of operations and comprehensive income (loss).</w:t>
      </w:r>
    </w:p>
    <w:p>
      <w:pPr>
        <w:spacing w:after="0" w:line="20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Company has excluded contract acquisition costs that do not meet the criteria for capitalization from the segment measure. Contract acquisition costs of $6.2 million for the three and six months ended June 30, 2023 reconcile Cost of sales in the segment measure to Cost of sales in the condensed consolidated statements of operations and comprehensive income (loss).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520" w:firstLine="8"/>
        <w:spacing w:after="0" w:line="267" w:lineRule="auto"/>
        <w:tabs>
          <w:tab w:leader="none" w:pos="181"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Cost of sales is presented exclusive of costs included in Depreciation and amortization in the condensed consolidated statements of operations and comprehensive income (loss).</w:t>
      </w:r>
    </w:p>
    <w:p>
      <w:pPr>
        <w:spacing w:after="0" w:line="201" w:lineRule="exact"/>
        <w:rPr>
          <w:rFonts w:ascii="Arial" w:cs="Arial" w:eastAsia="Arial" w:hAnsi="Arial"/>
          <w:sz w:val="21"/>
          <w:szCs w:val="21"/>
          <w:color w:val="auto"/>
          <w:vertAlign w:val="superscript"/>
        </w:rPr>
      </w:pPr>
    </w:p>
    <w:p>
      <w:pPr>
        <w:ind w:right="60" w:firstLine="8"/>
        <w:spacing w:after="0" w:line="273" w:lineRule="auto"/>
        <w:tabs>
          <w:tab w:leader="none" w:pos="181"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Consolidation and Other adjusts for the inclusion of the effective share of revenues, expenses and operating margin attributable to our 50% ownership of Centrais Elétricas de Sergipe Participações S.A. (“CELSEPAR”) and the common units of Hilli LLC in the segment measure, prior to the disposition to these investments, the exclusion of the unrealized mark-to-market gain or loss on derivative instruments, and the exclusion of non-capitalizable contract acquisition costs.</w:t>
      </w:r>
    </w:p>
    <w:p>
      <w:pPr>
        <w:spacing w:after="0" w:line="204" w:lineRule="exact"/>
        <w:rPr>
          <w:rFonts w:ascii="Arial" w:cs="Arial" w:eastAsia="Arial" w:hAnsi="Arial"/>
          <w:sz w:val="21"/>
          <w:szCs w:val="21"/>
          <w:color w:val="auto"/>
          <w:vertAlign w:val="superscript"/>
        </w:rPr>
      </w:pPr>
    </w:p>
    <w:p>
      <w:pPr>
        <w:ind w:right="140" w:firstLine="8"/>
        <w:spacing w:after="0" w:line="267" w:lineRule="auto"/>
        <w:tabs>
          <w:tab w:leader="none" w:pos="181"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Operations and maintenance and Vessel operating expenses are directly attributable to revenue-producing activities of our terminals and vessels and are included in the calculation of Gross margin defined under GAAP.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Terminals and Infrastructure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Three Months Ended,</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29"/>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March 31, 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5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502,608</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r>
      <w:tr>
        <w:trPr>
          <w:trHeight w:val="257"/>
        </w:trPr>
        <w:tc>
          <w:tcPr>
            <w:tcW w:w="5580" w:type="dxa"/>
            <w:vAlign w:val="bottom"/>
          </w:tcPr>
          <w:p>
            <w:pPr>
              <w:ind w:left="20"/>
              <w:spacing w:after="0"/>
              <w:rPr>
                <w:sz w:val="20"/>
                <w:szCs w:val="20"/>
                <w:color w:val="auto"/>
              </w:rPr>
            </w:pPr>
            <w:r>
              <w:rPr>
                <w:rFonts w:ascii="Arial" w:cs="Arial" w:eastAsia="Arial" w:hAnsi="Arial"/>
                <w:sz w:val="18"/>
                <w:szCs w:val="18"/>
                <w:color w:val="auto"/>
              </w:rPr>
              <w:t>Cost of sales (exclusive of depreciation and amortization)</w:t>
            </w: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222,371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73,798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148,573</w:t>
            </w:r>
          </w:p>
        </w:tc>
      </w:tr>
      <w:tr>
        <w:trPr>
          <w:trHeight w:val="29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24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w:t>
            </w:r>
          </w:p>
        </w:tc>
      </w:tr>
      <w:tr>
        <w:trPr>
          <w:trHeight w:val="217"/>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239,436</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402,139</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(162,703)</w:t>
            </w:r>
          </w:p>
        </w:tc>
      </w:tr>
      <w:tr>
        <w:trPr>
          <w:trHeight w:val="560"/>
        </w:trPr>
        <w:tc>
          <w:tcPr>
            <w:tcW w:w="558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r>
      <w:tr>
        <w:trPr>
          <w:trHeight w:val="22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June 30, 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5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1,023,804</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r>
      <w:tr>
        <w:trPr>
          <w:trHeight w:val="263"/>
        </w:trPr>
        <w:tc>
          <w:tcPr>
            <w:tcW w:w="5580" w:type="dxa"/>
            <w:vAlign w:val="bottom"/>
          </w:tcPr>
          <w:p>
            <w:pPr>
              <w:ind w:left="20"/>
              <w:spacing w:after="0"/>
              <w:rPr>
                <w:sz w:val="20"/>
                <w:szCs w:val="20"/>
                <w:color w:val="auto"/>
              </w:rPr>
            </w:pPr>
            <w:r>
              <w:rPr>
                <w:rFonts w:ascii="Arial" w:cs="Arial" w:eastAsia="Arial" w:hAnsi="Arial"/>
                <w:sz w:val="18"/>
                <w:szCs w:val="18"/>
                <w:color w:val="auto"/>
              </w:rPr>
              <w:t>Cost of sales (exclusive of depreciation and amortization)</w:t>
            </w:r>
          </w:p>
        </w:tc>
        <w:tc>
          <w:tcPr>
            <w:tcW w:w="2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296,169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507,480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(211,311)</w:t>
            </w:r>
          </w:p>
        </w:tc>
      </w:tr>
      <w:tr>
        <w:trPr>
          <w:trHeight w:val="26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Vessel operating expenses</w:t>
            </w:r>
          </w:p>
        </w:tc>
        <w:tc>
          <w:tcPr>
            <w:tcW w:w="2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r>
      <w:tr>
        <w:trPr>
          <w:trHeight w:val="264"/>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Operations and maintenance</w:t>
            </w: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59,782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r>
      <w:tr>
        <w:trPr>
          <w:trHeight w:val="25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641,575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448,795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192,780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Total revenue for the Terminals and Infrastructure Segment decreased by $7.1 million for the three months ended June 30, 2023 as compared to the three months ended March 31, 2023. The decrease was primarily driven by decreases to revenue from LNG cargo sales to third parties and decreases to the Henry Hub index that forms a portion of the pricing to invoice most of our customers in this segment, partially offset by increased volumes delivered to our downstream terminal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revenue in the second quarter of 2023 when compared to the first quarter of 2023 was primarily attributable to the following:</w:t>
      </w:r>
    </w:p>
    <w:p>
      <w:pPr>
        <w:spacing w:after="0" w:line="225" w:lineRule="exact"/>
        <w:rPr>
          <w:sz w:val="20"/>
          <w:szCs w:val="20"/>
          <w:color w:val="auto"/>
        </w:rPr>
      </w:pPr>
    </w:p>
    <w:p>
      <w:pPr>
        <w:ind w:left="660" w:right="220" w:hanging="328"/>
        <w:spacing w:after="0" w:line="308" w:lineRule="auto"/>
        <w:tabs>
          <w:tab w:leader="none" w:pos="660" w:val="left"/>
        </w:tabs>
        <w:numPr>
          <w:ilvl w:val="0"/>
          <w:numId w:val="18"/>
        </w:numPr>
        <w:rPr>
          <w:rFonts w:ascii="Arial" w:cs="Arial" w:eastAsia="Arial" w:hAnsi="Arial"/>
          <w:sz w:val="17"/>
          <w:szCs w:val="17"/>
          <w:i w:val="1"/>
          <w:iCs w:val="1"/>
          <w:color w:val="auto"/>
        </w:rPr>
      </w:pPr>
      <w:r>
        <w:rPr>
          <w:rFonts w:ascii="Arial" w:cs="Arial" w:eastAsia="Arial" w:hAnsi="Arial"/>
          <w:sz w:val="17"/>
          <w:szCs w:val="17"/>
          <w:color w:val="auto"/>
        </w:rPr>
        <w:t>Revenue from LNG cargo sales was $267.8 million for the three months ended June 30, 2023, of which $162.5 million was recognized for a fee received from a customer to cancel a future delivery, decreasing from $349.4 million for the three months ended March 31, 2023.</w:t>
      </w:r>
    </w:p>
    <w:p>
      <w:pPr>
        <w:spacing w:after="0" w:line="146" w:lineRule="exact"/>
        <w:rPr>
          <w:rFonts w:ascii="Arial" w:cs="Arial" w:eastAsia="Arial" w:hAnsi="Arial"/>
          <w:sz w:val="17"/>
          <w:szCs w:val="17"/>
          <w:i w:val="1"/>
          <w:iCs w:val="1"/>
          <w:color w:val="auto"/>
        </w:rPr>
      </w:pPr>
    </w:p>
    <w:p>
      <w:pPr>
        <w:ind w:left="660" w:right="160" w:hanging="328"/>
        <w:spacing w:after="0" w:line="277"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The average Henry Hub index pricing used to invoice our downstream customers decreased by 39% for the three months ended June 30, 2023 as compared to the three months ended March 31, 2023.</w:t>
      </w:r>
    </w:p>
    <w:p>
      <w:pPr>
        <w:spacing w:after="0" w:line="170" w:lineRule="exact"/>
        <w:rPr>
          <w:rFonts w:ascii="Arial" w:cs="Arial" w:eastAsia="Arial" w:hAnsi="Arial"/>
          <w:sz w:val="18"/>
          <w:szCs w:val="18"/>
          <w:i w:val="1"/>
          <w:iCs w:val="1"/>
          <w:color w:val="auto"/>
        </w:rPr>
      </w:pPr>
    </w:p>
    <w:p>
      <w:pPr>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Volumes delivered to downstream terminal customers increased from 12.1 TBtus in the first quarter of 2023 to 14.0 TBtu in the second quarter of 2023. In the second quarter, we began to support the grid stabilization project in Puerto Rico, and our operations at the Palo Seco Power Plant commenced resulting in additional volumes consumed.</w:t>
      </w:r>
    </w:p>
    <w:p>
      <w:pPr>
        <w:spacing w:after="0" w:line="184"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Total revenue for the Terminals and Infrastructure Segment decreased by $25.7 million for the six months ended June 30, 2023 as compared to the six months ended June 30, 2022. The decrease was primarily driven by no longer reflecting our pro rata share of revenue from our former investment in CELSEPAR in our segment measure. Revenue was also</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impacted by decreases to the Henry Hub index that forms a portion of the pricing to invoice most of our customers in this segment, increased revenue from LNG cargo sales to third parties and volumes delivered to our downstream terminal customers.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decrease in revenue in the six months ended June 30, 2023 when compared to the six months ended June 30, 2022 was primarily attributable to the following:</w:t>
      </w:r>
    </w:p>
    <w:p>
      <w:pPr>
        <w:spacing w:after="0" w:line="170" w:lineRule="exact"/>
        <w:rPr>
          <w:sz w:val="20"/>
          <w:szCs w:val="20"/>
          <w:color w:val="auto"/>
        </w:rPr>
      </w:pPr>
    </w:p>
    <w:p>
      <w:pPr>
        <w:ind w:left="660" w:right="680" w:hanging="328"/>
        <w:spacing w:after="0" w:line="286" w:lineRule="auto"/>
        <w:tabs>
          <w:tab w:leader="none" w:pos="660" w:val="left"/>
        </w:tabs>
        <w:numPr>
          <w:ilvl w:val="0"/>
          <w:numId w:val="19"/>
        </w:numPr>
        <w:rPr>
          <w:rFonts w:ascii="Arial" w:cs="Arial" w:eastAsia="Arial" w:hAnsi="Arial"/>
          <w:sz w:val="17"/>
          <w:szCs w:val="17"/>
          <w:i w:val="1"/>
          <w:iCs w:val="1"/>
          <w:color w:val="auto"/>
        </w:rPr>
      </w:pPr>
      <w:r>
        <w:rPr>
          <w:rFonts w:ascii="Arial" w:cs="Arial" w:eastAsia="Arial" w:hAnsi="Arial"/>
          <w:sz w:val="17"/>
          <w:szCs w:val="17"/>
          <w:color w:val="auto"/>
        </w:rPr>
        <w:t>After the completion of the sale of our investment in CELSEPAR in the fourth quarter of 2022, we no longer recognize revenue from this investment in our segment measure. Our share of revenue from CELSEPAR was $107.0 million for the six months ended June 30, 2022, respectively, which was primarily comprised of fixed capacity payments received under related PPAs.</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Such decrease was offset by increases to revenue in the six months ended June 30 2023 when compared to the six months ended June 30, 2022, due to the following:</w:t>
      </w:r>
    </w:p>
    <w:p>
      <w:pPr>
        <w:spacing w:after="0" w:line="170" w:lineRule="exact"/>
        <w:rPr>
          <w:sz w:val="20"/>
          <w:szCs w:val="20"/>
          <w:color w:val="auto"/>
        </w:rPr>
      </w:pPr>
    </w:p>
    <w:p>
      <w:pPr>
        <w:ind w:left="660" w:right="100" w:hanging="328"/>
        <w:spacing w:after="0" w:line="293"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the six months ended June 30, 2023, volumes delivered to downstream customers were 26.1 TBtu as compared to 15.6 TBtu for the six months ended June 30, 2022. During the first quarter of 2022, no volumes were consumed by the Bogue Power Plant due to the Port of Montego Bay where our facility resides requiring a reconfiguration and partial relocation of our assets. Additionally, maintenance activities lowered consumption at the San Juan Power Plant; these facilities were not impacted by significant maintenance downtime during 2023. The maintenance downtime in the prior year was most impactful at the San Juan Power Plant, and volumes delivered to the San Juan Power Plant increased from 3.8 TBtus during the six months ended June 30, 2022 to 11.0 TBtu during the six months ended June 30, 2023.</w:t>
      </w:r>
    </w:p>
    <w:p>
      <w:pPr>
        <w:spacing w:after="0" w:line="164" w:lineRule="exact"/>
        <w:rPr>
          <w:rFonts w:ascii="Arial" w:cs="Arial" w:eastAsia="Arial" w:hAnsi="Arial"/>
          <w:sz w:val="16"/>
          <w:szCs w:val="16"/>
          <w:color w:val="auto"/>
        </w:rPr>
      </w:pPr>
    </w:p>
    <w:p>
      <w:pPr>
        <w:ind w:left="660" w:right="34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Revenue from LNG cargos sales was $617.1 million for the six months ended June 30, 2023, of which $332.0 million was recognized for fees received from a customer to cancel future deliveries, as compared to $594.2 million for the six months ended June 30, 2022.</w:t>
      </w:r>
    </w:p>
    <w:p>
      <w:pPr>
        <w:spacing w:after="0" w:line="146"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average Henry Hub index pricing used to invoice our downstream customers decreased by 54% for the six months ended June 30, 2023 as compared to the six months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Cost of sales includes the procurement of feedgas or LNG, as well as shipping and logistics costs to deliver LNG or natural gas to our facilities. Our LNG and natural gas supply are purchased from third parties or converted in our Miami Facility. Costs to convert natural gas to LNG, including labor, depreciation and other direct costs to operate our Miami Facility are also included in Cost of sales.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Cost of sales increased by $148.6 million for the three months ended June 30, 2023 as compared to the three months ended March 31, 2023, which was attributable to the following:</w:t>
      </w:r>
    </w:p>
    <w:p>
      <w:pPr>
        <w:spacing w:after="0" w:line="170" w:lineRule="exact"/>
        <w:rPr>
          <w:sz w:val="20"/>
          <w:szCs w:val="20"/>
          <w:color w:val="auto"/>
        </w:rPr>
      </w:pPr>
    </w:p>
    <w:p>
      <w:pPr>
        <w:ind w:left="660" w:right="300" w:hanging="328"/>
        <w:spacing w:after="0" w:line="254" w:lineRule="auto"/>
        <w:tabs>
          <w:tab w:leader="none" w:pos="660" w:val="left"/>
        </w:tabs>
        <w:numPr>
          <w:ilvl w:val="0"/>
          <w:numId w:val="21"/>
        </w:numPr>
        <w:rPr>
          <w:rFonts w:ascii="Arial" w:cs="Arial" w:eastAsia="Arial" w:hAnsi="Arial"/>
          <w:sz w:val="22"/>
          <w:szCs w:val="22"/>
          <w:b w:val="1"/>
          <w:bCs w:val="1"/>
          <w:color w:val="auto"/>
          <w:vertAlign w:val="superscript"/>
        </w:rPr>
      </w:pPr>
      <w:r>
        <w:rPr>
          <w:rFonts w:ascii="Arial" w:cs="Arial" w:eastAsia="Arial" w:hAnsi="Arial"/>
          <w:sz w:val="17"/>
          <w:szCs w:val="17"/>
          <w:color w:val="auto"/>
        </w:rPr>
        <w:t>We settled a commodity swap transaction, entered into as economic hedge to reduce market risks associated with commodity prices in the first quarter of 2023, and the realized gain of $146.1 million was included as a reduction of Cost of sales in our segment measure. For segment performance measures, unrealized mark to market gains and losses are excluded until settled. In the second quarter of 2023, we recognized a realized loss of $3.9 million as a reduction to Cost of sales in the segment measure.</w:t>
      </w:r>
    </w:p>
    <w:p>
      <w:pPr>
        <w:spacing w:after="0" w:line="191" w:lineRule="exact"/>
        <w:rPr>
          <w:rFonts w:ascii="Arial" w:cs="Arial" w:eastAsia="Arial" w:hAnsi="Arial"/>
          <w:sz w:val="22"/>
          <w:szCs w:val="22"/>
          <w:b w:val="1"/>
          <w:bCs w:val="1"/>
          <w:color w:val="auto"/>
          <w:vertAlign w:val="superscript"/>
        </w:rPr>
      </w:pPr>
    </w:p>
    <w:p>
      <w:pPr>
        <w:ind w:left="660" w:right="80" w:hanging="328"/>
        <w:spacing w:after="0" w:line="263"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Increased cost of LNG purchased from third parties for sale to our downstream customers of $32.1 million. Volumes delivered to our downstream customers increased by approximately 16% in the current quarter; and our cost to deliver these volumes increased to $8.08 per MMBtu for the three months ended June 30, 2023 from $7.23 per MMBtu for the three months ended March 31, 2023.</w:t>
      </w:r>
    </w:p>
    <w:p>
      <w:pPr>
        <w:spacing w:after="0" w:line="183" w:lineRule="exact"/>
        <w:rPr>
          <w:rFonts w:ascii="Arial" w:cs="Arial" w:eastAsia="Arial" w:hAnsi="Arial"/>
          <w:sz w:val="18"/>
          <w:szCs w:val="18"/>
          <w:i w:val="1"/>
          <w:iCs w:val="1"/>
          <w:color w:val="auto"/>
        </w:rPr>
      </w:pPr>
    </w:p>
    <w:p>
      <w:pPr>
        <w:ind w:left="660" w:right="220" w:hanging="328"/>
        <w:spacing w:after="0" w:line="277"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We incurred decreased cost of LNG purchased from third parties for LNG cargo sales of $21.0 million during the second quarter of 2023 due to decreased volumes delivered.</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Cost of sales decreased by $211.3 million for the six months ended June 30, 2023 as compared to the six months ended June 30, 2022, which was attributable to the following: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right="300" w:hanging="328"/>
        <w:spacing w:after="0" w:line="234" w:lineRule="auto"/>
        <w:tabs>
          <w:tab w:leader="none" w:pos="660" w:val="left"/>
        </w:tabs>
        <w:numPr>
          <w:ilvl w:val="0"/>
          <w:numId w:val="22"/>
        </w:numPr>
        <w:rPr>
          <w:rFonts w:ascii="Arial" w:cs="Arial" w:eastAsia="Arial" w:hAnsi="Arial"/>
          <w:sz w:val="23"/>
          <w:szCs w:val="23"/>
          <w:b w:val="1"/>
          <w:bCs w:val="1"/>
          <w:i w:val="1"/>
          <w:iCs w:val="1"/>
          <w:color w:val="auto"/>
          <w:vertAlign w:val="superscript"/>
        </w:rPr>
      </w:pPr>
      <w:r>
        <w:rPr>
          <w:rFonts w:ascii="Arial" w:cs="Arial" w:eastAsia="Arial" w:hAnsi="Arial"/>
          <w:sz w:val="18"/>
          <w:szCs w:val="18"/>
          <w:color w:val="auto"/>
        </w:rPr>
        <w:t>Realized gains of $141.9 million from the settlement of commodity swap transactions, entered into as an economic hedge to reduce the market risks associated with commodity prices, were included as reduction of cost of sales. For segment performance measures, unrealized mark to market gains and losses are excluded until settled.</w:t>
      </w:r>
    </w:p>
    <w:p>
      <w:pPr>
        <w:spacing w:after="0" w:line="202" w:lineRule="exact"/>
        <w:rPr>
          <w:rFonts w:ascii="Arial" w:cs="Arial" w:eastAsia="Arial" w:hAnsi="Arial"/>
          <w:sz w:val="23"/>
          <w:szCs w:val="23"/>
          <w:b w:val="1"/>
          <w:bCs w:val="1"/>
          <w:i w:val="1"/>
          <w:iCs w:val="1"/>
          <w:color w:val="auto"/>
          <w:vertAlign w:val="superscript"/>
        </w:rPr>
      </w:pPr>
    </w:p>
    <w:p>
      <w:pPr>
        <w:ind w:left="660" w:right="6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We incurred decreased cost of LNG purchased from third parties for LNG cargo sales of $26.6 million during the six months ended June 30, 2023 due to decreased cost of LNG under our supply contracts.</w:t>
      </w:r>
    </w:p>
    <w:p>
      <w:pPr>
        <w:spacing w:after="0" w:line="170" w:lineRule="exact"/>
        <w:rPr>
          <w:rFonts w:ascii="Arial" w:cs="Arial" w:eastAsia="Arial" w:hAnsi="Arial"/>
          <w:sz w:val="18"/>
          <w:szCs w:val="18"/>
          <w:i w:val="1"/>
          <w:iCs w:val="1"/>
          <w:color w:val="auto"/>
        </w:rPr>
      </w:pPr>
    </w:p>
    <w:p>
      <w:pPr>
        <w:ind w:left="660" w:right="220" w:hanging="328"/>
        <w:spacing w:after="0" w:line="275" w:lineRule="auto"/>
        <w:tabs>
          <w:tab w:leader="none" w:pos="660" w:val="left"/>
        </w:tabs>
        <w:numPr>
          <w:ilvl w:val="0"/>
          <w:numId w:val="22"/>
        </w:numPr>
        <w:rPr>
          <w:rFonts w:ascii="Arial" w:cs="Arial" w:eastAsia="Arial" w:hAnsi="Arial"/>
          <w:sz w:val="17"/>
          <w:szCs w:val="17"/>
          <w:i w:val="1"/>
          <w:iCs w:val="1"/>
          <w:color w:val="auto"/>
        </w:rPr>
      </w:pPr>
      <w:r>
        <w:rPr>
          <w:rFonts w:ascii="Arial" w:cs="Arial" w:eastAsia="Arial" w:hAnsi="Arial"/>
          <w:sz w:val="17"/>
          <w:szCs w:val="17"/>
          <w:color w:val="auto"/>
        </w:rPr>
        <w:t>We incurred increased cost of LNG purchased from third parties for sale to our downstream customers of $41.5 million during the six months ended June 30, 2023 due to increased volumes delivered; we delivered 67% more volumes to our downstream terminal customers in the current period as compared to the six months ended June 30, 2022. While we delivered significantly more volumes to our downstream customers, our pricing to purchase LNG for delivery to such customers was substantially lower, decreasing to $7.66 per MMBtu for the six months ended June 30, 2023 from $9.66 per MMBtu for the six months ended June 30, 2022.</w:t>
      </w:r>
    </w:p>
    <w:p>
      <w:pPr>
        <w:spacing w:after="0" w:line="176" w:lineRule="exact"/>
        <w:rPr>
          <w:rFonts w:ascii="Arial" w:cs="Arial" w:eastAsia="Arial" w:hAnsi="Arial"/>
          <w:sz w:val="17"/>
          <w:szCs w:val="17"/>
          <w:i w:val="1"/>
          <w:iCs w:val="1"/>
          <w:color w:val="auto"/>
        </w:rPr>
      </w:pPr>
    </w:p>
    <w:p>
      <w:pPr>
        <w:ind w:left="660" w:right="6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Vessel costs decreased by $38.4 million for the six months ended June 30, 2023 as compared to the six months ended June 30, 2022 primarily due to the capitalization of vessel costs for the commissioning of development projects, as well as, vessel costs recognized as inventory when our vessels are used to transport inventory from a supplier's facility to our storage locations and terminals.</w:t>
      </w:r>
    </w:p>
    <w:p>
      <w:pPr>
        <w:spacing w:after="0" w:line="165"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Cost of sales for the six months ended June 30, 2022 included $26.5 million of our share of cost of sales from our investment in CELSEPAR, which was primarily comprised of LNG costs to fuel a power plant owned by CELSEPAR.</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weighted-average cost of our LNG inventory balance to be used in our downstream terminal operations as of June 30, 2023 and December 31, 2022 was $8.09 per MMBtu and $10.42 per MMBtu,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225"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Vessel operating expenses include direct costs associated with operating a vessel, and these costs are typically included in the Ships segment. Once we begin to use a vessel in our terminal operations, the costs of the vessel begin to be included in the Terminals and Infrastructure segment. For the six months ended June 30, 2022, we incurred $7.7 million of vessel operating expenses in this segment; we did not incur vessel operating costs in this segment during the six months ended June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maintenance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Operations and maintenance includes costs of operating our facilities, exclusive of costs to convert that are reflected in Cost of sales.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Operations and maintenance increased $7.0 million for the three months ended June 30, 2023 as compared to the three months ended March 31, 2023. The increase was primarily attributable to increased lease costs of turbines leased to generate power at the Palo Seco Power Plant as part of the grid stabilization project in Puerto Rico.</w:t>
      </w:r>
    </w:p>
    <w:p>
      <w:pPr>
        <w:spacing w:after="0" w:line="184"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Operations and maintenance increased $0.6 million for the six months ended June 30, 2023 as compared to the six months ended June 30, 2022. The increase was primarily attributable to increased lease costs of turbines leased to generate power at the Palo Seco Power Plant as part of the grid stabilization project in Puerto Rico, as well as increased payroll costs and logistics costs associated with the continued expansion of our operations. These increases were offset by the inclusion of our share of Operations and maintenance from our investment in CELSEPAR during the six months ended June 30,</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2022; after the sale of our investment in CELSEPAR in the second quarter of 2022, we do not include these costs during six months ended June 30, 2023.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Ships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Three Months Ended,</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29"/>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June 30, 2023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March 31, 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5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97,917</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(32,076)</w:t>
            </w:r>
          </w:p>
        </w:tc>
      </w:tr>
      <w:tr>
        <w:trPr>
          <w:trHeight w:val="25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Vessel operating expenses</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(7,796)</w:t>
            </w:r>
          </w:p>
        </w:tc>
      </w:tr>
      <w:tr>
        <w:trPr>
          <w:trHeight w:val="25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78,678</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(24,280)</w:t>
            </w:r>
          </w:p>
        </w:tc>
      </w:tr>
      <w:tr>
        <w:trPr>
          <w:trHeight w:val="560"/>
        </w:trPr>
        <w:tc>
          <w:tcPr>
            <w:tcW w:w="55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Six Months Ended,</w:t>
            </w:r>
          </w:p>
        </w:tc>
        <w:tc>
          <w:tcPr>
            <w:tcW w:w="1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r>
      <w:tr>
        <w:trPr>
          <w:trHeight w:val="22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June 30, 2023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June 30, 2022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6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225,966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(62,208)</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(16,548)</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133,076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(45,660)</w:t>
            </w:r>
          </w:p>
        </w:tc>
      </w:tr>
    </w:tbl>
    <w:p>
      <w:pPr>
        <w:spacing w:after="0" w:line="29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Revenue in the Ships segment is comprised of operating lease revenue under time charters, fees for positioning and repositioning vessels as well as the reimbursement of certain vessel operating costs. Prior to the completion of the Energos Formation Transaction, we also recognized revenue related to the interest portion of lease payments and the operating and service agreements in connection with the sales-type lease of the </w:t>
      </w:r>
      <w:r>
        <w:rPr>
          <w:rFonts w:ascii="Arial" w:cs="Arial" w:eastAsia="Arial" w:hAnsi="Arial"/>
          <w:sz w:val="18"/>
          <w:szCs w:val="18"/>
          <w:i w:val="1"/>
          <w:iCs w:val="1"/>
          <w:color w:val="auto"/>
        </w:rPr>
        <w:t>Nanook</w:t>
      </w:r>
      <w:r>
        <w:rPr>
          <w:rFonts w:ascii="Arial" w:cs="Arial" w:eastAsia="Arial" w:hAnsi="Arial"/>
          <w:sz w:val="18"/>
          <w:szCs w:val="18"/>
          <w:color w:val="auto"/>
        </w:rPr>
        <w:t>. We included the interest income earned under sales-type leases as revenue as amounts earned under chartering and operating service agreements represented our ongoing ordinary business operations.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 xml:space="preserve">On March 15, 2023, we completed a transaction with Golar LNG Limited (“GLNG”) for the sale of our investment in the common units of Hilli LLC in exchange for approximately 4.1 million NFE shares and $100 million in cash (the "Hilli Exchange"). In the fourth quarter of 2022, we recognized a loss on the investment in the Hilli of $118.6 million; this loss was recognized in Loss from equity method investments in the consolidated statements of operations and comprehensive income (loss). Upon completion of the Hilli Exchange during the first quarter of 2023, we recognized an additional loss on disposal of $37.4 million, which was included in Other expense (income), net. As a result of the Hilli Exchange we no longer have an ownership interest in the </w:t>
      </w:r>
      <w:r>
        <w:rPr>
          <w:rFonts w:ascii="Arial" w:cs="Arial" w:eastAsia="Arial" w:hAnsi="Arial"/>
          <w:sz w:val="17"/>
          <w:szCs w:val="17"/>
          <w:i w:val="1"/>
          <w:iCs w:val="1"/>
          <w:color w:val="auto"/>
        </w:rPr>
        <w:t>Hilli</w:t>
      </w:r>
      <w:r>
        <w:rPr>
          <w:rFonts w:ascii="Arial" w:cs="Arial" w:eastAsia="Arial" w:hAnsi="Arial"/>
          <w:sz w:val="17"/>
          <w:szCs w:val="17"/>
          <w:color w:val="auto"/>
        </w:rPr>
        <w:t>. NFE shares received from GLNG were cancelled upon the closing of the Hilli Exchange.</w:t>
      </w:r>
    </w:p>
    <w:p>
      <w:pPr>
        <w:spacing w:after="0" w:line="17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 xml:space="preserve">As of June 30, 2023, four FSRUs and four LNG carriers were leased to customers under long-term or spot arrangements. The </w:t>
      </w:r>
      <w:r>
        <w:rPr>
          <w:rFonts w:ascii="Arial" w:cs="Arial" w:eastAsia="Arial" w:hAnsi="Arial"/>
          <w:sz w:val="18"/>
          <w:szCs w:val="18"/>
          <w:i w:val="1"/>
          <w:iCs w:val="1"/>
          <w:color w:val="auto"/>
        </w:rPr>
        <w:t>Spirit</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Mazo</w:t>
      </w:r>
      <w:r>
        <w:rPr>
          <w:rFonts w:ascii="Arial" w:cs="Arial" w:eastAsia="Arial" w:hAnsi="Arial"/>
          <w:sz w:val="18"/>
          <w:szCs w:val="18"/>
          <w:color w:val="auto"/>
        </w:rPr>
        <w:t xml:space="preserve"> continue to be in cold lay-up, and no vessel charter revenue was generated from these vessels.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22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Total revenue for the Ships segment decreased $32.1 million for the three months ended June 30, 2023 as compared to the three months ended March 31, 2023. The charters of two vessels concluded in the first quarter of 2023, and these vessels are no longer included in the Ships segment. Vessel charter revenue in Ships segment is lower due to these vessels coming off charter and no longer being included in the segment. After the Hilli Exchange at the end of the first quarter of 2023, we no longer recognize revenue from the Hilli, decreasing revenue in the Ships segment in the current quarter.</w:t>
      </w:r>
    </w:p>
    <w:p>
      <w:pPr>
        <w:spacing w:after="0" w:line="157"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 xml:space="preserve">Total revenue for the Ships segment decreased $62.2 million for the six months ended June 30, 2023 as compared to the six months ended June 30, 2022. The decrease in revenue was primarily the result of the sale of the </w:t>
      </w:r>
      <w:r>
        <w:rPr>
          <w:rFonts w:ascii="Arial" w:cs="Arial" w:eastAsia="Arial" w:hAnsi="Arial"/>
          <w:sz w:val="17"/>
          <w:szCs w:val="17"/>
          <w:i w:val="1"/>
          <w:iCs w:val="1"/>
          <w:color w:val="auto"/>
        </w:rPr>
        <w:t>Nanook</w:t>
      </w:r>
      <w:r>
        <w:rPr>
          <w:rFonts w:ascii="Arial" w:cs="Arial" w:eastAsia="Arial" w:hAnsi="Arial"/>
          <w:sz w:val="17"/>
          <w:szCs w:val="17"/>
          <w:color w:val="auto"/>
        </w:rPr>
        <w:t xml:space="preserve"> as part of the Energos Formation Transaction; we no longer recognize revenue related to the </w:t>
      </w:r>
      <w:r>
        <w:rPr>
          <w:rFonts w:ascii="Arial" w:cs="Arial" w:eastAsia="Arial" w:hAnsi="Arial"/>
          <w:sz w:val="17"/>
          <w:szCs w:val="17"/>
          <w:i w:val="1"/>
          <w:iCs w:val="1"/>
          <w:color w:val="auto"/>
        </w:rPr>
        <w:t>Nanook</w:t>
      </w:r>
      <w:r>
        <w:rPr>
          <w:rFonts w:ascii="Arial" w:cs="Arial" w:eastAsia="Arial" w:hAnsi="Arial"/>
          <w:sz w:val="17"/>
          <w:szCs w:val="17"/>
          <w:color w:val="auto"/>
        </w:rPr>
        <w:t xml:space="preserve"> in 2023. One of our vessel charters was renewed at the beginning of 2023 at a lower rate; additionally the charters for two vessels concluded in the first quarter of 2023, lowering vessel revenue for the full six months ended June 30, 2023. We plan to utilize these vessels in our operations following conversion and other upgrades starting later in 2023.</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 xml:space="preserve">Vessel operating expenses include direct costs associated with operating a vessel, such as crewing, repairs and maintenance, insurance, stores, lube oils, communication expenses, management fees and costs to operate the </w:t>
      </w:r>
      <w:r>
        <w:rPr>
          <w:rFonts w:ascii="Arial" w:cs="Arial" w:eastAsia="Arial" w:hAnsi="Arial"/>
          <w:sz w:val="16"/>
          <w:szCs w:val="16"/>
          <w:i w:val="1"/>
          <w:iCs w:val="1"/>
          <w:color w:val="auto"/>
        </w:rPr>
        <w:t>Hilli</w:t>
      </w:r>
      <w:r>
        <w:rPr>
          <w:rFonts w:ascii="Arial" w:cs="Arial" w:eastAsia="Arial" w:hAnsi="Arial"/>
          <w:sz w:val="16"/>
          <w:szCs w:val="16"/>
          <w:color w:val="auto"/>
        </w:rPr>
        <w:t xml:space="preserve"> prior to the Hilli Exchange discussed above.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161" w:lineRule="exact"/>
        <w:rPr>
          <w:sz w:val="20"/>
          <w:szCs w:val="20"/>
          <w:color w:val="auto"/>
        </w:rPr>
      </w:pPr>
    </w:p>
    <w:p>
      <w:pPr>
        <w:ind w:right="100" w:firstLine="356"/>
        <w:spacing w:after="0" w:line="259" w:lineRule="auto"/>
        <w:rPr>
          <w:sz w:val="20"/>
          <w:szCs w:val="20"/>
          <w:color w:val="auto"/>
        </w:rPr>
      </w:pPr>
      <w:r>
        <w:rPr>
          <w:rFonts w:ascii="Arial" w:cs="Arial" w:eastAsia="Arial" w:hAnsi="Arial"/>
          <w:sz w:val="18"/>
          <w:szCs w:val="18"/>
          <w:color w:val="auto"/>
        </w:rPr>
        <w:t xml:space="preserve">Vessel operating expenses decreased $7.8 million for the three months ended June 30, 2023 as compared to the three months ended March 31, 2023. The decrease in vessel operating expenses was attributable to lower costs related to the </w:t>
      </w:r>
      <w:r>
        <w:rPr>
          <w:rFonts w:ascii="Arial" w:cs="Arial" w:eastAsia="Arial" w:hAnsi="Arial"/>
          <w:sz w:val="18"/>
          <w:szCs w:val="18"/>
          <w:i w:val="1"/>
          <w:iCs w:val="1"/>
          <w:color w:val="auto"/>
        </w:rPr>
        <w:t>Hilli</w:t>
      </w:r>
      <w:r>
        <w:rPr>
          <w:rFonts w:ascii="Arial" w:cs="Arial" w:eastAsia="Arial" w:hAnsi="Arial"/>
          <w:sz w:val="18"/>
          <w:szCs w:val="18"/>
          <w:color w:val="auto"/>
        </w:rPr>
        <w:t xml:space="preserve"> after the Hilli Exchange at the end of the first quarter of 2023. Additionally, beginning in the second quarter of 2023, two vessels are now included in the Terminals and Infrastructure Segment resulting in decreased vessel operating expenses in the Ship Segment.</w:t>
      </w:r>
    </w:p>
    <w:p>
      <w:pPr>
        <w:spacing w:after="0" w:line="187" w:lineRule="exact"/>
        <w:rPr>
          <w:sz w:val="20"/>
          <w:szCs w:val="20"/>
          <w:color w:val="auto"/>
        </w:rPr>
      </w:pPr>
    </w:p>
    <w:p>
      <w:pPr>
        <w:ind w:right="20" w:firstLine="356"/>
        <w:spacing w:after="0" w:line="301" w:lineRule="auto"/>
        <w:rPr>
          <w:sz w:val="20"/>
          <w:szCs w:val="20"/>
          <w:color w:val="auto"/>
        </w:rPr>
      </w:pPr>
      <w:r>
        <w:rPr>
          <w:rFonts w:ascii="Arial" w:cs="Arial" w:eastAsia="Arial" w:hAnsi="Arial"/>
          <w:sz w:val="16"/>
          <w:szCs w:val="16"/>
          <w:color w:val="auto"/>
        </w:rPr>
        <w:t xml:space="preserve">Vessel operating expenses decreased $16.5 million for the six months ended June 30, 2023 as compared to the six months ended June 30, 2022. The decrease in vessel operating expenses was primarily due to lower costs related to the </w:t>
      </w:r>
      <w:r>
        <w:rPr>
          <w:rFonts w:ascii="Arial" w:cs="Arial" w:eastAsia="Arial" w:hAnsi="Arial"/>
          <w:sz w:val="16"/>
          <w:szCs w:val="16"/>
          <w:i w:val="1"/>
          <w:iCs w:val="1"/>
          <w:color w:val="auto"/>
        </w:rPr>
        <w:t>Hilli</w:t>
      </w:r>
      <w:r>
        <w:rPr>
          <w:rFonts w:ascii="Arial" w:cs="Arial" w:eastAsia="Arial" w:hAnsi="Arial"/>
          <w:sz w:val="16"/>
          <w:szCs w:val="16"/>
          <w:color w:val="auto"/>
        </w:rPr>
        <w:t xml:space="preserve"> after the Hilli Exchange at the end of the first quarter of 2023. Vessel operating expenses also decreased as a result of the sale of the </w:t>
      </w:r>
      <w:r>
        <w:rPr>
          <w:rFonts w:ascii="Arial" w:cs="Arial" w:eastAsia="Arial" w:hAnsi="Arial"/>
          <w:sz w:val="16"/>
          <w:szCs w:val="16"/>
          <w:i w:val="1"/>
          <w:iCs w:val="1"/>
          <w:color w:val="auto"/>
        </w:rPr>
        <w:t>Nanook</w:t>
      </w:r>
      <w:r>
        <w:rPr>
          <w:rFonts w:ascii="Arial" w:cs="Arial" w:eastAsia="Arial" w:hAnsi="Arial"/>
          <w:sz w:val="16"/>
          <w:szCs w:val="16"/>
          <w:color w:val="auto"/>
        </w:rPr>
        <w:t xml:space="preserve"> as part of the Energos Formation Transaction; we recognized vessel operating expenses related to the </w:t>
      </w:r>
      <w:r>
        <w:rPr>
          <w:rFonts w:ascii="Arial" w:cs="Arial" w:eastAsia="Arial" w:hAnsi="Arial"/>
          <w:sz w:val="16"/>
          <w:szCs w:val="16"/>
          <w:i w:val="1"/>
          <w:iCs w:val="1"/>
          <w:color w:val="auto"/>
        </w:rPr>
        <w:t>Nanook</w:t>
      </w:r>
      <w:r>
        <w:rPr>
          <w:rFonts w:ascii="Arial" w:cs="Arial" w:eastAsia="Arial" w:hAnsi="Arial"/>
          <w:sz w:val="16"/>
          <w:szCs w:val="16"/>
          <w:color w:val="auto"/>
        </w:rPr>
        <w:t xml:space="preserve"> during 2022 and no longer recognize vessel operating expenses related to the </w:t>
      </w:r>
      <w:r>
        <w:rPr>
          <w:rFonts w:ascii="Arial" w:cs="Arial" w:eastAsia="Arial" w:hAnsi="Arial"/>
          <w:sz w:val="16"/>
          <w:szCs w:val="16"/>
          <w:i w:val="1"/>
          <w:iCs w:val="1"/>
          <w:color w:val="auto"/>
        </w:rPr>
        <w:t>Nanook</w:t>
      </w:r>
      <w:r>
        <w:rPr>
          <w:rFonts w:ascii="Arial" w:cs="Arial" w:eastAsia="Arial" w:hAnsi="Arial"/>
          <w:sz w:val="16"/>
          <w:szCs w:val="16"/>
          <w:color w:val="auto"/>
        </w:rPr>
        <w:t xml:space="preserve"> in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Other operating results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0"/>
        </w:trPr>
        <w:tc>
          <w:tcPr>
            <w:tcW w:w="1800" w:type="dxa"/>
            <w:vAlign w:val="bottom"/>
            <w:tcBorders>
              <w:top w:val="single" w:sz="8" w:color="auto"/>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Six Months Ended,</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4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March 31, 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June 30, 2023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 2022</w:t>
            </w:r>
          </w:p>
        </w:tc>
        <w:tc>
          <w:tcPr>
            <w:tcW w:w="26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Selling, general and administrative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98,351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37"/>
        </w:trPr>
        <w:tc>
          <w:tcPr>
            <w:tcW w:w="2660" w:type="dxa"/>
            <w:vAlign w:val="bottom"/>
            <w:gridSpan w:val="2"/>
          </w:tcPr>
          <w:p>
            <w:pPr>
              <w:ind w:left="20"/>
              <w:spacing w:after="0"/>
              <w:rPr>
                <w:sz w:val="20"/>
                <w:szCs w:val="20"/>
                <w:color w:val="auto"/>
              </w:rPr>
            </w:pPr>
            <w:r>
              <w:rPr>
                <w:rFonts w:ascii="Arial" w:cs="Arial" w:eastAsia="Arial" w:hAnsi="Arial"/>
                <w:sz w:val="18"/>
                <w:szCs w:val="18"/>
                <w:color w:val="auto"/>
                <w:w w:val="98"/>
              </w:rPr>
              <w:t>Transaction and integration costs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3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Asset impairment expense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48,109</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(48,109)</w:t>
            </w:r>
          </w:p>
        </w:tc>
        <w:tc>
          <w:tcPr>
            <w:tcW w:w="0" w:type="dxa"/>
            <w:vAlign w:val="bottom"/>
          </w:tcPr>
          <w:p>
            <w:pPr>
              <w:spacing w:after="0"/>
              <w:rPr>
                <w:sz w:val="1"/>
                <w:szCs w:val="1"/>
                <w:color w:val="auto"/>
              </w:rPr>
            </w:pPr>
          </w:p>
        </w:tc>
      </w:tr>
      <w:tr>
        <w:trPr>
          <w:trHeight w:val="237"/>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99,472</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12,465</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186,479</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223,873</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(37,394)</w:t>
            </w:r>
          </w:p>
        </w:tc>
        <w:tc>
          <w:tcPr>
            <w:tcW w:w="0" w:type="dxa"/>
            <w:vAlign w:val="bottom"/>
          </w:tcPr>
          <w:p>
            <w:pPr>
              <w:spacing w:after="0"/>
              <w:rPr>
                <w:sz w:val="1"/>
                <w:szCs w:val="1"/>
                <w:color w:val="auto"/>
              </w:rPr>
            </w:pPr>
          </w:p>
        </w:tc>
      </w:tr>
      <w:tr>
        <w:trPr>
          <w:trHeight w:val="223"/>
        </w:trPr>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190,965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267,224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458,189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300,151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158,038</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43,313</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18,421</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(41,827)</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60,248</w:t>
            </w:r>
          </w:p>
        </w:tc>
        <w:tc>
          <w:tcPr>
            <w:tcW w:w="0" w:type="dxa"/>
            <w:vAlign w:val="bottom"/>
          </w:tcPr>
          <w:p>
            <w:pPr>
              <w:spacing w:after="0"/>
              <w:rPr>
                <w:sz w:val="1"/>
                <w:szCs w:val="1"/>
                <w:color w:val="auto"/>
              </w:rPr>
            </w:pPr>
          </w:p>
        </w:tc>
      </w:tr>
      <w:tr>
        <w:trPr>
          <w:trHeight w:val="169"/>
        </w:trPr>
        <w:tc>
          <w:tcPr>
            <w:tcW w:w="26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Income before income from</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6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b w:val="1"/>
                <w:bCs w:val="1"/>
                <w:color w:val="auto"/>
                <w:w w:val="91"/>
              </w:rPr>
              <w:t>equity method investments and</w:t>
            </w: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133,153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170,546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303,699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249,222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54,477</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income taxes</w:t>
            </w:r>
          </w:p>
        </w:tc>
        <w:tc>
          <w:tcPr>
            <w:tcW w:w="1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Income (loss) from equity method</w:t>
            </w: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9,980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(7,711)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12,249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(322,692)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334,941</w:t>
            </w:r>
          </w:p>
        </w:tc>
        <w:tc>
          <w:tcPr>
            <w:tcW w:w="0" w:type="dxa"/>
            <w:vAlign w:val="bottom"/>
          </w:tcPr>
          <w:p>
            <w:pPr>
              <w:spacing w:after="0"/>
              <w:rPr>
                <w:sz w:val="1"/>
                <w:szCs w:val="1"/>
                <w:color w:val="auto"/>
              </w:rPr>
            </w:pPr>
          </w:p>
        </w:tc>
      </w:tr>
      <w:tr>
        <w:trPr>
          <w:trHeight w:val="230"/>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provision (benefit)</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44,282</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(136,220)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180,502</w:t>
            </w:r>
          </w:p>
        </w:tc>
        <w:tc>
          <w:tcPr>
            <w:tcW w:w="0" w:type="dxa"/>
            <w:vAlign w:val="bottom"/>
          </w:tcPr>
          <w:p>
            <w:pPr>
              <w:spacing w:after="0"/>
              <w:rPr>
                <w:sz w:val="1"/>
                <w:szCs w:val="1"/>
                <w:color w:val="auto"/>
              </w:rPr>
            </w:pPr>
          </w:p>
        </w:tc>
      </w:tr>
      <w:tr>
        <w:trPr>
          <w:trHeight w:val="223"/>
        </w:trPr>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271,666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208,916</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Selling, general and administrative includes compensation expenses for our corporate employees, employee travel costs, insurance, professional fees for our advisors, and screening costs for projects that are in initial stages and development is not yet probable.</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Selling, general and administrative increased $3.7 million for the three months ended June 30, 2023, compared to the three months ended March 31, 2023. Selling, general and administrative increased by $9.6 million for six months ended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June 30, 2023 as compared to the six months ended June 30, 2022. The increases were primarily due to increased payroll costs associated with the continued expansion of our operations during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integration costs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the three months ended June 30, 2023, transaction and integration costs remained relatively flat as compared to the three months ended March 31, 2023.</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six months ended June 30, 2023, we incurred $2.0 million for transaction and integration costs, as compared to $6.8 million for the six months ended June 30, 2022. For the six months ended June 30, 2022, we incurred transaction and integration costs in connection with the sale of our investment in CELSEPAR, which consisted primarily of financial advisory, legal accounting and consulting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1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Depreciation and amortization increased $7.7 million for the three months ended June 30, 2023 as compared to the three months ended March 31, 2023 and increased $5.8 million for the six months ended June 30, 2023 as compared to the six months ended June 30, 2022. In 2023, we began to place assets in service as part of the grid stabilization project in Puerto Rico, including turbines leased for the Palo Seco Power Plant under a finance lease. We also placed other assets in service at the Palo Seco Plant in the second quarter of 2023, increasing depreciation expense in the current quarter.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expense</w:t>
      </w:r>
    </w:p>
    <w:p>
      <w:pPr>
        <w:spacing w:after="0" w:line="212"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As a result of our acquisition of Hygo Transition Limited in 2021, we recognized long-lived assets associated the expansion of the Sergipe Power Plant. During the six months ended June 30, 2022, we recognized asset impairment expense of $48.1 million, as the fair value of these assets was less than the carrying value, and the asset group was held for sale. There were no such transactions for the six months ended June 30,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00" w:firstLine="324"/>
        <w:spacing w:after="0" w:line="286" w:lineRule="auto"/>
        <w:rPr>
          <w:sz w:val="20"/>
          <w:szCs w:val="20"/>
          <w:color w:val="auto"/>
        </w:rPr>
      </w:pPr>
      <w:r>
        <w:rPr>
          <w:rFonts w:ascii="Arial" w:cs="Arial" w:eastAsia="Arial" w:hAnsi="Arial"/>
          <w:sz w:val="17"/>
          <w:szCs w:val="17"/>
          <w:color w:val="auto"/>
        </w:rPr>
        <w:t>Interest expense decreased by $7.3 million for the three months ended June 30, 2023 as compared to the three months ended March 31, 2023. The decrease was primarily due to increases in capitalized interest, partially offset by increased interest expense due to borrowings under our expanded Revolving Facility, the issuance of the Equipment Notes and the Short-term Borrowings (each as defined below).</w:t>
      </w:r>
    </w:p>
    <w:p>
      <w:pPr>
        <w:spacing w:after="0" w:line="16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Interest expense increased by $43.3 million for the six months ended June 30, 2023, as compared to the six months ended June 30, 2022. The increase was primarily due to an increase in total principal outstanding due to additional principal balance outstanding, including obligations under the Energos Formation Transaction. The total principal balance on outstanding facilities was $5.5 billion as of June 30, 2023 as compared to total principal outstanding of $4.2 billion as of June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Other (income) expense, net was $(6.6) million and $25.0 million three months ended June 30, 2023, and March 31, 2023, respectively. Other expense (income), net was $18.4 million and $(41.8) million for the six months ended June 30, 2023 and June 30, 2022,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income recognized in the three months ended June 30, 2023 was primarily comprised of foreign currency remeasurement net gains.</w:t>
      </w:r>
    </w:p>
    <w:p>
      <w:pPr>
        <w:spacing w:after="0" w:line="237"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Other expense recognized in the six months ended June 30, 2023 was primarily comprised of a $37.4 million loss on disposal of Hilli equity method investment in the Hilli Exchange. This loss was partially offset by interest income and foreign currency remeasurement net gains.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provision</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recognized a tax provision for the three months ended June 30, 2023 of $15.3 million compared to a tax provision of $29.0 million for the three months ended March 31, 2023. We recognized a tax provision of $44.3 million for the six months ended June 30, 2023 compared to a tax benefit of $136.2 million for the six months ended June 30, 2022. The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significant tax benefit recognized in 2022 was primarily driven by significant discrete items, including the remeasurement of a deferred tax liability in conjunction with an internal reorganization and the impairment of our investment in CELSEPAR. We have not recognized any significant discrete items through the second quarter of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equity method investments</w:t>
      </w:r>
    </w:p>
    <w:p>
      <w:pPr>
        <w:spacing w:after="0" w:line="22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recognized income from our equity method investments of $2.3 million and $10.0 million for the three months ended June 30, 2023 and March 31, 2023, respectively. We completed the Hilli Exchange in the first quarter of 2023, and as such, income from equity method investments in the second quarter of 2022 is wholly comprised of earnings from our investment in Energos. In the first quarter of 2023, we recognized income of $4.0 million from our equity method investment in Energos and $6.0 million of income from our investment in Hilli for the period prior to the completion of the Hilli Exchange.</w:t>
      </w:r>
    </w:p>
    <w:p>
      <w:pPr>
        <w:spacing w:after="0" w:line="15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recognized income of $12.2 million from our equity method investments in the six months ended June 30, 2023 compared to loss of $322.7 million for the six months ended June 30, 2022. In connection with the announcement of the sale of our investment in CELSEPAR in the second quarter of 2022, we recognized an other than temporary impairment of the investment in CELSEPAR of $345,447; we did not have any such impairments impacting the earnings from our equity method investments in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Comparability of Our Financial Results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historical results of operations and cash flows are not indicative of results of operations and cash flows to be expected in the future, principally for the following reasons:</w:t>
      </w:r>
    </w:p>
    <w:p>
      <w:pPr>
        <w:spacing w:after="0" w:line="170" w:lineRule="exact"/>
        <w:rPr>
          <w:sz w:val="20"/>
          <w:szCs w:val="20"/>
          <w:color w:val="auto"/>
        </w:rPr>
      </w:pPr>
    </w:p>
    <w:p>
      <w:pPr>
        <w:ind w:left="980" w:right="80" w:hanging="648"/>
        <w:spacing w:after="0" w:line="301" w:lineRule="auto"/>
        <w:tabs>
          <w:tab w:leader="none" w:pos="980"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Our historical financial results do not reflect our Fast LNG solution that will lower the cost of our LNG supply. </w:t>
      </w:r>
      <w:r>
        <w:rPr>
          <w:rFonts w:ascii="Arial" w:cs="Arial" w:eastAsia="Arial" w:hAnsi="Arial"/>
          <w:sz w:val="16"/>
          <w:szCs w:val="16"/>
          <w:color w:val="auto"/>
        </w:rPr>
        <w:t>We currently purchase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of our supply of LNG from third parties, sourcing approximately 98% of our LNG volumes from third parties for the six months ended June 30, 2023. We anticipate that the deployment of Fast LNG floating liquefaction facilities will significantly lower the cost of our LNG supply and reduce our dependence on third-party suppliers. We expect to deploy our first Fast LNG unit in the third quarter of 2023.</w:t>
      </w:r>
    </w:p>
    <w:p>
      <w:pPr>
        <w:spacing w:after="0" w:line="157" w:lineRule="exact"/>
        <w:rPr>
          <w:rFonts w:ascii="Arial" w:cs="Arial" w:eastAsia="Arial" w:hAnsi="Arial"/>
          <w:sz w:val="16"/>
          <w:szCs w:val="16"/>
          <w:b w:val="1"/>
          <w:bCs w:val="1"/>
          <w:i w:val="1"/>
          <w:iCs w:val="1"/>
          <w:color w:val="auto"/>
        </w:rPr>
      </w:pPr>
    </w:p>
    <w:p>
      <w:pPr>
        <w:ind w:left="980" w:right="20" w:hanging="648"/>
        <w:spacing w:after="0" w:line="272" w:lineRule="auto"/>
        <w:tabs>
          <w:tab w:leader="none" w:pos="980"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Our historical financial results do not include significant projects that have recently been completed or are near completion. </w:t>
      </w:r>
      <w:r>
        <w:rPr>
          <w:rFonts w:ascii="Arial" w:cs="Arial" w:eastAsia="Arial" w:hAnsi="Arial"/>
          <w:sz w:val="17"/>
          <w:szCs w:val="17"/>
          <w:color w:val="auto"/>
        </w:rPr>
        <w:t>Our results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for the three and six months ended June 30, 2023 include our Montego Bay Facility, Old Harbour Facility, San Juan Facility, certain industrial end-users and our Miami Facility. We have placed a portion of our La Paz Facility into service, and our revenue and results of operations have begun to be impacted by our operations in Mexico. We have executed agreements to extend and amend our supply of natural gas to multiple CFE power generation facilities in Baja California Sur. We are also continuing to develop our Puerto Sandino Facility, and our current results do not include revenue and operating results from these projects. Our current results also exclude other developments, including the Barcarena Facility, Santa Catarina Facility and Ireland Facility.</w:t>
      </w:r>
    </w:p>
    <w:p>
      <w:pPr>
        <w:spacing w:after="0" w:line="177" w:lineRule="exact"/>
        <w:rPr>
          <w:rFonts w:ascii="Arial" w:cs="Arial" w:eastAsia="Arial" w:hAnsi="Arial"/>
          <w:sz w:val="17"/>
          <w:szCs w:val="17"/>
          <w:b w:val="1"/>
          <w:bCs w:val="1"/>
          <w:i w:val="1"/>
          <w:iCs w:val="1"/>
          <w:color w:val="auto"/>
        </w:rPr>
      </w:pPr>
    </w:p>
    <w:p>
      <w:pPr>
        <w:ind w:left="980" w:right="20"/>
        <w:spacing w:after="0" w:line="259" w:lineRule="auto"/>
        <w:rPr>
          <w:rFonts w:ascii="Arial" w:cs="Arial" w:eastAsia="Arial" w:hAnsi="Arial"/>
          <w:sz w:val="17"/>
          <w:szCs w:val="17"/>
          <w:b w:val="1"/>
          <w:bCs w:val="1"/>
          <w:i w:val="1"/>
          <w:iCs w:val="1"/>
          <w:color w:val="auto"/>
        </w:rPr>
      </w:pPr>
      <w:r>
        <w:rPr>
          <w:rFonts w:ascii="Arial" w:cs="Arial" w:eastAsia="Arial" w:hAnsi="Arial"/>
          <w:sz w:val="18"/>
          <w:szCs w:val="18"/>
          <w:color w:val="auto"/>
        </w:rPr>
        <w:t>Additionally, we began to deliver power to the Puerto Rican grid from the Palo Seco Power Plant as part of the grid stabilization project in the second quarter of 2023. Once fully operational, we expect that our power generation assets at both the Palo Seco Power Plant and at the San Juan Power Plant will operate at full capacity, and we expect that our revenue and results of operations will benefit from significant gas consumption required to operate these assets.</w:t>
      </w:r>
    </w:p>
    <w:p>
      <w:pPr>
        <w:spacing w:after="0" w:line="186" w:lineRule="exact"/>
        <w:rPr>
          <w:rFonts w:ascii="Arial" w:cs="Arial" w:eastAsia="Arial" w:hAnsi="Arial"/>
          <w:sz w:val="17"/>
          <w:szCs w:val="17"/>
          <w:b w:val="1"/>
          <w:bCs w:val="1"/>
          <w:i w:val="1"/>
          <w:iCs w:val="1"/>
          <w:color w:val="auto"/>
        </w:rPr>
      </w:pPr>
    </w:p>
    <w:p>
      <w:pPr>
        <w:ind w:left="980" w:right="40" w:hanging="648"/>
        <w:spacing w:after="0" w:line="279" w:lineRule="auto"/>
        <w:tabs>
          <w:tab w:leader="none" w:pos="980"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Our historical financial results include the results from our investments in the common units of Hilli LLC and CELSEPAR. </w:t>
      </w:r>
      <w:r>
        <w:rPr>
          <w:rFonts w:ascii="Arial" w:cs="Arial" w:eastAsia="Arial" w:hAnsi="Arial"/>
          <w:sz w:val="17"/>
          <w:szCs w:val="17"/>
          <w:color w:val="auto"/>
        </w:rPr>
        <w:t>On March 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2023, we completed the Hilli Exchange, and in the fourth quarter of 2022, we sold our interest in CELSEPAR, the indirect owner of the Sergipe Power Plant in Brazil. As a result of these transactions, we no longer have any ownership interest in either the </w:t>
      </w:r>
      <w:r>
        <w:rPr>
          <w:rFonts w:ascii="Arial" w:cs="Arial" w:eastAsia="Arial" w:hAnsi="Arial"/>
          <w:sz w:val="17"/>
          <w:szCs w:val="17"/>
          <w:i w:val="1"/>
          <w:iCs w:val="1"/>
          <w:color w:val="auto"/>
        </w:rPr>
        <w:t>Hilli</w:t>
      </w:r>
      <w:r>
        <w:rPr>
          <w:rFonts w:ascii="Arial" w:cs="Arial" w:eastAsia="Arial" w:hAnsi="Arial"/>
          <w:sz w:val="17"/>
          <w:szCs w:val="17"/>
          <w:color w:val="auto"/>
        </w:rPr>
        <w:t xml:space="preserve"> or the Sergipe Power Plant, and their results will no longer be included in NFE's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believe we will have sufficient liquidity from proceeds from recent borrowings, access to additional capital sources and cash flow from operations to fund our capital expenditures and working capital needs for the next 12 months and the reasonably foreseeable future. Our significant capital projects, primarily our first FLNG unit, are nearing completion, and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with many capital projects, a significant portion of the overall capital spending becomes due near the completion of the project. We have also incurred significant capital costs to deploy 350MW of temporary power as part of the grid stabilization project in Puerto Rico.</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expect that the current working capital position to improve based on: (1) following June 30, 2023, we have borrowed under our new Term Loan Agreement, as well as received additional financing under the Equipment Notes, totaling $485 million; (2) we have in excess of $2 billion in unencumbered assets that could be sold or levered; (3) expected cash flows generated from the temporary power project and from sales of our own LNG generated by our first deployed Fast LNG unit; and (4) our relationships with certain significant vendors constructing our Fast LNG assets have allowed us to extend our payment terms to better align with the expected completion of Fast LNG.</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expect to fund our current operations and continued development of additional facilities through cash on hand, borrowings under our debt facilities, cash generated from certain sales and financing transactions and cash generated from operations. We may also opportunistically elect to generate additional liquidity through future debt or equity issuances and asset sales to fund our developments and transactions.</w:t>
      </w:r>
    </w:p>
    <w:p>
      <w:pPr>
        <w:spacing w:after="0" w:line="16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assumed total committed expenditures for all completed and existing projects to be approximately $4,997 million, with approximately $3,526 million having already been paid through June 30, 2023. This estimate represents the committed expenditures for our Fast LNG project, as well as committed expenditures necessary to complete the La Paz Facility, Puerto Sandino Facility, Barcarena Facility, Barcarena Power Plant, Santa Catarina Facility and committed capital expenditures to support our grid stabilization project in Puerto Rico. We expect fully completed Fast LNG units to cost between $1.1 billion and $1.3 billion per unit. Unlike engineering, procurement and construction agreements for traditional liquefaction construction, our contracts with vendors to construct the Fast LNG units allow us to closely control the timing of our spending and construction schedules so that we can complete each project in time frames to meet our business needs. For example, expected spending for our second and third Fast LNG units that is not currently contracted is excluded from the estimated committed spending. Each Fast LNG completion is subject to permitting, various contractual terms, project feasibility, our decision to proceed and timing. We carefully manage our contractual commitments, the related funding needs and our various sources of funding including cash on hand, cash flow from operations, and borrowings under existing and future debt facilities. We may also enter into other financing arrangements to generate proceeds to fund our developments.</w:t>
      </w:r>
    </w:p>
    <w:p>
      <w:pPr>
        <w:spacing w:after="0" w:line="182"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As of June 30, 2023, we have spent approximately $128.6 million to develop the Pennsylvania Facility. Approximately $22.5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$106.1 million, has been capitalized, and to date, we have repurposed approximately $16.8 million of engineering and equipment to our Fast LNG project. We intend to apply for updated permits for the Pennsylvania Facility with the aim of obtaining these permits to coincide with the commencement of construction activities.</w:t>
      </w:r>
    </w:p>
    <w:p>
      <w:pPr>
        <w:spacing w:after="0" w:line="19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December 12, 2022, our Board of Directors approved an update to our dividend policy. In connection with the dividend policy update, the Board declared a dividend of $626.3 million, representing $3.00 per Class A share, which was paid during the first quarter of 2023. Additionally, we declared and paid quarterly dividends totaling $41.0 million during the six months ended June 30, 2023, representing $0.10 per Class A share.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 In the third quarter of 2023, our Board of Directors reinstated a dividend policy of targeting a quarterly dividend of $0.10 per share.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are committed to make cash payments in the future pursuant to certain contracts. The following table summarizes certain contractual obligations in place as of June 30, 2023.</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More than</w:t>
            </w:r>
          </w:p>
        </w:tc>
      </w:tr>
      <w:tr>
        <w:trPr>
          <w:trHeight w:val="234"/>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thousands of $)</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5"/>
              </w:rPr>
              <w:t>Less than Year 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Years 2 to 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Year 4 to 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 years</w:t>
            </w: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obligations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7,836,484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2,952,126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2,532,134</w:t>
            </w: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14,996,844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1,256,540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2,170,489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1,354,518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10,215,297</w:t>
            </w:r>
          </w:p>
        </w:tc>
      </w:tr>
      <w:tr>
        <w:trPr>
          <w:trHeight w:val="23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obligations</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631,113</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254,249</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186,416</w:t>
            </w: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23,464,441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1,598,975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5,376,864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3,554,755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12,933,847</w:t>
            </w:r>
          </w:p>
        </w:tc>
      </w:tr>
      <w:tr>
        <w:trPr>
          <w:trHeight w:val="20"/>
        </w:trPr>
        <w:tc>
          <w:tcPr>
            <w:tcW w:w="3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obligations</w:t>
      </w:r>
    </w:p>
    <w:p>
      <w:pPr>
        <w:spacing w:after="0" w:line="225"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For information on our long-term debt obligations, see “—Liquidity and Capital Resources—Long-Term Debt” in our Annual Report. The amounts included in the table above are based on the total debt balance, scheduled maturities, and interest rates in effect as of June 30, 2023.</w:t>
      </w:r>
    </w:p>
    <w:p>
      <w:pPr>
        <w:spacing w:after="0" w:line="146"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A portion of debt service will be paid to Energos under charters of vessels included in the Energos Formation Transaction to third parties. The residual value of these vessels also forms a part of the obligation and will be recognized as a bullet payment at the end of the charters. As neither these third party charter payments nor the residual value of these vessels represent cash payments due by NFE, such amounts have been excluded from the table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 on the spot price of that index as of June 30, 2023.</w:t>
      </w:r>
    </w:p>
    <w:p>
      <w:pPr>
        <w:spacing w:after="0" w:line="19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construction purchase commitments in connection with our development projects, including our Fast LNG project, La Paz Facility, Puerto Sandino Facility, Barcarena Facility, Santa Catarina Facility and committed capital expenditures to support our grid stabilization project in Puerto Rico. Commitments included in the table above include commitments under engineering, procurement and construction contracts where a notice to proceed has been issued.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obligations</w:t>
      </w:r>
    </w:p>
    <w:p>
      <w:pPr>
        <w:spacing w:after="0" w:line="225"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Future minimum lease payments under non-cancellable lease agreements, inclusive of fixed lease payments for renewal periods we are reasonably certain will be exercised, are included in the above table. Fixed lease payments for short-term leases are also included in the table above. Our lease obligations are primarily related to LNG vessel time charters, marine port leases, ISO tank leases, office space, gas turbines and a land lease.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to our cash flows for the six months ended June 30, 2023 and 2022, respectively: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8"/>
                <w:szCs w:val="18"/>
                <w:b w:val="1"/>
                <w:bCs w:val="1"/>
                <w:color w:val="auto"/>
              </w:rPr>
              <w:t>Six Months Ended June 30,</w:t>
            </w:r>
          </w:p>
        </w:tc>
        <w:tc>
          <w:tcPr>
            <w:tcW w:w="1460" w:type="dxa"/>
            <w:vAlign w:val="bottom"/>
            <w:tcBorders>
              <w:bottom w:val="single" w:sz="8" w:color="auto"/>
            </w:tcBorders>
          </w:tcPr>
          <w:p>
            <w:pPr>
              <w:spacing w:after="0"/>
              <w:rPr>
                <w:sz w:val="20"/>
                <w:szCs w:val="20"/>
                <w:color w:val="auto"/>
              </w:rPr>
            </w:pPr>
          </w:p>
        </w:tc>
      </w:tr>
      <w:tr>
        <w:trPr>
          <w:trHeight w:val="23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(in thousands of $)</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color w:val="auto"/>
              </w:rPr>
              <w:t>Cash flows from:</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503,877</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170,933</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332,944</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(1,367,092)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(441,708)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(925,384)</w:t>
            </w:r>
          </w:p>
        </w:tc>
      </w:tr>
      <w:tr>
        <w:trPr>
          <w:trHeight w:val="229"/>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222,583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r>
      <w:tr>
        <w:trPr>
          <w:trHeight w:val="236"/>
        </w:trPr>
        <w:tc>
          <w:tcPr>
            <w:tcW w:w="55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(640,632)</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(596,511)</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cash flow provided by operating activities was $503.9 million for the six months ended June 30, 2023, which increased by $332.9 million from cash provided by operating activities of $170.9 million for the six months ended June 30, 2022. The increase in cash provided by operating activities for the six months ended June 30, 2023 was primarily driven by changes in working capital, including improved collection of receivables, as well as significant cash receipts under our temporary power agreements that are required to be deferred as contract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Our cash flow used in investing activities was $1,367.1 million for the six months ended June 30, 2023, which increased by $925.4 million from cash used in investing activities of $441.7 million for the six months ended June 30, 2022. Cash outflows for investing activities during the six months ended June 30, 2023 were used primarily for continued development of our Fast LNG project and assets to service the grid stabilization project in Puerto Rico. Cash outflows were offset by proceeds of $100.0 million from the sale of our equity method investment in Hilli LLC in the Hilli Exchange.</w:t>
      </w:r>
    </w:p>
    <w:p>
      <w:pPr>
        <w:spacing w:after="0" w:line="157" w:lineRule="exact"/>
        <w:rPr>
          <w:sz w:val="20"/>
          <w:szCs w:val="20"/>
          <w:color w:val="auto"/>
        </w:rPr>
      </w:pPr>
    </w:p>
    <w:p>
      <w:pPr>
        <w:ind w:firstLine="356"/>
        <w:spacing w:after="0" w:line="277" w:lineRule="auto"/>
        <w:rPr>
          <w:sz w:val="20"/>
          <w:szCs w:val="20"/>
          <w:color w:val="auto"/>
        </w:rPr>
      </w:pPr>
      <w:r>
        <w:rPr>
          <w:rFonts w:ascii="Arial" w:cs="Arial" w:eastAsia="Arial" w:hAnsi="Arial"/>
          <w:sz w:val="18"/>
          <w:szCs w:val="18"/>
          <w:color w:val="auto"/>
        </w:rPr>
        <w:t>Cash outflows for investing activities during the six months ended June 30, 2022 were used for continued development of our Fast LNG project, Santa Catarina Facility, Barcarena Facility, as well as expenditures to complete our La Paz Facility and Puerto Sandino Facility.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cash flow provided by financing activities was $222.6 million for the six months ended June 30, 2023, which decreased by $4.1 million from cash provided by financing activities of $226.7 million for the six months ended June 30, 2022. In December 2022, our Board of Directors approved and declared a dividend of $626.3 million, representing $3.00 per Class A share; such dividend payment was made in January 2023. We have borrowed under our expanded Revolving Facility for total additional borrowings of $741.6 million, with such borrowings primarily used to fund the ongoing development of our Fast LNG project. We also borrowed $100.0 million under the Equipment Notes to support our grid stabilization project in Puerto Rico and $78.0 million of short-term borrowings under repurchase arrangements.</w:t>
      </w:r>
    </w:p>
    <w:p>
      <w:pPr>
        <w:spacing w:after="0" w:line="19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Cash provided by financing activities during the six months ended June 30, 2022 was primarily due to proceeds from issuance of debt of $437.9 million, offset by repayments of debt of $146.0 million and payment of dividends of $47.4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and Preferred Stock</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terms of our debt instruments and associated obligations have been described in our Annual Report. There have been no significant changes to the terms of our outstanding debt, covenant requirements or payment obligations, other than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June 2023, we executed a Master Loan and Security Agreement with a lender to borrow up to $200,000 under promissory notes secured by certain turbines acquired in the first quarter of 2023 to support the grid stabilization project in Puerto Rico (the “Equipment Notes”). Prior to June 30, 2023, we borrowed $100,000 bearing interest at approximately 7.4%, and the principal is partially repayable in monthly installments over the 36 month term of the loan with the balance due upon maturity in June 2026. On July 31, 2023, we borrowed an additional $85,000, and we expect to receive funding on the final tranche of the Equipment Notes of $15,000 in the third quarter of 2023.</w:t>
      </w:r>
    </w:p>
    <w:p>
      <w:pPr>
        <w:spacing w:after="0" w:line="18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Proceeds received were net of upfront fees due to the lender, and through June 30, 2023, we have incurred $1,468 in origination, structuring and other fees, associated with entry into the Equipment Notes.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Equipment Notes do not contain any restrictive financial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may, from time to time, enter into sales and repurchase agreements with a financial institution, whereby the Company sells to the financial institution an LNG cargo and concurrently enters into an agreement to repurchase the same LNG cargo immediately with the repurchase price payable at a future date, generally not to exceed 90-days from the date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of the sale and repurchase (the “Short-term Borrowings”). As of June 30, 2023, we had $78,025 due under repurchase arrangements with a weighted average interest rate of 9.43%.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Facility</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February 2023, we entered into an amendment of our Revolving Facility which increased the commitments by $301.7 million, for a total capacity of $741.7 million. The interest rate for borrowings under the Revolving Facility based on the current usage of the facility has not changed, and no changes were made to the maturity date or covenants. In conjunction with the amendment, we incurred an additional $5.3 million in fees which have been capitalized within Other non-current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lease restrictions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We were in compliance with all covenants as of June 30,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 complete discussion of our critical accounting policies and estimates is included in our Annual Report. As of June 30, 2023, there have been no significant changes to our critical accounting estimates since our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descriptions of recently issued accounting standards, see “Note 3. Adoption of new and revised standards” to our notes to condensed consolidated financial statements included elsewhere in this Quarterly Report.</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normal course of business, the Company encounters several significant types of market risks including commodity and interest rate risks.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Commodity price risk is the risk of loss arising from adverse changes in market rates and prices. We are able to limit our exposure to fluctuations in natural gas prices as our pricing in contracts with downstream customers is largely based on the Henry Hub index price plus a contractual spread. Our exposure to market risk associated with LNG price changes may adversely impact our business. In 2022, we entered into a commodity swap transaction as an economic hedge to reduce the risks associated with commodity prices which settled in the first quarter of 2023 resulting in a realized gain of $146.1 million. In January 2023, we entered into a commodity swap transaction, and we recognized an unrealized losses of $2.9 million for the six months ended June 30, 2023. We currently do not have other derivative instruments to mitigate the effect of fluctuations in LNG prices on our operations; in the future we may enter into additional derivative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right="160" w:firstLine="324"/>
        <w:spacing w:after="0" w:line="257" w:lineRule="auto"/>
        <w:rPr>
          <w:sz w:val="20"/>
          <w:szCs w:val="20"/>
          <w:color w:val="auto"/>
        </w:rPr>
      </w:pPr>
      <w:r>
        <w:rPr>
          <w:rFonts w:ascii="Arial" w:cs="Arial" w:eastAsia="Arial" w:hAnsi="Arial"/>
          <w:sz w:val="18"/>
          <w:szCs w:val="18"/>
          <w:color w:val="auto"/>
        </w:rPr>
        <w:t>The 2025 Notes, 2026 Notes, Equipment Notes, and South Power 2029 Bonds (each defined above or in our Annual Report) were issued with a fixed rate of interest, and as such, a change in interest rates would impact the fair value of the debt outstanding but such a change would have no impact on our results of operations or cash flows. A 100-basis point increase or decrease in the market interest rate would decrease or increase the fair value of our fixed rate debt by approximately $73 million. The sensitivity analysis presented is based on certain simplifying assumptions, including instantaneous change in interest rate and parallel shifts in the yield curve.</w:t>
      </w:r>
    </w:p>
    <w:p>
      <w:pPr>
        <w:spacing w:after="0" w:line="188"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Interest under the Barcarena Term Loan has a component based on the Secured Overnight Financing Rate ("SOFR"). A 100-basis point increase or decrease in the market interest rate would decrease or increase our annual interest expense by approximately $2 million.</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transactions, assets and liabilities denominated in Brazilian reais, and our Brazilian subsidiaries and investments receive income and pay expenses in Brazilian reais. Based on our Brazilian reais revenues and expenses,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w:t>
      </w:r>
    </w:p>
    <w:p>
      <w:pPr>
        <w:spacing w:after="0" w:line="18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As we expect our international operations to continue to grow in the near term, we may enter into derivative or hedging transactions with third parties to manage our exposure to changes in foreign currency exchange risks as we expand our international operations.</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In accordance with Rules 13a-15(b) of the Securities Exchange Act of 1934, as amended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June 30, 2023.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June 30, 2023 at the reasonable assurance level.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Exchange Act) that occurred during the quarter ended June 30,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3"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200" w:lineRule="exact"/>
        <w:rPr>
          <w:sz w:val="20"/>
          <w:szCs w:val="20"/>
          <w:color w:val="auto"/>
        </w:rPr>
      </w:pPr>
    </w:p>
    <w:p>
      <w:pPr>
        <w:spacing w:after="0" w:line="23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3"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Risk Factors</w:t>
      </w:r>
    </w:p>
    <w:p>
      <w:pPr>
        <w:spacing w:after="0" w:line="243" w:lineRule="exact"/>
        <w:rPr>
          <w:sz w:val="20"/>
          <w:szCs w:val="20"/>
          <w:color w:val="auto"/>
        </w:rPr>
      </w:pPr>
    </w:p>
    <w:p>
      <w:pPr>
        <w:ind w:right="740" w:firstLine="324"/>
        <w:spacing w:after="0" w:line="246" w:lineRule="auto"/>
        <w:rPr>
          <w:sz w:val="20"/>
          <w:szCs w:val="20"/>
          <w:color w:val="auto"/>
        </w:rPr>
      </w:pPr>
      <w:r>
        <w:rPr>
          <w:rFonts w:ascii="Arial" w:cs="Arial" w:eastAsia="Arial" w:hAnsi="Arial"/>
          <w:sz w:val="18"/>
          <w:szCs w:val="18"/>
          <w:color w:val="auto"/>
        </w:rPr>
        <w:t>Some of the factors that could materially and adversely affect our business, financial condition, results of operations or prospects include the following: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Business</w:t>
      </w:r>
    </w:p>
    <w:p>
      <w:pPr>
        <w:spacing w:after="0" w:line="23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a limited operating history, which may not be sufficient to evaluate our business and prospects;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implement our business strategy may be materially and adversely affected by many known and unknown factors;</w:t>
      </w:r>
    </w:p>
    <w:p>
      <w:pPr>
        <w:spacing w:after="0" w:line="7"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subject to various construction risks;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Operation of our infrastructure, facilities and vessels involves significant risks;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depend on third-party contractors, operators and suppliers;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LNG to be a competitive source of energy in the markets in which we operate, and seek to operate, could adversely affect our expansion strategy;</w:t>
      </w:r>
    </w:p>
    <w:p>
      <w:pPr>
        <w:ind w:left="660" w:right="280" w:hanging="328"/>
        <w:spacing w:after="0" w:line="25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operate in a highly regulated environment and our operations could be adversely affected by actions by governmental entities or changes to regulations and legislation;</w:t>
      </w:r>
    </w:p>
    <w:p>
      <w:pPr>
        <w:ind w:left="660" w:right="320" w:hanging="328"/>
        <w:spacing w:after="0" w:line="25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obtain and maintain permits, approvals and authorizations from governmental and regulatory agencies and third parties on favorable terms could impede operations and construction;</w:t>
      </w:r>
    </w:p>
    <w:p>
      <w:pPr>
        <w:ind w:left="660" w:right="560" w:hanging="328"/>
        <w:spacing w:after="0" w:line="25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ind w:left="620" w:hanging="28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maintain sufficient working capital could limit our growth and harm our business, financial condition and results of operations;</w:t>
      </w:r>
    </w:p>
    <w:p>
      <w:pPr>
        <w:spacing w:after="0" w:line="20" w:lineRule="exact"/>
        <w:rPr>
          <w:rFonts w:ascii="Arial" w:cs="Arial" w:eastAsia="Arial" w:hAnsi="Arial"/>
          <w:sz w:val="17"/>
          <w:szCs w:val="17"/>
          <w:color w:val="auto"/>
        </w:rPr>
      </w:pPr>
    </w:p>
    <w:p>
      <w:pPr>
        <w:ind w:left="660" w:right="380" w:hanging="328"/>
        <w:spacing w:after="0" w:line="25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revenues is substantially dependent on our current and future long-term agreements and the performance by customers under such agreements;</w:t>
      </w:r>
    </w:p>
    <w:p>
      <w:pPr>
        <w:ind w:left="660" w:right="380" w:hanging="328"/>
        <w:spacing w:after="0" w:line="25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lack of asset and geographic diversification could have an adverse effect on our business, contracts, financial condition, operating results, cash flow, liquidity and prospects;</w:t>
      </w:r>
    </w:p>
    <w:p>
      <w:pPr>
        <w:ind w:left="660" w:right="240" w:hanging="328"/>
        <w:spacing w:after="0" w:line="25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Because we are currently dependent upon a limited number of customers, the loss of a significant customer could adversely affect our operating results;</w:t>
      </w:r>
    </w:p>
    <w:p>
      <w:pPr>
        <w:ind w:left="660" w:right="360" w:hanging="328"/>
        <w:spacing w:after="0" w:line="25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convert our anticipated customer pipeline into binding long-term contracts, and if we fail to convert potential sales into actual sales, we will not generate the revenues and profits we anticipate;</w:t>
      </w: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contracts with our customers are subject to termination under certain circumstances;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in the LNG industry is intense, and some of our competitors have greater financial, technological and other resources than we currently possess;</w:t>
      </w:r>
    </w:p>
    <w:p>
      <w:pPr>
        <w:ind w:left="660" w:right="500" w:hanging="328"/>
        <w:spacing w:after="0" w:line="25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 may adversely affect our business and the performance of our customers;</w:t>
      </w:r>
    </w:p>
    <w:p>
      <w:pPr>
        <w:ind w:left="660" w:right="440" w:hanging="328"/>
        <w:spacing w:after="0" w:line="260"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risk management strategies cannot eliminate all LNG price and supply risks. In addition, any non-compliance with our risk management strategies could result in significant financial losses;</w:t>
      </w:r>
    </w:p>
    <w:p>
      <w:pPr>
        <w:sectPr>
          <w:pgSz w:w="11900" w:h="16838" w:orient="portrait"/>
          <w:cols w:equalWidth="0" w:num="1">
            <w:col w:w="11200"/>
          </w:cols>
          <w:pgMar w:left="320" w:top="296" w:right="37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20" w:hanging="288"/>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are dependent on third-party LNG suppliers and the development of our own portfolio is subject to various risks and assumptions;</w:t>
      </w:r>
    </w:p>
    <w:p>
      <w:pPr>
        <w:spacing w:after="0" w:line="34" w:lineRule="exact"/>
        <w:rPr>
          <w:rFonts w:ascii="Arial" w:cs="Arial" w:eastAsia="Arial" w:hAnsi="Arial"/>
          <w:sz w:val="17"/>
          <w:szCs w:val="17"/>
          <w:color w:val="auto"/>
        </w:rPr>
      </w:pPr>
    </w:p>
    <w:p>
      <w:pPr>
        <w:ind w:left="660" w:right="200" w:hanging="328"/>
        <w:spacing w:after="0" w:line="250"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seek to develop innovative and new technologies as part of our strategy that are not yet proven and may not realize the time and cost savings we expect to achieve;</w:t>
      </w: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Fast LNG technology is not yet proven and we may not be able to implement it as planned or at all;</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incurred, and may in the future incur, a significant amount of debt;</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is dependent upon obtaining substantial additional funding from various sources, which may not be available or may only be available on unfavorable terms;</w:t>
      </w:r>
    </w:p>
    <w:p>
      <w:pPr>
        <w:jc w:val="both"/>
        <w:ind w:left="660" w:right="180" w:hanging="328"/>
        <w:spacing w:after="0" w:line="281" w:lineRule="auto"/>
        <w:tabs>
          <w:tab w:leader="none" w:pos="6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 w:lineRule="exact"/>
        <w:rPr>
          <w:rFonts w:ascii="Arial" w:cs="Arial" w:eastAsia="Arial" w:hAnsi="Arial"/>
          <w:sz w:val="16"/>
          <w:szCs w:val="16"/>
          <w:color w:val="auto"/>
        </w:rPr>
      </w:pPr>
    </w:p>
    <w:p>
      <w:pPr>
        <w:ind w:left="660" w:right="500" w:hanging="328"/>
        <w:spacing w:after="0" w:line="260" w:lineRule="auto"/>
        <w:tabs>
          <w:tab w:leader="none" w:pos="5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Jurisdictions in Which We Operate</w:t>
      </w:r>
    </w:p>
    <w:p>
      <w:pPr>
        <w:spacing w:after="0" w:line="252" w:lineRule="exact"/>
        <w:rPr>
          <w:sz w:val="20"/>
          <w:szCs w:val="20"/>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subject to the economic, political, social and other conditions in the jurisdictions in which we operate;</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financial condition and operating results may be adversely affected by foreign exchange fluctuations;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Ownership of Our Class A Common Stock</w:t>
      </w:r>
    </w:p>
    <w:p>
      <w:pPr>
        <w:spacing w:after="0" w:line="225" w:lineRule="exact"/>
        <w:rPr>
          <w:sz w:val="20"/>
          <w:szCs w:val="20"/>
          <w:color w:val="auto"/>
        </w:rPr>
      </w:pPr>
    </w:p>
    <w:p>
      <w:pPr>
        <w:ind w:left="660" w:right="8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small number of our original investors have the ability to direct the voting of a majority of our stock, and their interests may conflict with those of our other stockholders;</w:t>
      </w:r>
    </w:p>
    <w:p>
      <w:pPr>
        <w:spacing w:after="0" w:line="1"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Risks</w:t>
      </w:r>
    </w:p>
    <w:p>
      <w:pPr>
        <w:spacing w:after="0" w:line="252" w:lineRule="exact"/>
        <w:rPr>
          <w:sz w:val="20"/>
          <w:szCs w:val="20"/>
          <w:color w:val="auto"/>
        </w:rPr>
      </w:pPr>
    </w:p>
    <w:p>
      <w:pPr>
        <w:ind w:left="660" w:right="18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a holding company and our operational and consolidated financial results are dependent on the results of our subsidiaries, affiliates, joint ventures and special purpose entities in which we invest;</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engage in mergers, sales and acquisitions, reorganizations or similar transactions related to our businesses or assets in the future and we may fail to successfully complete such transaction or to realize the expected value;</w:t>
      </w:r>
    </w:p>
    <w:p>
      <w:pPr>
        <w:ind w:left="660" w:right="100" w:hanging="328"/>
        <w:spacing w:after="0" w:line="28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are unable to predict the extent to which the global COVID-19 pandemic will negatively affect our operations, financial performance, nor our ability to achieve our strategic objectives. We are also unable to predict how this global pandemic may affect our customers and suppliers;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change in tax laws in any country in which we operate could adversely affect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may not be sufficient to evaluate our business and prospects.</w:t>
      </w:r>
    </w:p>
    <w:p>
      <w:pPr>
        <w:spacing w:after="0" w:line="239" w:lineRule="exact"/>
        <w:rPr>
          <w:sz w:val="20"/>
          <w:szCs w:val="20"/>
          <w:color w:val="auto"/>
        </w:rPr>
      </w:pPr>
    </w:p>
    <w:p>
      <w:pPr>
        <w:ind w:firstLine="324"/>
        <w:spacing w:after="0" w:line="255" w:lineRule="auto"/>
        <w:rPr>
          <w:sz w:val="20"/>
          <w:szCs w:val="20"/>
          <w:color w:val="auto"/>
        </w:rPr>
      </w:pPr>
      <w:r>
        <w:rPr>
          <w:rFonts w:ascii="Arial" w:cs="Arial" w:eastAsia="Arial" w:hAnsi="Arial"/>
          <w:sz w:val="17"/>
          <w:szCs w:val="17"/>
          <w:color w:val="auto"/>
        </w:rPr>
        <w:t>We have a limited operating history and track record. As a result, our prior operating history and historical financial statements may not be a reliable basis for evaluating our business prospects or the value of our Class A common stock. We commenced operations on February 25, 2014, and we had net losses of approximately $78.2 million in 2018, $204.3 million in 2019, and $264.0 million in 2020. We recognized income of $92.7 million in 2021, $184.8 million in 2022 and $120.1 million in the second quarter of 2023. Our limited operating history also means that we continue to develop and implement our strategies, policies and procedures, including those related to project development planning, operational supply chain planning, data privacy and other matters. We cannot give you any assurance that our strategy will be successful or that we will be able to implement our strategy on a timely basis, if at all, or achieve our internal model or that our assumptions will be accurate.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225"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Our business strategy relies on a variety of factors, including our ability to successfully market LNG, natural gas, steam, and power to end-users, develop and maintain cost-effective logistics in our supply chain and construct, develop and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80"/>
        <w:spacing w:after="0" w:line="248" w:lineRule="auto"/>
        <w:rPr>
          <w:sz w:val="20"/>
          <w:szCs w:val="20"/>
          <w:color w:val="auto"/>
        </w:rPr>
      </w:pPr>
      <w:r>
        <w:rPr>
          <w:rFonts w:ascii="Arial" w:cs="Arial" w:eastAsia="Arial" w:hAnsi="Arial"/>
          <w:sz w:val="18"/>
          <w:szCs w:val="18"/>
          <w:color w:val="auto"/>
        </w:rPr>
        <w:t>operate energy-related infrastructure in the countries where we operate, and expand our projects and operations to other countries where we do not currently operate, among others. These assumptions are subject to significant economic, competitive, regulatory and operational uncertainties, contingencies and risks, many of which are beyond our control, including, among others:</w:t>
      </w:r>
    </w:p>
    <w:p>
      <w:pPr>
        <w:spacing w:after="0" w:line="222" w:lineRule="exact"/>
        <w:rPr>
          <w:sz w:val="20"/>
          <w:szCs w:val="20"/>
          <w:color w:val="auto"/>
        </w:rPr>
      </w:pPr>
    </w:p>
    <w:p>
      <w:pPr>
        <w:ind w:left="660" w:right="580" w:hanging="328"/>
        <w:spacing w:after="0" w:line="258"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achieve our target costs for the purchase, liquefaction and export of natural gas and/or LNG and our target pricing for long-term contracts;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develop strategic relationships;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failure to obtain required governmental and regulatory approvals for the construction and operation of these projects and other relevant approvals;</w:t>
      </w:r>
    </w:p>
    <w:p>
      <w:pPr>
        <w:spacing w:after="0" w:line="32" w:lineRule="exact"/>
        <w:rPr>
          <w:rFonts w:ascii="Arial" w:cs="Arial" w:eastAsia="Arial" w:hAnsi="Arial"/>
          <w:sz w:val="16"/>
          <w:szCs w:val="16"/>
          <w:color w:val="auto"/>
        </w:rPr>
      </w:pPr>
    </w:p>
    <w:p>
      <w:pPr>
        <w:ind w:left="620" w:hanging="288"/>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unfavorable laws and regulations, changes in laws or unfavorable interpretation or application of laws and regulations; and</w:t>
      </w:r>
    </w:p>
    <w:p>
      <w:pPr>
        <w:spacing w:after="0" w:line="9" w:lineRule="exact"/>
        <w:rPr>
          <w:rFonts w:ascii="Arial" w:cs="Arial" w:eastAsia="Arial" w:hAnsi="Arial"/>
          <w:sz w:val="18"/>
          <w:szCs w:val="18"/>
          <w:color w:val="auto"/>
        </w:rPr>
      </w:pPr>
    </w:p>
    <w:p>
      <w:pPr>
        <w:ind w:left="660" w:right="340" w:hanging="328"/>
        <w:spacing w:after="0" w:line="260" w:lineRule="auto"/>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uncertainty regarding the timing, pace and extent of an economic recovery in the United States, the other jurisdictions in which we operate and elsewhere, which in turn will likely affect demand for crude oil and natural gas.</w:t>
      </w:r>
    </w:p>
    <w:p>
      <w:pPr>
        <w:spacing w:after="0" w:line="199" w:lineRule="exact"/>
        <w:rPr>
          <w:sz w:val="20"/>
          <w:szCs w:val="20"/>
          <w:color w:val="auto"/>
        </w:rPr>
      </w:pPr>
    </w:p>
    <w:p>
      <w:pPr>
        <w:ind w:right="420" w:firstLine="324"/>
        <w:spacing w:after="0" w:line="243" w:lineRule="auto"/>
        <w:rPr>
          <w:sz w:val="20"/>
          <w:szCs w:val="20"/>
          <w:color w:val="auto"/>
        </w:rPr>
      </w:pPr>
      <w:r>
        <w:rPr>
          <w:rFonts w:ascii="Arial" w:cs="Arial" w:eastAsia="Arial" w:hAnsi="Arial"/>
          <w:sz w:val="18"/>
          <w:szCs w:val="18"/>
          <w:color w:val="auto"/>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spacing w:after="0" w:line="215" w:lineRule="exact"/>
        <w:rPr>
          <w:sz w:val="20"/>
          <w:szCs w:val="20"/>
          <w:color w:val="auto"/>
        </w:rPr>
      </w:pPr>
    </w:p>
    <w:p>
      <w:pPr>
        <w:ind w:right="340" w:firstLine="324"/>
        <w:spacing w:after="0" w:line="248" w:lineRule="auto"/>
        <w:rPr>
          <w:sz w:val="20"/>
          <w:szCs w:val="20"/>
          <w:color w:val="auto"/>
        </w:rPr>
      </w:pPr>
      <w:r>
        <w:rPr>
          <w:rFonts w:ascii="Arial" w:cs="Arial" w:eastAsia="Arial" w:hAnsi="Arial"/>
          <w:sz w:val="18"/>
          <w:szCs w:val="18"/>
          <w:color w:val="auto"/>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construction risks.</w:t>
      </w:r>
    </w:p>
    <w:p>
      <w:pPr>
        <w:spacing w:after="0" w:line="225" w:lineRule="exact"/>
        <w:rPr>
          <w:sz w:val="20"/>
          <w:szCs w:val="20"/>
          <w:color w:val="auto"/>
        </w:rPr>
      </w:pPr>
    </w:p>
    <w:p>
      <w:pPr>
        <w:ind w:right="340" w:firstLine="324"/>
        <w:spacing w:after="0" w:line="279" w:lineRule="auto"/>
        <w:rPr>
          <w:sz w:val="20"/>
          <w:szCs w:val="20"/>
          <w:color w:val="auto"/>
        </w:rPr>
      </w:pPr>
      <w:r>
        <w:rPr>
          <w:rFonts w:ascii="Arial" w:cs="Arial" w:eastAsia="Arial" w:hAnsi="Arial"/>
          <w:sz w:val="16"/>
          <w:szCs w:val="16"/>
          <w:color w:val="auto"/>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spacing w:after="0" w:line="19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engineering, environmental or geological problems;</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shortages or delays in the delivery of equipment and supplies;</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 or regulatory approvals, permits or other authorizations;</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meet technical specifications or adjustments being required based on testing or commissioning;</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construction accidents that could result in personal injury or loss of life;</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lack of adequate and qualified personnel to execute the project;</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weather interference; and</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labor shortages, work stoppages or labor union disputes.</w:t>
      </w:r>
    </w:p>
    <w:p>
      <w:pPr>
        <w:spacing w:after="0" w:line="223"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color w:val="auto"/>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and additional operational monitoring and balancing requirements that may impact the design of facilities to be constructed.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spacing w:after="0" w:line="208"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The occurrence of any one of these factors, whatever the cause, could result in unforeseen delays or cost overruns to our projects. Delays in the development beyond our estimated timelines, or amendments or change orders to our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in the event of significant delays,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and no assurance can be given that we will not continue to experience in the future similar events, any of which could have a material adverse effect on our business, operating results, cash flows and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 of our infrastructure, facilities and vessels involves significant risks.</w:t>
      </w:r>
    </w:p>
    <w:p>
      <w:pPr>
        <w:spacing w:after="0" w:line="239"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Our existing infrastructure, facilities and vessels and expected future operations and businesses face operational risks, including, but not limited to, the following:</w:t>
      </w:r>
    </w:p>
    <w:p>
      <w:pPr>
        <w:spacing w:after="0" w:line="21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performing below expected levels of efficiency or capacity or required changes to specifications for continued operations;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breakdowns or failures of equipment or shortages or delays in the delivery of supplies;</w:t>
      </w: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operational errors by trucks, including trucking accidents while transporting natural gas, LNG or any other chemical or hazardous substance;</w:t>
      </w:r>
    </w:p>
    <w:p>
      <w:pPr>
        <w:spacing w:after="0" w:line="18" w:lineRule="exact"/>
        <w:rPr>
          <w:rFonts w:ascii="Arial" w:cs="Arial" w:eastAsia="Arial" w:hAnsi="Arial"/>
          <w:sz w:val="17"/>
          <w:szCs w:val="17"/>
          <w:color w:val="auto"/>
        </w:rPr>
      </w:pPr>
    </w:p>
    <w:p>
      <w:pPr>
        <w:ind w:left="660" w:hanging="328"/>
        <w:spacing w:after="0" w:line="22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related to operators and service providers of tankers or tugs used in our operations;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operational errors by us or any contracted facility, port or other operator of related third-party infrastructure;</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maintain the required government or regulatory approvals, permits or other authorizations;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accidents, fires, explosions or other events or catastrophes;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lack of adequate and qualified personnel;</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labor shortages, work stoppages or labor union disputes;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weather-related or natural disaster interruptions of operations;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pollution, release of or exposure to toxic substances or environmental contamination affecting operation;</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or failure, of any counterparty to any facility-related agreements to perform their contractual obligations;</w:t>
      </w:r>
    </w:p>
    <w:p>
      <w:pPr>
        <w:ind w:left="660" w:hanging="328"/>
        <w:spacing w:after="0" w:line="23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by our customers, including as a result of the COVID-19 pandemic; and</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planned and unplanned power outages or failures to supply due to scheduled or unscheduled maintenance.</w:t>
      </w:r>
    </w:p>
    <w:p>
      <w:pPr>
        <w:spacing w:after="0" w:line="223"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In particular, we are subject to risks related to the operation of power plants, liquefaction facilities, marine and other LNG operations with respect to our facilities, floating storage regasification units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its control, such as the overall economic impacts caused by the global COVID-19 outbreak.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spacing w:after="0" w:line="204" w:lineRule="exact"/>
        <w:rPr>
          <w:sz w:val="20"/>
          <w:szCs w:val="20"/>
          <w:color w:val="auto"/>
        </w:rPr>
      </w:pPr>
    </w:p>
    <w:p>
      <w:pPr>
        <w:ind w:right="760" w:firstLine="324"/>
        <w:spacing w:after="0" w:line="291" w:lineRule="auto"/>
        <w:rPr>
          <w:sz w:val="20"/>
          <w:szCs w:val="20"/>
          <w:color w:val="auto"/>
        </w:rPr>
      </w:pPr>
      <w:r>
        <w:rPr>
          <w:rFonts w:ascii="Arial" w:cs="Arial" w:eastAsia="Arial" w:hAnsi="Arial"/>
          <w:sz w:val="17"/>
          <w:szCs w:val="17"/>
          <w:color w:val="auto"/>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third-party contractors, operators and suppliers.</w:t>
      </w:r>
    </w:p>
    <w:p>
      <w:pPr>
        <w:spacing w:after="0" w:line="239" w:lineRule="exact"/>
        <w:rPr>
          <w:sz w:val="20"/>
          <w:szCs w:val="20"/>
          <w:color w:val="auto"/>
        </w:rPr>
      </w:pPr>
    </w:p>
    <w:p>
      <w:pPr>
        <w:ind w:firstLine="324"/>
        <w:spacing w:after="0" w:line="266" w:lineRule="auto"/>
        <w:rPr>
          <w:sz w:val="20"/>
          <w:szCs w:val="20"/>
          <w:color w:val="auto"/>
        </w:rPr>
      </w:pPr>
      <w:r>
        <w:rPr>
          <w:rFonts w:ascii="Arial" w:cs="Arial" w:eastAsia="Arial" w:hAnsi="Arial"/>
          <w:sz w:val="16"/>
          <w:szCs w:val="16"/>
          <w:color w:val="auto"/>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For example, each of our vessels is operated and maintained by GLNG or its affiliates pursuant to ship management agreements. Any failure by GLNG or its affiliates in the operation of our vessels could have an adverse effect on our maritime operations and could result in our failure to deliver LNG to our customers as required under our customer agreements.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protection to seek payment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performance expectations, or if we experience delays or cost overruns in design, construction, commissioning or operation, our business, operating results, cash flows and liquidity could be materially and adversely affected.</w:t>
      </w:r>
    </w:p>
    <w:p>
      <w:pPr>
        <w:spacing w:after="0" w:line="18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Failure of LNG to be a competitive source of energy in the markets in which we operate, and seek to operate, could adversely affect our expansion strategy.</w:t>
      </w:r>
    </w:p>
    <w:p>
      <w:pPr>
        <w:spacing w:after="0" w:line="198" w:lineRule="exact"/>
        <w:rPr>
          <w:sz w:val="20"/>
          <w:szCs w:val="20"/>
          <w:color w:val="auto"/>
        </w:rPr>
      </w:pPr>
    </w:p>
    <w:p>
      <w:pPr>
        <w:ind w:right="40" w:firstLine="324"/>
        <w:spacing w:after="0" w:line="267" w:lineRule="auto"/>
        <w:rPr>
          <w:sz w:val="20"/>
          <w:szCs w:val="20"/>
          <w:color w:val="auto"/>
        </w:rPr>
      </w:pPr>
      <w:r>
        <w:rPr>
          <w:rFonts w:ascii="Arial" w:cs="Arial" w:eastAsia="Arial" w:hAnsi="Arial"/>
          <w:sz w:val="16"/>
          <w:szCs w:val="16"/>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Since August 2021, LNG prices have increased materially, and global events, such as the COVID-19 pandemic, Russia’s invasion of Ukraine and global inflationary pressures, have generated further energy pricing volatility, which can have an adverse effect on market pricing of LNG and global demand for our products, as well as our ability to remain competitive in the markets in which we operate. Potential expansion in the Caribbean, Latin America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spacing w:after="0" w:line="199" w:lineRule="exact"/>
        <w:rPr>
          <w:sz w:val="20"/>
          <w:szCs w:val="20"/>
          <w:color w:val="auto"/>
        </w:rPr>
      </w:pPr>
    </w:p>
    <w:p>
      <w:pPr>
        <w:ind w:right="20" w:firstLine="324"/>
        <w:spacing w:after="0" w:line="239" w:lineRule="auto"/>
        <w:rPr>
          <w:sz w:val="20"/>
          <w:szCs w:val="20"/>
          <w:color w:val="auto"/>
        </w:rPr>
      </w:pPr>
      <w:r>
        <w:rPr>
          <w:rFonts w:ascii="Arial" w:cs="Arial" w:eastAsia="Arial" w:hAnsi="Arial"/>
          <w:sz w:val="18"/>
          <w:szCs w:val="18"/>
          <w:color w:val="auto"/>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hydrogen,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spacing w:after="0" w:line="17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We operate in a highly regulated environment and our operations could be adversely affected by actions by governmental entities or changes to regulations and legislation</w:t>
      </w:r>
    </w:p>
    <w:p>
      <w:pPr>
        <w:spacing w:after="0" w:line="198"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color w:val="auto"/>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17"/>
          <w:szCs w:val="17"/>
          <w:color w:val="auto"/>
        </w:rPr>
        <w:t>In addition, these rules and regulations are assessed, managed, administered and enforced by various governmental agencies and bodies, whose actions and decisions could adversely affect our business or operations. In the United States and Puerto Rico, approvals of the Department of Energy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These regulations have taken legal effect, and although they have been challenged in court, they have not been stayed.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The FERC orders were affirmed by the United States Court of Appeals for the District of Columbia Circuit on June 14, 2022. In order to comply with the FERC’s directive, on September 15, 2021, we filed an application for authorization to operate the San Juan Facility, which remains pending.</w:t>
      </w:r>
    </w:p>
    <w:p>
      <w:pPr>
        <w:spacing w:after="0" w:line="207" w:lineRule="exact"/>
        <w:rPr>
          <w:sz w:val="20"/>
          <w:szCs w:val="20"/>
          <w:color w:val="auto"/>
        </w:rPr>
      </w:pPr>
    </w:p>
    <w:p>
      <w:pPr>
        <w:ind w:right="80" w:firstLine="324"/>
        <w:spacing w:after="0" w:line="243" w:lineRule="auto"/>
        <w:rPr>
          <w:sz w:val="20"/>
          <w:szCs w:val="20"/>
          <w:color w:val="auto"/>
        </w:rPr>
      </w:pPr>
      <w:r>
        <w:rPr>
          <w:rFonts w:ascii="Arial" w:cs="Arial" w:eastAsia="Arial" w:hAnsi="Arial"/>
          <w:sz w:val="18"/>
          <w:szCs w:val="18"/>
          <w:color w:val="auto"/>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Failure to obtain and maintain permits, approvals and authorizations from governmental and regulatory agencies and third parties on favorable terms could impede operations and construction.</w:t>
      </w:r>
    </w:p>
    <w:p>
      <w:pPr>
        <w:spacing w:after="0" w:line="198" w:lineRule="exact"/>
        <w:rPr>
          <w:sz w:val="20"/>
          <w:szCs w:val="20"/>
          <w:color w:val="auto"/>
        </w:rPr>
      </w:pPr>
    </w:p>
    <w:p>
      <w:pPr>
        <w:ind w:right="40" w:firstLine="324"/>
        <w:spacing w:after="0" w:line="257" w:lineRule="auto"/>
        <w:rPr>
          <w:sz w:val="20"/>
          <w:szCs w:val="20"/>
          <w:color w:val="auto"/>
        </w:rPr>
      </w:pPr>
      <w:r>
        <w:rPr>
          <w:rFonts w:ascii="Arial" w:cs="Arial" w:eastAsia="Arial" w:hAnsi="Arial"/>
          <w:sz w:val="17"/>
          <w:szCs w:val="17"/>
          <w:color w:val="auto"/>
        </w:rPr>
        <w:t>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before they can be issued, which can lead to delays to respond to such comments, and even potentially to revise the permit application.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regasification and transmission permits for our power plant and permits necessary to operate our terminal. In connection with our application to the U.S. Maritime Administration ("MARAD") related to our FLNG project off the coast of Louisiana, 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 Following review of NFE's response to the December 2022 data requests, MARAD extended the stop-clock on February 21, 2023 pending clarification of responses and receipt of additional information. No assurance can be given that we will be able to obtain approval of this application and receive the required permits, approvals and authorizations from governmental and regulatory agencies related to our project on a timely basis or at all. We intend to apply for updated permits for the Pennsylvania Facility with the aim of obtaining these permits to coincide with the commencement of construction activities. We cannot assure if or when we will receive these permits, which are needed prior to commencing certain construction activities related to the facility. Any administrative and judicial challenges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200" w:lineRule="exact"/>
        <w:rPr>
          <w:sz w:val="20"/>
          <w:szCs w:val="20"/>
          <w:color w:val="auto"/>
        </w:rPr>
      </w:pPr>
    </w:p>
    <w:p>
      <w:pPr>
        <w:spacing w:after="0" w:line="20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98" w:lineRule="exact"/>
        <w:rPr>
          <w:sz w:val="20"/>
          <w:szCs w:val="20"/>
          <w:color w:val="auto"/>
        </w:rPr>
      </w:pPr>
    </w:p>
    <w:p>
      <w:pPr>
        <w:ind w:right="20" w:firstLine="324"/>
        <w:spacing w:after="0" w:line="250" w:lineRule="auto"/>
        <w:rPr>
          <w:sz w:val="20"/>
          <w:szCs w:val="20"/>
          <w:color w:val="auto"/>
        </w:rPr>
      </w:pPr>
      <w:r>
        <w:rPr>
          <w:rFonts w:ascii="Arial" w:cs="Arial" w:eastAsia="Arial" w:hAnsi="Arial"/>
          <w:sz w:val="17"/>
          <w:szCs w:val="17"/>
          <w:color w:val="auto"/>
        </w:rPr>
        <w:t>A key part of our business strategy is to attract new customers by agreeing to finance and develop new facilities, power plants, liquefaction facilities and related infrastructure in order to win new customer contracts for the supply of natural gas, LNG, steam or power.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maintain sufficient working capital could limit our growth and harm our business, financial condition and results of operations.</w:t>
      </w:r>
    </w:p>
    <w:p>
      <w:pPr>
        <w:spacing w:after="0" w:line="250"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capital, we may not be able to pursue our growth strategy, respond to competitive pressures or fund key strategic initiatives, such as the development of our facilities, which may harm our business, financial condition and results of operations.</w:t>
      </w:r>
    </w:p>
    <w:p>
      <w:pPr>
        <w:spacing w:after="0" w:line="19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Our ability to generate revenues is substantially dependent on our current and future long-term agreements and the performance by customers under such agreements.</w:t>
      </w:r>
    </w:p>
    <w:p>
      <w:pPr>
        <w:spacing w:after="0" w:line="198"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its cash flow in periods when the market price for shipping LNG is depressed or insufficient funds are available to</w:t>
      </w:r>
    </w:p>
    <w:p>
      <w:pPr>
        <w:spacing w:after="0" w:line="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cover its financing costs for related vessels. 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third-party responses thereto, on our customers could enhance the risk of nonpayment by such customers under our contracts, which would negatively affect our business, results of operations and financial condition. 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20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8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results of operations for the year ended December 31, 2022 and the six months ended June 30, 2023, include our Montego Bay Facility, Old Harbour Facility, San Juan Facility, certain industrial end-users and our Miami Facility. In addition, we placed a portion of our La Paz Facility into service in 2022, and our revenue and results of operations have begun to be impacted by operations in Mexico, including agreements with certain power generation facilities in Baja California Sur. Our results for 2023 exclude other developments, including our Puerto Sandino Facility, the Barcarena Facility, Santa Catarina Facility and Ireland Facility. Jamaica, Mexico and Puerto Rico have historically experienced economic volatility and the general condition and performance of their economies, over which we have no control, may affect our business, financial condition and results of operations. Jamaica, Mexico and Puerto Rico are subject to acts of terrorism or sabotage and natural disasters, in particular hurricanes, extreme weather conditions, crime and similar other risks which may negatively impact our operations in the region. See “—</w:t>
      </w:r>
      <w:r>
        <w:rPr>
          <w:rFonts w:ascii="Arial" w:cs="Arial" w:eastAsia="Arial" w:hAnsi="Arial"/>
          <w:sz w:val="17"/>
          <w:szCs w:val="17"/>
          <w:i w:val="1"/>
          <w:iCs w:val="1"/>
          <w:color w:val="auto"/>
        </w:rPr>
        <w:t>Risks Related to the Jurisdictions in Which We Operate—We are subject to</w:t>
      </w:r>
      <w:r>
        <w:rPr>
          <w:rFonts w:ascii="Arial" w:cs="Arial" w:eastAsia="Arial" w:hAnsi="Arial"/>
          <w:sz w:val="17"/>
          <w:szCs w:val="17"/>
          <w:color w:val="auto"/>
        </w:rPr>
        <w:t xml:space="preserve"> </w:t>
      </w:r>
      <w:r>
        <w:rPr>
          <w:rFonts w:ascii="Arial" w:cs="Arial" w:eastAsia="Arial" w:hAnsi="Arial"/>
          <w:sz w:val="17"/>
          <w:szCs w:val="17"/>
          <w:i w:val="1"/>
          <w:iCs w:val="1"/>
          <w:color w:val="auto"/>
        </w:rPr>
        <w:t>the economic, political, social and other conditions in the jurisdictions in which we operate.</w:t>
      </w:r>
      <w:r>
        <w:rPr>
          <w:rFonts w:ascii="Arial" w:cs="Arial" w:eastAsia="Arial" w:hAnsi="Arial"/>
          <w:sz w:val="17"/>
          <w:szCs w:val="17"/>
          <w:color w:val="auto"/>
        </w:rPr>
        <w:t>” We may also be affected by trade restrictions, such as tariffs</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 trade controls. Additionally, tourism is a significant driver of economic activity in these geographies and directly and indirectly affects local demand for our LNG and therefore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including the COVID-19 pandemic,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spacing w:after="0" w:line="19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Because we are currently dependent upon a limited number of customers, the loss of a significant customer could adversely affect our operating results.</w:t>
      </w:r>
    </w:p>
    <w:p>
      <w:pPr>
        <w:spacing w:after="0" w:line="19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6"/>
          <w:szCs w:val="16"/>
          <w:color w:val="auto"/>
        </w:rPr>
        <w:t>Our current results of operations and liquidity are, and will continue to be in the near future, substantially dependent upon a limited number of customers, including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and which represent a substantial majority of our income.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spacing w:after="0" w:line="18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may not be able to convert our anticipated customer pipeline into binding long-term contracts, and if we fail to convert potential sales into actual sales, we will not generate the revenues and profits we anticipate.</w:t>
      </w:r>
    </w:p>
    <w:p>
      <w:pPr>
        <w:spacing w:after="0" w:line="198" w:lineRule="exact"/>
        <w:rPr>
          <w:sz w:val="20"/>
          <w:szCs w:val="20"/>
          <w:color w:val="auto"/>
        </w:rPr>
      </w:pPr>
    </w:p>
    <w:p>
      <w:pPr>
        <w:ind w:firstLine="324"/>
        <w:spacing w:after="0" w:line="266" w:lineRule="auto"/>
        <w:rPr>
          <w:sz w:val="20"/>
          <w:szCs w:val="20"/>
          <w:color w:val="auto"/>
        </w:rPr>
      </w:pPr>
      <w:r>
        <w:rPr>
          <w:rFonts w:ascii="Arial" w:cs="Arial" w:eastAsia="Arial" w:hAnsi="Arial"/>
          <w:sz w:val="16"/>
          <w:szCs w:val="16"/>
          <w:color w:val="auto"/>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acknowledgements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contracts with our customers are subject to termination under certain circumstances.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Our contracts with our customers contain various termination rights. For example, each of our long-term customer contracts, including the contracts with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JPS, SJPC, Jamalco and PREPA, contain various termination rights allowing our customers to terminate the contract, including, without limitation:</w:t>
      </w:r>
    </w:p>
    <w:p>
      <w:pPr>
        <w:spacing w:after="0" w:line="24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occurrence of certain events of force majeure;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fail to make available specified scheduled cargo quantities;</w:t>
      </w:r>
    </w:p>
    <w:p>
      <w:pPr>
        <w:spacing w:after="0" w:line="23"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certain uncured payment defaults;</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an insolvency event;</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certain uncured, material breaches; and</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we fail to commence commercial operations or achieve financial close within the agreed timeframes.</w:t>
      </w:r>
    </w:p>
    <w:p>
      <w:pPr>
        <w:spacing w:after="0" w:line="21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20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Competition in the LNG industry is intense, and some of our competitors have greater financial, technological and other resources than we currently possess.</w:t>
      </w:r>
    </w:p>
    <w:p>
      <w:pPr>
        <w:spacing w:after="0" w:line="198"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A substantial majority of our revenue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 among others:</w:t>
      </w:r>
    </w:p>
    <w:p>
      <w:pPr>
        <w:spacing w:after="0" w:line="22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worldwide LNG production capacity and availability of LNG for market supply;</w:t>
      </w:r>
    </w:p>
    <w:p>
      <w:pPr>
        <w:spacing w:after="0" w:line="23"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demand for natural gas but at levels below those required to maintain current price equilibrium with respect to supply;</w:t>
      </w:r>
    </w:p>
    <w:p>
      <w:pPr>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the cost to supply natural gas feedstock to our liquefaction projects;</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the cost to supply LNG feedstock to our facilities;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decreases in the cost of competing sources of natural gas, LNG or alternate fuels such as coal, heavy fuel oil and automotive diesel oil (“ADO”);</w:t>
      </w:r>
    </w:p>
    <w:p>
      <w:pPr>
        <w:spacing w:after="0" w:line="20"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decreases in the price of LNG; and</w:t>
      </w:r>
    </w:p>
    <w:p>
      <w:pPr>
        <w:ind w:left="660" w:right="60" w:hanging="328"/>
        <w:spacing w:after="0" w:line="271"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91" w:lineRule="exact"/>
        <w:rPr>
          <w:sz w:val="20"/>
          <w:szCs w:val="20"/>
          <w:color w:val="auto"/>
        </w:rPr>
      </w:pPr>
    </w:p>
    <w:p>
      <w:pPr>
        <w:ind w:right="20" w:firstLine="324"/>
        <w:spacing w:after="0" w:line="250" w:lineRule="auto"/>
        <w:rPr>
          <w:sz w:val="20"/>
          <w:szCs w:val="20"/>
          <w:color w:val="auto"/>
        </w:rPr>
      </w:pPr>
      <w:r>
        <w:rPr>
          <w:rFonts w:ascii="Arial" w:cs="Arial" w:eastAsia="Arial" w:hAnsi="Arial"/>
          <w:sz w:val="17"/>
          <w:szCs w:val="17"/>
          <w:color w:val="auto"/>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spacing w:after="0" w:line="21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Cyclical or other changes in the demand for and price of LNG and natural gas may adversely affect our business and the performance of our customers.</w:t>
      </w:r>
    </w:p>
    <w:p>
      <w:pPr>
        <w:spacing w:after="0" w:line="198" w:lineRule="exact"/>
        <w:rPr>
          <w:sz w:val="20"/>
          <w:szCs w:val="20"/>
          <w:color w:val="auto"/>
        </w:rPr>
      </w:pPr>
    </w:p>
    <w:p>
      <w:pPr>
        <w:ind w:right="40" w:firstLine="324"/>
        <w:spacing w:after="0"/>
        <w:rPr>
          <w:sz w:val="20"/>
          <w:szCs w:val="20"/>
          <w:color w:val="auto"/>
        </w:rPr>
      </w:pPr>
      <w:r>
        <w:rPr>
          <w:rFonts w:ascii="Arial" w:cs="Arial" w:eastAsia="Arial" w:hAnsi="Arial"/>
          <w:sz w:val="18"/>
          <w:szCs w:val="18"/>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216" w:lineRule="exact"/>
        <w:rPr>
          <w:sz w:val="20"/>
          <w:szCs w:val="20"/>
          <w:color w:val="auto"/>
        </w:rPr>
      </w:pPr>
    </w:p>
    <w:p>
      <w:pPr>
        <w:ind w:left="660" w:right="60" w:hanging="328"/>
        <w:spacing w:after="0" w:line="24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to competitive regasification capacity in North America, Brazil, Europe, Asia and other markets, which could divert LNG or natural gas from our business;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imposition of tariffs by China or any other jurisdiction on imports of LNG from the United States;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6" w:right="39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insufficient or oversupply of natural gas liquefaction or export capacity worldwide;</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insufficient LNG tanker capacity;</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weather conditions and natural disasters;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demand and lower prices for natural gas;</w:t>
      </w: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natural gas production deliverable by pipelines, which could suppress demand for LNG;</w:t>
      </w: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decreased oil and natural gas exploration activities, including shut-ins and possible proration, which may decrease the production of natural gas;</w:t>
      </w:r>
    </w:p>
    <w:p>
      <w:pPr>
        <w:spacing w:after="0" w:line="18"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 improvements that allow competitors to offer LNG regasification services at reduced prices;</w:t>
      </w:r>
    </w:p>
    <w:p>
      <w:pPr>
        <w:ind w:left="660" w:right="50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supplies of, and prices for, alternative energy sources, such as coal, oil, nuclear, hydroelectric, wind and solar energy, which may reduce the demand for natural gas;</w:t>
      </w:r>
    </w:p>
    <w:p>
      <w:pPr>
        <w:spacing w:after="0" w:line="1" w:lineRule="exact"/>
        <w:rPr>
          <w:rFonts w:ascii="Arial" w:cs="Arial" w:eastAsia="Arial" w:hAnsi="Arial"/>
          <w:sz w:val="18"/>
          <w:szCs w:val="18"/>
          <w:color w:val="auto"/>
        </w:rPr>
      </w:pPr>
    </w:p>
    <w:p>
      <w:pPr>
        <w:ind w:left="660" w:right="260" w:hanging="328"/>
        <w:spacing w:after="0" w:line="22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regulatory, tax or other governmental policies regarding imported or exported LNG, natural gas or alternative energy sources, which may reduce the demand for imported or exported LNG and/or natural gas;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political conditions in natural gas producing regions;</w:t>
      </w: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adverse relative demand for LNG compared to other markets, which may decrease LNG imports into or exports from North America; and</w:t>
      </w:r>
    </w:p>
    <w:p>
      <w:pPr>
        <w:spacing w:after="0" w:line="7"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cyclical trends in general business and economic conditions that cause changes in the demand for natural gas.</w:t>
      </w:r>
    </w:p>
    <w:p>
      <w:pPr>
        <w:spacing w:after="0" w:line="223" w:lineRule="exact"/>
        <w:rPr>
          <w:sz w:val="20"/>
          <w:szCs w:val="20"/>
          <w:color w:val="auto"/>
        </w:rPr>
      </w:pPr>
    </w:p>
    <w:p>
      <w:pPr>
        <w:ind w:firstLine="324"/>
        <w:spacing w:after="0" w:line="265" w:lineRule="auto"/>
        <w:rPr>
          <w:sz w:val="20"/>
          <w:szCs w:val="20"/>
          <w:color w:val="auto"/>
        </w:rPr>
      </w:pPr>
      <w:r>
        <w:rPr>
          <w:rFonts w:ascii="Arial" w:cs="Arial" w:eastAsia="Arial" w:hAnsi="Arial"/>
          <w:sz w:val="16"/>
          <w:szCs w:val="16"/>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 COVID-19 pandemic and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current market conditions have increased LNG values to historically high levels. The elevated market values could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 failure to deliver an LNG cargo to us. 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200"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98"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material loss related to commodity price risks, it could have a material adverse effect on our financial position, results of operations and cash flows.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use of hedging arrangements may adversely affect our future operating results or liquidity.</w:t>
      </w:r>
    </w:p>
    <w:p>
      <w:pPr>
        <w:spacing w:after="0" w:line="239"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third-party LNG suppliers and the development of our own portfolio is subject to various risks and assumptions.</w:t>
      </w:r>
    </w:p>
    <w:p>
      <w:pPr>
        <w:spacing w:after="0" w:line="250" w:lineRule="exact"/>
        <w:rPr>
          <w:sz w:val="20"/>
          <w:szCs w:val="20"/>
          <w:color w:val="auto"/>
        </w:rPr>
      </w:pPr>
    </w:p>
    <w:p>
      <w:pPr>
        <w:ind w:right="20" w:firstLine="324"/>
        <w:spacing w:after="0" w:line="270" w:lineRule="auto"/>
        <w:rPr>
          <w:sz w:val="20"/>
          <w:szCs w:val="20"/>
          <w:color w:val="auto"/>
        </w:rPr>
      </w:pPr>
      <w:r>
        <w:rPr>
          <w:rFonts w:ascii="Arial" w:cs="Arial" w:eastAsia="Arial" w:hAnsi="Arial"/>
          <w:sz w:val="16"/>
          <w:szCs w:val="16"/>
          <w:color w:val="auto"/>
        </w:rPr>
        <w:t>Under our GSAs, PPAs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or SSA, as applicable, or subject us to remedial obligations under those agreements. While we have entered into supply agreements for the purchase of LNG between 2023 and 2030,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w:t>
      </w:r>
    </w:p>
    <w:p>
      <w:pPr>
        <w:spacing w:after="0" w:line="194"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color w:val="auto"/>
        </w:rPr>
        <w:t>The development of our own portfolio of LNG is subject to various risks and assumptions. In particular, the estimation of proved gas reserves involves subjective judgements and determinations based on available geological, technical, contractual, and economic information. Estimates can change over time because of new information from production or drilling activities, changes in economic factors, such as oil and gas prices, alterations in the regulatory policies of host governments, or other events. Estimates also change to reflect acquisitions, divestments, new discoveries, extensions of existing fields and mines, and improved recovery techniques. Published proved gas reserves estimates could also be subject to correction because of errors in the application of rules and changes in guidance. Downward adjustments could indicate lower future production volumes and could also lead to impairment of assets. This could have a material adverse effect on our business, operating results, cash flows and liquidity.</w:t>
      </w:r>
    </w:p>
    <w:p>
      <w:pPr>
        <w:spacing w:after="0" w:line="193" w:lineRule="exact"/>
        <w:rPr>
          <w:sz w:val="20"/>
          <w:szCs w:val="20"/>
          <w:color w:val="auto"/>
        </w:rPr>
      </w:pPr>
    </w:p>
    <w:p>
      <w:pPr>
        <w:ind w:right="60" w:firstLine="324"/>
        <w:spacing w:after="0" w:line="267" w:lineRule="auto"/>
        <w:rPr>
          <w:sz w:val="20"/>
          <w:szCs w:val="20"/>
          <w:color w:val="auto"/>
        </w:rPr>
      </w:pPr>
      <w:r>
        <w:rPr>
          <w:rFonts w:ascii="Arial" w:cs="Arial" w:eastAsia="Arial" w:hAnsi="Arial"/>
          <w:sz w:val="16"/>
          <w:szCs w:val="16"/>
          <w:color w:val="auto"/>
        </w:rPr>
        <w:t>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and SSAs or at favorable terms. Under tanker charters, we will be obligated to make payments for our chartered tankers regardless of use. We may not be able to enter into contracts with purchasers of LNG in quantities equivalent to or greater than the amount of tanker capacity we have purchased, as our vessels maybe be too 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if, it could have an adverse effect on our business, operating results, cash flows and liquidity, which could in turn materially and adversely affect our liquidity to make payments on our debt or comply with our financial ratios and other covenants. See “—We have incurred, and may in the future incur, a significant amount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fully utilize the capacity of our FSRUs and other facilities.</w:t>
      </w:r>
    </w:p>
    <w:p>
      <w:pPr>
        <w:spacing w:after="0" w:line="239"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Our FSRU facilities have significant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and factors outside of our control such as the price of and demand for LNG. Failure to secure commitments for less than full capacity could impact our future revenues and materially adversely affect our business, financial condition and operating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LNG that is processed and/or stored on FSRUs and transported via pipeline is subject to risk of loss or damage.</w:t>
      </w:r>
    </w:p>
    <w:p>
      <w:pPr>
        <w:spacing w:after="0" w:line="239" w:lineRule="exact"/>
        <w:rPr>
          <w:sz w:val="20"/>
          <w:szCs w:val="20"/>
          <w:color w:val="auto"/>
        </w:rPr>
      </w:pPr>
    </w:p>
    <w:p>
      <w:pPr>
        <w:ind w:right="220" w:firstLine="324"/>
        <w:spacing w:after="0" w:line="274" w:lineRule="auto"/>
        <w:rPr>
          <w:sz w:val="20"/>
          <w:szCs w:val="20"/>
          <w:color w:val="auto"/>
        </w:rPr>
      </w:pPr>
      <w:r>
        <w:rPr>
          <w:rFonts w:ascii="Arial" w:cs="Arial" w:eastAsia="Arial" w:hAnsi="Arial"/>
          <w:sz w:val="16"/>
          <w:szCs w:val="16"/>
          <w:color w:val="auto"/>
        </w:rPr>
        <w:t>LNG processed and stored on FSRUs may be subject to loss or damage resulting from equipment malfunction, faulty handling, ageing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our vessels is dependent on our ability to deploy our vessels to an NFE terminal or to long-term charters.</w:t>
      </w:r>
    </w:p>
    <w:p>
      <w:pPr>
        <w:spacing w:after="0" w:line="239"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Our principal strategy for our FSRU and LNG carriers is to provide steady and reliable shipping, regasification and offshore operations to NFE terminals and, to the extent favorable to our business, replace or enter into new long-term carrier time charters for our vessels. Most requirements for new LNG projects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More frequent changes to vessel sizes, propulsion technology and emissions profile,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that vessel, but we will be required to pay expenses necessary to maintain the vessel in seaworthy operating condition and to service any associated debt.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tankers and other vessels outside of our fleet for our LNG transportation and transfer.</w:t>
      </w:r>
    </w:p>
    <w:p>
      <w:pPr>
        <w:spacing w:after="0" w:line="239" w:lineRule="exact"/>
        <w:rPr>
          <w:sz w:val="20"/>
          <w:szCs w:val="20"/>
          <w:color w:val="auto"/>
        </w:rPr>
      </w:pPr>
    </w:p>
    <w:p>
      <w:pPr>
        <w:ind w:right="120" w:firstLine="324"/>
        <w:spacing w:after="0" w:line="270" w:lineRule="auto"/>
        <w:rPr>
          <w:sz w:val="20"/>
          <w:szCs w:val="20"/>
          <w:color w:val="auto"/>
        </w:rPr>
      </w:pPr>
      <w:r>
        <w:rPr>
          <w:rFonts w:ascii="Arial" w:cs="Arial" w:eastAsia="Arial" w:hAnsi="Arial"/>
          <w:sz w:val="16"/>
          <w:szCs w:val="16"/>
          <w:color w:val="auto"/>
        </w:rPr>
        <w:t>In addition to our own fleet of vessels, we rely on third-party ocean-going tankers and freight carriers (for ISO containers) for the transportation of LNG and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rates result from changes in the supply of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85" w:lineRule="exact"/>
        <w:rPr>
          <w:sz w:val="20"/>
          <w:szCs w:val="20"/>
          <w:color w:val="auto"/>
        </w:rPr>
      </w:pPr>
    </w:p>
    <w:p>
      <w:pPr>
        <w:ind w:right="80" w:firstLine="324"/>
        <w:spacing w:after="0" w:line="279" w:lineRule="auto"/>
        <w:rPr>
          <w:sz w:val="20"/>
          <w:szCs w:val="20"/>
          <w:color w:val="auto"/>
        </w:rPr>
      </w:pPr>
      <w:r>
        <w:rPr>
          <w:rFonts w:ascii="Arial" w:cs="Arial" w:eastAsia="Arial" w:hAnsi="Arial"/>
          <w:sz w:val="16"/>
          <w:szCs w:val="16"/>
          <w:color w:val="auto"/>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impact our ability to provide natural gas if LNG shipping capacity is adversely impacted and LNG transportation costs increase because we may bear the risk of such increases and may not be able to pass these increases on to our customers.</w:t>
      </w:r>
    </w:p>
    <w:p>
      <w:pPr>
        <w:spacing w:after="0" w:line="198" w:lineRule="exact"/>
        <w:rPr>
          <w:sz w:val="20"/>
          <w:szCs w:val="20"/>
          <w:color w:val="auto"/>
        </w:rPr>
      </w:pPr>
    </w:p>
    <w:p>
      <w:pPr>
        <w:ind w:right="80" w:firstLine="324"/>
        <w:spacing w:after="0" w:line="257" w:lineRule="auto"/>
        <w:rPr>
          <w:sz w:val="20"/>
          <w:szCs w:val="20"/>
          <w:color w:val="auto"/>
        </w:rPr>
      </w:pPr>
      <w:r>
        <w:rPr>
          <w:rFonts w:ascii="Arial" w:cs="Arial" w:eastAsia="Arial" w:hAnsi="Arial"/>
          <w:sz w:val="17"/>
          <w:szCs w:val="17"/>
          <w:color w:val="auto"/>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Hire rates for FSRUs and LNG carriers may fluctuate substantially. If rates are lower when we are seeking a new charter, our earnings may decline.</w:t>
      </w:r>
    </w:p>
    <w:p>
      <w:pPr>
        <w:spacing w:after="0" w:line="262" w:lineRule="exact"/>
        <w:rPr>
          <w:sz w:val="20"/>
          <w:szCs w:val="20"/>
          <w:color w:val="auto"/>
        </w:rPr>
      </w:pPr>
    </w:p>
    <w:p>
      <w:pPr>
        <w:ind w:firstLine="324"/>
        <w:spacing w:after="0" w:line="252" w:lineRule="auto"/>
        <w:rPr>
          <w:sz w:val="20"/>
          <w:szCs w:val="20"/>
          <w:color w:val="auto"/>
        </w:rPr>
      </w:pPr>
      <w:r>
        <w:rPr>
          <w:rFonts w:ascii="Arial" w:cs="Arial" w:eastAsia="Arial" w:hAnsi="Arial"/>
          <w:sz w:val="17"/>
          <w:szCs w:val="17"/>
          <w:color w:val="auto"/>
        </w:rPr>
        <w:t>Hire rates for FSRUs and LNG carriers fluctuate over time as a result of changes in the supply-demand balance relating to current and future FSRU and LNG carrier capacity. This supply-demand relationship largely depends on a 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Vessel values may fluctuate substantially and, if these values are lower at a time when we are attempting to dispose of vessels, we may incur a loss.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Vessel values can fluctuate substantially over time due to a number of different factors, including:</w:t>
      </w:r>
    </w:p>
    <w:p>
      <w:pPr>
        <w:spacing w:after="0" w:line="25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prevailing economic conditions in the natural gas and energy markets;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substantial or extended decline in demand for LNG;</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the supply of vessel capacity without a commensurate increase in demand;</w:t>
      </w:r>
    </w:p>
    <w:p>
      <w:pPr>
        <w:ind w:left="660" w:hanging="328"/>
        <w:spacing w:after="0" w:line="23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and age of a vessel; and</w:t>
      </w:r>
    </w:p>
    <w:p>
      <w:pPr>
        <w:ind w:left="660" w:right="660" w:hanging="328"/>
        <w:spacing w:after="0" w:line="24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retrofitting, steel or modifying existing vessels, as a result of technological advances in vessel design or equipment, changes in applicable environmental or other regulations or standards, customer requirements or otherwise.</w:t>
      </w:r>
    </w:p>
    <w:p>
      <w:pPr>
        <w:spacing w:after="0" w:line="213" w:lineRule="exact"/>
        <w:rPr>
          <w:sz w:val="20"/>
          <w:szCs w:val="20"/>
          <w:color w:val="auto"/>
        </w:rPr>
      </w:pPr>
    </w:p>
    <w:p>
      <w:pPr>
        <w:ind w:right="160" w:firstLine="324"/>
        <w:spacing w:after="0" w:line="248" w:lineRule="auto"/>
        <w:rPr>
          <w:sz w:val="20"/>
          <w:szCs w:val="20"/>
          <w:color w:val="auto"/>
        </w:rPr>
      </w:pPr>
      <w:r>
        <w:rPr>
          <w:rFonts w:ascii="Arial" w:cs="Arial" w:eastAsia="Arial" w:hAnsi="Arial"/>
          <w:sz w:val="18"/>
          <w:szCs w:val="18"/>
          <w:color w:val="auto"/>
        </w:rPr>
        <w:t>As our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would be significant.</w:t>
      </w:r>
    </w:p>
    <w:p>
      <w:pPr>
        <w:spacing w:after="0" w:line="209" w:lineRule="exact"/>
        <w:rPr>
          <w:sz w:val="20"/>
          <w:szCs w:val="20"/>
          <w:color w:val="auto"/>
        </w:rPr>
      </w:pPr>
    </w:p>
    <w:p>
      <w:pPr>
        <w:ind w:right="420" w:firstLine="324"/>
        <w:spacing w:after="0" w:line="237" w:lineRule="auto"/>
        <w:rPr>
          <w:sz w:val="20"/>
          <w:szCs w:val="20"/>
          <w:color w:val="auto"/>
        </w:rPr>
      </w:pPr>
      <w:r>
        <w:rPr>
          <w:rFonts w:ascii="Arial" w:cs="Arial" w:eastAsia="Arial" w:hAnsi="Arial"/>
          <w:sz w:val="18"/>
          <w:szCs w:val="18"/>
          <w:color w:val="auto"/>
        </w:rPr>
        <w:t>During the period a vessel is subject to a charter, we will not be permitted to sell it to take advantage of increases in vessel values without the charterers’ consent. If a charter terminates, we may be unable to re-deploy the affected vessels at attractive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spacing w:after="0" w:line="21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6"/>
          <w:szCs w:val="16"/>
          <w:color w:val="auto"/>
        </w:rPr>
        <w:t>The carrying values of our vessels may not represent their fair market value at any point in time because the market prices of secondhand vessels tend to fluctuate with changes in charter rates and the cost of new build vessels. Our vessels are reviewed for impairment whenever events or changes in circumstances indicate that the carrying amount may not be recoverable. Although we did not recognize an impairment charge on any vessels for the year ended December 31, 2022, we cannot assure you that we will not recognize impairment losses on our vessels in future years. Any impairment charges incurred as a result of declines in charter rates could negatively affect our business,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claimants could arrest our vessels, which could interrupt our cash flow.</w:t>
      </w:r>
    </w:p>
    <w:p>
      <w:pPr>
        <w:spacing w:after="0" w:line="239" w:lineRule="exact"/>
        <w:rPr>
          <w:sz w:val="20"/>
          <w:szCs w:val="20"/>
          <w:color w:val="auto"/>
        </w:rPr>
      </w:pPr>
    </w:p>
    <w:p>
      <w:pPr>
        <w:ind w:firstLine="324"/>
        <w:spacing w:after="0" w:line="255" w:lineRule="auto"/>
        <w:rPr>
          <w:sz w:val="20"/>
          <w:szCs w:val="20"/>
          <w:color w:val="auto"/>
        </w:rPr>
      </w:pPr>
      <w:r>
        <w:rPr>
          <w:rFonts w:ascii="Arial" w:cs="Arial" w:eastAsia="Arial" w:hAnsi="Arial"/>
          <w:sz w:val="17"/>
          <w:szCs w:val="17"/>
          <w:color w:val="auto"/>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detained (for as few as 14 days in the case of one of our charters) as a result of a claim against us, we may be in default of our charter and the charterer may terminate the charter. This would negatively impact our revenues and cash flows.</w:t>
      </w:r>
    </w:p>
    <w:p>
      <w:pPr>
        <w:spacing w:after="0" w:line="20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seek to develop innovative and new technologies as part of our strategy that are not yet proven and may not realize the time and cost savings we expect to achieve.</w:t>
      </w:r>
    </w:p>
    <w:p>
      <w:pPr>
        <w:spacing w:after="0" w:line="198" w:lineRule="exact"/>
        <w:rPr>
          <w:sz w:val="20"/>
          <w:szCs w:val="20"/>
          <w:color w:val="auto"/>
        </w:rPr>
      </w:pPr>
    </w:p>
    <w:p>
      <w:pPr>
        <w:ind w:right="20" w:firstLine="324"/>
        <w:spacing w:after="0" w:line="281" w:lineRule="auto"/>
        <w:rPr>
          <w:sz w:val="20"/>
          <w:szCs w:val="20"/>
          <w:color w:val="auto"/>
        </w:rPr>
      </w:pPr>
      <w:r>
        <w:rPr>
          <w:rFonts w:ascii="Arial" w:cs="Arial" w:eastAsia="Arial" w:hAnsi="Arial"/>
          <w:sz w:val="16"/>
          <w:szCs w:val="16"/>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project. 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is not yet proven and we may not be able to implement it as planned or at all.” We are also making investments to develop green hydrogen energy technologies as part of our long-term goal to become one of the world’s leading providers of carbon-free energy.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innovation may impair the economic attractiveness of our projects.</w:t>
      </w:r>
    </w:p>
    <w:p>
      <w:pPr>
        <w:spacing w:after="0" w:line="23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7"/>
          <w:szCs w:val="17"/>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Fast LNG technology is not yet proven and we may not be able to implement it as planned or at all.</w:t>
      </w:r>
    </w:p>
    <w:p>
      <w:pPr>
        <w:spacing w:after="0" w:line="239" w:lineRule="exact"/>
        <w:rPr>
          <w:sz w:val="20"/>
          <w:szCs w:val="20"/>
          <w:color w:val="auto"/>
        </w:rPr>
      </w:pPr>
    </w:p>
    <w:p>
      <w:pPr>
        <w:ind w:right="20" w:firstLine="324"/>
        <w:spacing w:after="0" w:line="250" w:lineRule="auto"/>
        <w:rPr>
          <w:sz w:val="20"/>
          <w:szCs w:val="20"/>
          <w:color w:val="auto"/>
        </w:rPr>
      </w:pPr>
      <w:r>
        <w:rPr>
          <w:rFonts w:ascii="Arial" w:cs="Arial" w:eastAsia="Arial" w:hAnsi="Arial"/>
          <w:sz w:val="17"/>
          <w:szCs w:val="17"/>
          <w:color w:val="auto"/>
        </w:rPr>
        <w:t>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are finalizing construction of our first Fast LNG solution, and are therefore subject to construction risks, risks associated with third-party contracting and service providers, permitting and regulatory risks. See “—We are subject to various construction risks” and “—We depend on third-party contractors, operators and suppliers.” Because our Fast LNG technology has not been previously implemented, tested or proven,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floating offshore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may in the future incur, a significant amount of debt.</w:t>
      </w:r>
    </w:p>
    <w:p>
      <w:pPr>
        <w:spacing w:after="0" w:line="239" w:lineRule="exact"/>
        <w:rPr>
          <w:sz w:val="20"/>
          <w:szCs w:val="20"/>
          <w:color w:val="auto"/>
        </w:rPr>
      </w:pPr>
    </w:p>
    <w:p>
      <w:pPr>
        <w:ind w:right="120" w:firstLine="324"/>
        <w:spacing w:after="0" w:line="274" w:lineRule="auto"/>
        <w:rPr>
          <w:sz w:val="20"/>
          <w:szCs w:val="20"/>
          <w:color w:val="auto"/>
        </w:rPr>
      </w:pPr>
      <w:r>
        <w:rPr>
          <w:rFonts w:ascii="Arial" w:cs="Arial" w:eastAsia="Arial" w:hAnsi="Arial"/>
          <w:sz w:val="16"/>
          <w:szCs w:val="16"/>
          <w:color w:val="auto"/>
        </w:rPr>
        <w:t>On an ongoing basis, we engage with lenders and other financial institutions in an effort to improve our liquidity and capital resources. As of December 31, 2022 and June 30, 2023, we had approximately $4.5 billion and $5.5 billion, respectively, aggregate principal amount of indebtedness outstanding on a consolidated basis. The terms and conditions of our indebtedness include restrictive covenants that may limit our ability to operate our business, to incur or refinance our debt, engage in certain transactions, and require us to maintain certain financial ratios, among others, any of which may limit our ability to finance future operations and capital needs, react to changes in our business and in the economy generally, and to pursue business</w:t>
      </w:r>
    </w:p>
    <w:p>
      <w:pPr>
        <w:spacing w:after="0" w:line="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opportunities and activities. 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requirements, reducing our ability to quickly access the capital markets. Our ability to service our existing and any future debt will depend on our performance and operations, which is subject to factors that are beyond our control and compliance with covenants in the</w:t>
      </w:r>
    </w:p>
    <w:p>
      <w:pPr>
        <w:spacing w:after="0" w:line="1"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agreements governing such debt. We may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business is dependent upon obtaining substantial additional funding from various sources, which may not be available or may only be available on unfavorable terms.</w:t>
      </w:r>
    </w:p>
    <w:p>
      <w:pPr>
        <w:spacing w:after="0" w:line="198"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We believe we will have sufficient liquidity, cash flow from operations and access to additional capital sources to fund our capital expenditures and working capital needs for the next 12 months and the reasonably foreseeable future. In the future, we expect to incur additional indebtedness to assist us in developing our operations and we are considering alternative financing options, including in specific markets or the opportunistic sale of one of our non-core assets.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w:t>
      </w:r>
    </w:p>
    <w:p>
      <w:pPr>
        <w:spacing w:after="0" w:line="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replacement financing. 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the COVID-19 pandemic, our progress in executing our business strategy and other factors, many of which are beyond our control,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customers and the jurisdictions in which we operate, as well as general risks applicable to the energy sector. Additional debt financing, if available, may subject us to increased restrictive covenants that could limit our flexibility in conducting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have entered into, and may in the future enter into or modify existing, joint ventures that might restrict our operational and corporate flexibility or require credit support.</w:t>
      </w:r>
    </w:p>
    <w:p>
      <w:pPr>
        <w:spacing w:after="0" w:line="198" w:lineRule="exact"/>
        <w:rPr>
          <w:sz w:val="20"/>
          <w:szCs w:val="20"/>
          <w:color w:val="auto"/>
        </w:rPr>
      </w:pPr>
    </w:p>
    <w:p>
      <w:pPr>
        <w:jc w:val="both"/>
        <w:ind w:right="220" w:firstLine="324"/>
        <w:spacing w:after="0" w:line="269" w:lineRule="auto"/>
        <w:rPr>
          <w:sz w:val="20"/>
          <w:szCs w:val="20"/>
          <w:color w:val="auto"/>
        </w:rPr>
      </w:pPr>
      <w:r>
        <w:rPr>
          <w:rFonts w:ascii="Arial" w:cs="Arial" w:eastAsia="Arial" w:hAnsi="Arial"/>
          <w:sz w:val="16"/>
          <w:szCs w:val="16"/>
          <w:color w:val="auto"/>
        </w:rPr>
        <w:t>We have entered into, and may in the future enter, into joint venture arrangements with third parties in respect of our projects and assets. In August 2022, we established Energos, as a joint venture platform with certain funds or investment vehicles managed by Apollo, for the development of a global marine infrastructure platform, of which we own 20%. As we do not operate the assets owned by these joint ventures, our control over their operations is limited by provisions of the agreements we have entered into with our joint venture partners and by our percentage ownership in such joint ventures.</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 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spacing w:after="0" w:line="209" w:lineRule="exact"/>
        <w:rPr>
          <w:sz w:val="20"/>
          <w:szCs w:val="20"/>
          <w:color w:val="auto"/>
        </w:rPr>
      </w:pPr>
    </w:p>
    <w:p>
      <w:pPr>
        <w:ind w:right="560"/>
        <w:spacing w:after="0" w:line="324" w:lineRule="auto"/>
        <w:rPr>
          <w:sz w:val="20"/>
          <w:szCs w:val="20"/>
          <w:color w:val="auto"/>
        </w:rPr>
      </w:pPr>
      <w:r>
        <w:rPr>
          <w:rFonts w:ascii="Arial" w:cs="Arial" w:eastAsia="Arial" w:hAnsi="Arial"/>
          <w:sz w:val="16"/>
          <w:szCs w:val="16"/>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51" w:lineRule="exact"/>
        <w:rPr>
          <w:sz w:val="20"/>
          <w:szCs w:val="20"/>
          <w:color w:val="auto"/>
        </w:rPr>
      </w:pPr>
    </w:p>
    <w:p>
      <w:pPr>
        <w:ind w:firstLine="324"/>
        <w:spacing w:after="0" w:line="249" w:lineRule="auto"/>
        <w:rPr>
          <w:sz w:val="20"/>
          <w:szCs w:val="20"/>
          <w:color w:val="auto"/>
        </w:rPr>
      </w:pPr>
      <w:r>
        <w:rPr>
          <w:rFonts w:ascii="Arial" w:cs="Arial" w:eastAsia="Arial" w:hAnsi="Arial"/>
          <w:sz w:val="17"/>
          <w:szCs w:val="17"/>
          <w:color w:val="auto"/>
        </w:rPr>
        <w:t>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the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impairments to long-lived assets.</w:t>
      </w:r>
    </w:p>
    <w:p>
      <w:pPr>
        <w:spacing w:after="0" w:line="239"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could lead to an impairment charge of our long-lived assets. Our valuation methodology for assessing impairment requires management to make judgments and assumptions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condensed consolidated financial statements during a period in which such impairment is determined to exist, which may negatively impact our operating results.</w:t>
      </w:r>
    </w:p>
    <w:p>
      <w:pPr>
        <w:spacing w:after="0" w:line="215"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b w:val="1"/>
          <w:bCs w:val="1"/>
          <w:i w:val="1"/>
          <w:iCs w:val="1"/>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5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6"/>
          <w:szCs w:val="16"/>
          <w:color w:val="auto"/>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w:t>
      </w:r>
    </w:p>
    <w:p>
      <w:pPr>
        <w:spacing w:after="0" w:line="267" w:lineRule="auto"/>
        <w:rPr>
          <w:sz w:val="20"/>
          <w:szCs w:val="20"/>
          <w:color w:val="auto"/>
        </w:rPr>
      </w:pPr>
      <w:r>
        <w:rPr>
          <w:rFonts w:ascii="Arial" w:cs="Arial" w:eastAsia="Arial" w:hAnsi="Arial"/>
          <w:sz w:val="16"/>
          <w:szCs w:val="16"/>
          <w:color w:val="auto"/>
        </w:rPr>
        <w:t>damage or loss, contamination to the areas, and suspension of our operations. For example, our operations in coastal regions in southern Florida, the Caribbean, the Gulf of Mexico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spacing w:after="0" w:line="195" w:lineRule="exact"/>
        <w:rPr>
          <w:sz w:val="20"/>
          <w:szCs w:val="20"/>
          <w:color w:val="auto"/>
        </w:rPr>
      </w:pPr>
    </w:p>
    <w:p>
      <w:pPr>
        <w:ind w:right="20"/>
        <w:spacing w:after="0" w:line="362" w:lineRule="auto"/>
        <w:rPr>
          <w:sz w:val="20"/>
          <w:szCs w:val="20"/>
          <w:color w:val="auto"/>
        </w:rPr>
      </w:pPr>
      <w:r>
        <w:rPr>
          <w:rFonts w:ascii="Arial" w:cs="Arial" w:eastAsia="Arial" w:hAnsi="Arial"/>
          <w:sz w:val="15"/>
          <w:szCs w:val="15"/>
          <w:b w:val="1"/>
          <w:bCs w:val="1"/>
          <w:i w:val="1"/>
          <w:iCs w:val="1"/>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28" w:lineRule="exact"/>
        <w:rPr>
          <w:sz w:val="20"/>
          <w:szCs w:val="20"/>
          <w:color w:val="auto"/>
        </w:rPr>
      </w:pPr>
    </w:p>
    <w:p>
      <w:pPr>
        <w:ind w:right="20" w:firstLine="324"/>
        <w:spacing w:after="0" w:line="268" w:lineRule="auto"/>
        <w:rPr>
          <w:sz w:val="20"/>
          <w:szCs w:val="20"/>
          <w:color w:val="auto"/>
        </w:rPr>
      </w:pPr>
      <w:r>
        <w:rPr>
          <w:rFonts w:ascii="Arial" w:cs="Arial" w:eastAsia="Arial" w:hAnsi="Arial"/>
          <w:sz w:val="16"/>
          <w:szCs w:val="16"/>
          <w:color w:val="auto"/>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216"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relevant regulatory requirements or litigation.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charterer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that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spacing w:after="0" w:line="210" w:lineRule="exact"/>
        <w:rPr>
          <w:sz w:val="20"/>
          <w:szCs w:val="20"/>
          <w:color w:val="auto"/>
        </w:rPr>
      </w:pPr>
    </w:p>
    <w:p>
      <w:pPr>
        <w:ind w:firstLine="324"/>
        <w:spacing w:after="0" w:line="267" w:lineRule="auto"/>
        <w:rPr>
          <w:sz w:val="20"/>
          <w:szCs w:val="20"/>
          <w:color w:val="auto"/>
        </w:rPr>
      </w:pPr>
      <w:r>
        <w:rPr>
          <w:rFonts w:ascii="Arial" w:cs="Arial" w:eastAsia="Arial" w:hAnsi="Arial"/>
          <w:sz w:val="16"/>
          <w:szCs w:val="16"/>
          <w:i w:val="1"/>
          <w:iCs w:val="1"/>
          <w:color w:val="auto"/>
        </w:rPr>
        <w:t>Greenhouse Gases/Climate Change</w:t>
      </w:r>
      <w:r>
        <w:rPr>
          <w:rFonts w:ascii="Arial" w:cs="Arial" w:eastAsia="Arial" w:hAnsi="Arial"/>
          <w:sz w:val="16"/>
          <w:szCs w:val="16"/>
          <w:color w:val="auto"/>
        </w:rPr>
        <w:t>. The threat of climate change continues to attract considerable attention in the United States and around the world.</w:t>
      </w:r>
      <w:r>
        <w:rPr>
          <w:rFonts w:ascii="Arial" w:cs="Arial" w:eastAsia="Arial" w:hAnsi="Arial"/>
          <w:sz w:val="16"/>
          <w:szCs w:val="16"/>
          <w:i w:val="1"/>
          <w:iCs w:val="1"/>
          <w:color w:val="auto"/>
        </w:rPr>
        <w:t xml:space="preserve"> </w:t>
      </w:r>
      <w:r>
        <w:rPr>
          <w:rFonts w:ascii="Arial" w:cs="Arial" w:eastAsia="Arial" w:hAnsi="Arial"/>
          <w:sz w:val="16"/>
          <w:szCs w:val="16"/>
          <w:color w:val="auto"/>
        </w:rPr>
        <w:t>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February 19, 2021, and other countries where we operate or plan to operate, including Jamaica, Brazil, Ireland, Mexico, and Nicaragua, have signed or acceded to this agreement. However, the scope of future climate and GHG emissions-focused regulatory requirements, if any, remain uncertain. Governmental, scientific, and public concern over the threat of climate change arising from GHG emissions has resulted in increasing political uncertainty in the United States and worldwide. For example, based in part on the publicized climate plan and pledges by President Biden, there may be significant legislation, rulemaking, or executive orders that seek to address climate change, incentivize low-carbon infrastructure or initiatives, or ban or restrict the exploration and production of fossil fuels. For example, executive orders may be issued or federal legislation or regulatory initiatives may be adopted to achieve U.S. goals under the Paris Agreement.</w:t>
      </w:r>
    </w:p>
    <w:p>
      <w:pPr>
        <w:spacing w:after="0" w:line="197" w:lineRule="exact"/>
        <w:rPr>
          <w:sz w:val="20"/>
          <w:szCs w:val="20"/>
          <w:color w:val="auto"/>
        </w:rPr>
      </w:pPr>
    </w:p>
    <w:p>
      <w:pPr>
        <w:ind w:right="20" w:firstLine="324"/>
        <w:spacing w:after="0" w:line="255" w:lineRule="auto"/>
        <w:rPr>
          <w:sz w:val="20"/>
          <w:szCs w:val="20"/>
          <w:color w:val="auto"/>
        </w:rPr>
      </w:pPr>
      <w:r>
        <w:rPr>
          <w:rFonts w:ascii="Arial" w:cs="Arial" w:eastAsia="Arial" w:hAnsi="Arial"/>
          <w:sz w:val="17"/>
          <w:szCs w:val="17"/>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204"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impaired ability to continue to operate in an economic manner. One or more of these developments could have a material adverse effect on our business, financial condition and results of operation.</w:t>
      </w:r>
    </w:p>
    <w:p>
      <w:pPr>
        <w:spacing w:after="0" w:line="198" w:lineRule="exact"/>
        <w:rPr>
          <w:sz w:val="20"/>
          <w:szCs w:val="20"/>
          <w:color w:val="auto"/>
        </w:rPr>
      </w:pPr>
    </w:p>
    <w:p>
      <w:pPr>
        <w:ind w:right="60" w:firstLine="324"/>
        <w:spacing w:after="0" w:line="268" w:lineRule="auto"/>
        <w:rPr>
          <w:sz w:val="20"/>
          <w:szCs w:val="20"/>
          <w:color w:val="auto"/>
        </w:rPr>
      </w:pPr>
      <w:r>
        <w:rPr>
          <w:rFonts w:ascii="Arial" w:cs="Arial" w:eastAsia="Arial" w:hAnsi="Arial"/>
          <w:sz w:val="16"/>
          <w:szCs w:val="16"/>
          <w:i w:val="1"/>
          <w:iCs w:val="1"/>
          <w:color w:val="auto"/>
        </w:rPr>
        <w:t xml:space="preserve">Fossil Fuels. </w:t>
      </w:r>
      <w:r>
        <w:rPr>
          <w:rFonts w:ascii="Arial" w:cs="Arial" w:eastAsia="Arial" w:hAnsi="Arial"/>
          <w:sz w:val="16"/>
          <w:szCs w:val="16"/>
          <w:color w:val="auto"/>
        </w:rPr>
        <w:t>Our business activities depend upon a sufficient and reliable supply of natural gas feedstock, and are therefore subject to concerns in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regulators and governmental agencies in the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97" w:lineRule="exact"/>
        <w:rPr>
          <w:sz w:val="20"/>
          <w:szCs w:val="20"/>
          <w:color w:val="auto"/>
        </w:rPr>
      </w:pPr>
    </w:p>
    <w:p>
      <w:pPr>
        <w:ind w:firstLine="324"/>
        <w:spacing w:after="0" w:line="250" w:lineRule="auto"/>
        <w:rPr>
          <w:sz w:val="20"/>
          <w:szCs w:val="20"/>
          <w:color w:val="auto"/>
        </w:rPr>
      </w:pPr>
      <w:r>
        <w:rPr>
          <w:rFonts w:ascii="Arial" w:cs="Arial" w:eastAsia="Arial" w:hAnsi="Arial"/>
          <w:sz w:val="17"/>
          <w:szCs w:val="17"/>
          <w:i w:val="1"/>
          <w:iCs w:val="1"/>
          <w:color w:val="auto"/>
        </w:rPr>
        <w:t xml:space="preserve">Hydraulic Fracturing. </w:t>
      </w:r>
      <w:r>
        <w:rPr>
          <w:rFonts w:ascii="Arial" w:cs="Arial" w:eastAsia="Arial" w:hAnsi="Arial"/>
          <w:sz w:val="17"/>
          <w:szCs w:val="17"/>
          <w:color w:val="auto"/>
        </w:rPr>
        <w:t>Certain of our suppliers of natural gas and LNG employ hydraulic fracturing techniques to stimulate natural gas production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spacing w:after="0" w:line="214" w:lineRule="exact"/>
        <w:rPr>
          <w:sz w:val="20"/>
          <w:szCs w:val="20"/>
          <w:color w:val="auto"/>
        </w:rPr>
      </w:pPr>
    </w:p>
    <w:p>
      <w:pPr>
        <w:ind w:right="40" w:firstLine="324"/>
        <w:spacing w:after="0" w:line="268" w:lineRule="auto"/>
        <w:rPr>
          <w:sz w:val="20"/>
          <w:szCs w:val="20"/>
          <w:color w:val="auto"/>
        </w:rPr>
      </w:pPr>
      <w:r>
        <w:rPr>
          <w:rFonts w:ascii="Arial" w:cs="Arial" w:eastAsia="Arial" w:hAnsi="Arial"/>
          <w:sz w:val="16"/>
          <w:szCs w:val="16"/>
          <w:color w:val="auto"/>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197"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i w:val="1"/>
          <w:iCs w:val="1"/>
          <w:color w:val="auto"/>
        </w:rPr>
        <w:t>Indigenous Communities</w:t>
      </w:r>
      <w:r>
        <w:rPr>
          <w:rFonts w:ascii="Arial" w:cs="Arial" w:eastAsia="Arial" w:hAnsi="Arial"/>
          <w:sz w:val="16"/>
          <w:szCs w:val="16"/>
          <w:color w:val="auto"/>
        </w:rPr>
        <w:t>. Indigenous communities—including, in Brazil, Afro-indigenous (“Quilombola”) communities—are subject to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6" w:right="37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requirements of, consult with, and obtain certain authorizations from a number of institutions regarding the protection of indigenous interests: IBAMA, local environmental authorities in the localities in which we operate, the Federal Public Prosecutor’s Office and the National Indian Foundation (</w:t>
      </w:r>
      <w:r>
        <w:rPr>
          <w:rFonts w:ascii="Arial" w:cs="Arial" w:eastAsia="Arial" w:hAnsi="Arial"/>
          <w:sz w:val="16"/>
          <w:szCs w:val="16"/>
          <w:i w:val="1"/>
          <w:iCs w:val="1"/>
          <w:color w:val="auto"/>
        </w:rPr>
        <w:t>Fundação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Nacional do Índio </w:t>
      </w:r>
      <w:r>
        <w:rPr>
          <w:rFonts w:ascii="Arial" w:cs="Arial" w:eastAsia="Arial" w:hAnsi="Arial"/>
          <w:sz w:val="16"/>
          <w:szCs w:val="16"/>
          <w:color w:val="auto"/>
        </w:rPr>
        <w:t>or “FUNAI”) (for indigenous people) or Palmares Cultural Foundation (</w:t>
      </w:r>
      <w:r>
        <w:rPr>
          <w:rFonts w:ascii="Arial" w:cs="Arial" w:eastAsia="Arial" w:hAnsi="Arial"/>
          <w:sz w:val="16"/>
          <w:szCs w:val="16"/>
          <w:i w:val="1"/>
          <w:iCs w:val="1"/>
          <w:color w:val="auto"/>
        </w:rPr>
        <w:t>Fundação Cultural Palmares</w:t>
      </w:r>
      <w:r>
        <w:rPr>
          <w:rFonts w:ascii="Arial" w:cs="Arial" w:eastAsia="Arial" w:hAnsi="Arial"/>
          <w:sz w:val="16"/>
          <w:szCs w:val="16"/>
          <w:color w:val="auto"/>
        </w:rPr>
        <w:t>) (for Quilombola communities).</w:t>
      </w:r>
    </w:p>
    <w:p>
      <w:pPr>
        <w:spacing w:after="0" w:line="174" w:lineRule="exact"/>
        <w:rPr>
          <w:sz w:val="20"/>
          <w:szCs w:val="20"/>
          <w:color w:val="auto"/>
        </w:rPr>
      </w:pPr>
    </w:p>
    <w:p>
      <w:pPr>
        <w:ind w:right="20" w:firstLine="324"/>
        <w:spacing w:after="0" w:line="267" w:lineRule="auto"/>
        <w:rPr>
          <w:sz w:val="20"/>
          <w:szCs w:val="20"/>
          <w:color w:val="auto"/>
        </w:rPr>
      </w:pPr>
      <w:r>
        <w:rPr>
          <w:rFonts w:ascii="Arial" w:cs="Arial" w:eastAsia="Arial" w:hAnsi="Arial"/>
          <w:sz w:val="16"/>
          <w:szCs w:val="16"/>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its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spacing w:after="0" w:line="201" w:lineRule="exact"/>
        <w:rPr>
          <w:sz w:val="20"/>
          <w:szCs w:val="20"/>
          <w:color w:val="auto"/>
        </w:rPr>
      </w:pPr>
    </w:p>
    <w:p>
      <w:pPr>
        <w:ind w:right="20" w:firstLine="324"/>
        <w:spacing w:after="0" w:line="257" w:lineRule="auto"/>
        <w:rPr>
          <w:sz w:val="20"/>
          <w:szCs w:val="20"/>
          <w:color w:val="auto"/>
        </w:rPr>
      </w:pPr>
      <w:r>
        <w:rPr>
          <w:rFonts w:ascii="Arial" w:cs="Arial" w:eastAsia="Arial" w:hAnsi="Arial"/>
          <w:sz w:val="17"/>
          <w:szCs w:val="17"/>
          <w:color w:val="auto"/>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spacing w:after="0" w:line="202" w:lineRule="exact"/>
        <w:rPr>
          <w:sz w:val="20"/>
          <w:szCs w:val="20"/>
          <w:color w:val="auto"/>
        </w:rPr>
      </w:pPr>
    </w:p>
    <w:p>
      <w:pPr>
        <w:ind w:right="40" w:firstLine="324"/>
        <w:spacing w:after="0" w:line="250" w:lineRule="auto"/>
        <w:rPr>
          <w:sz w:val="20"/>
          <w:szCs w:val="20"/>
          <w:color w:val="auto"/>
        </w:rPr>
      </w:pPr>
      <w:r>
        <w:rPr>
          <w:rFonts w:ascii="Arial" w:cs="Arial" w:eastAsia="Arial" w:hAnsi="Arial"/>
          <w:sz w:val="17"/>
          <w:szCs w:val="17"/>
          <w:i w:val="1"/>
          <w:iCs w:val="1"/>
          <w:color w:val="auto"/>
        </w:rPr>
        <w:t xml:space="preserve">Offshore operations. </w:t>
      </w:r>
      <w:r>
        <w:rPr>
          <w:rFonts w:ascii="Arial" w:cs="Arial" w:eastAsia="Arial" w:hAnsi="Arial"/>
          <w:sz w:val="17"/>
          <w:szCs w:val="17"/>
          <w:color w:val="auto"/>
        </w:rPr>
        <w:t>Our operations in international waters and in the territorial waters of other countries are regulated by extensive and changing</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national and local environmental protection laws, 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215"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color w:val="auto"/>
        </w:rPr>
        <w:t>In particular, development of offshore operations of natural gas and LNG are subject to extensive environmental, industry, maritime and social regulations. For example, any development and future operation of the potential Lakach project, which would be developed as a deepwater natural gas field in Mexico, as well as the development of a new FLNG hub off the coast of Altamira, State of Tamaulipas, would be subject to regulation by Mexico’s Ministry of Energy (</w:t>
      </w:r>
      <w:r>
        <w:rPr>
          <w:rFonts w:ascii="Arial" w:cs="Arial" w:eastAsia="Arial" w:hAnsi="Arial"/>
          <w:sz w:val="17"/>
          <w:szCs w:val="17"/>
          <w:i w:val="1"/>
          <w:iCs w:val="1"/>
          <w:color w:val="auto"/>
        </w:rPr>
        <w:t>Secretaría de Energía</w:t>
      </w:r>
      <w:r>
        <w:rPr>
          <w:rFonts w:ascii="Arial" w:cs="Arial" w:eastAsia="Arial" w:hAnsi="Arial"/>
          <w:sz w:val="17"/>
          <w:szCs w:val="17"/>
          <w:color w:val="auto"/>
        </w:rPr>
        <w:t>) (“SENER”), Mexico's National Hydrocarbon Commission (“CNH”), the National Agency of Industrial Safety and 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 operations in waters off the coast of Mexico are subject to regulation by ASEA. The laws and regulations governing the protection of health, safety and the environment from activities in the Mexican energy sector are also</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73" w:name="page74"/>
    <w:bookmarkEnd w:id="7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relatively new, having been significantly reformed in 2013 and 2014, and the legal regulatory framework continues to evolve as ASEA and other Mexican regulatory bodies issue new regulations and guidelines as the industry modernizes and adapts to market changes. Such regulations are subject to change, and it is possible that ASEA or other Mexican regulatory bodies may impose new or revised requirements that could increase our operating costs and/or capital expenditures for operations in Mexican offshore waters.</w:t>
      </w:r>
    </w:p>
    <w:p>
      <w:pPr>
        <w:spacing w:after="0" w:line="215" w:lineRule="exact"/>
        <w:rPr>
          <w:sz w:val="20"/>
          <w:szCs w:val="20"/>
          <w:color w:val="auto"/>
        </w:rPr>
      </w:pPr>
    </w:p>
    <w:p>
      <w:pPr>
        <w:ind w:firstLine="324"/>
        <w:spacing w:after="0" w:line="255" w:lineRule="auto"/>
        <w:rPr>
          <w:sz w:val="20"/>
          <w:szCs w:val="20"/>
          <w:color w:val="auto"/>
        </w:rPr>
      </w:pPr>
      <w:r>
        <w:rPr>
          <w:rFonts w:ascii="Arial" w:cs="Arial" w:eastAsia="Arial" w:hAnsi="Arial"/>
          <w:sz w:val="17"/>
          <w:szCs w:val="17"/>
          <w:color w:val="auto"/>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thus increasing the cost of fuel and increasing expenses for us. Likewise, the European Union is considering extending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7"/>
          <w:szCs w:val="17"/>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20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b w:val="1"/>
          <w:bCs w:val="1"/>
          <w:i w:val="1"/>
          <w:iCs w:val="1"/>
          <w:color w:val="auto"/>
        </w:rPr>
        <w:t>We are subject to numerous governmental export laws, and trade and economic sanctions laws and regulations, and anti-corruption laws and regulation.</w:t>
      </w:r>
    </w:p>
    <w:p>
      <w:pPr>
        <w:spacing w:after="0" w:line="198" w:lineRule="exact"/>
        <w:rPr>
          <w:sz w:val="20"/>
          <w:szCs w:val="20"/>
          <w:color w:val="auto"/>
        </w:rPr>
      </w:pPr>
    </w:p>
    <w:p>
      <w:pPr>
        <w:ind w:right="20" w:firstLine="324"/>
        <w:spacing w:after="0" w:line="250" w:lineRule="auto"/>
        <w:rPr>
          <w:sz w:val="20"/>
          <w:szCs w:val="20"/>
          <w:color w:val="auto"/>
        </w:rPr>
      </w:pPr>
      <w:r>
        <w:rPr>
          <w:rFonts w:ascii="Arial" w:cs="Arial" w:eastAsia="Arial" w:hAnsi="Arial"/>
          <w:sz w:val="17"/>
          <w:szCs w:val="17"/>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 of Nicaragua and Venezuela. Following the invasion of Ukraine by Russia in 2022, U.S. and European governmental authorities imposed a number of sanctions against entities and individuals in Russia or connected to Russia, including sanctions specifically targeting the Russian oil and gas industry.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spacing w:after="0" w:line="212" w:lineRule="exact"/>
        <w:rPr>
          <w:sz w:val="20"/>
          <w:szCs w:val="20"/>
          <w:color w:val="auto"/>
        </w:rPr>
      </w:pPr>
    </w:p>
    <w:p>
      <w:pPr>
        <w:ind w:right="180" w:firstLine="324"/>
        <w:spacing w:after="0" w:line="236" w:lineRule="auto"/>
        <w:rPr>
          <w:sz w:val="20"/>
          <w:szCs w:val="20"/>
          <w:color w:val="auto"/>
        </w:rPr>
      </w:pPr>
      <w:r>
        <w:rPr>
          <w:rFonts w:ascii="Arial" w:cs="Arial" w:eastAsia="Arial" w:hAnsi="Arial"/>
          <w:sz w:val="18"/>
          <w:szCs w:val="18"/>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Brazil and Mexico or other countries in Latin America, Asia and Africa.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If we are not in compliance with trade and economic sanctions laws and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the imposition of an independent compliance monitor, as well as potential personnel change and disciplinary actions. In addition, non-compliance with such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In addition, in certain countries we serve or expect to serve our customers through third-party agents and other intermediaries. Violations of applicable import, export, trade and economic sanctions, and anti-corruption laws and regulations by these third-party agents or intermediaries may also result in adverse consequences and repercussions to us. There can be no assurance that we and our agents and other intermediaries will be in compliance with these provisions in the future. The occurrence of any of these events could have a material</w:t>
      </w:r>
    </w:p>
    <w:p>
      <w:pPr>
        <w:spacing w:after="0" w:line="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adverse impact on our business, results of operations, financial condition, liquidity and future business prospects. The U.S. sanctions and embargo laws and regulations vary in their application, as they do not all apply to the same covered persons or proscribe the same activities, and such sanctions and embargo laws and regulations may be amended or strengthened over time.</w:t>
      </w:r>
    </w:p>
    <w:p>
      <w:pPr>
        <w:spacing w:after="0" w:line="21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7"/>
          <w:szCs w:val="17"/>
          <w:color w:val="auto"/>
        </w:rPr>
        <w:t>Although we believe that we have been in compliance with all applicable sanctions, embargo and anti-corruption laws and regulations, and intend to maintain such compliance, there can be no assurance that we will be in compliance in the future, particularly as the scope of certain laws may be unclear and may be subject to changing interpretations. Any such violation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spacing w:after="0" w:line="20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charterers may inadvertently violate applicable sanctions and/or call on ports located in, or engage in transactions with, countries that are subject to restrictions imposed by the U.S. or other governments, which could adversely affect its business.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 of our vessels have called on ports located in countries subject to comprehensive sanctions and embargoes imposed by the U.S. government or</w:t>
      </w:r>
    </w:p>
    <w:p>
      <w:pPr>
        <w:spacing w:after="0" w:line="59"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countries identified by the U.S. government as state sponsors of terrorism. When we charter our vessels to third parties we conduct comprehensive due diligence of the charterer and include prohibitions on the charterer calling on ports in countries subject to comprehensive U.S. sanctions or otherwise engaging in commerce with such countries. However, our vessels may be sub-chartered out to a sanctioned party or call on ports of a sanctioned nation on</w:t>
      </w:r>
    </w:p>
    <w:p>
      <w:pPr>
        <w:spacing w:after="0" w:line="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charterers’ instruction, and without our knowledge or consent. 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transportation regulations may increase our costs and negatively impact our results of operations.</w:t>
      </w:r>
    </w:p>
    <w:p>
      <w:pPr>
        <w:spacing w:after="0" w:line="239"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w:t>
      </w:r>
    </w:p>
    <w:p>
      <w:pPr>
        <w:spacing w:after="0" w:line="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subject to state and/or local safety regulations that mirror federal regulations but also regulate the weight and size dimensions of loads. 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chartered vessels operating in certain jurisdictions, including the United States, now or in the future, may be subject to cabotage laws, including the Merchant Marine Act of 1920, as amended (the “Jones Act”).</w:t>
      </w:r>
    </w:p>
    <w:p>
      <w:pPr>
        <w:spacing w:after="0" w:line="198"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spacing w:after="0" w:line="182"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We do not own the land on which our projects are located and are subject to leases, rights-of-ways, easements and other property rights for our operations.</w:t>
      </w:r>
    </w:p>
    <w:p>
      <w:pPr>
        <w:spacing w:after="0" w:line="198" w:lineRule="exact"/>
        <w:rPr>
          <w:sz w:val="20"/>
          <w:szCs w:val="20"/>
          <w:color w:val="auto"/>
        </w:rPr>
      </w:pPr>
    </w:p>
    <w:p>
      <w:pPr>
        <w:ind w:right="20" w:firstLine="324"/>
        <w:spacing w:after="0" w:line="267" w:lineRule="auto"/>
        <w:rPr>
          <w:sz w:val="20"/>
          <w:szCs w:val="20"/>
          <w:color w:val="auto"/>
        </w:rPr>
      </w:pPr>
      <w:r>
        <w:rPr>
          <w:rFonts w:ascii="Arial" w:cs="Arial" w:eastAsia="Arial" w:hAnsi="Arial"/>
          <w:sz w:val="16"/>
          <w:szCs w:val="16"/>
          <w:color w:val="auto"/>
        </w:rPr>
        <w:t>We have obtained long-term leases and corresponding rights-of-way agreements and easements with respect to the land on which various of our projects are located, including the Jamaica Facilities, the pipeline connecting the Montego Bay Facility to the Bogue Power Plant (as defined herein), the Miami Facility, the San Juan Facility and the CHP Plant are situated,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do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For example,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negatively impacted by environmental, social, and governance (“ESG”) and sustainability-related matters.</w:t>
      </w:r>
    </w:p>
    <w:p>
      <w:pPr>
        <w:spacing w:after="0" w:line="23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6"/>
          <w:szCs w:val="16"/>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186" w:lineRule="exact"/>
        <w:rPr>
          <w:sz w:val="20"/>
          <w:szCs w:val="20"/>
          <w:color w:val="auto"/>
        </w:rPr>
      </w:pPr>
    </w:p>
    <w:p>
      <w:pPr>
        <w:ind w:firstLine="324"/>
        <w:spacing w:after="0" w:line="268" w:lineRule="auto"/>
        <w:rPr>
          <w:sz w:val="20"/>
          <w:szCs w:val="20"/>
          <w:color w:val="auto"/>
        </w:rPr>
      </w:pPr>
      <w:r>
        <w:rPr>
          <w:rFonts w:ascii="Arial" w:cs="Arial" w:eastAsia="Arial" w:hAnsi="Arial"/>
          <w:sz w:val="16"/>
          <w:szCs w:val="16"/>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6" w:right="419" w:bottom="1440" w:gutter="0" w:footer="0" w:header="0"/>
        </w:sectPr>
      </w:pPr>
    </w:p>
    <w:bookmarkStart w:id="76" w:name="page77"/>
    <w:bookmarkEnd w:id="7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technology failures and cyberattacks could affect us significantly.</w:t>
      </w:r>
    </w:p>
    <w:p>
      <w:pPr>
        <w:spacing w:after="0" w:line="239"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spacing w:after="0" w:line="190"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239" w:lineRule="exact"/>
        <w:rPr>
          <w:sz w:val="20"/>
          <w:szCs w:val="20"/>
          <w:color w:val="auto"/>
        </w:rPr>
      </w:pPr>
    </w:p>
    <w:p>
      <w:pPr>
        <w:ind w:right="40" w:firstLine="324"/>
        <w:spacing w:after="0" w:line="267" w:lineRule="auto"/>
        <w:rPr>
          <w:sz w:val="20"/>
          <w:szCs w:val="20"/>
          <w:color w:val="auto"/>
        </w:rPr>
      </w:pPr>
      <w:r>
        <w:rPr>
          <w:rFonts w:ascii="Arial" w:cs="Arial" w:eastAsia="Arial" w:hAnsi="Arial"/>
          <w:sz w:val="16"/>
          <w:szCs w:val="16"/>
          <w:color w:val="auto"/>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key members of our management, the loss of any of whom could disrupt our business operations.</w:t>
      </w:r>
    </w:p>
    <w:p>
      <w:pPr>
        <w:spacing w:after="0" w:line="239"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We depend to a large extent on the services of our chief executive officer, Wesley R. Edens, some of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82"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184" w:lineRule="exact"/>
        <w:rPr>
          <w:sz w:val="20"/>
          <w:szCs w:val="20"/>
          <w:color w:val="auto"/>
        </w:rPr>
      </w:pPr>
    </w:p>
    <w:p>
      <w:pPr>
        <w:ind w:right="100" w:firstLine="324"/>
        <w:spacing w:after="0" w:line="284" w:lineRule="auto"/>
        <w:rPr>
          <w:sz w:val="20"/>
          <w:szCs w:val="20"/>
          <w:color w:val="auto"/>
        </w:rPr>
      </w:pPr>
      <w:r>
        <w:rPr>
          <w:rFonts w:ascii="Arial" w:cs="Arial" w:eastAsia="Arial" w:hAnsi="Arial"/>
          <w:sz w:val="16"/>
          <w:szCs w:val="16"/>
          <w:color w:val="auto"/>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and Indonesia, where some of our vessels operate, require we hire a certain portion of local personnel to crew our vessels. Any inability to attract and retain qualified local crew members could adversely affect our operations, business, results of operations and financial condition. Furthermore, should there be an outbreak of COVID-19 on our facilities or vessels, adequate staffing or crewing may not be available to fulfill the obligations under our contracts. Due to COVID-19, we could face (i) difficulty in finding healthy qualified replacement employees; (ii) local or international transport or quarantine restrictions limiting the ability to transfer infected employees from or to our facilities or vessels, and (iii) restrictions in availability of supplies needed for our projects due to disruptions to third-party suppliers or transportation alternatives. See “—General Risks—We are unable to predict the extent to which the global COVID-19 pandemic will negatively affect our operations, financial performance, nor our ability to achieve our strategic objectives. We are also unable to predict how this global pandemic may affect our customers and suppliers.” 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affected adversely by labor disputes, strikes or work stoppages.</w:t>
      </w:r>
    </w:p>
    <w:p>
      <w:pPr>
        <w:spacing w:after="0" w:line="239" w:lineRule="exact"/>
        <w:rPr>
          <w:sz w:val="20"/>
          <w:szCs w:val="20"/>
          <w:color w:val="auto"/>
        </w:rPr>
      </w:pPr>
    </w:p>
    <w:p>
      <w:pPr>
        <w:ind w:firstLine="324"/>
        <w:spacing w:after="0" w:line="255" w:lineRule="auto"/>
        <w:rPr>
          <w:sz w:val="20"/>
          <w:szCs w:val="20"/>
          <w:color w:val="auto"/>
        </w:rPr>
      </w:pPr>
      <w:r>
        <w:rPr>
          <w:rFonts w:ascii="Arial" w:cs="Arial" w:eastAsia="Arial" w:hAnsi="Arial"/>
          <w:sz w:val="17"/>
          <w:szCs w:val="17"/>
          <w:color w:val="auto"/>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note as attractive as our current agreements or comparable to agreements entered into by our competitors. Labor unions could also seek to organize some or all of our non-unionized workforce.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Jurisdictions in Which We Operate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economic, political, social and other conditions in the jurisdictions in which we operate.</w:t>
      </w:r>
    </w:p>
    <w:p>
      <w:pPr>
        <w:spacing w:after="0" w:line="239" w:lineRule="exact"/>
        <w:rPr>
          <w:sz w:val="20"/>
          <w:szCs w:val="20"/>
          <w:color w:val="auto"/>
        </w:rPr>
      </w:pPr>
    </w:p>
    <w:p>
      <w:pPr>
        <w:ind w:right="40" w:firstLine="324"/>
        <w:spacing w:after="0" w:line="265" w:lineRule="auto"/>
        <w:rPr>
          <w:sz w:val="20"/>
          <w:szCs w:val="20"/>
          <w:color w:val="auto"/>
        </w:rPr>
      </w:pPr>
      <w:r>
        <w:rPr>
          <w:rFonts w:ascii="Arial" w:cs="Arial" w:eastAsia="Arial" w:hAnsi="Arial"/>
          <w:sz w:val="16"/>
          <w:szCs w:val="16"/>
          <w:color w:val="auto"/>
        </w:rPr>
        <w:t>Our projects are located in Jamaica and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could have a material adverse effect on our financial condition, results of operations and cash flows. Furthermore, we cannot predict how our relationship with PREPA could change given PREPA’s privatization of its transmission, distribution and power generation system. PREPA may seek to find alternative power sources or purchase substantially less natural gas from us than what we currently expect to sell to PREPA. In addition, we cannot predict how local sentiment and support for our subsidiaries’ operations in Puerto Rico could change following the privatization of Puerto Rico’s power generation systems.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which we operate. In addition, these jurisdictions, particularly emerging countries, are subject to risk of contagion from the economic, political and social developments in other emerging countries and markets.</w:t>
      </w:r>
    </w:p>
    <w:p>
      <w:pPr>
        <w:spacing w:after="0" w:line="198"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color w:val="auto"/>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its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operating results may be adversely affected by foreign exchange fluctuations.</w:t>
      </w:r>
    </w:p>
    <w:p>
      <w:pPr>
        <w:spacing w:after="0" w:line="239" w:lineRule="exact"/>
        <w:rPr>
          <w:sz w:val="20"/>
          <w:szCs w:val="20"/>
          <w:color w:val="auto"/>
        </w:rPr>
      </w:pPr>
    </w:p>
    <w:p>
      <w:pPr>
        <w:ind w:right="20" w:firstLine="324"/>
        <w:spacing w:after="0" w:line="250" w:lineRule="auto"/>
        <w:rPr>
          <w:sz w:val="20"/>
          <w:szCs w:val="20"/>
          <w:color w:val="auto"/>
        </w:rPr>
      </w:pPr>
      <w:r>
        <w:rPr>
          <w:rFonts w:ascii="Arial" w:cs="Arial" w:eastAsia="Arial" w:hAnsi="Arial"/>
          <w:sz w:val="17"/>
          <w:szCs w:val="17"/>
          <w:color w:val="auto"/>
        </w:rPr>
        <w:t>While our condensed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43"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w:t>
      </w:r>
    </w:p>
    <w:p>
      <w:pPr>
        <w:spacing w:after="0" w:line="198"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22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23"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7"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ind w:left="660" w:hanging="328"/>
        <w:spacing w:after="0" w:line="23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failure of securities analysts to cover our Class A common stock;</w:t>
      </w: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23"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overall market fluctuations;</w:t>
      </w:r>
    </w:p>
    <w:p>
      <w:pPr>
        <w:ind w:left="660" w:hanging="328"/>
        <w:spacing w:after="0" w:line="23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conditions; and</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223" w:lineRule="exact"/>
        <w:rPr>
          <w:sz w:val="20"/>
          <w:szCs w:val="20"/>
          <w:color w:val="auto"/>
        </w:rPr>
      </w:pPr>
    </w:p>
    <w:p>
      <w:pPr>
        <w:ind w:right="240" w:firstLine="324"/>
        <w:spacing w:after="0"/>
        <w:rPr>
          <w:sz w:val="20"/>
          <w:szCs w:val="20"/>
          <w:color w:val="auto"/>
        </w:rPr>
      </w:pPr>
      <w:r>
        <w:rPr>
          <w:rFonts w:ascii="Arial" w:cs="Arial" w:eastAsia="Arial" w:hAnsi="Arial"/>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pacing w:after="0" w:line="216"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as a result, qualify for and intend to rely on exemptions from certain corporate governance requirements.</w:t>
      </w:r>
    </w:p>
    <w:p>
      <w:pPr>
        <w:spacing w:after="0" w:line="198" w:lineRule="exact"/>
        <w:rPr>
          <w:sz w:val="20"/>
          <w:szCs w:val="20"/>
          <w:color w:val="auto"/>
        </w:rPr>
      </w:pPr>
    </w:p>
    <w:p>
      <w:pPr>
        <w:ind w:right="80" w:firstLine="324"/>
        <w:spacing w:after="0" w:line="270" w:lineRule="auto"/>
        <w:rPr>
          <w:sz w:val="20"/>
          <w:szCs w:val="20"/>
          <w:color w:val="auto"/>
        </w:rPr>
      </w:pPr>
      <w:r>
        <w:rPr>
          <w:rFonts w:ascii="Arial" w:cs="Arial" w:eastAsia="Arial" w:hAnsi="Arial"/>
          <w:sz w:val="16"/>
          <w:szCs w:val="16"/>
          <w:color w:val="auto"/>
        </w:rPr>
        <w:t>Affiliates of certain entities controlled by Wesley R. Edens, Randal A. Nardone and affiliates of Fortress Investment Group LLC (“Founder Entities”), together with affiliates of Energy Transition Holdings LLC, hold a majority of the voting power of our stock. In addition, pursuant to the Shareholders’ Agreement, dated as of February 4, 2019, by and among the 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Energy Transition Holdings LLC are parties to the Shareholders’ Agreement and as of June 30, 2023 hold approximately 12.5%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203"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a majority of the board of directors consist of independent directors as defined under the rules of Nasdaq;</w:t>
      </w:r>
    </w:p>
    <w:p>
      <w:pPr>
        <w:spacing w:after="0" w:line="10" w:lineRule="exact"/>
        <w:rPr>
          <w:rFonts w:ascii="Arial" w:cs="Arial" w:eastAsia="Arial" w:hAnsi="Arial"/>
          <w:sz w:val="22"/>
          <w:szCs w:val="22"/>
          <w:color w:val="auto"/>
        </w:rPr>
      </w:pPr>
    </w:p>
    <w:p>
      <w:pPr>
        <w:ind w:left="660" w:right="520" w:hanging="328"/>
        <w:spacing w:after="0" w:line="24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1" w:lineRule="exact"/>
        <w:rPr>
          <w:rFonts w:ascii="Arial" w:cs="Arial" w:eastAsia="Arial" w:hAnsi="Arial"/>
          <w:sz w:val="18"/>
          <w:szCs w:val="18"/>
          <w:color w:val="auto"/>
        </w:rPr>
      </w:pPr>
    </w:p>
    <w:p>
      <w:pPr>
        <w:ind w:left="660" w:right="600" w:hanging="328"/>
        <w:spacing w:after="0" w:line="24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198" w:lineRule="exact"/>
        <w:rPr>
          <w:sz w:val="20"/>
          <w:szCs w:val="20"/>
          <w:color w:val="auto"/>
        </w:rPr>
      </w:pPr>
    </w:p>
    <w:p>
      <w:pPr>
        <w:ind w:right="80" w:firstLine="324"/>
        <w:spacing w:after="0" w:line="243" w:lineRule="auto"/>
        <w:rPr>
          <w:sz w:val="20"/>
          <w:szCs w:val="20"/>
          <w:color w:val="auto"/>
        </w:rPr>
      </w:pPr>
      <w:r>
        <w:rPr>
          <w:rFonts w:ascii="Arial" w:cs="Arial" w:eastAsia="Arial" w:hAnsi="Arial"/>
          <w:sz w:val="18"/>
          <w:szCs w:val="18"/>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215" w:lineRule="exact"/>
        <w:rPr>
          <w:sz w:val="20"/>
          <w:szCs w:val="20"/>
          <w:color w:val="auto"/>
        </w:rPr>
      </w:pPr>
    </w:p>
    <w:p>
      <w:pPr>
        <w:ind w:right="280" w:firstLine="2"/>
        <w:spacing w:after="0" w:line="261" w:lineRule="auto"/>
        <w:rPr>
          <w:sz w:val="20"/>
          <w:szCs w:val="20"/>
          <w:color w:val="auto"/>
        </w:rPr>
      </w:pPr>
      <w:r>
        <w:rPr>
          <w:rFonts w:ascii="Arial" w:cs="Arial" w:eastAsia="Arial" w:hAnsi="Arial"/>
          <w:sz w:val="18"/>
          <w:szCs w:val="18"/>
          <w:b w:val="1"/>
          <w:bCs w:val="1"/>
          <w:i w:val="1"/>
          <w:iCs w:val="1"/>
          <w:color w:val="auto"/>
        </w:rPr>
        <w:t>A small number of our original investors have the ability to direct the voting of a majority of our stock, and their interests may conflict with those of our other stockholders.</w:t>
      </w:r>
    </w:p>
    <w:p>
      <w:pPr>
        <w:spacing w:after="0" w:line="198"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color w:val="auto"/>
        </w:rPr>
        <w:t>As of June 30, 2023, affiliates of the Founder Entities own an aggregate of approximately 87,136,768 shares of Class A common stock, representing approximately 42.5% of our voting power, and affiliates of Energy Transition Holdings LLC, party to the Shareholders' Agreement, own an aggregate of approximately 25,559,846 shares of our Class A common stock, representing approximately 12.5% of the voting power of our Class A common stock. The beneficial ownership of greater than 50% of our voting stock means affiliates of the Founder Entities and Energy Transition Holdings LLC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212"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Given this concentrated ownership, the affiliates of the Founder Entities and Energy Transition Holdings LLC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0" w:name="page81"/>
    <w:bookmarkEnd w:id="8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firstLine="324"/>
        <w:spacing w:after="0" w:line="257" w:lineRule="auto"/>
        <w:rPr>
          <w:sz w:val="20"/>
          <w:szCs w:val="20"/>
          <w:color w:val="auto"/>
        </w:rPr>
      </w:pPr>
      <w:r>
        <w:rPr>
          <w:rFonts w:ascii="Arial" w:cs="Arial" w:eastAsia="Arial" w:hAnsi="Arial"/>
          <w:sz w:val="17"/>
          <w:szCs w:val="17"/>
          <w:color w:val="auto"/>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pacing w:after="0" w:line="202" w:lineRule="exact"/>
        <w:rPr>
          <w:sz w:val="20"/>
          <w:szCs w:val="20"/>
          <w:color w:val="auto"/>
        </w:rPr>
      </w:pPr>
    </w:p>
    <w:p>
      <w:pPr>
        <w:ind w:right="60" w:firstLine="2"/>
        <w:spacing w:after="0" w:line="248" w:lineRule="auto"/>
        <w:rPr>
          <w:sz w:val="20"/>
          <w:szCs w:val="20"/>
          <w:color w:val="auto"/>
        </w:rPr>
      </w:pPr>
      <w:r>
        <w:rPr>
          <w:rFonts w:ascii="Arial" w:cs="Arial" w:eastAsia="Arial" w:hAnsi="Arial"/>
          <w:sz w:val="18"/>
          <w:szCs w:val="18"/>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209"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Our Certificate of Incorporation and By- 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securityholders. These provisions include:</w:t>
      </w:r>
    </w:p>
    <w:p>
      <w:pPr>
        <w:spacing w:after="0" w:line="23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dividing our board of directors into three classes of directors, with each class serving staggered three-year terms;</w:t>
      </w:r>
    </w:p>
    <w:p>
      <w:pPr>
        <w:ind w:left="660" w:right="40" w:hanging="324"/>
        <w:spacing w:after="0" w:line="23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spacing w:after="0" w:line="2" w:lineRule="exact"/>
        <w:rPr>
          <w:rFonts w:ascii="Arial" w:cs="Arial" w:eastAsia="Arial" w:hAnsi="Arial"/>
          <w:sz w:val="18"/>
          <w:szCs w:val="18"/>
          <w:color w:val="auto"/>
        </w:rPr>
      </w:pPr>
    </w:p>
    <w:p>
      <w:pPr>
        <w:jc w:val="both"/>
        <w:ind w:left="660" w:right="480" w:hanging="324"/>
        <w:spacing w:after="0" w:line="23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2" w:lineRule="exact"/>
        <w:rPr>
          <w:rFonts w:ascii="Arial" w:cs="Arial" w:eastAsia="Arial" w:hAnsi="Arial"/>
          <w:sz w:val="18"/>
          <w:szCs w:val="18"/>
          <w:color w:val="auto"/>
        </w:rPr>
      </w:pPr>
    </w:p>
    <w:p>
      <w:pPr>
        <w:ind w:left="660" w:hanging="324"/>
        <w:spacing w:after="0" w:line="23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ind w:left="660" w:right="580" w:hanging="324"/>
        <w:spacing w:after="0" w:line="23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establishing advance notice provisions for stockholder proposals and nominations for elections to the board of directors to be acted upon at meetings of the stockholders; and</w:t>
      </w:r>
    </w:p>
    <w:p>
      <w:pPr>
        <w:spacing w:after="0" w:line="1" w:lineRule="exact"/>
        <w:rPr>
          <w:rFonts w:ascii="Arial" w:cs="Arial" w:eastAsia="Arial" w:hAnsi="Arial"/>
          <w:sz w:val="18"/>
          <w:szCs w:val="18"/>
          <w:color w:val="auto"/>
        </w:rPr>
      </w:pPr>
    </w:p>
    <w:p>
      <w:pPr>
        <w:ind w:left="660" w:right="20" w:hanging="324"/>
        <w:spacing w:after="0" w:line="24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providing that the board of directors is expressly authorized to adopt, or to alter or repeal our certain provisions of our organizational documents to the extent permitted by law.</w:t>
      </w:r>
    </w:p>
    <w:p>
      <w:pPr>
        <w:spacing w:after="0" w:line="213"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spacing w:after="0" w:line="212" w:lineRule="exact"/>
        <w:rPr>
          <w:sz w:val="20"/>
          <w:szCs w:val="20"/>
          <w:color w:val="auto"/>
        </w:rPr>
      </w:pPr>
    </w:p>
    <w:p>
      <w:pPr>
        <w:jc w:val="both"/>
        <w:ind w:right="300" w:firstLine="2"/>
        <w:spacing w:after="0" w:line="248" w:lineRule="auto"/>
        <w:rPr>
          <w:sz w:val="20"/>
          <w:szCs w:val="20"/>
          <w:color w:val="auto"/>
        </w:rPr>
      </w:pPr>
      <w:r>
        <w:rPr>
          <w:rFonts w:ascii="Arial" w:cs="Arial" w:eastAsia="Arial" w:hAnsi="Arial"/>
          <w:sz w:val="18"/>
          <w:szCs w:val="18"/>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209" w:lineRule="exact"/>
        <w:rPr>
          <w:sz w:val="20"/>
          <w:szCs w:val="20"/>
          <w:color w:val="auto"/>
        </w:rPr>
      </w:pPr>
    </w:p>
    <w:p>
      <w:pPr>
        <w:ind w:right="60" w:firstLine="324"/>
        <w:spacing w:after="0" w:line="269"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74" w:lineRule="exact"/>
        <w:rPr>
          <w:sz w:val="20"/>
          <w:szCs w:val="20"/>
          <w:color w:val="auto"/>
        </w:rPr>
      </w:pPr>
    </w:p>
    <w:p>
      <w:pPr>
        <w:ind w:right="360" w:firstLine="2"/>
        <w:spacing w:after="0" w:line="324" w:lineRule="auto"/>
        <w:rPr>
          <w:sz w:val="20"/>
          <w:szCs w:val="20"/>
          <w:color w:val="auto"/>
        </w:rPr>
      </w:pPr>
      <w:r>
        <w:rPr>
          <w:rFonts w:ascii="Arial" w:cs="Arial" w:eastAsia="Arial" w:hAnsi="Arial"/>
          <w:sz w:val="16"/>
          <w:szCs w:val="16"/>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51"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216" w:lineRule="exact"/>
        <w:rPr>
          <w:sz w:val="20"/>
          <w:szCs w:val="20"/>
          <w:color w:val="auto"/>
        </w:rPr>
      </w:pPr>
    </w:p>
    <w:p>
      <w:pPr>
        <w:ind w:firstLine="2"/>
        <w:spacing w:after="0" w:line="294"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174" w:lineRule="exact"/>
        <w:rPr>
          <w:sz w:val="20"/>
          <w:szCs w:val="20"/>
          <w:color w:val="auto"/>
        </w:rPr>
      </w:pPr>
    </w:p>
    <w:p>
      <w:pPr>
        <w:ind w:right="60" w:firstLine="324"/>
        <w:spacing w:after="0" w:line="251" w:lineRule="auto"/>
        <w:rPr>
          <w:sz w:val="20"/>
          <w:szCs w:val="20"/>
          <w:color w:val="auto"/>
        </w:rPr>
      </w:pPr>
      <w:r>
        <w:rPr>
          <w:rFonts w:ascii="Arial" w:cs="Arial" w:eastAsia="Arial" w:hAnsi="Arial"/>
          <w:sz w:val="17"/>
          <w:szCs w:val="17"/>
          <w:color w:val="auto"/>
        </w:rPr>
        <w:t>We have incurred and may in the future incur or issue debt or issue equity or equity-related securities to finance our operations, acquisitions or investments. Upon our liquidation, lenders and holders of our debt and holders of our preferred stock (if any)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directly or through convertible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the terms of which could adversely affect the voting power or value of our Class A common stock.</w:t>
      </w:r>
    </w:p>
    <w:p>
      <w:pPr>
        <w:spacing w:after="0" w:line="239" w:lineRule="exact"/>
        <w:rPr>
          <w:sz w:val="20"/>
          <w:szCs w:val="20"/>
          <w:color w:val="auto"/>
        </w:rPr>
      </w:pPr>
    </w:p>
    <w:p>
      <w:pPr>
        <w:ind w:right="20" w:firstLine="324"/>
        <w:spacing w:after="0" w:line="276" w:lineRule="auto"/>
        <w:rPr>
          <w:sz w:val="20"/>
          <w:szCs w:val="20"/>
          <w:color w:val="auto"/>
        </w:rPr>
      </w:pPr>
      <w:r>
        <w:rPr>
          <w:rFonts w:ascii="Arial" w:cs="Arial" w:eastAsia="Arial" w:hAnsi="Arial"/>
          <w:sz w:val="16"/>
          <w:szCs w:val="16"/>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or issuances of our Class A common stock could adversely affect the market price of our Class A common stock.</w:t>
      </w:r>
    </w:p>
    <w:p>
      <w:pPr>
        <w:spacing w:after="0" w:line="239"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60" w:firstLine="2"/>
        <w:spacing w:after="0" w:line="261" w:lineRule="auto"/>
        <w:rPr>
          <w:sz w:val="20"/>
          <w:szCs w:val="20"/>
          <w:color w:val="auto"/>
        </w:rPr>
      </w:pPr>
      <w:r>
        <w:rPr>
          <w:rFonts w:ascii="Arial" w:cs="Arial" w:eastAsia="Arial" w:hAnsi="Arial"/>
          <w:sz w:val="18"/>
          <w:szCs w:val="18"/>
          <w:b w:val="1"/>
          <w:bCs w:val="1"/>
          <w:i w:val="1"/>
          <w:iCs w:val="1"/>
          <w:color w:val="auto"/>
        </w:rPr>
        <w:t>An active, liquid and orderly trading market for our Class A common stock may not be maintained and the price of our Class A common stock may fluctuate significantly.</w:t>
      </w:r>
    </w:p>
    <w:p>
      <w:pPr>
        <w:spacing w:after="0" w:line="198"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43" w:lineRule="exact"/>
        <w:rPr>
          <w:sz w:val="20"/>
          <w:szCs w:val="20"/>
          <w:color w:val="auto"/>
        </w:rPr>
      </w:pPr>
    </w:p>
    <w:p>
      <w:pPr>
        <w:ind w:right="440" w:firstLine="2"/>
        <w:spacing w:after="0" w:line="261" w:lineRule="auto"/>
        <w:rPr>
          <w:sz w:val="20"/>
          <w:szCs w:val="20"/>
          <w:color w:val="auto"/>
        </w:rPr>
      </w:pPr>
      <w:r>
        <w:rPr>
          <w:rFonts w:ascii="Arial" w:cs="Arial" w:eastAsia="Arial" w:hAnsi="Arial"/>
          <w:sz w:val="18"/>
          <w:szCs w:val="18"/>
          <w:b w:val="1"/>
          <w:bCs w:val="1"/>
          <w:i w:val="1"/>
          <w:iCs w:val="1"/>
          <w:color w:val="auto"/>
        </w:rPr>
        <w:t>We are a holding company and our operational and consolidated financial results are dependent on the results of our subsidiaries, affiliates, joint ventures and special purpose entities in which we invest.</w:t>
      </w:r>
    </w:p>
    <w:p>
      <w:pPr>
        <w:spacing w:after="0" w:line="198" w:lineRule="exact"/>
        <w:rPr>
          <w:sz w:val="20"/>
          <w:szCs w:val="20"/>
          <w:color w:val="auto"/>
        </w:rPr>
      </w:pPr>
    </w:p>
    <w:p>
      <w:pPr>
        <w:ind w:firstLine="324"/>
        <w:spacing w:after="0" w:line="270" w:lineRule="auto"/>
        <w:rPr>
          <w:sz w:val="20"/>
          <w:szCs w:val="20"/>
          <w:color w:val="auto"/>
        </w:rPr>
      </w:pPr>
      <w:r>
        <w:rPr>
          <w:rFonts w:ascii="Arial" w:cs="Arial" w:eastAsia="Arial" w:hAnsi="Arial"/>
          <w:sz w:val="16"/>
          <w:szCs w:val="16"/>
          <w:color w:val="auto"/>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spacing w:after="0" w:line="194" w:lineRule="exact"/>
        <w:rPr>
          <w:sz w:val="20"/>
          <w:szCs w:val="20"/>
          <w:color w:val="auto"/>
        </w:rPr>
      </w:pPr>
    </w:p>
    <w:p>
      <w:pPr>
        <w:ind w:right="60" w:firstLine="2"/>
        <w:spacing w:after="0" w:line="261" w:lineRule="auto"/>
        <w:rPr>
          <w:sz w:val="20"/>
          <w:szCs w:val="20"/>
          <w:color w:val="auto"/>
        </w:rPr>
      </w:pPr>
      <w:r>
        <w:rPr>
          <w:rFonts w:ascii="Arial" w:cs="Arial" w:eastAsia="Arial" w:hAnsi="Arial"/>
          <w:sz w:val="18"/>
          <w:szCs w:val="18"/>
          <w:b w:val="1"/>
          <w:bCs w:val="1"/>
          <w:i w:val="1"/>
          <w:iCs w:val="1"/>
          <w:color w:val="auto"/>
        </w:rPr>
        <w:t>We may engage in mergers, sales and acquisitions, divestments, reorganizations or similar transactions related to our businesses or assets in the future and we may fail to successfully complete such transaction or to realize the expected value.</w:t>
      </w:r>
    </w:p>
    <w:p>
      <w:pPr>
        <w:spacing w:after="0" w:line="198" w:lineRule="exact"/>
        <w:rPr>
          <w:sz w:val="20"/>
          <w:szCs w:val="20"/>
          <w:color w:val="auto"/>
        </w:rPr>
      </w:pPr>
    </w:p>
    <w:p>
      <w:pPr>
        <w:ind w:firstLine="324"/>
        <w:spacing w:after="0" w:line="291" w:lineRule="auto"/>
        <w:rPr>
          <w:sz w:val="20"/>
          <w:szCs w:val="20"/>
          <w:color w:val="auto"/>
        </w:rPr>
      </w:pPr>
      <w:r>
        <w:rPr>
          <w:rFonts w:ascii="Arial" w:cs="Arial" w:eastAsia="Arial" w:hAnsi="Arial"/>
          <w:sz w:val="15"/>
          <w:szCs w:val="15"/>
          <w:color w:val="auto"/>
        </w:rPr>
        <w:t>In furtherance of our business strategy, we may engage in mergers, purchases or sales, divestments, reorganizations or other similar transactions related to our businesses or assets in the future. Any such transactions may be subject to significant risks and contingencies, including the risk of integration, valuation and successful implementation, and we may not be able to realize the benefits of any such transactions. We may also engage in sales of our assets or sale and leaseback transactions that seek to monetize our assets and there is no guarantee that such sales of assets will be executed at the prices we desire</w:t>
      </w:r>
    </w:p>
    <w:p>
      <w:pPr>
        <w:spacing w:after="0" w:line="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or higher than the values we currently carry these assets at on our balance sheet. 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spacing w:after="0" w:line="189" w:lineRule="exact"/>
        <w:rPr>
          <w:sz w:val="20"/>
          <w:szCs w:val="20"/>
          <w:color w:val="auto"/>
        </w:rPr>
      </w:pPr>
    </w:p>
    <w:p>
      <w:pPr>
        <w:ind w:firstLine="2"/>
        <w:spacing w:after="0" w:line="248" w:lineRule="auto"/>
        <w:rPr>
          <w:sz w:val="20"/>
          <w:szCs w:val="20"/>
          <w:color w:val="auto"/>
        </w:rPr>
      </w:pPr>
      <w:r>
        <w:rPr>
          <w:rFonts w:ascii="Arial" w:cs="Arial" w:eastAsia="Arial" w:hAnsi="Arial"/>
          <w:sz w:val="18"/>
          <w:szCs w:val="18"/>
          <w:b w:val="1"/>
          <w:bCs w:val="1"/>
          <w:i w:val="1"/>
          <w:iCs w:val="1"/>
          <w:color w:val="auto"/>
        </w:rPr>
        <w:t>We are unable to predict the extent to which the global pandemics and health crisis, such as the COVID-19 pandemic, will negatively affect our operations, financial performance, nor our ability to achieve our strategic objectives. We are also unable to predict how this global pandemic may affect our customers and suppliers.</w:t>
      </w:r>
    </w:p>
    <w:p>
      <w:pPr>
        <w:spacing w:after="0" w:line="209" w:lineRule="exact"/>
        <w:rPr>
          <w:sz w:val="20"/>
          <w:szCs w:val="20"/>
          <w:color w:val="auto"/>
        </w:rPr>
      </w:pPr>
    </w:p>
    <w:p>
      <w:pPr>
        <w:ind w:right="60" w:firstLine="324"/>
        <w:spacing w:after="0" w:line="268" w:lineRule="auto"/>
        <w:rPr>
          <w:sz w:val="20"/>
          <w:szCs w:val="20"/>
          <w:color w:val="auto"/>
        </w:rPr>
      </w:pPr>
      <w:r>
        <w:rPr>
          <w:rFonts w:ascii="Arial" w:cs="Arial" w:eastAsia="Arial" w:hAnsi="Arial"/>
          <w:sz w:val="16"/>
          <w:szCs w:val="16"/>
          <w:color w:val="auto"/>
        </w:rPr>
        <w:t>The COVID-19 pandemic has caused, and is expected to continue to cause, economic disruptions in various regions, disruptions in global supply chains, significant volatility and disruption of financial markets and in the price of oil and other commodities. In addition, the pandemic has made, and any future global health crisis or pandemic could make, travel and commercial activity significantly more cumbersome and less efficient compared to pre-pandemic conditions. Because the severity, magnitude and duration of any such crisis or pandemic and its economic consequences are uncertain, rapidly-changing and difficult to predict, its impact on our operations and financial performance, as well as its impact on our ability to successfully execute our business strategies and initiatives, remains or could be uncertain and difficult to predict. Further, the ultimate impact of any such pandemic or crisis on our operations and financial performance depends on many factors that are not within our control, including, but not limited, to: governmental, business and individuals’ actions that have been and continue to be taken in response to the COVID-19 pandemic (including restrictions on travel and transport and workforce pressures); the impact of such pandemic or crisis and actions taken in response on global and regional economies, travel, and economic activity; the availability of federal, state, local or non-U.S. funding programs, as well as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3" w:name="page84"/>
    <w:bookmarkEnd w:id="8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other monetary and financial policies enacted by governments (including monetary policy, taxation, exchange controls, interest rates, regulation of banking and financial services and other industries, government budgeting and public sector financing); the duration and severity of resurgences of any variants; general economic uncertainty in key global markets and financial market volatility; global economic conditions and levels of economic growth; and the pace of recovery when the pandemic or crisis subsides. Our operations, financial performance and financial condition have been subjected to the COVID-19 pandemic and could be subjected to a number of operational financial risks in any such future pandemic or crisis.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tax laws in any country in which we operate could adversely affect us.</w:t>
      </w:r>
    </w:p>
    <w:p>
      <w:pPr>
        <w:spacing w:after="0" w:line="239" w:lineRule="exact"/>
        <w:rPr>
          <w:sz w:val="20"/>
          <w:szCs w:val="20"/>
          <w:color w:val="auto"/>
        </w:rPr>
      </w:pPr>
    </w:p>
    <w:p>
      <w:pPr>
        <w:ind w:right="20" w:firstLine="324"/>
        <w:spacing w:after="0" w:line="251" w:lineRule="auto"/>
        <w:rPr>
          <w:sz w:val="20"/>
          <w:szCs w:val="20"/>
          <w:color w:val="auto"/>
        </w:rPr>
      </w:pPr>
      <w:r>
        <w:rPr>
          <w:rFonts w:ascii="Arial" w:cs="Arial" w:eastAsia="Arial" w:hAnsi="Arial"/>
          <w:sz w:val="17"/>
          <w:szCs w:val="17"/>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been and may be involved in legal proceedings and may experience unfavorable outcomes.</w:t>
      </w:r>
    </w:p>
    <w:p>
      <w:pPr>
        <w:spacing w:after="0" w:line="239"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We have been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spacing w:after="0" w:line="190" w:lineRule="exact"/>
        <w:rPr>
          <w:sz w:val="20"/>
          <w:szCs w:val="20"/>
          <w:color w:val="auto"/>
        </w:rPr>
      </w:pPr>
    </w:p>
    <w:p>
      <w:pPr>
        <w:jc w:val="both"/>
        <w:ind w:right="80" w:firstLine="2"/>
        <w:spacing w:after="0" w:line="248" w:lineRule="auto"/>
        <w:rPr>
          <w:sz w:val="20"/>
          <w:szCs w:val="20"/>
          <w:color w:val="auto"/>
        </w:rPr>
      </w:pPr>
      <w:r>
        <w:rPr>
          <w:rFonts w:ascii="Arial" w:cs="Arial" w:eastAsia="Arial" w:hAnsi="Arial"/>
          <w:sz w:val="18"/>
          <w:szCs w:val="18"/>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195" w:lineRule="exact"/>
        <w:rPr>
          <w:sz w:val="20"/>
          <w:szCs w:val="20"/>
          <w:color w:val="auto"/>
        </w:rPr>
      </w:pPr>
    </w:p>
    <w:p>
      <w:pPr>
        <w:ind w:right="40" w:firstLine="324"/>
        <w:spacing w:after="0" w:line="239"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6" w:right="359" w:bottom="1440" w:gutter="0" w:footer="0" w:header="0"/>
        </w:sectPr>
      </w:pPr>
    </w:p>
    <w:bookmarkStart w:id="84" w:name="page85"/>
    <w:bookmarkEnd w:id="8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43" w:lineRule="exact"/>
        <w:rPr>
          <w:sz w:val="20"/>
          <w:szCs w:val="20"/>
          <w:color w:val="auto"/>
        </w:rPr>
      </w:pPr>
    </w:p>
    <w:p>
      <w:pPr>
        <w:ind w:left="900" w:hanging="244"/>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w:t>
      </w:r>
    </w:p>
    <w:p>
      <w:pPr>
        <w:spacing w:after="0" w:line="238" w:lineRule="exact"/>
        <w:rPr>
          <w:rFonts w:ascii="Arial" w:cs="Arial" w:eastAsia="Arial" w:hAnsi="Arial"/>
          <w:sz w:val="18"/>
          <w:szCs w:val="18"/>
          <w:color w:val="auto"/>
        </w:rPr>
      </w:pPr>
    </w:p>
    <w:p>
      <w:pPr>
        <w:ind w:left="920" w:hanging="264"/>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w:t>
      </w:r>
    </w:p>
    <w:p>
      <w:pPr>
        <w:spacing w:after="0" w:line="238" w:lineRule="exact"/>
        <w:rPr>
          <w:rFonts w:ascii="Arial" w:cs="Arial" w:eastAsia="Arial" w:hAnsi="Arial"/>
          <w:sz w:val="18"/>
          <w:szCs w:val="18"/>
          <w:color w:val="auto"/>
        </w:rPr>
      </w:pPr>
    </w:p>
    <w:p>
      <w:pPr>
        <w:ind w:left="900" w:hanging="244"/>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w:t>
      </w:r>
    </w:p>
    <w:p>
      <w:pPr>
        <w:spacing w:after="0" w:line="239" w:lineRule="exact"/>
        <w:rPr>
          <w:sz w:val="20"/>
          <w:szCs w:val="20"/>
          <w:color w:val="auto"/>
        </w:rPr>
      </w:pPr>
    </w:p>
    <w:p>
      <w:pPr>
        <w:ind w:right="220" w:firstLine="324"/>
        <w:spacing w:after="0" w:line="243" w:lineRule="auto"/>
        <w:rPr>
          <w:sz w:val="20"/>
          <w:szCs w:val="20"/>
          <w:color w:val="auto"/>
        </w:rPr>
      </w:pPr>
      <w:r>
        <w:rPr>
          <w:rFonts w:ascii="Arial" w:cs="Arial" w:eastAsia="Arial" w:hAnsi="Arial"/>
          <w:sz w:val="18"/>
          <w:szCs w:val="18"/>
          <w:color w:val="auto"/>
        </w:rPr>
        <w:t>Some of our operating subsidiaries, joint venture and special purpose entities are subject to restrictive covenants related to their indebtedness, including restrictions on dividend distributions. For information on our long-term debt obligations and debt and lease restrictions, see “Management's Discussion and Analysis of Financial Condition and Results of Operations—Liquidity and Capital Resources—Long-Term Debt and Preferred Stock — Debt and lease restrictions.”</w:t>
      </w:r>
    </w:p>
    <w:p>
      <w:pPr>
        <w:spacing w:after="0" w:line="1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August 3, 2023 (the “Closing Date”), the Company entered into a Term Loan Credit Agreement (the “Term Loan Agreement”) with Morgan Stanley Senior Funding, Inc., as administrative agent and collateral agent, the lenders party thereto, and the other parties thereto, pursuant to which the lenders party thereto funded term loans (the “Term Loans”) to the Company on the Closing Date in an aggregate principal amount of $400 million. The proceeds of the Term Loans may be used for working capital and other general corporate purposes. The Term Loans will mature on August 1, 2024 and are payable in full on the maturity date.</w:t>
      </w:r>
    </w:p>
    <w:p>
      <w:pPr>
        <w:spacing w:after="0" w:line="188" w:lineRule="exact"/>
        <w:rPr>
          <w:sz w:val="20"/>
          <w:szCs w:val="20"/>
          <w:color w:val="auto"/>
        </w:rPr>
      </w:pPr>
    </w:p>
    <w:p>
      <w:pPr>
        <w:ind w:right="220" w:firstLine="324"/>
        <w:spacing w:after="0" w:line="269" w:lineRule="auto"/>
        <w:rPr>
          <w:sz w:val="20"/>
          <w:szCs w:val="20"/>
          <w:color w:val="auto"/>
        </w:rPr>
      </w:pPr>
      <w:r>
        <w:rPr>
          <w:rFonts w:ascii="Arial" w:cs="Arial" w:eastAsia="Arial" w:hAnsi="Arial"/>
          <w:sz w:val="17"/>
          <w:szCs w:val="17"/>
          <w:color w:val="auto"/>
        </w:rPr>
        <w:t>As of the Closing Date, the obligations under the Term Loan Agreement are guaranteed, jointly and severally, by each domestic subsidiary that is a wholly-owned restricted subsidiary of the Company, other than (as defined in the Term Loan Agreement) (i) any Qualified Liquefaction Development Entities, (ii) any Receivables Subsidiaries, (iii) any Immaterial Subsidiaries, (iv) any Captive Insurance Subsidiaries, (v) any not-for-profit or special purpose Subsidiaries and (vi) any Subsidiary with respect to which a guarantee would result in material adverse tax consequences, as reasonably determined by the Company. Each foreign subsidiary that is a wholly-owned restricted subsidiary of the Company (subject to the exceptions set forth above) is required to accede to the facility as a guarantor on a post-closing basis. The obligations of the Company and the guarantors party thereto are senior secured obligations of the Company and such guarantors, and are and will be on a post-closing basis secured on a pari passu basis by liens on the same assets of the Company and guarantors that secure the Company’s existing 6.750% Senior Secured Notes due 2025, the Company’s existing 6.50% Senior Secured Notes due 2026, the Company’s existing Revolving Facility and the Company’s existing letter of credit facility. An equal priority intercreditor agreement governs the treatment of such collateral.</w:t>
      </w:r>
    </w:p>
    <w:p>
      <w:pPr>
        <w:spacing w:after="0" w:line="18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Term Loans bear interest at a per annum rate equal to Adjusted Term SOFR (as defined in the Term Loan Agreement) plus 3.50%. The Company may prepay Term Loans at its option at any time without premium (subject to customary break funding costs). The Company is required to prepay Term Loans with the net proceeds of certain asset sales, condemnations, and debt and convertible securities issuances, in each case subject to certain exceptions and thresholds. Additionally, commencing with the fiscal quarter ending December 31, 2023, the Company will be required to prepay Term Loans with the Company’s Excess Cash Flow (as defined in the Term Loan Agreement).</w:t>
      </w:r>
    </w:p>
    <w:p>
      <w:pPr>
        <w:spacing w:after="0" w:line="17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Term Loan Agreement contains usual and customary representations and warranties, and usual and customary affirmative and negative covenants. The affirmative covenants include, among other things, delivery of financial statements, compliance certificates and notices, payment of taxes and other obligations, conduct of business and maintenance of existence, compliance with applicable laws and regulations, maintenance of properties and insurance, maintenance of books and records and provision of guarantees and collateral.</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6" w:right="419" w:bottom="1440" w:gutter="0" w:footer="0" w:header="0"/>
        </w:sectPr>
      </w:pPr>
    </w:p>
    <w:bookmarkStart w:id="85" w:name="page86"/>
    <w:bookmarkEnd w:id="8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negative covenants include limitations on restricted payments, dividends and other payment restrictions affecting subsidiaries, indebtedness, asset sales, transactions with affiliates, liens, mergers, consolidation or sale of all or substantially all assets, and maintenance of a total debt to capitalization ratio and a total first lien debt to EBITDA ratio (which latter covenant shall be tested only if required to be tested under the Revolving Facility). The Term Loan Agreement also contains usual and customary events of default (subject to grace periods), including non-payment of principal, interest, fees and other amounts; material breach of a representation or warranty; covenant defaults, acceleration of other material debt; material judgments; bankruptcy or insolvency; ERISA-related defaults; impairment of security or guarantees; and change of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Officer Appointment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August 7, 2023, William L. Payne was appointed as Chief Operating Officer of the Company.</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Exhibit</w:t>
            </w:r>
          </w:p>
        </w:tc>
        <w:tc>
          <w:tcPr>
            <w:tcW w:w="100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10020" w:type="dxa"/>
            <w:vAlign w:val="bottom"/>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29"/>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20" w:type="dxa"/>
            <w:vAlign w:val="bottom"/>
            <w:shd w:val="clear" w:color="auto" w:fill="CCEEFF"/>
          </w:tcPr>
          <w:p>
            <w:pPr>
              <w:spacing w:after="0"/>
              <w:rPr>
                <w:sz w:val="19"/>
                <w:szCs w:val="19"/>
                <w:color w:val="auto"/>
              </w:rPr>
            </w:pPr>
          </w:p>
        </w:tc>
      </w:tr>
      <w:tr>
        <w:trPr>
          <w:trHeight w:val="189"/>
        </w:trPr>
        <w:tc>
          <w:tcPr>
            <w:tcW w:w="260" w:type="dxa"/>
            <w:vAlign w:val="bottom"/>
            <w:gridSpan w:val="2"/>
          </w:tcPr>
          <w:p>
            <w:pPr>
              <w:ind w:left="20"/>
              <w:spacing w:after="0" w:line="189" w:lineRule="exact"/>
              <w:rPr>
                <w:rFonts w:ascii="Arial" w:cs="Arial" w:eastAsia="Arial" w:hAnsi="Arial"/>
                <w:sz w:val="18"/>
                <w:szCs w:val="18"/>
                <w:color w:val="0000FF"/>
                <w:w w:val="87"/>
              </w:rPr>
            </w:pPr>
            <w:hyperlink r:id="rId10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20" w:type="dxa"/>
            <w:vAlign w:val="bottom"/>
          </w:tcPr>
          <w:p>
            <w:pPr>
              <w:ind w:left="180"/>
              <w:spacing w:after="0" w:line="189" w:lineRule="exact"/>
              <w:rPr>
                <w:sz w:val="20"/>
                <w:szCs w:val="20"/>
                <w:color w:val="auto"/>
              </w:rPr>
            </w:pPr>
            <w:r>
              <w:rPr>
                <w:rFonts w:ascii="Arial" w:cs="Arial" w:eastAsia="Arial" w:hAnsi="Arial"/>
                <w:sz w:val="18"/>
                <w:szCs w:val="18"/>
                <w:color w:val="auto"/>
                <w:w w:val="93"/>
              </w:rPr>
              <w:t>Certificate of Conversion of New Fortress Energy Inc. (incorporated by reference to Exhibit 99.2 to the Registrant’s Quarterly Report</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ind w:left="180"/>
              <w:spacing w:after="0"/>
              <w:rPr>
                <w:sz w:val="20"/>
                <w:szCs w:val="20"/>
                <w:color w:val="auto"/>
              </w:rPr>
            </w:pPr>
            <w:r>
              <w:rPr>
                <w:rFonts w:ascii="Arial" w:cs="Arial" w:eastAsia="Arial" w:hAnsi="Arial"/>
                <w:sz w:val="18"/>
                <w:szCs w:val="18"/>
                <w:color w:val="auto"/>
              </w:rPr>
              <w:t>on Form 10-Q filed with the SEC on August 4, 2020).</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20" w:type="dxa"/>
            <w:vAlign w:val="bottom"/>
            <w:shd w:val="clear" w:color="auto" w:fill="CCEEFF"/>
          </w:tcPr>
          <w:p>
            <w:pPr>
              <w:spacing w:after="0"/>
              <w:rPr>
                <w:sz w:val="19"/>
                <w:szCs w:val="19"/>
                <w:color w:val="auto"/>
              </w:rPr>
            </w:pPr>
          </w:p>
        </w:tc>
      </w:tr>
      <w:tr>
        <w:trPr>
          <w:trHeight w:val="189"/>
        </w:trPr>
        <w:tc>
          <w:tcPr>
            <w:tcW w:w="260" w:type="dxa"/>
            <w:vAlign w:val="bottom"/>
            <w:gridSpan w:val="2"/>
          </w:tcPr>
          <w:p>
            <w:pPr>
              <w:ind w:left="20"/>
              <w:spacing w:after="0" w:line="189" w:lineRule="exact"/>
              <w:rPr>
                <w:rFonts w:ascii="Arial" w:cs="Arial" w:eastAsia="Arial" w:hAnsi="Arial"/>
                <w:sz w:val="18"/>
                <w:szCs w:val="18"/>
                <w:color w:val="0000FF"/>
                <w:w w:val="87"/>
              </w:rPr>
            </w:pPr>
            <w:hyperlink r:id="rId10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20" w:type="dxa"/>
            <w:vAlign w:val="bottom"/>
          </w:tcPr>
          <w:p>
            <w:pPr>
              <w:ind w:left="180"/>
              <w:spacing w:after="0" w:line="189" w:lineRule="exact"/>
              <w:rPr>
                <w:sz w:val="20"/>
                <w:szCs w:val="20"/>
                <w:color w:val="auto"/>
              </w:rPr>
            </w:pPr>
            <w:r>
              <w:rPr>
                <w:rFonts w:ascii="Arial" w:cs="Arial" w:eastAsia="Arial" w:hAnsi="Arial"/>
                <w:sz w:val="18"/>
                <w:szCs w:val="18"/>
                <w:color w:val="auto"/>
                <w:w w:val="92"/>
              </w:rPr>
              <w:t>Certificate of Incorporation of New Fortress Energy Inc. (incorporated by reference to Exhibit 99.3 to the Registrant’s Quarterly Report</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ind w:left="180"/>
              <w:spacing w:after="0"/>
              <w:rPr>
                <w:sz w:val="20"/>
                <w:szCs w:val="20"/>
                <w:color w:val="auto"/>
              </w:rPr>
            </w:pPr>
            <w:r>
              <w:rPr>
                <w:rFonts w:ascii="Arial" w:cs="Arial" w:eastAsia="Arial" w:hAnsi="Arial"/>
                <w:sz w:val="18"/>
                <w:szCs w:val="18"/>
                <w:color w:val="auto"/>
              </w:rPr>
              <w:t>on Form 10-Q filed with the SEC on August 4, 2020).</w:t>
            </w:r>
          </w:p>
        </w:tc>
      </w:tr>
      <w:tr>
        <w:trPr>
          <w:trHeight w:val="229"/>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20" w:type="dxa"/>
            <w:vAlign w:val="bottom"/>
            <w:shd w:val="clear" w:color="auto" w:fill="CCEEFF"/>
          </w:tcPr>
          <w:p>
            <w:pPr>
              <w:spacing w:after="0"/>
              <w:rPr>
                <w:sz w:val="19"/>
                <w:szCs w:val="19"/>
                <w:color w:val="auto"/>
              </w:rPr>
            </w:pPr>
          </w:p>
        </w:tc>
      </w:tr>
      <w:tr>
        <w:trPr>
          <w:trHeight w:val="189"/>
        </w:trPr>
        <w:tc>
          <w:tcPr>
            <w:tcW w:w="260" w:type="dxa"/>
            <w:vAlign w:val="bottom"/>
            <w:gridSpan w:val="2"/>
          </w:tcPr>
          <w:p>
            <w:pPr>
              <w:ind w:left="20"/>
              <w:spacing w:after="0" w:line="189" w:lineRule="exact"/>
              <w:rPr>
                <w:rFonts w:ascii="Arial" w:cs="Arial" w:eastAsia="Arial" w:hAnsi="Arial"/>
                <w:sz w:val="18"/>
                <w:szCs w:val="18"/>
                <w:color w:val="0000FF"/>
                <w:w w:val="87"/>
              </w:rPr>
            </w:pPr>
            <w:hyperlink r:id="rId10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20" w:type="dxa"/>
            <w:vAlign w:val="bottom"/>
          </w:tcPr>
          <w:p>
            <w:pPr>
              <w:ind w:left="180"/>
              <w:spacing w:after="0" w:line="189" w:lineRule="exact"/>
              <w:rPr>
                <w:sz w:val="20"/>
                <w:szCs w:val="20"/>
                <w:color w:val="auto"/>
              </w:rPr>
            </w:pPr>
            <w:r>
              <w:rPr>
                <w:rFonts w:ascii="Arial" w:cs="Arial" w:eastAsia="Arial" w:hAnsi="Arial"/>
                <w:sz w:val="18"/>
                <w:szCs w:val="18"/>
                <w:color w:val="auto"/>
                <w:w w:val="92"/>
              </w:rPr>
              <w:t>Bylaws of New Fortress Energy Inc. (incorporated by reference to Exhibit 99.4 to the Registrant’s Quarterly Report on Form 10-Q filed</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ind w:left="180"/>
              <w:spacing w:after="0"/>
              <w:rPr>
                <w:sz w:val="20"/>
                <w:szCs w:val="20"/>
                <w:color w:val="auto"/>
              </w:rPr>
            </w:pPr>
            <w:r>
              <w:rPr>
                <w:rFonts w:ascii="Arial" w:cs="Arial" w:eastAsia="Arial" w:hAnsi="Arial"/>
                <w:sz w:val="18"/>
                <w:szCs w:val="18"/>
                <w:color w:val="auto"/>
              </w:rPr>
              <w:t>with the SEC on August 4, 2020).</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200" w:type="dxa"/>
            <w:vAlign w:val="bottom"/>
            <w:gridSpan w:val="4"/>
          </w:tcPr>
          <w:p>
            <w:pPr>
              <w:spacing w:after="0" w:line="189" w:lineRule="exact"/>
              <w:rPr>
                <w:rFonts w:ascii="Arial" w:cs="Arial" w:eastAsia="Arial" w:hAnsi="Arial"/>
                <w:sz w:val="18"/>
                <w:szCs w:val="18"/>
                <w:color w:val="0000FF"/>
              </w:rPr>
            </w:pPr>
            <w:hyperlink r:id="rId109">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020" w:type="dxa"/>
            <w:vAlign w:val="bottom"/>
          </w:tcPr>
          <w:p>
            <w:pPr>
              <w:ind w:left="180"/>
              <w:spacing w:after="0" w:line="189" w:lineRule="exact"/>
              <w:rPr>
                <w:sz w:val="20"/>
                <w:szCs w:val="20"/>
                <w:color w:val="auto"/>
              </w:rPr>
            </w:pPr>
            <w:r>
              <w:rPr>
                <w:rFonts w:ascii="Arial" w:cs="Arial" w:eastAsia="Arial" w:hAnsi="Arial"/>
                <w:sz w:val="18"/>
                <w:szCs w:val="18"/>
                <w:color w:val="auto"/>
                <w:w w:val="95"/>
              </w:rPr>
              <w:t>New Fortress Energy LLC 2019 Omnibus Incentive Plan (incorporated by reference to Exhibit 4.4 to the Registrant’s Registration</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ind w:left="180"/>
              <w:spacing w:after="0"/>
              <w:rPr>
                <w:sz w:val="20"/>
                <w:szCs w:val="20"/>
                <w:color w:val="auto"/>
              </w:rPr>
            </w:pPr>
            <w:r>
              <w:rPr>
                <w:rFonts w:ascii="Arial" w:cs="Arial" w:eastAsia="Arial" w:hAnsi="Arial"/>
                <w:sz w:val="18"/>
                <w:szCs w:val="18"/>
                <w:color w:val="auto"/>
              </w:rPr>
              <w:t>Statement on Form S-8, filed with the SEC on February 4, 2019).</w:t>
            </w:r>
          </w:p>
        </w:tc>
      </w:tr>
      <w:tr>
        <w:trPr>
          <w:trHeight w:val="257"/>
        </w:trPr>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00" w:type="dxa"/>
            <w:vAlign w:val="bottom"/>
            <w:gridSpan w:val="4"/>
          </w:tcPr>
          <w:p>
            <w:pPr>
              <w:spacing w:after="0" w:line="189" w:lineRule="exact"/>
              <w:rPr>
                <w:rFonts w:ascii="Arial" w:cs="Arial" w:eastAsia="Arial" w:hAnsi="Arial"/>
                <w:sz w:val="18"/>
                <w:szCs w:val="18"/>
                <w:color w:val="0000FF"/>
              </w:rPr>
            </w:pPr>
            <w:hyperlink r:id="rId110">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020" w:type="dxa"/>
            <w:vAlign w:val="bottom"/>
          </w:tcPr>
          <w:p>
            <w:pPr>
              <w:ind w:left="180"/>
              <w:spacing w:after="0" w:line="189" w:lineRule="exact"/>
              <w:rPr>
                <w:sz w:val="20"/>
                <w:szCs w:val="20"/>
                <w:color w:val="auto"/>
              </w:rPr>
            </w:pPr>
            <w:r>
              <w:rPr>
                <w:rFonts w:ascii="Arial" w:cs="Arial" w:eastAsia="Arial" w:hAnsi="Arial"/>
                <w:sz w:val="18"/>
                <w:szCs w:val="18"/>
                <w:color w:val="auto"/>
                <w:w w:val="94"/>
              </w:rPr>
              <w:t>Form of Director Restricted Share Unit Award Agreement (incorporated by reference to Exhibit 10.4 to the Registrant’s Registration</w:t>
            </w:r>
          </w:p>
        </w:tc>
      </w:tr>
      <w:tr>
        <w:trPr>
          <w:trHeight w:val="196"/>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020" w:type="dxa"/>
            <w:vAlign w:val="bottom"/>
          </w:tcPr>
          <w:p>
            <w:pPr>
              <w:ind w:left="180"/>
              <w:spacing w:after="0" w:line="196" w:lineRule="exact"/>
              <w:rPr>
                <w:sz w:val="20"/>
                <w:szCs w:val="20"/>
                <w:color w:val="auto"/>
              </w:rPr>
            </w:pPr>
            <w:r>
              <w:rPr>
                <w:rFonts w:ascii="Arial" w:cs="Arial" w:eastAsia="Arial" w:hAnsi="Arial"/>
                <w:sz w:val="18"/>
                <w:szCs w:val="18"/>
                <w:color w:val="auto"/>
              </w:rPr>
              <w:t>Statement on Form S-1/A, filed with the SEC on December 24, 2018).</w:t>
            </w:r>
          </w:p>
        </w:tc>
      </w:tr>
      <w:tr>
        <w:trPr>
          <w:trHeight w:val="256"/>
        </w:trPr>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00" w:type="dxa"/>
            <w:vAlign w:val="bottom"/>
            <w:gridSpan w:val="4"/>
          </w:tcPr>
          <w:p>
            <w:pPr>
              <w:spacing w:after="0" w:line="189" w:lineRule="exact"/>
              <w:rPr>
                <w:rFonts w:ascii="Arial" w:cs="Arial" w:eastAsia="Arial" w:hAnsi="Arial"/>
                <w:sz w:val="18"/>
                <w:szCs w:val="18"/>
                <w:color w:val="0000FF"/>
              </w:rPr>
            </w:pPr>
            <w:hyperlink r:id="rId111">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020" w:type="dxa"/>
            <w:vAlign w:val="bottom"/>
          </w:tcPr>
          <w:p>
            <w:pPr>
              <w:ind w:left="180"/>
              <w:spacing w:after="0" w:line="189" w:lineRule="exact"/>
              <w:rPr>
                <w:sz w:val="20"/>
                <w:szCs w:val="20"/>
                <w:color w:val="auto"/>
              </w:rPr>
            </w:pPr>
            <w:r>
              <w:rPr>
                <w:rFonts w:ascii="Arial" w:cs="Arial" w:eastAsia="Arial" w:hAnsi="Arial"/>
                <w:sz w:val="18"/>
                <w:szCs w:val="18"/>
                <w:color w:val="auto"/>
                <w:w w:val="94"/>
              </w:rPr>
              <w:t>Restricted Share Unit Award Agreement under the Amended and Restated New Fortress Energy Inc. 2019 Omnibus Incentive Plan</w:t>
            </w: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10020" w:type="dxa"/>
            <w:vAlign w:val="bottom"/>
          </w:tcPr>
          <w:p>
            <w:pPr>
              <w:ind w:left="180"/>
              <w:spacing w:after="0" w:line="154" w:lineRule="exact"/>
              <w:rPr>
                <w:sz w:val="20"/>
                <w:szCs w:val="20"/>
                <w:color w:val="auto"/>
              </w:rPr>
            </w:pPr>
            <w:r>
              <w:rPr>
                <w:rFonts w:ascii="Arial" w:cs="Arial" w:eastAsia="Arial" w:hAnsi="Arial"/>
                <w:sz w:val="17"/>
                <w:szCs w:val="17"/>
                <w:color w:val="auto"/>
                <w:w w:val="97"/>
              </w:rPr>
              <w:t>(incorporated by reference to Exhibit 10.5 to the Registrant’s Quarterly Report on Form 10-Q, filed with the Commission on November</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20" w:type="dxa"/>
            <w:vAlign w:val="bottom"/>
          </w:tcPr>
          <w:p>
            <w:pPr>
              <w:ind w:left="180"/>
              <w:spacing w:after="0"/>
              <w:rPr>
                <w:sz w:val="20"/>
                <w:szCs w:val="20"/>
                <w:color w:val="auto"/>
              </w:rPr>
            </w:pPr>
            <w:r>
              <w:rPr>
                <w:rFonts w:ascii="Arial" w:cs="Arial" w:eastAsia="Arial" w:hAnsi="Arial"/>
                <w:sz w:val="18"/>
                <w:szCs w:val="18"/>
                <w:color w:val="auto"/>
              </w:rPr>
              <w:t>8, 2022).</w:t>
            </w:r>
          </w:p>
        </w:tc>
      </w:tr>
      <w:tr>
        <w:trPr>
          <w:trHeight w:val="256"/>
        </w:trPr>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20" w:type="dxa"/>
            <w:vAlign w:val="bottom"/>
            <w:shd w:val="clear" w:color="auto" w:fill="CCEEFF"/>
          </w:tcPr>
          <w:p>
            <w:pPr>
              <w:spacing w:after="0"/>
              <w:rPr>
                <w:sz w:val="22"/>
                <w:szCs w:val="22"/>
                <w:color w:val="auto"/>
              </w:rPr>
            </w:pPr>
          </w:p>
        </w:tc>
      </w:tr>
      <w:tr>
        <w:trPr>
          <w:trHeight w:val="189"/>
        </w:trPr>
        <w:tc>
          <w:tcPr>
            <w:tcW w:w="340" w:type="dxa"/>
            <w:vAlign w:val="bottom"/>
            <w:gridSpan w:val="3"/>
          </w:tcPr>
          <w:p>
            <w:pPr>
              <w:ind w:left="20"/>
              <w:spacing w:after="0" w:line="189" w:lineRule="exact"/>
              <w:rPr>
                <w:rFonts w:ascii="Arial" w:cs="Arial" w:eastAsia="Arial" w:hAnsi="Arial"/>
                <w:sz w:val="18"/>
                <w:szCs w:val="18"/>
                <w:color w:val="0000FF"/>
                <w:w w:val="85"/>
              </w:rPr>
            </w:pPr>
            <w:hyperlink r:id="rId11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20" w:type="dxa"/>
            <w:vAlign w:val="bottom"/>
          </w:tcPr>
          <w:p>
            <w:pPr>
              <w:ind w:left="180"/>
              <w:spacing w:after="0" w:line="189" w:lineRule="exact"/>
              <w:rPr>
                <w:sz w:val="20"/>
                <w:szCs w:val="20"/>
                <w:color w:val="auto"/>
              </w:rPr>
            </w:pPr>
            <w:r>
              <w:rPr>
                <w:rFonts w:ascii="Arial" w:cs="Arial" w:eastAsia="Arial" w:hAnsi="Arial"/>
                <w:sz w:val="18"/>
                <w:szCs w:val="18"/>
                <w:color w:val="auto"/>
                <w:w w:val="94"/>
              </w:rPr>
              <w:t>Shareholders’ Agreement, dated February 4, 2019, by and among New Fortress Energy LLC, New Fortress Energy Holdings LLC,</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20" w:type="dxa"/>
            <w:vAlign w:val="bottom"/>
          </w:tcPr>
          <w:p>
            <w:pPr>
              <w:ind w:left="180"/>
              <w:spacing w:after="0" w:line="142" w:lineRule="exact"/>
              <w:rPr>
                <w:sz w:val="20"/>
                <w:szCs w:val="20"/>
                <w:color w:val="auto"/>
              </w:rPr>
            </w:pPr>
            <w:r>
              <w:rPr>
                <w:rFonts w:ascii="Arial" w:cs="Arial" w:eastAsia="Arial" w:hAnsi="Arial"/>
                <w:sz w:val="16"/>
                <w:szCs w:val="16"/>
                <w:color w:val="auto"/>
              </w:rPr>
              <w:t>Wesley R. Edens and Randal A. Nardone (incorporated by reference to Exhibit 4.1 to the Registrant’s Current Report on Form 8-K,</w:t>
            </w: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20" w:type="dxa"/>
            <w:vAlign w:val="bottom"/>
          </w:tcPr>
          <w:p>
            <w:pPr>
              <w:ind w:left="180"/>
              <w:spacing w:after="0"/>
              <w:rPr>
                <w:sz w:val="20"/>
                <w:szCs w:val="20"/>
                <w:color w:val="auto"/>
              </w:rPr>
            </w:pPr>
            <w:r>
              <w:rPr>
                <w:rFonts w:ascii="Arial" w:cs="Arial" w:eastAsia="Arial" w:hAnsi="Arial"/>
                <w:sz w:val="18"/>
                <w:szCs w:val="18"/>
                <w:color w:val="auto"/>
              </w:rPr>
              <w:t>filed with the SEC on February 5, 2019).</w:t>
            </w:r>
          </w:p>
        </w:tc>
      </w:tr>
      <w:tr>
        <w:trPr>
          <w:trHeight w:val="249"/>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20" w:type="dxa"/>
            <w:vAlign w:val="bottom"/>
            <w:shd w:val="clear" w:color="auto" w:fill="CCEEFF"/>
          </w:tcPr>
          <w:p>
            <w:pPr>
              <w:spacing w:after="0"/>
              <w:rPr>
                <w:sz w:val="21"/>
                <w:szCs w:val="21"/>
                <w:color w:val="auto"/>
              </w:rPr>
            </w:pPr>
          </w:p>
        </w:tc>
      </w:tr>
      <w:tr>
        <w:trPr>
          <w:trHeight w:val="189"/>
        </w:trPr>
        <w:tc>
          <w:tcPr>
            <w:tcW w:w="340" w:type="dxa"/>
            <w:vAlign w:val="bottom"/>
            <w:gridSpan w:val="3"/>
          </w:tcPr>
          <w:p>
            <w:pPr>
              <w:ind w:left="20"/>
              <w:spacing w:after="0" w:line="189" w:lineRule="exact"/>
              <w:rPr>
                <w:rFonts w:ascii="Arial" w:cs="Arial" w:eastAsia="Arial" w:hAnsi="Arial"/>
                <w:sz w:val="18"/>
                <w:szCs w:val="18"/>
                <w:color w:val="0000FF"/>
                <w:w w:val="85"/>
              </w:rPr>
            </w:pPr>
            <w:hyperlink r:id="rId11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20" w:type="dxa"/>
            <w:vAlign w:val="bottom"/>
          </w:tcPr>
          <w:p>
            <w:pPr>
              <w:ind w:left="180"/>
              <w:spacing w:after="0" w:line="189" w:lineRule="exact"/>
              <w:rPr>
                <w:sz w:val="20"/>
                <w:szCs w:val="20"/>
                <w:color w:val="auto"/>
              </w:rPr>
            </w:pPr>
            <w:r>
              <w:rPr>
                <w:rFonts w:ascii="Arial" w:cs="Arial" w:eastAsia="Arial" w:hAnsi="Arial"/>
                <w:sz w:val="18"/>
                <w:szCs w:val="18"/>
                <w:color w:val="auto"/>
              </w:rPr>
              <w:t>Administrative Services Agreement, dated February 4, 2019, by and between New Fortress Intermediate LLC and FIG LLC</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ind w:left="180"/>
              <w:spacing w:after="0"/>
              <w:rPr>
                <w:sz w:val="20"/>
                <w:szCs w:val="20"/>
                <w:color w:val="auto"/>
              </w:rPr>
            </w:pPr>
            <w:r>
              <w:rPr>
                <w:rFonts w:ascii="Arial" w:cs="Arial" w:eastAsia="Arial" w:hAnsi="Arial"/>
                <w:sz w:val="18"/>
                <w:szCs w:val="18"/>
                <w:color w:val="auto"/>
                <w:w w:val="94"/>
              </w:rPr>
              <w:t>(incorporated by reference to Exhibit 10.3 to the Registrant’s Current Report on Form 8-K, filed with the SEC on February 5, 2019).</w:t>
            </w: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2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200" w:type="dxa"/>
            <w:vAlign w:val="bottom"/>
            <w:gridSpan w:val="4"/>
          </w:tcPr>
          <w:p>
            <w:pPr>
              <w:spacing w:after="0" w:line="189" w:lineRule="exact"/>
              <w:rPr>
                <w:rFonts w:ascii="Arial" w:cs="Arial" w:eastAsia="Arial" w:hAnsi="Arial"/>
                <w:sz w:val="18"/>
                <w:szCs w:val="18"/>
                <w:color w:val="0000FF"/>
              </w:rPr>
            </w:pPr>
            <w:hyperlink r:id="rId114">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10020" w:type="dxa"/>
            <w:vAlign w:val="bottom"/>
          </w:tcPr>
          <w:p>
            <w:pPr>
              <w:ind w:left="180"/>
              <w:spacing w:after="0" w:line="189" w:lineRule="exact"/>
              <w:rPr>
                <w:sz w:val="20"/>
                <w:szCs w:val="20"/>
                <w:color w:val="auto"/>
              </w:rPr>
            </w:pPr>
            <w:r>
              <w:rPr>
                <w:rFonts w:ascii="Arial" w:cs="Arial" w:eastAsia="Arial" w:hAnsi="Arial"/>
                <w:sz w:val="18"/>
                <w:szCs w:val="18"/>
                <w:color w:val="auto"/>
                <w:w w:val="94"/>
              </w:rPr>
              <w:t>Indemnification Agreement (Edens) (incorporated by reference to Exhibit 10.4 to the Registrant’s Current Report on Form 8-K, filed</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ind w:left="180"/>
              <w:spacing w:after="0"/>
              <w:rPr>
                <w:sz w:val="20"/>
                <w:szCs w:val="20"/>
                <w:color w:val="auto"/>
              </w:rPr>
            </w:pPr>
            <w:r>
              <w:rPr>
                <w:rFonts w:ascii="Arial" w:cs="Arial" w:eastAsia="Arial" w:hAnsi="Arial"/>
                <w:sz w:val="18"/>
                <w:szCs w:val="18"/>
                <w:color w:val="auto"/>
              </w:rPr>
              <w:t>with the SEC on February 5, 2019).</w:t>
            </w:r>
          </w:p>
        </w:tc>
      </w:tr>
      <w:tr>
        <w:trPr>
          <w:trHeight w:val="257"/>
        </w:trPr>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00" w:type="dxa"/>
            <w:vAlign w:val="bottom"/>
            <w:gridSpan w:val="4"/>
          </w:tcPr>
          <w:p>
            <w:pPr>
              <w:spacing w:after="0" w:line="189" w:lineRule="exact"/>
              <w:rPr>
                <w:rFonts w:ascii="Arial" w:cs="Arial" w:eastAsia="Arial" w:hAnsi="Arial"/>
                <w:sz w:val="18"/>
                <w:szCs w:val="18"/>
                <w:color w:val="0000FF"/>
              </w:rPr>
            </w:pPr>
            <w:hyperlink r:id="rId115">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10020" w:type="dxa"/>
            <w:vAlign w:val="bottom"/>
          </w:tcPr>
          <w:p>
            <w:pPr>
              <w:ind w:left="180"/>
              <w:spacing w:after="0" w:line="189" w:lineRule="exact"/>
              <w:rPr>
                <w:sz w:val="20"/>
                <w:szCs w:val="20"/>
                <w:color w:val="auto"/>
              </w:rPr>
            </w:pPr>
            <w:r>
              <w:rPr>
                <w:rFonts w:ascii="Arial" w:cs="Arial" w:eastAsia="Arial" w:hAnsi="Arial"/>
                <w:sz w:val="18"/>
                <w:szCs w:val="18"/>
                <w:color w:val="auto"/>
                <w:w w:val="94"/>
              </w:rPr>
              <w:t>Indemnification Agreement (Guinta) (incorporated by reference to Exhibit 10.5 to the Registrant’s Current Report on Form 8-K, filed</w:t>
            </w:r>
          </w:p>
        </w:tc>
      </w:tr>
      <w:tr>
        <w:trPr>
          <w:trHeight w:val="196"/>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020" w:type="dxa"/>
            <w:vAlign w:val="bottom"/>
          </w:tcPr>
          <w:p>
            <w:pPr>
              <w:ind w:left="180"/>
              <w:spacing w:after="0" w:line="196" w:lineRule="exact"/>
              <w:rPr>
                <w:sz w:val="20"/>
                <w:szCs w:val="20"/>
                <w:color w:val="auto"/>
              </w:rPr>
            </w:pPr>
            <w:r>
              <w:rPr>
                <w:rFonts w:ascii="Arial" w:cs="Arial" w:eastAsia="Arial" w:hAnsi="Arial"/>
                <w:sz w:val="18"/>
                <w:szCs w:val="18"/>
                <w:color w:val="auto"/>
              </w:rPr>
              <w:t>with the SEC on February 5, 2019).</w:t>
            </w:r>
          </w:p>
        </w:tc>
      </w:tr>
      <w:tr>
        <w:trPr>
          <w:trHeight w:val="257"/>
        </w:trPr>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00" w:type="dxa"/>
            <w:vAlign w:val="bottom"/>
            <w:gridSpan w:val="4"/>
          </w:tcPr>
          <w:p>
            <w:pPr>
              <w:spacing w:after="0" w:line="189" w:lineRule="exact"/>
              <w:rPr>
                <w:rFonts w:ascii="Arial" w:cs="Arial" w:eastAsia="Arial" w:hAnsi="Arial"/>
                <w:sz w:val="18"/>
                <w:szCs w:val="18"/>
                <w:color w:val="0000FF"/>
              </w:rPr>
            </w:pPr>
            <w:hyperlink r:id="rId116">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10020" w:type="dxa"/>
            <w:vAlign w:val="bottom"/>
          </w:tcPr>
          <w:p>
            <w:pPr>
              <w:ind w:left="180"/>
              <w:spacing w:after="0" w:line="189" w:lineRule="exact"/>
              <w:rPr>
                <w:sz w:val="20"/>
                <w:szCs w:val="20"/>
                <w:color w:val="auto"/>
              </w:rPr>
            </w:pPr>
            <w:r>
              <w:rPr>
                <w:rFonts w:ascii="Arial" w:cs="Arial" w:eastAsia="Arial" w:hAnsi="Arial"/>
                <w:sz w:val="18"/>
                <w:szCs w:val="18"/>
                <w:color w:val="auto"/>
                <w:w w:val="93"/>
              </w:rPr>
              <w:t>Indemnification Agreement (Catterall) (incorporated by reference to Exhibit 10.7 to the Registrant’s Current Report on Form 8-K, filed</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80" w:type="dxa"/>
            <w:vAlign w:val="bottom"/>
          </w:tcPr>
          <w:p>
            <w:pPr>
              <w:spacing w:after="0"/>
              <w:rPr>
                <w:sz w:val="18"/>
                <w:szCs w:val="18"/>
                <w:color w:val="auto"/>
              </w:rPr>
            </w:pPr>
          </w:p>
        </w:tc>
        <w:tc>
          <w:tcPr>
            <w:tcW w:w="10020" w:type="dxa"/>
            <w:vAlign w:val="bottom"/>
          </w:tcPr>
          <w:p>
            <w:pPr>
              <w:ind w:left="180"/>
              <w:spacing w:after="0"/>
              <w:rPr>
                <w:sz w:val="20"/>
                <w:szCs w:val="20"/>
                <w:color w:val="auto"/>
              </w:rPr>
            </w:pPr>
            <w:r>
              <w:rPr>
                <w:rFonts w:ascii="Arial" w:cs="Arial" w:eastAsia="Arial" w:hAnsi="Arial"/>
                <w:sz w:val="18"/>
                <w:szCs w:val="18"/>
                <w:color w:val="auto"/>
              </w:rPr>
              <w:t>with the SEC on February 5, 2019).</w:t>
            </w:r>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2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gridSpan w:val="3"/>
          </w:tcPr>
          <w:p>
            <w:pPr>
              <w:spacing w:after="0"/>
              <w:rPr>
                <w:rFonts w:ascii="Arial" w:cs="Arial" w:eastAsia="Arial" w:hAnsi="Arial"/>
                <w:sz w:val="18"/>
                <w:szCs w:val="18"/>
                <w:color w:val="0000FF"/>
              </w:rPr>
            </w:pPr>
            <w:hyperlink r:id="rId118">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10280" w:type="dxa"/>
            <w:vAlign w:val="bottom"/>
          </w:tcPr>
          <w:p>
            <w:pPr>
              <w:ind w:left="440"/>
              <w:spacing w:after="0"/>
              <w:rPr>
                <w:sz w:val="20"/>
                <w:szCs w:val="20"/>
                <w:color w:val="auto"/>
              </w:rPr>
            </w:pPr>
            <w:r>
              <w:rPr>
                <w:rFonts w:ascii="Arial" w:cs="Arial" w:eastAsia="Arial" w:hAnsi="Arial"/>
                <w:sz w:val="18"/>
                <w:szCs w:val="18"/>
                <w:color w:val="auto"/>
                <w:w w:val="95"/>
              </w:rPr>
              <w:t>Indemnification Agreement (Grain) (incorporated by reference to Exhibit 10.8 to the Registrant’s Current Report on Form 8-K, filed</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with the SEC on February 5, 2019).</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940" w:type="dxa"/>
            <w:vAlign w:val="bottom"/>
            <w:gridSpan w:val="3"/>
          </w:tcPr>
          <w:p>
            <w:pPr>
              <w:spacing w:after="0" w:line="189" w:lineRule="exact"/>
              <w:rPr>
                <w:rFonts w:ascii="Arial" w:cs="Arial" w:eastAsia="Arial" w:hAnsi="Arial"/>
                <w:sz w:val="18"/>
                <w:szCs w:val="18"/>
                <w:color w:val="0000FF"/>
              </w:rPr>
            </w:pPr>
            <w:hyperlink r:id="rId119">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4"/>
              </w:rPr>
              <w:t>Indemnification Agreement (Griffin) (incorporated by reference to Exhibit 10.9 to the Registrant’s Current Report on Form 8-K, filed</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tcPr>
          <w:p>
            <w:pPr>
              <w:ind w:left="440"/>
              <w:spacing w:after="0" w:line="196" w:lineRule="exact"/>
              <w:rPr>
                <w:sz w:val="20"/>
                <w:szCs w:val="20"/>
                <w:color w:val="auto"/>
              </w:rPr>
            </w:pPr>
            <w:r>
              <w:rPr>
                <w:rFonts w:ascii="Arial" w:cs="Arial" w:eastAsia="Arial" w:hAnsi="Arial"/>
                <w:sz w:val="18"/>
                <w:szCs w:val="18"/>
                <w:color w:val="auto"/>
              </w:rPr>
              <w:t>with the SEC on February 5, 2019).</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940" w:type="dxa"/>
            <w:vAlign w:val="bottom"/>
            <w:gridSpan w:val="3"/>
          </w:tcPr>
          <w:p>
            <w:pPr>
              <w:spacing w:after="0" w:line="189" w:lineRule="exact"/>
              <w:rPr>
                <w:rFonts w:ascii="Arial" w:cs="Arial" w:eastAsia="Arial" w:hAnsi="Arial"/>
                <w:sz w:val="18"/>
                <w:szCs w:val="18"/>
                <w:color w:val="0000FF"/>
              </w:rPr>
            </w:pPr>
            <w:hyperlink r:id="rId120">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4"/>
              </w:rPr>
              <w:t>Indemnification Agreement (Mack) (incorporated by reference to Exhibit 10.10 to the Registrant’s Current Report on Form 8-K, filed</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with the SEC on February 5, 2019).</w:t>
            </w:r>
          </w:p>
        </w:tc>
      </w:tr>
      <w:tr>
        <w:trPr>
          <w:trHeight w:val="243"/>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8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940" w:type="dxa"/>
            <w:vAlign w:val="bottom"/>
            <w:gridSpan w:val="3"/>
          </w:tcPr>
          <w:p>
            <w:pPr>
              <w:spacing w:after="0" w:line="189" w:lineRule="exact"/>
              <w:rPr>
                <w:rFonts w:ascii="Arial" w:cs="Arial" w:eastAsia="Arial" w:hAnsi="Arial"/>
                <w:sz w:val="18"/>
                <w:szCs w:val="18"/>
                <w:color w:val="0000FF"/>
              </w:rPr>
            </w:pPr>
            <w:hyperlink r:id="rId121">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1"/>
              </w:rPr>
              <w:t>Indemnification Agreement (Nardone) (incorporated by reference to Exhibit 10.11 to the Registrant’s Current Report on Form 8-K, filed</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with the SEC on February 5, 2019).</w:t>
            </w:r>
          </w:p>
        </w:tc>
      </w:tr>
      <w:tr>
        <w:trPr>
          <w:trHeight w:val="256"/>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940" w:type="dxa"/>
            <w:vAlign w:val="bottom"/>
            <w:gridSpan w:val="3"/>
          </w:tcPr>
          <w:p>
            <w:pPr>
              <w:spacing w:after="0" w:line="189" w:lineRule="exact"/>
              <w:rPr>
                <w:rFonts w:ascii="Arial" w:cs="Arial" w:eastAsia="Arial" w:hAnsi="Arial"/>
                <w:sz w:val="18"/>
                <w:szCs w:val="18"/>
                <w:color w:val="0000FF"/>
              </w:rPr>
            </w:pPr>
            <w:hyperlink r:id="rId122">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2"/>
              </w:rPr>
              <w:t>Indemnification Agreement (Wanner) (incorporated by reference to Exhibit 10.12 to the Registrant’s Current Report on Form 8-K, filed</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tcPr>
          <w:p>
            <w:pPr>
              <w:ind w:left="440"/>
              <w:spacing w:after="0" w:line="196" w:lineRule="exact"/>
              <w:rPr>
                <w:sz w:val="20"/>
                <w:szCs w:val="20"/>
                <w:color w:val="auto"/>
              </w:rPr>
            </w:pPr>
            <w:r>
              <w:rPr>
                <w:rFonts w:ascii="Arial" w:cs="Arial" w:eastAsia="Arial" w:hAnsi="Arial"/>
                <w:sz w:val="18"/>
                <w:szCs w:val="18"/>
                <w:color w:val="auto"/>
              </w:rPr>
              <w:t>with the SEC on February 5, 2019).</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940" w:type="dxa"/>
            <w:vAlign w:val="bottom"/>
            <w:gridSpan w:val="3"/>
          </w:tcPr>
          <w:p>
            <w:pPr>
              <w:spacing w:after="0" w:line="189" w:lineRule="exact"/>
              <w:rPr>
                <w:rFonts w:ascii="Arial" w:cs="Arial" w:eastAsia="Arial" w:hAnsi="Arial"/>
                <w:sz w:val="18"/>
                <w:szCs w:val="18"/>
                <w:color w:val="0000FF"/>
              </w:rPr>
            </w:pPr>
            <w:hyperlink r:id="rId123">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2"/>
              </w:rPr>
              <w:t>Indemnification Agreement (Jay ) (incorporated by reference to Exhibit 10.15 to the Registrant's Quarterly Report on Form 10-Q, filed</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with the SEC on May 4, 2023).</w:t>
            </w:r>
          </w:p>
        </w:tc>
      </w:tr>
      <w:tr>
        <w:trPr>
          <w:trHeight w:val="243"/>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8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940" w:type="dxa"/>
            <w:vAlign w:val="bottom"/>
            <w:gridSpan w:val="3"/>
          </w:tcPr>
          <w:p>
            <w:pPr>
              <w:spacing w:after="0" w:line="189" w:lineRule="exact"/>
              <w:rPr>
                <w:rFonts w:ascii="Arial" w:cs="Arial" w:eastAsia="Arial" w:hAnsi="Arial"/>
                <w:sz w:val="18"/>
                <w:szCs w:val="18"/>
                <w:color w:val="0000FF"/>
              </w:rPr>
            </w:pPr>
            <w:hyperlink r:id="rId124">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2"/>
              </w:rPr>
              <w:t>Indemnification Agreement, dated as of March 17, 2019, by and between New Fortress Energy LLC and Yunyoung Shin (incorporated</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by reference to Exhibit 10.29 to the Registrant’s Annual Report on Form 10-K, filed with the SEC on March 26, 2019).</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2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16</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6"/>
              </w:rPr>
              <w:t>Letter Agreement, dated as of December 3, 2019, by and between NFE Management LLC and Yunyoung Shin. (incorporated by</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tcPr>
          <w:p>
            <w:pPr>
              <w:ind w:left="440"/>
              <w:spacing w:after="0" w:line="196" w:lineRule="exact"/>
              <w:rPr>
                <w:sz w:val="20"/>
                <w:szCs w:val="20"/>
                <w:color w:val="auto"/>
              </w:rPr>
            </w:pPr>
            <w:r>
              <w:rPr>
                <w:rFonts w:ascii="Arial" w:cs="Arial" w:eastAsia="Arial" w:hAnsi="Arial"/>
                <w:sz w:val="18"/>
                <w:szCs w:val="18"/>
                <w:color w:val="auto"/>
              </w:rPr>
              <w:t>reference to Exhibit 10.3 to the Registrant’s Quarterly Report on Form 10-Q, filed with the SEC on May 6, 2020).</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80" w:type="dxa"/>
            <w:vAlign w:val="bottom"/>
            <w:shd w:val="clear" w:color="auto" w:fill="CCEEFF"/>
          </w:tcPr>
          <w:p>
            <w:pPr>
              <w:spacing w:after="0"/>
              <w:rPr>
                <w:sz w:val="23"/>
                <w:szCs w:val="23"/>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2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17</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4"/>
              </w:rPr>
              <w:t>Letter Agreement, dated as of March 14, 2017, by and between NFE Management LLC and Christopher S. Guinta (incorporated by</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reference to Exhibit 10.17 to the Registrant’s Annual Report on Form 10-K, filed with the SEC on March 1, 2023).</w:t>
            </w:r>
          </w:p>
        </w:tc>
      </w:tr>
      <w:tr>
        <w:trPr>
          <w:trHeight w:val="243"/>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80" w:type="dxa"/>
            <w:vAlign w:val="bottom"/>
            <w:shd w:val="clear" w:color="auto" w:fill="CCEEFF"/>
          </w:tcPr>
          <w:p>
            <w:pPr>
              <w:spacing w:after="0"/>
              <w:rPr>
                <w:sz w:val="21"/>
                <w:szCs w:val="21"/>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2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18</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2"/>
              </w:rPr>
              <w:t>Indenture, dated September 2, 2020, by and among the Company, the subsidiary guarantors from time to time party thereto, and U.S.</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80" w:type="dxa"/>
            <w:vAlign w:val="bottom"/>
          </w:tcPr>
          <w:p>
            <w:pPr>
              <w:ind w:left="440"/>
              <w:spacing w:after="0" w:line="156" w:lineRule="exact"/>
              <w:rPr>
                <w:sz w:val="20"/>
                <w:szCs w:val="20"/>
                <w:color w:val="auto"/>
              </w:rPr>
            </w:pPr>
            <w:r>
              <w:rPr>
                <w:rFonts w:ascii="Arial" w:cs="Arial" w:eastAsia="Arial" w:hAnsi="Arial"/>
                <w:sz w:val="18"/>
                <w:szCs w:val="18"/>
                <w:color w:val="auto"/>
                <w:w w:val="91"/>
              </w:rPr>
              <w:t>Bank National Association, as trustee and as notes collateral agent (incorporated by reference to Exhibit 4.1 to the Registrant’s Current</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Report on Form 8-K, filed with the SEC on September 2, 2020).</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2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3"/>
              </w:rPr>
              <w:t>Pledge and Security Agreement, dated September 2, 2020, by and among the Company, the subsidiary guarantors from time to time</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80" w:type="dxa"/>
            <w:vAlign w:val="bottom"/>
          </w:tcPr>
          <w:p>
            <w:pPr>
              <w:ind w:left="440"/>
              <w:spacing w:after="0" w:line="154" w:lineRule="exact"/>
              <w:rPr>
                <w:sz w:val="20"/>
                <w:szCs w:val="20"/>
                <w:color w:val="auto"/>
              </w:rPr>
            </w:pPr>
            <w:r>
              <w:rPr>
                <w:rFonts w:ascii="Arial" w:cs="Arial" w:eastAsia="Arial" w:hAnsi="Arial"/>
                <w:sz w:val="17"/>
                <w:szCs w:val="17"/>
                <w:color w:val="auto"/>
                <w:w w:val="96"/>
              </w:rPr>
              <w:t>party thereto, and U.S. Bank National Association, as notes collateral agent (incorporated by reference to Exhibit 4.2 to the Registrant’s</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Current Report on Form 8-K, filed with the SEC on September 2, 2020).</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2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20</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0"/>
              </w:rPr>
              <w:t>First Supplemental Indenture, dated December 17, 2020, by and among the Company, the subsidiary guarantors from time to time party</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80" w:type="dxa"/>
            <w:vAlign w:val="bottom"/>
          </w:tcPr>
          <w:p>
            <w:pPr>
              <w:ind w:left="440"/>
              <w:spacing w:after="0" w:line="142" w:lineRule="exact"/>
              <w:rPr>
                <w:sz w:val="20"/>
                <w:szCs w:val="20"/>
                <w:color w:val="auto"/>
              </w:rPr>
            </w:pPr>
            <w:r>
              <w:rPr>
                <w:rFonts w:ascii="Arial" w:cs="Arial" w:eastAsia="Arial" w:hAnsi="Arial"/>
                <w:sz w:val="16"/>
                <w:szCs w:val="16"/>
                <w:color w:val="auto"/>
              </w:rPr>
              <w:t>thereto and U.S. Bank National Association, as trustee and as notes collateral agent (incorporated by reference to Exhibit 4.1 to the</w:t>
            </w: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Registrant’s Current Report on Form 8-K, filed with the SEC on December 18, 2020).</w:t>
            </w:r>
          </w:p>
        </w:tc>
      </w:tr>
      <w:tr>
        <w:trPr>
          <w:trHeight w:val="249"/>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80" w:type="dxa"/>
            <w:vAlign w:val="bottom"/>
            <w:shd w:val="clear" w:color="auto" w:fill="CCEEFF"/>
          </w:tcPr>
          <w:p>
            <w:pPr>
              <w:spacing w:after="0"/>
              <w:rPr>
                <w:sz w:val="21"/>
                <w:szCs w:val="21"/>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3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21</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3"/>
              </w:rPr>
              <w:t>Second Supplemental Indenture, dated as of March 1, 2021, between NFE US Holdings LLC, as Guaranteeing Subsidiary, and U.S.</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80" w:type="dxa"/>
            <w:vAlign w:val="bottom"/>
          </w:tcPr>
          <w:p>
            <w:pPr>
              <w:ind w:left="440"/>
              <w:spacing w:after="0" w:line="156" w:lineRule="exact"/>
              <w:rPr>
                <w:sz w:val="20"/>
                <w:szCs w:val="20"/>
                <w:color w:val="auto"/>
              </w:rPr>
            </w:pPr>
            <w:r>
              <w:rPr>
                <w:rFonts w:ascii="Arial" w:cs="Arial" w:eastAsia="Arial" w:hAnsi="Arial"/>
                <w:sz w:val="18"/>
                <w:szCs w:val="18"/>
                <w:color w:val="auto"/>
                <w:w w:val="93"/>
              </w:rPr>
              <w:t>Bank Trust Company, National Association (as successor in interest to U.S. Bank National Association), as trustee (incorporated by</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reference to Exhibit 10.21 to the Registrant’s Annual Report on Form 10-K, filed with the SEC on March 1, 2023).</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3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22</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4"/>
              </w:rPr>
              <w:t>Third Supplemental Indenture, dated as of June 11, 2021, between Golar GP LLC (now known as NFE GP LLC), as Guaranteeing</w:t>
            </w:r>
          </w:p>
        </w:tc>
      </w:tr>
      <w:tr>
        <w:trPr>
          <w:trHeight w:val="171"/>
        </w:trPr>
        <w:tc>
          <w:tcPr>
            <w:tcW w:w="20" w:type="dxa"/>
            <w:vAlign w:val="bottom"/>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80" w:type="dxa"/>
            <w:vAlign w:val="bottom"/>
          </w:tcPr>
          <w:p>
            <w:pPr>
              <w:ind w:left="440"/>
              <w:spacing w:after="0" w:line="170" w:lineRule="exact"/>
              <w:rPr>
                <w:sz w:val="20"/>
                <w:szCs w:val="20"/>
                <w:color w:val="auto"/>
              </w:rPr>
            </w:pPr>
            <w:r>
              <w:rPr>
                <w:rFonts w:ascii="Arial" w:cs="Arial" w:eastAsia="Arial" w:hAnsi="Arial"/>
                <w:sz w:val="18"/>
                <w:szCs w:val="18"/>
                <w:color w:val="auto"/>
                <w:w w:val="90"/>
              </w:rPr>
              <w:t>Subsidiary, and U.S. Bank Trust Company, National Association (as successor in interest to U.S. Bank National Association), as trustee</w:t>
            </w:r>
          </w:p>
        </w:tc>
      </w:tr>
    </w:tbl>
    <w:p>
      <w:pPr>
        <w:ind w:left="1400"/>
        <w:spacing w:after="0"/>
        <w:rPr>
          <w:sz w:val="20"/>
          <w:szCs w:val="20"/>
          <w:color w:val="auto"/>
        </w:rPr>
      </w:pPr>
      <w:r>
        <w:rPr>
          <w:rFonts w:ascii="Arial" w:cs="Arial" w:eastAsia="Arial" w:hAnsi="Arial"/>
          <w:sz w:val="17"/>
          <w:szCs w:val="17"/>
          <w:color w:val="auto"/>
        </w:rPr>
        <w:t>(incorporated by reference to Exhibit 10.22 to the Registrant’s Annual Report on Form 10-K, filed with the SEC on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gridSpan w:val="2"/>
          </w:tcPr>
          <w:p>
            <w:pPr>
              <w:jc w:val="right"/>
              <w:spacing w:after="0"/>
              <w:rPr>
                <w:rFonts w:ascii="Arial" w:cs="Arial" w:eastAsia="Arial" w:hAnsi="Arial"/>
                <w:sz w:val="18"/>
                <w:szCs w:val="18"/>
                <w:color w:val="0000FF"/>
                <w:w w:val="93"/>
              </w:rPr>
            </w:pPr>
            <w:hyperlink r:id="rId13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23</w:t>
              </w:r>
            </w:hyperlink>
          </w:p>
        </w:tc>
        <w:tc>
          <w:tcPr>
            <w:tcW w:w="10800" w:type="dxa"/>
            <w:vAlign w:val="bottom"/>
          </w:tcPr>
          <w:p>
            <w:pPr>
              <w:ind w:left="960"/>
              <w:spacing w:after="0"/>
              <w:rPr>
                <w:sz w:val="20"/>
                <w:szCs w:val="20"/>
                <w:color w:val="auto"/>
              </w:rPr>
            </w:pPr>
            <w:r>
              <w:rPr>
                <w:rFonts w:ascii="Arial" w:cs="Arial" w:eastAsia="Arial" w:hAnsi="Arial"/>
                <w:sz w:val="18"/>
                <w:szCs w:val="18"/>
                <w:color w:val="auto"/>
                <w:w w:val="95"/>
              </w:rPr>
              <w:t>Fourth Supplemental Indenture, dated as of September 13, 2021, between NFE Mexico Power Holdings Limited and NFE Mexico</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800" w:type="dxa"/>
            <w:vAlign w:val="bottom"/>
          </w:tcPr>
          <w:p>
            <w:pPr>
              <w:ind w:left="960"/>
              <w:spacing w:after="0" w:line="156" w:lineRule="exact"/>
              <w:rPr>
                <w:sz w:val="20"/>
                <w:szCs w:val="20"/>
                <w:color w:val="auto"/>
              </w:rPr>
            </w:pPr>
            <w:r>
              <w:rPr>
                <w:rFonts w:ascii="Arial" w:cs="Arial" w:eastAsia="Arial" w:hAnsi="Arial"/>
                <w:sz w:val="18"/>
                <w:szCs w:val="18"/>
                <w:color w:val="auto"/>
                <w:w w:val="90"/>
              </w:rPr>
              <w:t>Terminal Holdings Limited, as Guaranteeing Subsidiaries, and U.S. Bank Trust Company, National Association (as successor in interest</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0" w:type="dxa"/>
            <w:vAlign w:val="bottom"/>
          </w:tcPr>
          <w:p>
            <w:pPr>
              <w:ind w:left="960"/>
              <w:spacing w:after="0" w:line="176" w:lineRule="exact"/>
              <w:rPr>
                <w:sz w:val="20"/>
                <w:szCs w:val="20"/>
                <w:color w:val="auto"/>
              </w:rPr>
            </w:pPr>
            <w:r>
              <w:rPr>
                <w:rFonts w:ascii="Arial" w:cs="Arial" w:eastAsia="Arial" w:hAnsi="Arial"/>
                <w:sz w:val="18"/>
                <w:szCs w:val="18"/>
                <w:color w:val="auto"/>
                <w:w w:val="93"/>
              </w:rPr>
              <w:t>to U.S. Bank National Association), as trustee (incorporated by reference to Exhibit 10.23 to the Registrant’s Annual Report on Form</w:t>
            </w: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0" w:type="dxa"/>
            <w:vAlign w:val="bottom"/>
          </w:tcPr>
          <w:p>
            <w:pPr>
              <w:ind w:left="960"/>
              <w:spacing w:after="0"/>
              <w:rPr>
                <w:sz w:val="20"/>
                <w:szCs w:val="20"/>
                <w:color w:val="auto"/>
              </w:rPr>
            </w:pPr>
            <w:r>
              <w:rPr>
                <w:rFonts w:ascii="Arial" w:cs="Arial" w:eastAsia="Arial" w:hAnsi="Arial"/>
                <w:sz w:val="18"/>
                <w:szCs w:val="18"/>
                <w:color w:val="auto"/>
              </w:rPr>
              <w:t>10-K, filed with the SEC on March 1, 2023).</w:t>
            </w:r>
          </w:p>
        </w:tc>
      </w:tr>
      <w:tr>
        <w:trPr>
          <w:trHeight w:val="222"/>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0" w:type="dxa"/>
            <w:vAlign w:val="bottom"/>
            <w:shd w:val="clear" w:color="auto" w:fill="CCEEFF"/>
          </w:tcPr>
          <w:p>
            <w:pPr>
              <w:spacing w:after="0"/>
              <w:rPr>
                <w:sz w:val="19"/>
                <w:szCs w:val="19"/>
                <w:color w:val="auto"/>
              </w:rPr>
            </w:pPr>
          </w:p>
        </w:tc>
      </w:tr>
      <w:tr>
        <w:trPr>
          <w:trHeight w:val="189"/>
        </w:trPr>
        <w:tc>
          <w:tcPr>
            <w:tcW w:w="440" w:type="dxa"/>
            <w:vAlign w:val="bottom"/>
            <w:gridSpan w:val="2"/>
          </w:tcPr>
          <w:p>
            <w:pPr>
              <w:jc w:val="right"/>
              <w:spacing w:after="0" w:line="189" w:lineRule="exact"/>
              <w:rPr>
                <w:rFonts w:ascii="Arial" w:cs="Arial" w:eastAsia="Arial" w:hAnsi="Arial"/>
                <w:sz w:val="18"/>
                <w:szCs w:val="18"/>
                <w:color w:val="0000FF"/>
                <w:w w:val="93"/>
              </w:rPr>
            </w:pPr>
            <w:hyperlink r:id="rId13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24</w:t>
              </w:r>
            </w:hyperlink>
          </w:p>
        </w:tc>
        <w:tc>
          <w:tcPr>
            <w:tcW w:w="10800" w:type="dxa"/>
            <w:vAlign w:val="bottom"/>
          </w:tcPr>
          <w:p>
            <w:pPr>
              <w:ind w:left="960"/>
              <w:spacing w:after="0" w:line="189" w:lineRule="exact"/>
              <w:rPr>
                <w:sz w:val="20"/>
                <w:szCs w:val="20"/>
                <w:color w:val="auto"/>
              </w:rPr>
            </w:pPr>
            <w:r>
              <w:rPr>
                <w:rFonts w:ascii="Arial" w:cs="Arial" w:eastAsia="Arial" w:hAnsi="Arial"/>
                <w:sz w:val="18"/>
                <w:szCs w:val="18"/>
                <w:color w:val="auto"/>
                <w:w w:val="93"/>
              </w:rPr>
              <w:t>Fifth Supplemental Indenture, dated as of November 24, 2021, between NFE International Shipping LLC, NFE Global Shipping LLC,</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800" w:type="dxa"/>
            <w:vAlign w:val="bottom"/>
          </w:tcPr>
          <w:p>
            <w:pPr>
              <w:ind w:left="960"/>
              <w:spacing w:after="0" w:line="142" w:lineRule="exact"/>
              <w:rPr>
                <w:sz w:val="20"/>
                <w:szCs w:val="20"/>
                <w:color w:val="auto"/>
              </w:rPr>
            </w:pPr>
            <w:r>
              <w:rPr>
                <w:rFonts w:ascii="Arial" w:cs="Arial" w:eastAsia="Arial" w:hAnsi="Arial"/>
                <w:sz w:val="16"/>
                <w:szCs w:val="16"/>
                <w:color w:val="auto"/>
              </w:rPr>
              <w:t>NFE Grand Shipping LLC and NFE International Holdings Limited, as Guaranteeing Subsidiaries, and U.S. Bank Trust Company,</w:t>
            </w: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0" w:type="dxa"/>
            <w:vAlign w:val="bottom"/>
          </w:tcPr>
          <w:p>
            <w:pPr>
              <w:ind w:left="960"/>
              <w:spacing w:after="0" w:line="189" w:lineRule="exact"/>
              <w:rPr>
                <w:sz w:val="20"/>
                <w:szCs w:val="20"/>
                <w:color w:val="auto"/>
              </w:rPr>
            </w:pPr>
            <w:r>
              <w:rPr>
                <w:rFonts w:ascii="Arial" w:cs="Arial" w:eastAsia="Arial" w:hAnsi="Arial"/>
                <w:sz w:val="18"/>
                <w:szCs w:val="18"/>
                <w:color w:val="auto"/>
                <w:w w:val="91"/>
              </w:rPr>
              <w:t>National Association (as successor in interest to U.S. Bank National Association), as trustee (incorporated by reference to Exhibit 10.24</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0" w:type="dxa"/>
            <w:vAlign w:val="bottom"/>
          </w:tcPr>
          <w:p>
            <w:pPr>
              <w:ind w:left="960"/>
              <w:spacing w:after="0"/>
              <w:rPr>
                <w:sz w:val="20"/>
                <w:szCs w:val="20"/>
                <w:color w:val="auto"/>
              </w:rPr>
            </w:pPr>
            <w:r>
              <w:rPr>
                <w:rFonts w:ascii="Arial" w:cs="Arial" w:eastAsia="Arial" w:hAnsi="Arial"/>
                <w:sz w:val="18"/>
                <w:szCs w:val="18"/>
                <w:color w:val="auto"/>
              </w:rPr>
              <w:t>to the Registrant’s Annual Report on Form 10-K, filed with the SEC on March 1, 2023).</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0" w:type="dxa"/>
            <w:vAlign w:val="bottom"/>
            <w:shd w:val="clear" w:color="auto" w:fill="CCEEFF"/>
          </w:tcPr>
          <w:p>
            <w:pPr>
              <w:spacing w:after="0"/>
              <w:rPr>
                <w:sz w:val="22"/>
                <w:szCs w:val="22"/>
                <w:color w:val="auto"/>
              </w:rPr>
            </w:pPr>
          </w:p>
        </w:tc>
      </w:tr>
      <w:tr>
        <w:trPr>
          <w:trHeight w:val="189"/>
        </w:trPr>
        <w:tc>
          <w:tcPr>
            <w:tcW w:w="440" w:type="dxa"/>
            <w:vAlign w:val="bottom"/>
            <w:gridSpan w:val="2"/>
          </w:tcPr>
          <w:p>
            <w:pPr>
              <w:jc w:val="right"/>
              <w:spacing w:after="0" w:line="189" w:lineRule="exact"/>
              <w:rPr>
                <w:rFonts w:ascii="Arial" w:cs="Arial" w:eastAsia="Arial" w:hAnsi="Arial"/>
                <w:sz w:val="18"/>
                <w:szCs w:val="18"/>
                <w:color w:val="0000FF"/>
                <w:w w:val="93"/>
              </w:rPr>
            </w:pPr>
            <w:hyperlink r:id="rId13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25</w:t>
              </w:r>
            </w:hyperlink>
          </w:p>
        </w:tc>
        <w:tc>
          <w:tcPr>
            <w:tcW w:w="10800" w:type="dxa"/>
            <w:vAlign w:val="bottom"/>
          </w:tcPr>
          <w:p>
            <w:pPr>
              <w:ind w:left="960"/>
              <w:spacing w:after="0" w:line="189" w:lineRule="exact"/>
              <w:rPr>
                <w:sz w:val="20"/>
                <w:szCs w:val="20"/>
                <w:color w:val="auto"/>
              </w:rPr>
            </w:pPr>
            <w:r>
              <w:rPr>
                <w:rFonts w:ascii="Arial" w:cs="Arial" w:eastAsia="Arial" w:hAnsi="Arial"/>
                <w:sz w:val="18"/>
                <w:szCs w:val="18"/>
                <w:color w:val="auto"/>
                <w:w w:val="95"/>
              </w:rPr>
              <w:t>Sixth Supplemental Indenture, dated as of March 23, 2022, between NFE UK Holdings Limited, NFE Global Holdings Limited and</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800" w:type="dxa"/>
            <w:vAlign w:val="bottom"/>
          </w:tcPr>
          <w:p>
            <w:pPr>
              <w:ind w:left="960"/>
              <w:spacing w:after="0" w:line="142" w:lineRule="exact"/>
              <w:rPr>
                <w:sz w:val="20"/>
                <w:szCs w:val="20"/>
                <w:color w:val="auto"/>
              </w:rPr>
            </w:pPr>
            <w:r>
              <w:rPr>
                <w:rFonts w:ascii="Arial" w:cs="Arial" w:eastAsia="Arial" w:hAnsi="Arial"/>
                <w:sz w:val="16"/>
                <w:szCs w:val="16"/>
                <w:color w:val="auto"/>
              </w:rPr>
              <w:t>NFE Bermuda Holdings Limited, as Guaranteeing Subsidiaries, and U.S. Bank Trust Company, National Association (as successor in</w:t>
            </w: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0" w:type="dxa"/>
            <w:vAlign w:val="bottom"/>
          </w:tcPr>
          <w:p>
            <w:pPr>
              <w:ind w:left="960"/>
              <w:spacing w:after="0" w:line="189" w:lineRule="exact"/>
              <w:rPr>
                <w:sz w:val="20"/>
                <w:szCs w:val="20"/>
                <w:color w:val="auto"/>
              </w:rPr>
            </w:pPr>
            <w:r>
              <w:rPr>
                <w:rFonts w:ascii="Arial" w:cs="Arial" w:eastAsia="Arial" w:hAnsi="Arial"/>
                <w:sz w:val="18"/>
                <w:szCs w:val="18"/>
                <w:color w:val="auto"/>
                <w:w w:val="91"/>
              </w:rPr>
              <w:t>interest to U.S. Bank National Association), as trustee (incorporated by reference to Exhibit 10.25 to the Registrant’s Annual Report on</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0" w:type="dxa"/>
            <w:vAlign w:val="bottom"/>
          </w:tcPr>
          <w:p>
            <w:pPr>
              <w:ind w:left="960"/>
              <w:spacing w:after="0"/>
              <w:rPr>
                <w:sz w:val="20"/>
                <w:szCs w:val="20"/>
                <w:color w:val="auto"/>
              </w:rPr>
            </w:pPr>
            <w:r>
              <w:rPr>
                <w:rFonts w:ascii="Arial" w:cs="Arial" w:eastAsia="Arial" w:hAnsi="Arial"/>
                <w:sz w:val="18"/>
                <w:szCs w:val="18"/>
                <w:color w:val="auto"/>
              </w:rPr>
              <w:t>Form 10-K, filed with the SEC on March 1, 2023).</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0" w:type="dxa"/>
            <w:vAlign w:val="bottom"/>
            <w:shd w:val="clear" w:color="auto" w:fill="CCEEFF"/>
          </w:tcPr>
          <w:p>
            <w:pPr>
              <w:spacing w:after="0"/>
              <w:rPr>
                <w:sz w:val="22"/>
                <w:szCs w:val="22"/>
                <w:color w:val="auto"/>
              </w:rPr>
            </w:pPr>
          </w:p>
        </w:tc>
      </w:tr>
      <w:tr>
        <w:trPr>
          <w:trHeight w:val="189"/>
        </w:trPr>
        <w:tc>
          <w:tcPr>
            <w:tcW w:w="440" w:type="dxa"/>
            <w:vAlign w:val="bottom"/>
            <w:gridSpan w:val="2"/>
          </w:tcPr>
          <w:p>
            <w:pPr>
              <w:jc w:val="right"/>
              <w:spacing w:after="0" w:line="189" w:lineRule="exact"/>
              <w:rPr>
                <w:rFonts w:ascii="Arial" w:cs="Arial" w:eastAsia="Arial" w:hAnsi="Arial"/>
                <w:sz w:val="18"/>
                <w:szCs w:val="18"/>
                <w:color w:val="0000FF"/>
                <w:w w:val="93"/>
              </w:rPr>
            </w:pPr>
            <w:hyperlink r:id="rId13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26</w:t>
              </w:r>
            </w:hyperlink>
          </w:p>
        </w:tc>
        <w:tc>
          <w:tcPr>
            <w:tcW w:w="10800" w:type="dxa"/>
            <w:vAlign w:val="bottom"/>
          </w:tcPr>
          <w:p>
            <w:pPr>
              <w:ind w:left="960"/>
              <w:spacing w:after="0" w:line="189" w:lineRule="exact"/>
              <w:rPr>
                <w:sz w:val="20"/>
                <w:szCs w:val="20"/>
                <w:color w:val="auto"/>
              </w:rPr>
            </w:pPr>
            <w:r>
              <w:rPr>
                <w:rFonts w:ascii="Arial" w:cs="Arial" w:eastAsia="Arial" w:hAnsi="Arial"/>
                <w:sz w:val="18"/>
                <w:szCs w:val="18"/>
                <w:color w:val="auto"/>
                <w:w w:val="97"/>
              </w:rPr>
              <w:t>Seventh Supplemental Indenture, dated as of December 22, 2022, between NFE Andromeda Chartering LLC, as Guaranteeing</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800" w:type="dxa"/>
            <w:vAlign w:val="bottom"/>
          </w:tcPr>
          <w:p>
            <w:pPr>
              <w:ind w:left="960"/>
              <w:spacing w:after="0" w:line="142" w:lineRule="exact"/>
              <w:rPr>
                <w:sz w:val="20"/>
                <w:szCs w:val="20"/>
                <w:color w:val="auto"/>
              </w:rPr>
            </w:pPr>
            <w:r>
              <w:rPr>
                <w:rFonts w:ascii="Arial" w:cs="Arial" w:eastAsia="Arial" w:hAnsi="Arial"/>
                <w:sz w:val="16"/>
                <w:szCs w:val="16"/>
                <w:color w:val="auto"/>
              </w:rPr>
              <w:t>Subsidiary, and U.S. Bank Trust Company, National Association (as successor in interest to U.S. Bank National Association), as trustee</w:t>
            </w: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0" w:type="dxa"/>
            <w:vAlign w:val="bottom"/>
          </w:tcPr>
          <w:p>
            <w:pPr>
              <w:ind w:left="960"/>
              <w:spacing w:after="0" w:line="189" w:lineRule="exact"/>
              <w:rPr>
                <w:sz w:val="20"/>
                <w:szCs w:val="20"/>
                <w:color w:val="auto"/>
              </w:rPr>
            </w:pPr>
            <w:r>
              <w:rPr>
                <w:rFonts w:ascii="Arial" w:cs="Arial" w:eastAsia="Arial" w:hAnsi="Arial"/>
                <w:sz w:val="18"/>
                <w:szCs w:val="18"/>
                <w:color w:val="auto"/>
                <w:w w:val="92"/>
              </w:rPr>
              <w:t>(as successor in interest to U.S. Bank National Association), as trustee (incorporated by reference to Exhibit 10.26 to the Registrant’s</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0" w:type="dxa"/>
            <w:vAlign w:val="bottom"/>
          </w:tcPr>
          <w:p>
            <w:pPr>
              <w:ind w:left="960"/>
              <w:spacing w:after="0"/>
              <w:rPr>
                <w:sz w:val="20"/>
                <w:szCs w:val="20"/>
                <w:color w:val="auto"/>
              </w:rPr>
            </w:pPr>
            <w:r>
              <w:rPr>
                <w:rFonts w:ascii="Arial" w:cs="Arial" w:eastAsia="Arial" w:hAnsi="Arial"/>
                <w:sz w:val="18"/>
                <w:szCs w:val="18"/>
                <w:color w:val="auto"/>
              </w:rPr>
              <w:t>Annual Report on Form 10-K, filed with the SEC on March 1, 2023).</w:t>
            </w:r>
          </w:p>
        </w:tc>
      </w:tr>
      <w:tr>
        <w:trPr>
          <w:trHeight w:val="216"/>
        </w:trPr>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0" w:type="dxa"/>
            <w:vAlign w:val="bottom"/>
            <w:shd w:val="clear" w:color="auto" w:fill="CCEEFF"/>
          </w:tcPr>
          <w:p>
            <w:pPr>
              <w:spacing w:after="0"/>
              <w:rPr>
                <w:sz w:val="18"/>
                <w:szCs w:val="18"/>
                <w:color w:val="auto"/>
              </w:rPr>
            </w:pPr>
          </w:p>
        </w:tc>
      </w:tr>
      <w:tr>
        <w:trPr>
          <w:trHeight w:val="189"/>
        </w:trPr>
        <w:tc>
          <w:tcPr>
            <w:tcW w:w="440" w:type="dxa"/>
            <w:vAlign w:val="bottom"/>
            <w:gridSpan w:val="2"/>
          </w:tcPr>
          <w:p>
            <w:pPr>
              <w:jc w:val="right"/>
              <w:spacing w:after="0" w:line="189" w:lineRule="exact"/>
              <w:rPr>
                <w:rFonts w:ascii="Arial" w:cs="Arial" w:eastAsia="Arial" w:hAnsi="Arial"/>
                <w:sz w:val="18"/>
                <w:szCs w:val="18"/>
                <w:color w:val="0000FF"/>
                <w:w w:val="93"/>
              </w:rPr>
            </w:pPr>
            <w:hyperlink r:id="rId13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27</w:t>
              </w:r>
            </w:hyperlink>
          </w:p>
        </w:tc>
        <w:tc>
          <w:tcPr>
            <w:tcW w:w="10800" w:type="dxa"/>
            <w:vAlign w:val="bottom"/>
          </w:tcPr>
          <w:p>
            <w:pPr>
              <w:ind w:left="960"/>
              <w:spacing w:after="0" w:line="189" w:lineRule="exact"/>
              <w:rPr>
                <w:sz w:val="20"/>
                <w:szCs w:val="20"/>
                <w:color w:val="auto"/>
              </w:rPr>
            </w:pPr>
            <w:r>
              <w:rPr>
                <w:rFonts w:ascii="Arial" w:cs="Arial" w:eastAsia="Arial" w:hAnsi="Arial"/>
                <w:sz w:val="18"/>
                <w:szCs w:val="18"/>
                <w:color w:val="auto"/>
                <w:w w:val="92"/>
              </w:rPr>
              <w:t>Indenture, dated April 12, 2021, by and among the Company, the subsidiary guarantors from time to time party thereto, and U.S. Bank</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800" w:type="dxa"/>
            <w:vAlign w:val="bottom"/>
          </w:tcPr>
          <w:p>
            <w:pPr>
              <w:ind w:left="960"/>
              <w:spacing w:after="0" w:line="154" w:lineRule="exact"/>
              <w:rPr>
                <w:sz w:val="20"/>
                <w:szCs w:val="20"/>
                <w:color w:val="auto"/>
              </w:rPr>
            </w:pPr>
            <w:r>
              <w:rPr>
                <w:rFonts w:ascii="Arial" w:cs="Arial" w:eastAsia="Arial" w:hAnsi="Arial"/>
                <w:sz w:val="17"/>
                <w:szCs w:val="17"/>
                <w:color w:val="auto"/>
                <w:w w:val="95"/>
              </w:rPr>
              <w:t>National Association, as trustee and as notes collateral agent (incorporated by reference to Exhibit 4.1 to the Registrant’s Current Report</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0" w:type="dxa"/>
            <w:vAlign w:val="bottom"/>
          </w:tcPr>
          <w:p>
            <w:pPr>
              <w:ind w:left="960"/>
              <w:spacing w:after="0"/>
              <w:rPr>
                <w:sz w:val="20"/>
                <w:szCs w:val="20"/>
                <w:color w:val="auto"/>
              </w:rPr>
            </w:pPr>
            <w:r>
              <w:rPr>
                <w:rFonts w:ascii="Arial" w:cs="Arial" w:eastAsia="Arial" w:hAnsi="Arial"/>
                <w:sz w:val="18"/>
                <w:szCs w:val="18"/>
                <w:color w:val="auto"/>
              </w:rPr>
              <w:t>on Form 8-K, filed with the SEC on April 12, 2021).</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0" w:type="dxa"/>
            <w:vAlign w:val="bottom"/>
            <w:shd w:val="clear" w:color="auto" w:fill="CCEEFF"/>
          </w:tcPr>
          <w:p>
            <w:pPr>
              <w:spacing w:after="0"/>
              <w:rPr>
                <w:sz w:val="22"/>
                <w:szCs w:val="22"/>
                <w:color w:val="auto"/>
              </w:rPr>
            </w:pPr>
          </w:p>
        </w:tc>
      </w:tr>
      <w:tr>
        <w:trPr>
          <w:trHeight w:val="189"/>
        </w:trPr>
        <w:tc>
          <w:tcPr>
            <w:tcW w:w="440" w:type="dxa"/>
            <w:vAlign w:val="bottom"/>
            <w:gridSpan w:val="2"/>
          </w:tcPr>
          <w:p>
            <w:pPr>
              <w:jc w:val="right"/>
              <w:spacing w:after="0" w:line="189" w:lineRule="exact"/>
              <w:rPr>
                <w:rFonts w:ascii="Arial" w:cs="Arial" w:eastAsia="Arial" w:hAnsi="Arial"/>
                <w:sz w:val="18"/>
                <w:szCs w:val="18"/>
                <w:color w:val="0000FF"/>
                <w:w w:val="93"/>
              </w:rPr>
            </w:pPr>
            <w:hyperlink r:id="rId13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28</w:t>
              </w:r>
            </w:hyperlink>
          </w:p>
        </w:tc>
        <w:tc>
          <w:tcPr>
            <w:tcW w:w="10800" w:type="dxa"/>
            <w:vAlign w:val="bottom"/>
          </w:tcPr>
          <w:p>
            <w:pPr>
              <w:ind w:left="960"/>
              <w:spacing w:after="0" w:line="189" w:lineRule="exact"/>
              <w:rPr>
                <w:sz w:val="20"/>
                <w:szCs w:val="20"/>
                <w:color w:val="auto"/>
              </w:rPr>
            </w:pPr>
            <w:r>
              <w:rPr>
                <w:rFonts w:ascii="Arial" w:cs="Arial" w:eastAsia="Arial" w:hAnsi="Arial"/>
                <w:sz w:val="18"/>
                <w:szCs w:val="18"/>
                <w:color w:val="auto"/>
                <w:w w:val="92"/>
              </w:rPr>
              <w:t>Pledge and Security Agreement, dated April 12, 2021, by and among the Company, the subsidiary guarantors, from time to time party</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800" w:type="dxa"/>
            <w:vAlign w:val="bottom"/>
          </w:tcPr>
          <w:p>
            <w:pPr>
              <w:ind w:left="960"/>
              <w:spacing w:after="0" w:line="142" w:lineRule="exact"/>
              <w:rPr>
                <w:sz w:val="20"/>
                <w:szCs w:val="20"/>
                <w:color w:val="auto"/>
              </w:rPr>
            </w:pPr>
            <w:r>
              <w:rPr>
                <w:rFonts w:ascii="Arial" w:cs="Arial" w:eastAsia="Arial" w:hAnsi="Arial"/>
                <w:sz w:val="16"/>
                <w:szCs w:val="16"/>
                <w:color w:val="auto"/>
              </w:rPr>
              <w:t>thereto, and U.S. Bank National Association, as notes collateral agent (incorporated by reference to Exhibit 4.2 to the Registrant’s</w:t>
            </w: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0" w:type="dxa"/>
            <w:vAlign w:val="bottom"/>
          </w:tcPr>
          <w:p>
            <w:pPr>
              <w:ind w:left="960"/>
              <w:spacing w:after="0"/>
              <w:rPr>
                <w:sz w:val="20"/>
                <w:szCs w:val="20"/>
                <w:color w:val="auto"/>
              </w:rPr>
            </w:pPr>
            <w:r>
              <w:rPr>
                <w:rFonts w:ascii="Arial" w:cs="Arial" w:eastAsia="Arial" w:hAnsi="Arial"/>
                <w:sz w:val="18"/>
                <w:szCs w:val="18"/>
                <w:color w:val="auto"/>
              </w:rPr>
              <w:t>Current Report on Form 8-K, filed with the SEC on April 12, 2021).</w:t>
            </w:r>
          </w:p>
        </w:tc>
      </w:tr>
      <w:tr>
        <w:trPr>
          <w:trHeight w:val="249"/>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0" w:type="dxa"/>
            <w:vAlign w:val="bottom"/>
            <w:shd w:val="clear" w:color="auto" w:fill="CCEEFF"/>
          </w:tcPr>
          <w:p>
            <w:pPr>
              <w:spacing w:after="0"/>
              <w:rPr>
                <w:sz w:val="21"/>
                <w:szCs w:val="21"/>
                <w:color w:val="auto"/>
              </w:rPr>
            </w:pPr>
          </w:p>
        </w:tc>
      </w:tr>
      <w:tr>
        <w:trPr>
          <w:trHeight w:val="189"/>
        </w:trPr>
        <w:tc>
          <w:tcPr>
            <w:tcW w:w="440" w:type="dxa"/>
            <w:vAlign w:val="bottom"/>
            <w:gridSpan w:val="2"/>
          </w:tcPr>
          <w:p>
            <w:pPr>
              <w:jc w:val="right"/>
              <w:spacing w:after="0" w:line="189"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29</w:t>
              </w:r>
            </w:hyperlink>
          </w:p>
        </w:tc>
        <w:tc>
          <w:tcPr>
            <w:tcW w:w="10800" w:type="dxa"/>
            <w:vAlign w:val="bottom"/>
          </w:tcPr>
          <w:p>
            <w:pPr>
              <w:ind w:left="960"/>
              <w:spacing w:after="0" w:line="189" w:lineRule="exact"/>
              <w:rPr>
                <w:sz w:val="20"/>
                <w:szCs w:val="20"/>
                <w:color w:val="auto"/>
              </w:rPr>
            </w:pPr>
            <w:r>
              <w:rPr>
                <w:rFonts w:ascii="Arial" w:cs="Arial" w:eastAsia="Arial" w:hAnsi="Arial"/>
                <w:sz w:val="18"/>
                <w:szCs w:val="18"/>
                <w:color w:val="auto"/>
                <w:w w:val="95"/>
              </w:rPr>
              <w:t>First Supplemental Indenture, dated as of June 11, 2021, between Golar GP LLC (now known as NFE GP LLC), as Guaranteeing</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800" w:type="dxa"/>
            <w:vAlign w:val="bottom"/>
          </w:tcPr>
          <w:p>
            <w:pPr>
              <w:ind w:left="960"/>
              <w:spacing w:after="0" w:line="156" w:lineRule="exact"/>
              <w:rPr>
                <w:sz w:val="20"/>
                <w:szCs w:val="20"/>
                <w:color w:val="auto"/>
              </w:rPr>
            </w:pPr>
            <w:r>
              <w:rPr>
                <w:rFonts w:ascii="Arial" w:cs="Arial" w:eastAsia="Arial" w:hAnsi="Arial"/>
                <w:sz w:val="18"/>
                <w:szCs w:val="18"/>
                <w:color w:val="auto"/>
                <w:w w:val="90"/>
              </w:rPr>
              <w:t>Subsidiary, and U.S. Bank Trust Company, National Association (as successor in interest to U.S. Bank National Association), as trustee</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0" w:type="dxa"/>
            <w:vAlign w:val="bottom"/>
          </w:tcPr>
          <w:p>
            <w:pPr>
              <w:ind w:left="960"/>
              <w:spacing w:after="0"/>
              <w:rPr>
                <w:sz w:val="20"/>
                <w:szCs w:val="20"/>
                <w:color w:val="auto"/>
              </w:rPr>
            </w:pPr>
            <w:r>
              <w:rPr>
                <w:rFonts w:ascii="Arial" w:cs="Arial" w:eastAsia="Arial" w:hAnsi="Arial"/>
                <w:sz w:val="18"/>
                <w:szCs w:val="18"/>
                <w:color w:val="auto"/>
                <w:w w:val="95"/>
              </w:rPr>
              <w:t>(incorporated by reference to Exhibit 10.29 to the Registrant’s Annual Report on Form 10-K, filed with the SEC on March 1, 2023).</w:t>
            </w:r>
          </w:p>
        </w:tc>
      </w:tr>
      <w:tr>
        <w:trPr>
          <w:trHeight w:val="256"/>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0" w:type="dxa"/>
            <w:vAlign w:val="bottom"/>
            <w:shd w:val="clear" w:color="auto" w:fill="CCEEFF"/>
          </w:tcPr>
          <w:p>
            <w:pPr>
              <w:spacing w:after="0"/>
              <w:rPr>
                <w:sz w:val="22"/>
                <w:szCs w:val="22"/>
                <w:color w:val="auto"/>
              </w:rPr>
            </w:pPr>
          </w:p>
        </w:tc>
      </w:tr>
      <w:tr>
        <w:trPr>
          <w:trHeight w:val="189"/>
        </w:trPr>
        <w:tc>
          <w:tcPr>
            <w:tcW w:w="440" w:type="dxa"/>
            <w:vAlign w:val="bottom"/>
            <w:gridSpan w:val="2"/>
          </w:tcPr>
          <w:p>
            <w:pPr>
              <w:jc w:val="right"/>
              <w:spacing w:after="0" w:line="189"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30</w:t>
              </w:r>
            </w:hyperlink>
          </w:p>
        </w:tc>
        <w:tc>
          <w:tcPr>
            <w:tcW w:w="10800" w:type="dxa"/>
            <w:vAlign w:val="bottom"/>
          </w:tcPr>
          <w:p>
            <w:pPr>
              <w:ind w:left="960"/>
              <w:spacing w:after="0" w:line="189" w:lineRule="exact"/>
              <w:rPr>
                <w:sz w:val="20"/>
                <w:szCs w:val="20"/>
                <w:color w:val="auto"/>
              </w:rPr>
            </w:pPr>
            <w:r>
              <w:rPr>
                <w:rFonts w:ascii="Arial" w:cs="Arial" w:eastAsia="Arial" w:hAnsi="Arial"/>
                <w:sz w:val="18"/>
                <w:szCs w:val="18"/>
                <w:color w:val="auto"/>
                <w:w w:val="94"/>
              </w:rPr>
              <w:t>Second Supplemental Indenture, dated as of September 13, 2021, between NFE Mexico Power Holdings Limited and NFE Mexico</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800" w:type="dxa"/>
            <w:vAlign w:val="bottom"/>
          </w:tcPr>
          <w:p>
            <w:pPr>
              <w:ind w:left="960"/>
              <w:spacing w:after="0" w:line="142" w:lineRule="exact"/>
              <w:rPr>
                <w:sz w:val="20"/>
                <w:szCs w:val="20"/>
                <w:color w:val="auto"/>
              </w:rPr>
            </w:pPr>
            <w:r>
              <w:rPr>
                <w:rFonts w:ascii="Arial" w:cs="Arial" w:eastAsia="Arial" w:hAnsi="Arial"/>
                <w:sz w:val="16"/>
                <w:szCs w:val="16"/>
                <w:color w:val="auto"/>
              </w:rPr>
              <w:t>Terminal Holdings Limited, as Guaranteeing Subsidiaries, and U.S. Bank Trust Company, National Association (as successor in interest</w:t>
            </w: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0" w:type="dxa"/>
            <w:vAlign w:val="bottom"/>
          </w:tcPr>
          <w:p>
            <w:pPr>
              <w:ind w:left="960"/>
              <w:spacing w:after="0" w:line="189" w:lineRule="exact"/>
              <w:rPr>
                <w:sz w:val="20"/>
                <w:szCs w:val="20"/>
                <w:color w:val="auto"/>
              </w:rPr>
            </w:pPr>
            <w:r>
              <w:rPr>
                <w:rFonts w:ascii="Arial" w:cs="Arial" w:eastAsia="Arial" w:hAnsi="Arial"/>
                <w:sz w:val="18"/>
                <w:szCs w:val="18"/>
                <w:color w:val="auto"/>
                <w:w w:val="93"/>
              </w:rPr>
              <w:t>to U.S. Bank National Association), as trustee (incorporated by reference to Exhibit 10.30 to the Registrant’s Annual Report on Form</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0" w:type="dxa"/>
            <w:vAlign w:val="bottom"/>
          </w:tcPr>
          <w:p>
            <w:pPr>
              <w:ind w:left="960"/>
              <w:spacing w:after="0"/>
              <w:rPr>
                <w:sz w:val="20"/>
                <w:szCs w:val="20"/>
                <w:color w:val="auto"/>
              </w:rPr>
            </w:pPr>
            <w:r>
              <w:rPr>
                <w:rFonts w:ascii="Arial" w:cs="Arial" w:eastAsia="Arial" w:hAnsi="Arial"/>
                <w:sz w:val="18"/>
                <w:szCs w:val="18"/>
                <w:color w:val="auto"/>
              </w:rPr>
              <w:t>10-K, filed with the SEC on March 1, 2023).</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0" w:type="dxa"/>
            <w:vAlign w:val="bottom"/>
            <w:shd w:val="clear" w:color="auto" w:fill="CCEEFF"/>
          </w:tcPr>
          <w:p>
            <w:pPr>
              <w:spacing w:after="0"/>
              <w:rPr>
                <w:sz w:val="23"/>
                <w:szCs w:val="23"/>
                <w:color w:val="auto"/>
              </w:rPr>
            </w:pPr>
          </w:p>
        </w:tc>
      </w:tr>
      <w:tr>
        <w:trPr>
          <w:trHeight w:val="189"/>
        </w:trPr>
        <w:tc>
          <w:tcPr>
            <w:tcW w:w="440" w:type="dxa"/>
            <w:vAlign w:val="bottom"/>
            <w:gridSpan w:val="2"/>
          </w:tcPr>
          <w:p>
            <w:pPr>
              <w:jc w:val="right"/>
              <w:spacing w:after="0" w:line="189" w:lineRule="exact"/>
              <w:rPr>
                <w:rFonts w:ascii="Arial" w:cs="Arial" w:eastAsia="Arial" w:hAnsi="Arial"/>
                <w:sz w:val="18"/>
                <w:szCs w:val="18"/>
                <w:color w:val="0000FF"/>
                <w:w w:val="93"/>
              </w:rPr>
            </w:pPr>
            <w:hyperlink r:id="rId14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31</w:t>
              </w:r>
            </w:hyperlink>
          </w:p>
        </w:tc>
        <w:tc>
          <w:tcPr>
            <w:tcW w:w="10800" w:type="dxa"/>
            <w:vAlign w:val="bottom"/>
          </w:tcPr>
          <w:p>
            <w:pPr>
              <w:ind w:left="960"/>
              <w:spacing w:after="0" w:line="189" w:lineRule="exact"/>
              <w:rPr>
                <w:sz w:val="20"/>
                <w:szCs w:val="20"/>
                <w:color w:val="auto"/>
              </w:rPr>
            </w:pPr>
            <w:r>
              <w:rPr>
                <w:rFonts w:ascii="Arial" w:cs="Arial" w:eastAsia="Arial" w:hAnsi="Arial"/>
                <w:sz w:val="18"/>
                <w:szCs w:val="18"/>
                <w:color w:val="auto"/>
                <w:w w:val="92"/>
              </w:rPr>
              <w:t>Third Supplemental Indenture, dated as of November 24, 2021, between NFE International Shipping LLC, NFE Global Shipping LLC,</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800" w:type="dxa"/>
            <w:vAlign w:val="bottom"/>
          </w:tcPr>
          <w:p>
            <w:pPr>
              <w:ind w:left="960"/>
              <w:spacing w:after="0" w:line="154" w:lineRule="exact"/>
              <w:rPr>
                <w:sz w:val="20"/>
                <w:szCs w:val="20"/>
                <w:color w:val="auto"/>
              </w:rPr>
            </w:pPr>
            <w:r>
              <w:rPr>
                <w:rFonts w:ascii="Arial" w:cs="Arial" w:eastAsia="Arial" w:hAnsi="Arial"/>
                <w:sz w:val="17"/>
                <w:szCs w:val="17"/>
                <w:color w:val="auto"/>
              </w:rPr>
              <w:t>NFE Grand Shipping LLC and NFE International Holdings Limited, as Guaranteeing Subsidiaries, and U.S. Bank Trust Company,</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0" w:type="dxa"/>
            <w:vAlign w:val="bottom"/>
          </w:tcPr>
          <w:p>
            <w:pPr>
              <w:ind w:left="960"/>
              <w:spacing w:after="0" w:line="176" w:lineRule="exact"/>
              <w:rPr>
                <w:sz w:val="20"/>
                <w:szCs w:val="20"/>
                <w:color w:val="auto"/>
              </w:rPr>
            </w:pPr>
            <w:r>
              <w:rPr>
                <w:rFonts w:ascii="Arial" w:cs="Arial" w:eastAsia="Arial" w:hAnsi="Arial"/>
                <w:sz w:val="18"/>
                <w:szCs w:val="18"/>
                <w:color w:val="auto"/>
                <w:w w:val="91"/>
              </w:rPr>
              <w:t>National Association (as successor in interest to U.S. Bank National Association), as trustee (incorporated by reference to Exhibit 10.31</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0" w:type="dxa"/>
            <w:vAlign w:val="bottom"/>
          </w:tcPr>
          <w:p>
            <w:pPr>
              <w:ind w:left="960"/>
              <w:spacing w:after="0"/>
              <w:rPr>
                <w:sz w:val="20"/>
                <w:szCs w:val="20"/>
                <w:color w:val="auto"/>
              </w:rPr>
            </w:pPr>
            <w:r>
              <w:rPr>
                <w:rFonts w:ascii="Arial" w:cs="Arial" w:eastAsia="Arial" w:hAnsi="Arial"/>
                <w:sz w:val="18"/>
                <w:szCs w:val="18"/>
                <w:color w:val="auto"/>
              </w:rPr>
              <w:t>to the Registrant’s Annual Report on Form 10-K, filed with the SEC on March 1, 2023).</w:t>
            </w:r>
          </w:p>
        </w:tc>
      </w:tr>
      <w:tr>
        <w:trPr>
          <w:trHeight w:val="256"/>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0" w:type="dxa"/>
            <w:vAlign w:val="bottom"/>
            <w:shd w:val="clear" w:color="auto" w:fill="CCEEFF"/>
          </w:tcPr>
          <w:p>
            <w:pPr>
              <w:spacing w:after="0"/>
              <w:rPr>
                <w:sz w:val="22"/>
                <w:szCs w:val="22"/>
                <w:color w:val="auto"/>
              </w:rPr>
            </w:pPr>
          </w:p>
        </w:tc>
      </w:tr>
      <w:tr>
        <w:trPr>
          <w:trHeight w:val="189"/>
        </w:trPr>
        <w:tc>
          <w:tcPr>
            <w:tcW w:w="440" w:type="dxa"/>
            <w:vAlign w:val="bottom"/>
            <w:gridSpan w:val="2"/>
          </w:tcPr>
          <w:p>
            <w:pPr>
              <w:jc w:val="right"/>
              <w:spacing w:after="0" w:line="189" w:lineRule="exact"/>
              <w:rPr>
                <w:rFonts w:ascii="Arial" w:cs="Arial" w:eastAsia="Arial" w:hAnsi="Arial"/>
                <w:sz w:val="18"/>
                <w:szCs w:val="18"/>
                <w:color w:val="0000FF"/>
                <w:w w:val="93"/>
              </w:rPr>
            </w:pPr>
            <w:hyperlink r:id="rId14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32</w:t>
              </w:r>
            </w:hyperlink>
          </w:p>
        </w:tc>
        <w:tc>
          <w:tcPr>
            <w:tcW w:w="10800" w:type="dxa"/>
            <w:vAlign w:val="bottom"/>
          </w:tcPr>
          <w:p>
            <w:pPr>
              <w:ind w:left="960"/>
              <w:spacing w:after="0" w:line="189" w:lineRule="exact"/>
              <w:rPr>
                <w:sz w:val="20"/>
                <w:szCs w:val="20"/>
                <w:color w:val="auto"/>
              </w:rPr>
            </w:pPr>
            <w:r>
              <w:rPr>
                <w:rFonts w:ascii="Arial" w:cs="Arial" w:eastAsia="Arial" w:hAnsi="Arial"/>
                <w:sz w:val="18"/>
                <w:szCs w:val="18"/>
                <w:color w:val="auto"/>
                <w:w w:val="94"/>
              </w:rPr>
              <w:t>Fourth Supplemental Indenture, dated as of March 23, 2022, between NFE UK Holdings Limited, NFE Global Holdings Limited and</w:t>
            </w:r>
          </w:p>
        </w:tc>
      </w:tr>
      <w:tr>
        <w:trPr>
          <w:trHeight w:val="171"/>
        </w:trPr>
        <w:tc>
          <w:tcPr>
            <w:tcW w:w="20" w:type="dxa"/>
            <w:vAlign w:val="bottom"/>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0800" w:type="dxa"/>
            <w:vAlign w:val="bottom"/>
          </w:tcPr>
          <w:p>
            <w:pPr>
              <w:ind w:left="960"/>
              <w:spacing w:after="0" w:line="170" w:lineRule="exact"/>
              <w:rPr>
                <w:sz w:val="20"/>
                <w:szCs w:val="20"/>
                <w:color w:val="auto"/>
              </w:rPr>
            </w:pPr>
            <w:r>
              <w:rPr>
                <w:rFonts w:ascii="Arial" w:cs="Arial" w:eastAsia="Arial" w:hAnsi="Arial"/>
                <w:sz w:val="18"/>
                <w:szCs w:val="18"/>
                <w:color w:val="auto"/>
                <w:w w:val="92"/>
              </w:rPr>
              <w:t>NFE Bermuda Holdings Limited, as Guaranteeing Subsidiaries, and U.S. Bank Trust Company, National Association (as successor in</w:t>
            </w:r>
          </w:p>
        </w:tc>
      </w:tr>
    </w:tbl>
    <w:p>
      <w:pPr>
        <w:ind w:left="1400" w:right="120"/>
        <w:spacing w:after="0" w:line="226" w:lineRule="auto"/>
        <w:rPr>
          <w:sz w:val="20"/>
          <w:szCs w:val="20"/>
          <w:color w:val="auto"/>
        </w:rPr>
      </w:pPr>
      <w:r>
        <w:rPr>
          <w:rFonts w:ascii="Arial" w:cs="Arial" w:eastAsia="Arial" w:hAnsi="Arial"/>
          <w:sz w:val="18"/>
          <w:szCs w:val="18"/>
          <w:color w:val="auto"/>
        </w:rPr>
        <w:t>interest to U.S. Bank National Association), as trustee (incorporated by reference to Exhibit 10.32 to the Registrant’s Annual Report on Form 10-K, filed with the SEC on 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gridSpan w:val="2"/>
          </w:tcPr>
          <w:p>
            <w:pPr>
              <w:ind w:left="20"/>
              <w:spacing w:after="0"/>
              <w:rPr>
                <w:rFonts w:ascii="Arial" w:cs="Arial" w:eastAsia="Arial" w:hAnsi="Arial"/>
                <w:sz w:val="18"/>
                <w:szCs w:val="18"/>
                <w:color w:val="0000FF"/>
                <w:w w:val="88"/>
              </w:rPr>
            </w:pPr>
            <w:hyperlink r:id="rId14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33</w:t>
              </w:r>
            </w:hyperlink>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w w:val="91"/>
              </w:rPr>
              <w:t>Fifth Supplemental Indenture, dated as of December 22, 2022, between NFE Andromeda Chartering LLC, as Guaranteeing Subsidiary,</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80" w:type="dxa"/>
            <w:vAlign w:val="bottom"/>
          </w:tcPr>
          <w:p>
            <w:pPr>
              <w:ind w:left="440"/>
              <w:spacing w:after="0" w:line="156" w:lineRule="exact"/>
              <w:rPr>
                <w:sz w:val="20"/>
                <w:szCs w:val="20"/>
                <w:color w:val="auto"/>
              </w:rPr>
            </w:pPr>
            <w:r>
              <w:rPr>
                <w:rFonts w:ascii="Arial" w:cs="Arial" w:eastAsia="Arial" w:hAnsi="Arial"/>
                <w:sz w:val="18"/>
                <w:szCs w:val="18"/>
                <w:color w:val="auto"/>
                <w:w w:val="99"/>
              </w:rPr>
              <w:t>and U.S. Bank Trust Company, National Association (as successor in interest to U.S. Bank National Association), as trustee</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w w:val="95"/>
              </w:rPr>
              <w:t>(incorporated by reference to Exhibit 10.33 to the Registrant’s Annual Report on Form 10-K, filed with the SEC on March 1, 2023).</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4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34</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4"/>
              </w:rPr>
              <w:t>Credit Agreement, dated as of April 15, 2021, by and among the Company, as the borrower, the guarantors from time to time party</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80" w:type="dxa"/>
            <w:vAlign w:val="bottom"/>
          </w:tcPr>
          <w:p>
            <w:pPr>
              <w:ind w:left="440"/>
              <w:spacing w:after="0" w:line="154" w:lineRule="exact"/>
              <w:rPr>
                <w:sz w:val="20"/>
                <w:szCs w:val="20"/>
                <w:color w:val="auto"/>
              </w:rPr>
            </w:pPr>
            <w:r>
              <w:rPr>
                <w:rFonts w:ascii="Arial" w:cs="Arial" w:eastAsia="Arial" w:hAnsi="Arial"/>
                <w:sz w:val="17"/>
                <w:szCs w:val="17"/>
                <w:color w:val="auto"/>
              </w:rPr>
              <w:t>thereto, the several lenders and issuing banks from time to time party thereto, and Morgan Stanley Senior Funding, Inc,. as</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80" w:type="dxa"/>
            <w:vAlign w:val="bottom"/>
          </w:tcPr>
          <w:p>
            <w:pPr>
              <w:ind w:left="440"/>
              <w:spacing w:after="0" w:line="176" w:lineRule="exact"/>
              <w:rPr>
                <w:sz w:val="20"/>
                <w:szCs w:val="20"/>
                <w:color w:val="auto"/>
              </w:rPr>
            </w:pPr>
            <w:r>
              <w:rPr>
                <w:rFonts w:ascii="Arial" w:cs="Arial" w:eastAsia="Arial" w:hAnsi="Arial"/>
                <w:sz w:val="18"/>
                <w:szCs w:val="18"/>
                <w:color w:val="auto"/>
                <w:w w:val="94"/>
              </w:rPr>
              <w:t>administrative agent and collateral agent (incorporated by reference to Exhibit 10.2 to the Registrant’s Current Report on Form 8-K,</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filed with the SEC on April 21, 2021).</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4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35</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1"/>
              </w:rPr>
              <w:t>First amendment to Credit Agreement, dated as of July 16, 2021 to the Credit Agreement, dated as of April 15, 2021, by and among the</w:t>
            </w:r>
          </w:p>
        </w:tc>
      </w:tr>
      <w:tr>
        <w:trPr>
          <w:trHeight w:val="168"/>
        </w:trPr>
        <w:tc>
          <w:tcPr>
            <w:tcW w:w="20" w:type="dxa"/>
            <w:vAlign w:val="bottom"/>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80" w:type="dxa"/>
            <w:vAlign w:val="bottom"/>
          </w:tcPr>
          <w:p>
            <w:pPr>
              <w:ind w:left="440"/>
              <w:spacing w:after="0" w:line="168" w:lineRule="exact"/>
              <w:rPr>
                <w:sz w:val="20"/>
                <w:szCs w:val="20"/>
                <w:color w:val="auto"/>
              </w:rPr>
            </w:pPr>
            <w:r>
              <w:rPr>
                <w:rFonts w:ascii="Arial" w:cs="Arial" w:eastAsia="Arial" w:hAnsi="Arial"/>
                <w:sz w:val="18"/>
                <w:szCs w:val="18"/>
                <w:color w:val="auto"/>
                <w:w w:val="94"/>
              </w:rPr>
              <w:t>Company, as the borrower, the guarantors from time to time partly thereto, the several lenders and issuing banks from time to time</w:t>
            </w:r>
          </w:p>
        </w:tc>
      </w:tr>
      <w:tr>
        <w:trPr>
          <w:trHeight w:val="203"/>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tcPr>
          <w:p>
            <w:pPr>
              <w:ind w:left="440"/>
              <w:spacing w:after="0" w:line="202" w:lineRule="exact"/>
              <w:rPr>
                <w:sz w:val="20"/>
                <w:szCs w:val="20"/>
                <w:color w:val="auto"/>
              </w:rPr>
            </w:pPr>
            <w:r>
              <w:rPr>
                <w:rFonts w:ascii="Arial" w:cs="Arial" w:eastAsia="Arial" w:hAnsi="Arial"/>
                <w:sz w:val="18"/>
                <w:szCs w:val="18"/>
                <w:color w:val="auto"/>
                <w:w w:val="95"/>
              </w:rPr>
              <w:t>partly thereto, and Morgan Stanley Senior Funding, Inc., as administrative agent (incorporated by reference to Exhibit 10.30 to the</w:t>
            </w: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Registrant’s Annual Report on Form 10-K, filed with the SEC on March 1, 2022).</w:t>
            </w:r>
          </w:p>
        </w:tc>
      </w:tr>
      <w:tr>
        <w:trPr>
          <w:trHeight w:val="263"/>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4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36</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3"/>
              </w:rPr>
              <w:t>Second Amendment to Credit Agreement, dated as of February 28, 2022 to the Credit Agreement, dated as of April 15, 2021, by and</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80" w:type="dxa"/>
            <w:vAlign w:val="bottom"/>
          </w:tcPr>
          <w:p>
            <w:pPr>
              <w:ind w:left="440"/>
              <w:spacing w:after="0" w:line="142" w:lineRule="exact"/>
              <w:rPr>
                <w:sz w:val="20"/>
                <w:szCs w:val="20"/>
                <w:color w:val="auto"/>
              </w:rPr>
            </w:pPr>
            <w:r>
              <w:rPr>
                <w:rFonts w:ascii="Arial" w:cs="Arial" w:eastAsia="Arial" w:hAnsi="Arial"/>
                <w:sz w:val="16"/>
                <w:szCs w:val="16"/>
                <w:color w:val="auto"/>
              </w:rPr>
              <w:t>among the Company, as the borrower, the guarantors from time to time party thereto, the several lenders and issuing banks from time to</w:t>
            </w: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1"/>
              </w:rPr>
              <w:t>time party thereto, and Morgan Stanley Senior Funding, Inc., as administrative agent and collateral agent (incorporated by reference to</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Exhibit 10.31 to the Registrant’s Annual Report on Form 10-K, filed with the SEC on March 1, 2022).</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5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37</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1"/>
              </w:rPr>
              <w:t>Third Amendment to Credit Agreement, dated as of May 4, 2022 to the Credit Agreement, dated as of April 15, 2021, by and among the</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80" w:type="dxa"/>
            <w:vAlign w:val="bottom"/>
          </w:tcPr>
          <w:p>
            <w:pPr>
              <w:ind w:left="440"/>
              <w:spacing w:after="0" w:line="142" w:lineRule="exact"/>
              <w:rPr>
                <w:sz w:val="20"/>
                <w:szCs w:val="20"/>
                <w:color w:val="auto"/>
              </w:rPr>
            </w:pPr>
            <w:r>
              <w:rPr>
                <w:rFonts w:ascii="Arial" w:cs="Arial" w:eastAsia="Arial" w:hAnsi="Arial"/>
                <w:sz w:val="16"/>
                <w:szCs w:val="16"/>
                <w:color w:val="auto"/>
              </w:rPr>
              <w:t>Company, as the borrower, the guarantors from time to time party thereto, the several lenders and issuing banks from time to time party</w:t>
            </w: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3"/>
              </w:rPr>
              <w:t>thereto, and Morgan Stanley Senior Funding, Inc., as administrative agent and collateral agent (incorporated by reference to Exhibit</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10.32 to the Registrant’s Quarterly Report on Form 10-Q, filed with the SEC on May 6, 2022).</w:t>
            </w: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80" w:type="dxa"/>
            <w:vAlign w:val="bottom"/>
            <w:shd w:val="clear" w:color="auto" w:fill="CCEEFF"/>
          </w:tcPr>
          <w:p>
            <w:pPr>
              <w:spacing w:after="0"/>
              <w:rPr>
                <w:sz w:val="23"/>
                <w:szCs w:val="23"/>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5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38</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4"/>
              </w:rPr>
              <w:t>Fourth Amendment to Credit Agreement, dated as of February 7, 2023 to the Credit Agreement, dated as of April 15, 2021, by and</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80" w:type="dxa"/>
            <w:vAlign w:val="bottom"/>
          </w:tcPr>
          <w:p>
            <w:pPr>
              <w:ind w:left="440"/>
              <w:spacing w:after="0" w:line="154" w:lineRule="exact"/>
              <w:rPr>
                <w:sz w:val="20"/>
                <w:szCs w:val="20"/>
                <w:color w:val="auto"/>
              </w:rPr>
            </w:pPr>
            <w:r>
              <w:rPr>
                <w:rFonts w:ascii="Arial" w:cs="Arial" w:eastAsia="Arial" w:hAnsi="Arial"/>
                <w:sz w:val="17"/>
                <w:szCs w:val="17"/>
                <w:color w:val="auto"/>
                <w:w w:val="95"/>
              </w:rPr>
              <w:t>among the Company, as the borrower, the guarantors from time to time party thereto, the several lenders and issuing banks from time to</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80" w:type="dxa"/>
            <w:vAlign w:val="bottom"/>
          </w:tcPr>
          <w:p>
            <w:pPr>
              <w:ind w:left="440"/>
              <w:spacing w:after="0" w:line="176" w:lineRule="exact"/>
              <w:rPr>
                <w:sz w:val="20"/>
                <w:szCs w:val="20"/>
                <w:color w:val="auto"/>
              </w:rPr>
            </w:pPr>
            <w:r>
              <w:rPr>
                <w:rFonts w:ascii="Arial" w:cs="Arial" w:eastAsia="Arial" w:hAnsi="Arial"/>
                <w:sz w:val="18"/>
                <w:szCs w:val="18"/>
                <w:color w:val="auto"/>
                <w:w w:val="91"/>
              </w:rPr>
              <w:t>time party thereto, and MUFG Bank Ltd., as administrative agent and collateral agent (incorporated by reference to Exhibit 10.38 to the</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Registrant’s Annual Report on Form 10-K, filed with the SEC on March 1, 2023).</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5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39</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1"/>
              </w:rPr>
              <w:t>Omnibus Agreement, dated as of April 15, 2021, by and among the Company, GLNG and certain other parties thereto (incorporated by</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reference to Exhibit 10.30 to the Registrant’s Quarterly Report on Form 10-Q, filed with the SEC on May 7, 2021).</w:t>
            </w:r>
          </w:p>
        </w:tc>
      </w:tr>
      <w:tr>
        <w:trPr>
          <w:trHeight w:val="243"/>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80" w:type="dxa"/>
            <w:vAlign w:val="bottom"/>
            <w:shd w:val="clear" w:color="auto" w:fill="CCEEFF"/>
          </w:tcPr>
          <w:p>
            <w:pPr>
              <w:spacing w:after="0"/>
              <w:rPr>
                <w:sz w:val="21"/>
                <w:szCs w:val="21"/>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5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40</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1"/>
              </w:rPr>
              <w:t>Indemnity Agreement, dated as of April 15, 2021, by and among the Company, GLNG, and certain affiliates of Stonepeak (incorporated</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by reference to Exhibit 10.31 to the Registrant’s Quarterly Report on Form 10-Q, filed with the SEC on May 7, 2021).</w:t>
            </w:r>
          </w:p>
        </w:tc>
      </w:tr>
      <w:tr>
        <w:trPr>
          <w:trHeight w:val="256"/>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5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41</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2"/>
              </w:rPr>
              <w:t>Omnibus Agreement, dated as of April 15, 2021, by and among the Company, GMLP, GLNG and certain parties thereto (incorporated</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tcPr>
          <w:p>
            <w:pPr>
              <w:ind w:left="440"/>
              <w:spacing w:after="0" w:line="196" w:lineRule="exact"/>
              <w:rPr>
                <w:sz w:val="20"/>
                <w:szCs w:val="20"/>
                <w:color w:val="auto"/>
              </w:rPr>
            </w:pPr>
            <w:r>
              <w:rPr>
                <w:rFonts w:ascii="Arial" w:cs="Arial" w:eastAsia="Arial" w:hAnsi="Arial"/>
                <w:sz w:val="18"/>
                <w:szCs w:val="18"/>
                <w:color w:val="auto"/>
              </w:rPr>
              <w:t>by reference to Exhibit 10.32 to the Registrant’s Quarterly Report on Form 10-Q, filed with the SEC on May 7, 2021).</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8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5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42</w:t>
              </w:r>
            </w:hyperlink>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1"/>
              </w:rPr>
              <w:t>Tax Indemnification Agreement, dated as of April 15, 2021, by and between NFE International and GLNG (incorporated by reference to</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80" w:type="dxa"/>
            <w:vAlign w:val="bottom"/>
          </w:tcPr>
          <w:p>
            <w:pPr>
              <w:ind w:left="440"/>
              <w:spacing w:after="0"/>
              <w:rPr>
                <w:sz w:val="20"/>
                <w:szCs w:val="20"/>
                <w:color w:val="auto"/>
              </w:rPr>
            </w:pPr>
            <w:r>
              <w:rPr>
                <w:rFonts w:ascii="Arial" w:cs="Arial" w:eastAsia="Arial" w:hAnsi="Arial"/>
                <w:sz w:val="18"/>
                <w:szCs w:val="18"/>
                <w:color w:val="auto"/>
              </w:rPr>
              <w:t>Exhibit 10.33 to the Registrant’s Quarterly Report on Form 10-Q, filed with the SEC on May 7, 2021).</w:t>
            </w:r>
          </w:p>
        </w:tc>
      </w:tr>
      <w:tr>
        <w:trPr>
          <w:trHeight w:val="243"/>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80" w:type="dxa"/>
            <w:vAlign w:val="bottom"/>
            <w:shd w:val="clear" w:color="auto" w:fill="CCEEFF"/>
          </w:tcPr>
          <w:p>
            <w:pPr>
              <w:spacing w:after="0"/>
              <w:rPr>
                <w:sz w:val="21"/>
                <w:szCs w:val="21"/>
                <w:color w:val="auto"/>
              </w:rPr>
            </w:pPr>
          </w:p>
        </w:tc>
      </w:tr>
      <w:tr>
        <w:trPr>
          <w:trHeight w:val="189"/>
        </w:trPr>
        <w:tc>
          <w:tcPr>
            <w:tcW w:w="960" w:type="dxa"/>
            <w:vAlign w:val="bottom"/>
            <w:gridSpan w:val="4"/>
          </w:tcPr>
          <w:p>
            <w:pPr>
              <w:ind w:left="20"/>
              <w:spacing w:after="0" w:line="189" w:lineRule="exact"/>
              <w:rPr>
                <w:rFonts w:ascii="Arial" w:cs="Arial" w:eastAsia="Arial" w:hAnsi="Arial"/>
                <w:sz w:val="18"/>
                <w:szCs w:val="18"/>
                <w:color w:val="0000FF"/>
              </w:rPr>
            </w:pPr>
            <w:hyperlink r:id="rId156">
              <w:r>
                <w:rPr>
                  <w:rFonts w:ascii="Arial" w:cs="Arial" w:eastAsia="Arial" w:hAnsi="Arial"/>
                  <w:sz w:val="18"/>
                  <w:szCs w:val="18"/>
                  <w:color w:val="0000FF"/>
                </w:rPr>
                <w:t>10.</w:t>
              </w:r>
              <w:r>
                <w:rPr>
                  <w:rFonts w:ascii="Arial" w:cs="Arial" w:eastAsia="Arial" w:hAnsi="Arial"/>
                  <w:sz w:val="18"/>
                  <w:szCs w:val="18"/>
                  <w:u w:val="single" w:color="auto"/>
                  <w:color w:val="0000FF"/>
                </w:rPr>
                <w:t>43#</w:t>
              </w:r>
            </w:hyperlink>
          </w:p>
        </w:tc>
        <w:tc>
          <w:tcPr>
            <w:tcW w:w="10280" w:type="dxa"/>
            <w:vAlign w:val="bottom"/>
          </w:tcPr>
          <w:p>
            <w:pPr>
              <w:ind w:left="440"/>
              <w:spacing w:after="0" w:line="189" w:lineRule="exact"/>
              <w:rPr>
                <w:sz w:val="20"/>
                <w:szCs w:val="20"/>
                <w:color w:val="auto"/>
              </w:rPr>
            </w:pPr>
            <w:r>
              <w:rPr>
                <w:rFonts w:ascii="Arial" w:cs="Arial" w:eastAsia="Arial" w:hAnsi="Arial"/>
                <w:sz w:val="18"/>
                <w:szCs w:val="18"/>
                <w:color w:val="auto"/>
                <w:w w:val="94"/>
              </w:rPr>
              <w:t>Share Purchase Agreement, dated as of May 31, 2022, by and among LNG Power Limited, Ebrasil Energia Ltda., the individual DC</w:t>
            </w:r>
          </w:p>
        </w:tc>
      </w:tr>
      <w:tr>
        <w:trPr>
          <w:trHeight w:val="171"/>
        </w:trPr>
        <w:tc>
          <w:tcPr>
            <w:tcW w:w="20" w:type="dxa"/>
            <w:vAlign w:val="bottom"/>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10280" w:type="dxa"/>
            <w:vAlign w:val="bottom"/>
          </w:tcPr>
          <w:p>
            <w:pPr>
              <w:ind w:left="440"/>
              <w:spacing w:after="0" w:line="170" w:lineRule="exact"/>
              <w:rPr>
                <w:sz w:val="20"/>
                <w:szCs w:val="20"/>
                <w:color w:val="auto"/>
              </w:rPr>
            </w:pPr>
            <w:r>
              <w:rPr>
                <w:rFonts w:ascii="Arial" w:cs="Arial" w:eastAsia="Arial" w:hAnsi="Arial"/>
                <w:sz w:val="18"/>
                <w:szCs w:val="18"/>
                <w:color w:val="auto"/>
                <w:w w:val="91"/>
              </w:rPr>
              <w:t>Energia Sellers set forth therein, collectively as Sellers, Eneva S.A., as Buyer, and Eletricidade do Brasil S.A. -Ebrasil, as guarantor for</w:t>
            </w:r>
          </w:p>
        </w:tc>
      </w:tr>
    </w:tbl>
    <w:p>
      <w:pPr>
        <w:ind w:left="1400" w:right="240"/>
        <w:spacing w:after="0" w:line="226" w:lineRule="auto"/>
        <w:rPr>
          <w:sz w:val="20"/>
          <w:szCs w:val="20"/>
          <w:color w:val="auto"/>
        </w:rPr>
      </w:pPr>
      <w:r>
        <w:rPr>
          <w:rFonts w:ascii="Arial" w:cs="Arial" w:eastAsia="Arial" w:hAnsi="Arial"/>
          <w:sz w:val="18"/>
          <w:szCs w:val="18"/>
          <w:color w:val="auto"/>
        </w:rPr>
        <w:t>the obligations of the DC Energia Sellers (incorporated by reference to Exhibit 10.38 to Registrant’s Quarterly Report on Form 10-Q, filed with the SEC on August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gridSpan w:val="2"/>
          </w:tcPr>
          <w:p>
            <w:pPr>
              <w:ind w:left="20"/>
              <w:spacing w:after="0"/>
              <w:rPr>
                <w:rFonts w:ascii="Arial" w:cs="Arial" w:eastAsia="Arial" w:hAnsi="Arial"/>
                <w:sz w:val="18"/>
                <w:szCs w:val="18"/>
                <w:color w:val="0000FF"/>
                <w:w w:val="88"/>
              </w:rPr>
            </w:pPr>
            <w:hyperlink r:id="rId15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44</w:t>
              </w:r>
            </w:hyperlink>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40" w:type="dxa"/>
            <w:vAlign w:val="bottom"/>
          </w:tcPr>
          <w:p>
            <w:pPr>
              <w:ind w:left="300"/>
              <w:spacing w:after="0"/>
              <w:rPr>
                <w:sz w:val="20"/>
                <w:szCs w:val="20"/>
                <w:color w:val="auto"/>
              </w:rPr>
            </w:pPr>
            <w:r>
              <w:rPr>
                <w:rFonts w:ascii="Arial" w:cs="Arial" w:eastAsia="Arial" w:hAnsi="Arial"/>
                <w:sz w:val="18"/>
                <w:szCs w:val="18"/>
                <w:color w:val="auto"/>
                <w:w w:val="96"/>
              </w:rPr>
              <w:t>Equity Purchase and Contribution Agreement, dated as of July 2, 2022, by and among Golar LNG Partners LP and Hygo Energy</w:t>
            </w:r>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140" w:type="dxa"/>
            <w:vAlign w:val="bottom"/>
          </w:tcPr>
          <w:p>
            <w:pPr>
              <w:ind w:left="300"/>
              <w:spacing w:after="0" w:line="156" w:lineRule="exact"/>
              <w:rPr>
                <w:sz w:val="20"/>
                <w:szCs w:val="20"/>
                <w:color w:val="auto"/>
              </w:rPr>
            </w:pPr>
            <w:r>
              <w:rPr>
                <w:rFonts w:ascii="Arial" w:cs="Arial" w:eastAsia="Arial" w:hAnsi="Arial"/>
                <w:sz w:val="18"/>
                <w:szCs w:val="18"/>
                <w:color w:val="auto"/>
                <w:w w:val="97"/>
              </w:rPr>
              <w:t>Transition Ltd., as Sellers, AP Neptune Holdings Ltd, as Purchaser, Floating Infrastructure Holdings LLC, as the Company, and</w:t>
            </w:r>
          </w:p>
        </w:tc>
      </w:tr>
      <w:tr>
        <w:trPr>
          <w:trHeight w:val="176"/>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140" w:type="dxa"/>
            <w:vAlign w:val="bottom"/>
          </w:tcPr>
          <w:p>
            <w:pPr>
              <w:ind w:left="300"/>
              <w:spacing w:after="0" w:line="176" w:lineRule="exact"/>
              <w:rPr>
                <w:sz w:val="20"/>
                <w:szCs w:val="20"/>
                <w:color w:val="auto"/>
              </w:rPr>
            </w:pPr>
            <w:r>
              <w:rPr>
                <w:rFonts w:ascii="Arial" w:cs="Arial" w:eastAsia="Arial" w:hAnsi="Arial"/>
                <w:sz w:val="18"/>
                <w:szCs w:val="18"/>
                <w:color w:val="auto"/>
                <w:w w:val="92"/>
              </w:rPr>
              <w:t>Floating Infrastructure Intermediate LLC, as Holdco Pledgor, and Floating Infrastructure Holdings finance LLC, as Borrower, and New</w:t>
            </w: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140" w:type="dxa"/>
            <w:vAlign w:val="bottom"/>
          </w:tcPr>
          <w:p>
            <w:pPr>
              <w:ind w:left="300"/>
              <w:spacing w:after="0" w:line="189" w:lineRule="exact"/>
              <w:rPr>
                <w:sz w:val="20"/>
                <w:szCs w:val="20"/>
                <w:color w:val="auto"/>
              </w:rPr>
            </w:pPr>
            <w:r>
              <w:rPr>
                <w:rFonts w:ascii="Arial" w:cs="Arial" w:eastAsia="Arial" w:hAnsi="Arial"/>
                <w:sz w:val="18"/>
                <w:szCs w:val="18"/>
                <w:color w:val="auto"/>
                <w:w w:val="93"/>
              </w:rPr>
              <w:t>Fortress Energy Inc.(incorporated by reference to Exhibit 10.39 to Registrant’s Quarterly Report on Form 10-Q, filed with the SEC on</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140" w:type="dxa"/>
            <w:vAlign w:val="bottom"/>
          </w:tcPr>
          <w:p>
            <w:pPr>
              <w:ind w:left="300"/>
              <w:spacing w:after="0"/>
              <w:rPr>
                <w:sz w:val="20"/>
                <w:szCs w:val="20"/>
                <w:color w:val="auto"/>
              </w:rPr>
            </w:pPr>
            <w:r>
              <w:rPr>
                <w:rFonts w:ascii="Arial" w:cs="Arial" w:eastAsia="Arial" w:hAnsi="Arial"/>
                <w:sz w:val="18"/>
                <w:szCs w:val="18"/>
                <w:color w:val="auto"/>
              </w:rPr>
              <w:t>August 5, 2022).</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14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6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45</w:t>
              </w:r>
            </w:hyperlink>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140" w:type="dxa"/>
            <w:vAlign w:val="bottom"/>
          </w:tcPr>
          <w:p>
            <w:pPr>
              <w:ind w:left="300"/>
              <w:spacing w:after="0" w:line="189" w:lineRule="exact"/>
              <w:rPr>
                <w:sz w:val="20"/>
                <w:szCs w:val="20"/>
                <w:color w:val="auto"/>
              </w:rPr>
            </w:pPr>
            <w:r>
              <w:rPr>
                <w:rFonts w:ascii="Arial" w:cs="Arial" w:eastAsia="Arial" w:hAnsi="Arial"/>
                <w:sz w:val="18"/>
                <w:szCs w:val="18"/>
                <w:color w:val="auto"/>
                <w:w w:val="90"/>
              </w:rPr>
              <w:t>Second Amendment to Uncommitted Letter of Credit and Reimbursement Agreement, dated July 27, 2022, by and among New Fortress</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140" w:type="dxa"/>
            <w:vAlign w:val="bottom"/>
          </w:tcPr>
          <w:p>
            <w:pPr>
              <w:ind w:left="300"/>
              <w:spacing w:after="0" w:line="142" w:lineRule="exact"/>
              <w:rPr>
                <w:sz w:val="20"/>
                <w:szCs w:val="20"/>
                <w:color w:val="auto"/>
              </w:rPr>
            </w:pPr>
            <w:r>
              <w:rPr>
                <w:rFonts w:ascii="Arial" w:cs="Arial" w:eastAsia="Arial" w:hAnsi="Arial"/>
                <w:sz w:val="16"/>
                <w:szCs w:val="16"/>
                <w:color w:val="auto"/>
              </w:rPr>
              <w:t>Energy Inc., the guarantors party thereto, Natixis, New York Branch, as Administrative Agent, Natixis, New York Branch, as ULCA</w:t>
            </w: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140" w:type="dxa"/>
            <w:vAlign w:val="bottom"/>
          </w:tcPr>
          <w:p>
            <w:pPr>
              <w:ind w:left="300"/>
              <w:spacing w:after="0" w:line="189" w:lineRule="exact"/>
              <w:rPr>
                <w:sz w:val="20"/>
                <w:szCs w:val="20"/>
                <w:color w:val="auto"/>
              </w:rPr>
            </w:pPr>
            <w:r>
              <w:rPr>
                <w:rFonts w:ascii="Arial" w:cs="Arial" w:eastAsia="Arial" w:hAnsi="Arial"/>
                <w:sz w:val="18"/>
                <w:szCs w:val="18"/>
                <w:color w:val="auto"/>
                <w:w w:val="94"/>
              </w:rPr>
              <w:t>Collateral Agent, Natixis, New York Branch, and each of the other financial institutions party thereto, as Lenders and Issuing Banks</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140" w:type="dxa"/>
            <w:vAlign w:val="bottom"/>
          </w:tcPr>
          <w:p>
            <w:pPr>
              <w:ind w:left="300"/>
              <w:spacing w:after="0"/>
              <w:rPr>
                <w:sz w:val="20"/>
                <w:szCs w:val="20"/>
                <w:color w:val="auto"/>
              </w:rPr>
            </w:pPr>
            <w:r>
              <w:rPr>
                <w:rFonts w:ascii="Arial" w:cs="Arial" w:eastAsia="Arial" w:hAnsi="Arial"/>
                <w:sz w:val="18"/>
                <w:szCs w:val="18"/>
                <w:color w:val="auto"/>
                <w:w w:val="95"/>
              </w:rPr>
              <w:t>(incorporated by reference to Exhibit 10.40 to Registrant’s Quarterly Report on Form 10-Q, filed with the SEC on August 5, 2022).</w:t>
            </w:r>
          </w:p>
        </w:tc>
      </w:tr>
      <w:tr>
        <w:trPr>
          <w:trHeight w:val="365"/>
        </w:trPr>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140" w:type="dxa"/>
            <w:vAlign w:val="bottom"/>
            <w:shd w:val="clear" w:color="auto" w:fill="CCEEFF"/>
          </w:tcPr>
          <w:p>
            <w:pPr>
              <w:spacing w:after="0"/>
              <w:rPr>
                <w:sz w:val="24"/>
                <w:szCs w:val="24"/>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6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46</w:t>
              </w:r>
            </w:hyperlink>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140" w:type="dxa"/>
            <w:vAlign w:val="bottom"/>
          </w:tcPr>
          <w:p>
            <w:pPr>
              <w:ind w:left="300"/>
              <w:spacing w:after="0" w:line="189" w:lineRule="exact"/>
              <w:rPr>
                <w:sz w:val="20"/>
                <w:szCs w:val="20"/>
                <w:color w:val="auto"/>
              </w:rPr>
            </w:pPr>
            <w:r>
              <w:rPr>
                <w:rFonts w:ascii="Arial" w:cs="Arial" w:eastAsia="Arial" w:hAnsi="Arial"/>
                <w:sz w:val="18"/>
                <w:szCs w:val="18"/>
                <w:color w:val="auto"/>
                <w:w w:val="90"/>
              </w:rPr>
              <w:t>Incremental Joinder Agreement Regarding to Uncommitted Letter of Credit and Reimbursement Agreement, dated February 6, 2023, by</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140" w:type="dxa"/>
            <w:vAlign w:val="bottom"/>
          </w:tcPr>
          <w:p>
            <w:pPr>
              <w:ind w:left="300"/>
              <w:spacing w:after="0" w:line="142" w:lineRule="exact"/>
              <w:rPr>
                <w:sz w:val="20"/>
                <w:szCs w:val="20"/>
                <w:color w:val="auto"/>
              </w:rPr>
            </w:pPr>
            <w:r>
              <w:rPr>
                <w:rFonts w:ascii="Arial" w:cs="Arial" w:eastAsia="Arial" w:hAnsi="Arial"/>
                <w:sz w:val="16"/>
                <w:szCs w:val="16"/>
                <w:color w:val="auto"/>
              </w:rPr>
              <w:t>and among New Fortress Energy Inc., the guarantors party thereto, Natixis, New York Branch, as Administrative Agent and as Issuing</w:t>
            </w:r>
          </w:p>
        </w:tc>
      </w:tr>
      <w:tr>
        <w:trPr>
          <w:trHeight w:val="188"/>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140" w:type="dxa"/>
            <w:vAlign w:val="bottom"/>
          </w:tcPr>
          <w:p>
            <w:pPr>
              <w:ind w:left="300"/>
              <w:spacing w:after="0" w:line="189" w:lineRule="exact"/>
              <w:rPr>
                <w:sz w:val="20"/>
                <w:szCs w:val="20"/>
                <w:color w:val="auto"/>
              </w:rPr>
            </w:pPr>
            <w:r>
              <w:rPr>
                <w:rFonts w:ascii="Arial" w:cs="Arial" w:eastAsia="Arial" w:hAnsi="Arial"/>
                <w:sz w:val="18"/>
                <w:szCs w:val="18"/>
                <w:color w:val="auto"/>
                <w:w w:val="93"/>
              </w:rPr>
              <w:t>Bank, Credit Agricole Corporate and Investment Bank, as Issuing Bank, and Sumitomo Mitsui Banking Corporation, as Issuing Bank</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140" w:type="dxa"/>
            <w:vAlign w:val="bottom"/>
          </w:tcPr>
          <w:p>
            <w:pPr>
              <w:ind w:left="300"/>
              <w:spacing w:after="0"/>
              <w:rPr>
                <w:sz w:val="20"/>
                <w:szCs w:val="20"/>
                <w:color w:val="auto"/>
              </w:rPr>
            </w:pPr>
            <w:r>
              <w:rPr>
                <w:rFonts w:ascii="Arial" w:cs="Arial" w:eastAsia="Arial" w:hAnsi="Arial"/>
                <w:sz w:val="18"/>
                <w:szCs w:val="18"/>
                <w:color w:val="auto"/>
                <w:w w:val="95"/>
              </w:rPr>
              <w:t>(incorporated by reference to Exhibit 10.45 to the Registrant’s Annual Report on Form 10-K, filed with the SEC on March 1, 2023).</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14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6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47</w:t>
              </w:r>
            </w:hyperlink>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140" w:type="dxa"/>
            <w:vAlign w:val="bottom"/>
          </w:tcPr>
          <w:p>
            <w:pPr>
              <w:ind w:left="300"/>
              <w:spacing w:after="0" w:line="189" w:lineRule="exact"/>
              <w:rPr>
                <w:sz w:val="20"/>
                <w:szCs w:val="20"/>
                <w:color w:val="auto"/>
              </w:rPr>
            </w:pPr>
            <w:r>
              <w:rPr>
                <w:rFonts w:ascii="Arial" w:cs="Arial" w:eastAsia="Arial" w:hAnsi="Arial"/>
                <w:sz w:val="18"/>
                <w:szCs w:val="18"/>
                <w:color w:val="auto"/>
                <w:w w:val="90"/>
              </w:rPr>
              <w:t>Underwriting Agreement, dated December 14, 2022, by and among New Fortress Energy Inc., Energy Transition Holdings LLC and J.P.</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140" w:type="dxa"/>
            <w:vAlign w:val="bottom"/>
          </w:tcPr>
          <w:p>
            <w:pPr>
              <w:ind w:left="300"/>
              <w:spacing w:after="0" w:line="142" w:lineRule="exact"/>
              <w:rPr>
                <w:sz w:val="20"/>
                <w:szCs w:val="20"/>
                <w:color w:val="auto"/>
              </w:rPr>
            </w:pPr>
            <w:r>
              <w:rPr>
                <w:rFonts w:ascii="Arial" w:cs="Arial" w:eastAsia="Arial" w:hAnsi="Arial"/>
                <w:sz w:val="16"/>
                <w:szCs w:val="16"/>
                <w:color w:val="auto"/>
              </w:rPr>
              <w:t>Morgan Securities LLC (incorporated by reference to Exhibit 1.1 to the Registrant’s Current Report on Form 8-K, filed with the SEC on</w:t>
            </w: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140" w:type="dxa"/>
            <w:vAlign w:val="bottom"/>
          </w:tcPr>
          <w:p>
            <w:pPr>
              <w:ind w:left="300"/>
              <w:spacing w:after="0"/>
              <w:rPr>
                <w:sz w:val="20"/>
                <w:szCs w:val="20"/>
                <w:color w:val="auto"/>
              </w:rPr>
            </w:pPr>
            <w:r>
              <w:rPr>
                <w:rFonts w:ascii="Arial" w:cs="Arial" w:eastAsia="Arial" w:hAnsi="Arial"/>
                <w:sz w:val="18"/>
                <w:szCs w:val="18"/>
                <w:color w:val="auto"/>
              </w:rPr>
              <w:t>December 16, 2022).</w:t>
            </w:r>
          </w:p>
        </w:tc>
      </w:tr>
      <w:tr>
        <w:trPr>
          <w:trHeight w:val="276"/>
        </w:trPr>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140" w:type="dxa"/>
            <w:vAlign w:val="bottom"/>
            <w:shd w:val="clear" w:color="auto" w:fill="CCEEFF"/>
          </w:tcPr>
          <w:p>
            <w:pPr>
              <w:spacing w:after="0"/>
              <w:rPr>
                <w:sz w:val="24"/>
                <w:szCs w:val="24"/>
                <w:color w:val="auto"/>
              </w:rPr>
            </w:pPr>
          </w:p>
        </w:tc>
      </w:tr>
      <w:tr>
        <w:trPr>
          <w:trHeight w:val="189"/>
        </w:trPr>
        <w:tc>
          <w:tcPr>
            <w:tcW w:w="440" w:type="dxa"/>
            <w:vAlign w:val="bottom"/>
            <w:gridSpan w:val="2"/>
          </w:tcPr>
          <w:p>
            <w:pPr>
              <w:ind w:left="20"/>
              <w:spacing w:after="0" w:line="189" w:lineRule="exact"/>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140" w:type="dxa"/>
            <w:vAlign w:val="bottom"/>
          </w:tcPr>
          <w:p>
            <w:pPr>
              <w:ind w:left="300"/>
              <w:spacing w:after="0" w:line="189" w:lineRule="exact"/>
              <w:rPr>
                <w:sz w:val="20"/>
                <w:szCs w:val="20"/>
                <w:color w:val="auto"/>
              </w:rPr>
            </w:pPr>
            <w:r>
              <w:rPr>
                <w:rFonts w:ascii="Arial" w:cs="Arial" w:eastAsia="Arial" w:hAnsi="Arial"/>
                <w:sz w:val="18"/>
                <w:szCs w:val="18"/>
                <w:color w:val="auto"/>
                <w:w w:val="90"/>
              </w:rPr>
              <w:t>Certification by Chief Executive Officer pursuant to Rules 13a-14(a) and 15d-14(a) of the Exchange Act, as adopted pursuant to Section</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140" w:type="dxa"/>
            <w:vAlign w:val="bottom"/>
          </w:tcPr>
          <w:p>
            <w:pPr>
              <w:ind w:left="300"/>
              <w:spacing w:after="0" w:line="196" w:lineRule="exact"/>
              <w:rPr>
                <w:sz w:val="20"/>
                <w:szCs w:val="20"/>
                <w:color w:val="auto"/>
              </w:rPr>
            </w:pPr>
            <w:r>
              <w:rPr>
                <w:rFonts w:ascii="Arial" w:cs="Arial" w:eastAsia="Arial" w:hAnsi="Arial"/>
                <w:sz w:val="18"/>
                <w:szCs w:val="18"/>
                <w:color w:val="auto"/>
              </w:rPr>
              <w:t>302 of the Sarbanes-Oxley Act of 2002.</w:t>
            </w:r>
          </w:p>
        </w:tc>
      </w:tr>
      <w:tr>
        <w:trPr>
          <w:trHeight w:val="256"/>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140" w:type="dxa"/>
            <w:vAlign w:val="bottom"/>
            <w:shd w:val="clear" w:color="auto" w:fill="CCEEFF"/>
          </w:tcPr>
          <w:p>
            <w:pPr>
              <w:spacing w:after="0"/>
              <w:rPr>
                <w:sz w:val="22"/>
                <w:szCs w:val="22"/>
                <w:color w:val="auto"/>
              </w:rPr>
            </w:pPr>
          </w:p>
        </w:tc>
      </w:tr>
      <w:tr>
        <w:trPr>
          <w:trHeight w:val="189"/>
        </w:trPr>
        <w:tc>
          <w:tcPr>
            <w:tcW w:w="440" w:type="dxa"/>
            <w:vAlign w:val="bottom"/>
            <w:gridSpan w:val="2"/>
          </w:tcPr>
          <w:p>
            <w:pPr>
              <w:ind w:left="20"/>
              <w:spacing w:after="0" w:line="189" w:lineRule="exact"/>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140" w:type="dxa"/>
            <w:vAlign w:val="bottom"/>
          </w:tcPr>
          <w:p>
            <w:pPr>
              <w:ind w:left="300"/>
              <w:spacing w:after="0" w:line="189" w:lineRule="exact"/>
              <w:rPr>
                <w:sz w:val="20"/>
                <w:szCs w:val="20"/>
                <w:color w:val="auto"/>
              </w:rPr>
            </w:pPr>
            <w:r>
              <w:rPr>
                <w:rFonts w:ascii="Arial" w:cs="Arial" w:eastAsia="Arial" w:hAnsi="Arial"/>
                <w:sz w:val="18"/>
                <w:szCs w:val="18"/>
                <w:color w:val="auto"/>
                <w:w w:val="91"/>
              </w:rPr>
              <w:t>Certification by Chief Financial Officer pursuant to Rules 13a-14(a) and 15d-14(a) of the Exchange Act, as adopted pursuant to Section</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140" w:type="dxa"/>
            <w:vAlign w:val="bottom"/>
          </w:tcPr>
          <w:p>
            <w:pPr>
              <w:ind w:left="300"/>
              <w:spacing w:after="0"/>
              <w:rPr>
                <w:sz w:val="20"/>
                <w:szCs w:val="20"/>
                <w:color w:val="auto"/>
              </w:rPr>
            </w:pPr>
            <w:r>
              <w:rPr>
                <w:rFonts w:ascii="Arial" w:cs="Arial" w:eastAsia="Arial" w:hAnsi="Arial"/>
                <w:sz w:val="18"/>
                <w:szCs w:val="18"/>
                <w:color w:val="auto"/>
              </w:rPr>
              <w:t>302 of the Sarbanes-Oxley Act of 2002.</w:t>
            </w:r>
          </w:p>
        </w:tc>
      </w:tr>
      <w:tr>
        <w:trPr>
          <w:trHeight w:val="243"/>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140" w:type="dxa"/>
            <w:vAlign w:val="bottom"/>
            <w:shd w:val="clear" w:color="auto" w:fill="CCEEFF"/>
          </w:tcPr>
          <w:p>
            <w:pPr>
              <w:spacing w:after="0"/>
              <w:rPr>
                <w:sz w:val="21"/>
                <w:szCs w:val="21"/>
                <w:color w:val="auto"/>
              </w:rPr>
            </w:pPr>
          </w:p>
        </w:tc>
      </w:tr>
      <w:tr>
        <w:trPr>
          <w:trHeight w:val="189"/>
        </w:trPr>
        <w:tc>
          <w:tcPr>
            <w:tcW w:w="1100" w:type="dxa"/>
            <w:vAlign w:val="bottom"/>
            <w:gridSpan w:val="4"/>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140" w:type="dxa"/>
            <w:vAlign w:val="bottom"/>
          </w:tcPr>
          <w:p>
            <w:pPr>
              <w:ind w:left="300"/>
              <w:spacing w:after="0" w:line="189" w:lineRule="exact"/>
              <w:rPr>
                <w:sz w:val="20"/>
                <w:szCs w:val="20"/>
                <w:color w:val="auto"/>
              </w:rPr>
            </w:pPr>
            <w:r>
              <w:rPr>
                <w:rFonts w:ascii="Arial" w:cs="Arial" w:eastAsia="Arial" w:hAnsi="Arial"/>
                <w:sz w:val="18"/>
                <w:szCs w:val="18"/>
                <w:color w:val="auto"/>
                <w:w w:val="91"/>
              </w:rPr>
              <w:t>Certifications by Chief Executive Officer pursuant to Title 18 U.S.C. Section 1350, as adopted pursuant to Section 906 of the Sarbanes-</w:t>
            </w:r>
          </w:p>
        </w:tc>
      </w:tr>
      <w:tr>
        <w:trPr>
          <w:trHeight w:val="210"/>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80" w:type="dxa"/>
            <w:vAlign w:val="bottom"/>
          </w:tcPr>
          <w:p>
            <w:pPr>
              <w:spacing w:after="0"/>
              <w:rPr>
                <w:sz w:val="18"/>
                <w:szCs w:val="18"/>
                <w:color w:val="auto"/>
              </w:rPr>
            </w:pPr>
          </w:p>
        </w:tc>
        <w:tc>
          <w:tcPr>
            <w:tcW w:w="10140" w:type="dxa"/>
            <w:vAlign w:val="bottom"/>
          </w:tcPr>
          <w:p>
            <w:pPr>
              <w:ind w:left="300"/>
              <w:spacing w:after="0"/>
              <w:rPr>
                <w:sz w:val="20"/>
                <w:szCs w:val="20"/>
                <w:color w:val="auto"/>
              </w:rPr>
            </w:pPr>
            <w:r>
              <w:rPr>
                <w:rFonts w:ascii="Arial" w:cs="Arial" w:eastAsia="Arial" w:hAnsi="Arial"/>
                <w:sz w:val="18"/>
                <w:szCs w:val="18"/>
                <w:color w:val="auto"/>
              </w:rPr>
              <w:t>Oxley Act of 2002.</w:t>
            </w:r>
          </w:p>
        </w:tc>
      </w:tr>
      <w:tr>
        <w:trPr>
          <w:trHeight w:val="243"/>
        </w:trPr>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140" w:type="dxa"/>
            <w:vAlign w:val="bottom"/>
            <w:shd w:val="clear" w:color="auto" w:fill="CCEEFF"/>
          </w:tcPr>
          <w:p>
            <w:pPr>
              <w:spacing w:after="0"/>
              <w:rPr>
                <w:sz w:val="21"/>
                <w:szCs w:val="21"/>
                <w:color w:val="auto"/>
              </w:rPr>
            </w:pPr>
          </w:p>
        </w:tc>
      </w:tr>
      <w:tr>
        <w:trPr>
          <w:trHeight w:val="189"/>
        </w:trPr>
        <w:tc>
          <w:tcPr>
            <w:tcW w:w="1100" w:type="dxa"/>
            <w:vAlign w:val="bottom"/>
            <w:gridSpan w:val="4"/>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p>
        </w:tc>
        <w:tc>
          <w:tcPr>
            <w:tcW w:w="10140" w:type="dxa"/>
            <w:vAlign w:val="bottom"/>
          </w:tcPr>
          <w:p>
            <w:pPr>
              <w:ind w:left="300"/>
              <w:spacing w:after="0" w:line="189" w:lineRule="exact"/>
              <w:rPr>
                <w:sz w:val="20"/>
                <w:szCs w:val="20"/>
                <w:color w:val="auto"/>
              </w:rPr>
            </w:pPr>
            <w:r>
              <w:rPr>
                <w:rFonts w:ascii="Arial" w:cs="Arial" w:eastAsia="Arial" w:hAnsi="Arial"/>
                <w:sz w:val="18"/>
                <w:szCs w:val="18"/>
                <w:color w:val="auto"/>
                <w:w w:val="91"/>
              </w:rPr>
              <w:t>Certifications by Chief Financial Officer pursuant to Title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80" w:type="dxa"/>
            <w:vAlign w:val="bottom"/>
          </w:tcPr>
          <w:p>
            <w:pPr>
              <w:spacing w:after="0"/>
              <w:rPr>
                <w:sz w:val="18"/>
                <w:szCs w:val="18"/>
                <w:color w:val="auto"/>
              </w:rPr>
            </w:pPr>
          </w:p>
        </w:tc>
        <w:tc>
          <w:tcPr>
            <w:tcW w:w="10140" w:type="dxa"/>
            <w:vAlign w:val="bottom"/>
          </w:tcPr>
          <w:p>
            <w:pPr>
              <w:ind w:left="300"/>
              <w:spacing w:after="0"/>
              <w:rPr>
                <w:sz w:val="20"/>
                <w:szCs w:val="20"/>
                <w:color w:val="auto"/>
              </w:rPr>
            </w:pPr>
            <w:r>
              <w:rPr>
                <w:rFonts w:ascii="Arial" w:cs="Arial" w:eastAsia="Arial" w:hAnsi="Arial"/>
                <w:sz w:val="18"/>
                <w:szCs w:val="18"/>
                <w:color w:val="auto"/>
              </w:rPr>
              <w:t>Oxley Act of 2002.</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14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40" w:type="dxa"/>
            <w:vAlign w:val="bottom"/>
          </w:tcPr>
          <w:p>
            <w:pPr>
              <w:ind w:left="300"/>
              <w:spacing w:after="0"/>
              <w:rPr>
                <w:sz w:val="20"/>
                <w:szCs w:val="20"/>
                <w:color w:val="auto"/>
              </w:rPr>
            </w:pPr>
            <w:r>
              <w:rPr>
                <w:rFonts w:ascii="Arial" w:cs="Arial" w:eastAsia="Arial" w:hAnsi="Arial"/>
                <w:sz w:val="18"/>
                <w:szCs w:val="18"/>
                <w:color w:val="auto"/>
              </w:rPr>
              <w:t>Inline XBRL Instance Document</w:t>
            </w:r>
          </w:p>
        </w:tc>
      </w:tr>
      <w:tr>
        <w:trPr>
          <w:trHeight w:val="256"/>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14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40" w:type="dxa"/>
            <w:vAlign w:val="bottom"/>
          </w:tcPr>
          <w:p>
            <w:pPr>
              <w:ind w:left="300"/>
              <w:spacing w:after="0"/>
              <w:rPr>
                <w:sz w:val="20"/>
                <w:szCs w:val="20"/>
                <w:color w:val="auto"/>
              </w:rPr>
            </w:pPr>
            <w:r>
              <w:rPr>
                <w:rFonts w:ascii="Arial" w:cs="Arial" w:eastAsia="Arial" w:hAnsi="Arial"/>
                <w:sz w:val="18"/>
                <w:szCs w:val="18"/>
                <w:color w:val="auto"/>
              </w:rPr>
              <w:t>Inline XBRL Schema Document</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14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40" w:type="dxa"/>
            <w:vAlign w:val="bottom"/>
          </w:tcPr>
          <w:p>
            <w:pPr>
              <w:ind w:left="300"/>
              <w:spacing w:after="0"/>
              <w:rPr>
                <w:sz w:val="20"/>
                <w:szCs w:val="20"/>
                <w:color w:val="auto"/>
              </w:rPr>
            </w:pPr>
            <w:r>
              <w:rPr>
                <w:rFonts w:ascii="Arial" w:cs="Arial" w:eastAsia="Arial" w:hAnsi="Arial"/>
                <w:sz w:val="18"/>
                <w:szCs w:val="18"/>
                <w:color w:val="auto"/>
              </w:rPr>
              <w:t>Inline XBRL Calculation Linkbase Document</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14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40" w:type="dxa"/>
            <w:vAlign w:val="bottom"/>
          </w:tcPr>
          <w:p>
            <w:pPr>
              <w:ind w:left="300"/>
              <w:spacing w:after="0"/>
              <w:rPr>
                <w:sz w:val="20"/>
                <w:szCs w:val="20"/>
                <w:color w:val="auto"/>
              </w:rPr>
            </w:pPr>
            <w:r>
              <w:rPr>
                <w:rFonts w:ascii="Arial" w:cs="Arial" w:eastAsia="Arial" w:hAnsi="Arial"/>
                <w:sz w:val="18"/>
                <w:szCs w:val="18"/>
                <w:color w:val="auto"/>
              </w:rPr>
              <w:t>Inline XBRL Label Linkbase Document</w:t>
            </w:r>
          </w:p>
        </w:tc>
      </w:tr>
      <w:tr>
        <w:trPr>
          <w:trHeight w:val="256"/>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14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40" w:type="dxa"/>
            <w:vAlign w:val="bottom"/>
          </w:tcPr>
          <w:p>
            <w:pPr>
              <w:ind w:left="300"/>
              <w:spacing w:after="0"/>
              <w:rPr>
                <w:sz w:val="20"/>
                <w:szCs w:val="20"/>
                <w:color w:val="auto"/>
              </w:rPr>
            </w:pPr>
            <w:r>
              <w:rPr>
                <w:rFonts w:ascii="Arial" w:cs="Arial" w:eastAsia="Arial" w:hAnsi="Arial"/>
                <w:sz w:val="18"/>
                <w:szCs w:val="18"/>
                <w:color w:val="auto"/>
              </w:rPr>
              <w:t>Inline XBRL Presentation Linkbase Document</w:t>
            </w:r>
          </w:p>
        </w:tc>
      </w:t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14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4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6"/>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140" w:type="dxa"/>
            <w:vAlign w:val="bottom"/>
            <w:shd w:val="clear" w:color="auto" w:fill="CCEEFF"/>
          </w:tcPr>
          <w:p>
            <w:pPr>
              <w:spacing w:after="0"/>
              <w:rPr>
                <w:sz w:val="22"/>
                <w:szCs w:val="22"/>
                <w:color w:val="auto"/>
              </w:rPr>
            </w:pPr>
          </w:p>
        </w:tc>
      </w:tr>
      <w:tr>
        <w:trPr>
          <w:trHeight w:val="230"/>
        </w:trPr>
        <w:tc>
          <w:tcPr>
            <w:tcW w:w="44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140" w:type="dxa"/>
            <w:vAlign w:val="bottom"/>
          </w:tcPr>
          <w:p>
            <w:pPr>
              <w:ind w:left="300"/>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Filed as an exhibit to this Quarterly Report.</w:t>
      </w:r>
    </w:p>
    <w:p>
      <w:pPr>
        <w:spacing w:after="0" w:line="23"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Furnished as an exhibit to this Quarterly Report.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Portions of the exhibit (indicated by asterisks) have been omitted in pursuant to Item 601 (b)(10)(iv) of Regulation S-K.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96" w:right="1440" w:bottom="1440" w:gutter="0" w:footer="0" w:header="0"/>
        </w:sectPr>
      </w:pPr>
    </w:p>
    <w:bookmarkStart w:id="91" w:name="page92"/>
    <w:bookmarkEnd w:id="9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4"/>
          <w:szCs w:val="14"/>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NEW FORTRESS ENERGY INC.</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Date: August 8, 2023</w:t>
            </w: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Wesley R. Edens</w:t>
            </w:r>
          </w:p>
        </w:tc>
        <w:tc>
          <w:tcPr>
            <w:tcW w:w="0" w:type="dxa"/>
            <w:vAlign w:val="bottom"/>
          </w:tcPr>
          <w:p>
            <w:pPr>
              <w:spacing w:after="0"/>
              <w:rPr>
                <w:sz w:val="1"/>
                <w:szCs w:val="1"/>
                <w:color w:val="auto"/>
              </w:rPr>
            </w:pPr>
          </w:p>
        </w:tc>
      </w:tr>
      <w:tr>
        <w:trPr>
          <w:trHeight w:val="493"/>
        </w:trPr>
        <w:tc>
          <w:tcPr>
            <w:tcW w:w="6460" w:type="dxa"/>
            <w:vAlign w:val="bottom"/>
          </w:tcPr>
          <w:p>
            <w:pPr>
              <w:ind w:left="544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Wesley R. Edens</w:t>
            </w:r>
          </w:p>
        </w:tc>
        <w:tc>
          <w:tcPr>
            <w:tcW w:w="0" w:type="dxa"/>
            <w:vAlign w:val="bottom"/>
          </w:tcPr>
          <w:p>
            <w:pPr>
              <w:spacing w:after="0"/>
              <w:rPr>
                <w:sz w:val="1"/>
                <w:szCs w:val="1"/>
                <w:color w:val="auto"/>
              </w:rPr>
            </w:pPr>
          </w:p>
        </w:tc>
      </w:tr>
      <w:tr>
        <w:trPr>
          <w:trHeight w:val="499"/>
        </w:trPr>
        <w:tc>
          <w:tcPr>
            <w:tcW w:w="6460" w:type="dxa"/>
            <w:vAlign w:val="bottom"/>
          </w:tcPr>
          <w:p>
            <w:pPr>
              <w:ind w:left="544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c>
          <w:tcPr>
            <w:tcW w:w="0" w:type="dxa"/>
            <w:vAlign w:val="bottom"/>
          </w:tcPr>
          <w:p>
            <w:pPr>
              <w:spacing w:after="0"/>
              <w:rPr>
                <w:sz w:val="1"/>
                <w:szCs w:val="1"/>
                <w:color w:val="auto"/>
              </w:rPr>
            </w:pPr>
          </w:p>
        </w:tc>
      </w:tr>
      <w:tr>
        <w:trPr>
          <w:trHeight w:val="500"/>
        </w:trPr>
        <w:tc>
          <w:tcPr>
            <w:tcW w:w="64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43"/>
        </w:trPr>
        <w:tc>
          <w:tcPr>
            <w:tcW w:w="6460" w:type="dxa"/>
            <w:vAlign w:val="bottom"/>
          </w:tcPr>
          <w:p>
            <w:pPr>
              <w:spacing w:after="0"/>
              <w:rPr>
                <w:sz w:val="20"/>
                <w:szCs w:val="20"/>
                <w:color w:val="auto"/>
              </w:rPr>
            </w:pPr>
            <w:r>
              <w:rPr>
                <w:rFonts w:ascii="Arial" w:cs="Arial" w:eastAsia="Arial" w:hAnsi="Arial"/>
                <w:sz w:val="18"/>
                <w:szCs w:val="18"/>
                <w:color w:val="auto"/>
              </w:rPr>
              <w:t>Date: August 8, 2023</w:t>
            </w:r>
          </w:p>
        </w:tc>
        <w:tc>
          <w:tcPr>
            <w:tcW w:w="4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6460" w:type="dxa"/>
            <w:vAlign w:val="bottom"/>
          </w:tcPr>
          <w:p>
            <w:pPr>
              <w:ind w:left="54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S. Guinta</w:t>
            </w:r>
          </w:p>
        </w:tc>
        <w:tc>
          <w:tcPr>
            <w:tcW w:w="0" w:type="dxa"/>
            <w:vAlign w:val="bottom"/>
          </w:tcPr>
          <w:p>
            <w:pPr>
              <w:spacing w:after="0"/>
              <w:rPr>
                <w:sz w:val="1"/>
                <w:szCs w:val="1"/>
                <w:color w:val="auto"/>
              </w:rPr>
            </w:pPr>
          </w:p>
        </w:tc>
      </w:tr>
      <w:tr>
        <w:trPr>
          <w:trHeight w:val="493"/>
        </w:trPr>
        <w:tc>
          <w:tcPr>
            <w:tcW w:w="6460" w:type="dxa"/>
            <w:vAlign w:val="bottom"/>
          </w:tcPr>
          <w:p>
            <w:pPr>
              <w:ind w:left="544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Christopher S. Guinta</w:t>
            </w:r>
          </w:p>
        </w:tc>
        <w:tc>
          <w:tcPr>
            <w:tcW w:w="0" w:type="dxa"/>
            <w:vAlign w:val="bottom"/>
          </w:tcPr>
          <w:p>
            <w:pPr>
              <w:spacing w:after="0"/>
              <w:rPr>
                <w:sz w:val="1"/>
                <w:szCs w:val="1"/>
                <w:color w:val="auto"/>
              </w:rPr>
            </w:pPr>
          </w:p>
        </w:tc>
      </w:tr>
      <w:tr>
        <w:trPr>
          <w:trHeight w:val="500"/>
        </w:trPr>
        <w:tc>
          <w:tcPr>
            <w:tcW w:w="6460" w:type="dxa"/>
            <w:vAlign w:val="bottom"/>
          </w:tcPr>
          <w:p>
            <w:pPr>
              <w:ind w:left="544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513"/>
        </w:trPr>
        <w:tc>
          <w:tcPr>
            <w:tcW w:w="6460" w:type="dxa"/>
            <w:vAlign w:val="bottom"/>
            <w:vMerge w:val="restart"/>
          </w:tcPr>
          <w:p>
            <w:pPr>
              <w:spacing w:after="0"/>
              <w:rPr>
                <w:sz w:val="20"/>
                <w:szCs w:val="20"/>
                <w:color w:val="auto"/>
              </w:rPr>
            </w:pPr>
            <w:r>
              <w:rPr>
                <w:rFonts w:ascii="Arial" w:cs="Arial" w:eastAsia="Arial" w:hAnsi="Arial"/>
                <w:sz w:val="18"/>
                <w:szCs w:val="18"/>
                <w:color w:val="auto"/>
              </w:rPr>
              <w:t>Date: August 8, 2023</w:t>
            </w:r>
          </w:p>
        </w:tc>
        <w:tc>
          <w:tcPr>
            <w:tcW w:w="4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30"/>
        </w:trPr>
        <w:tc>
          <w:tcPr>
            <w:tcW w:w="6460" w:type="dxa"/>
            <w:vAlign w:val="bottom"/>
            <w:vMerge w:val="continue"/>
          </w:tcPr>
          <w:p>
            <w:pPr>
              <w:spacing w:after="0"/>
              <w:rPr>
                <w:sz w:val="19"/>
                <w:szCs w:val="19"/>
                <w:color w:val="auto"/>
              </w:rPr>
            </w:pPr>
          </w:p>
        </w:tc>
        <w:tc>
          <w:tcPr>
            <w:tcW w:w="4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6460" w:type="dxa"/>
            <w:vAlign w:val="bottom"/>
          </w:tcPr>
          <w:p>
            <w:pPr>
              <w:ind w:left="544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Yunyoung Shin</w:t>
            </w:r>
          </w:p>
        </w:tc>
        <w:tc>
          <w:tcPr>
            <w:tcW w:w="0" w:type="dxa"/>
            <w:vAlign w:val="bottom"/>
          </w:tcPr>
          <w:p>
            <w:pPr>
              <w:spacing w:after="0"/>
              <w:rPr>
                <w:sz w:val="1"/>
                <w:szCs w:val="1"/>
                <w:color w:val="auto"/>
              </w:rPr>
            </w:pPr>
          </w:p>
        </w:tc>
      </w:tr>
      <w:tr>
        <w:trPr>
          <w:trHeight w:val="480"/>
        </w:trPr>
        <w:tc>
          <w:tcPr>
            <w:tcW w:w="6460" w:type="dxa"/>
            <w:vAlign w:val="bottom"/>
          </w:tcPr>
          <w:p>
            <w:pPr>
              <w:ind w:left="5440"/>
              <w:spacing w:after="0"/>
              <w:rPr>
                <w:sz w:val="20"/>
                <w:szCs w:val="20"/>
                <w:color w:val="auto"/>
              </w:rPr>
            </w:pPr>
            <w:r>
              <w:rPr>
                <w:rFonts w:ascii="Arial" w:cs="Arial" w:eastAsia="Arial" w:hAnsi="Arial"/>
                <w:sz w:val="18"/>
                <w:szCs w:val="18"/>
                <w:color w:val="auto"/>
              </w:rPr>
              <w:t>Name:</w:t>
            </w:r>
          </w:p>
        </w:tc>
        <w:tc>
          <w:tcPr>
            <w:tcW w:w="4760" w:type="dxa"/>
            <w:vAlign w:val="bottom"/>
          </w:tcPr>
          <w:p>
            <w:pPr>
              <w:ind w:left="20"/>
              <w:spacing w:after="0"/>
              <w:rPr>
                <w:sz w:val="20"/>
                <w:szCs w:val="20"/>
                <w:color w:val="auto"/>
              </w:rPr>
            </w:pPr>
            <w:r>
              <w:rPr>
                <w:rFonts w:ascii="Arial" w:cs="Arial" w:eastAsia="Arial" w:hAnsi="Arial"/>
                <w:sz w:val="18"/>
                <w:szCs w:val="18"/>
                <w:color w:val="auto"/>
              </w:rPr>
              <w:t>Yunyoung Shin</w:t>
            </w:r>
          </w:p>
        </w:tc>
        <w:tc>
          <w:tcPr>
            <w:tcW w:w="0" w:type="dxa"/>
            <w:vAlign w:val="bottom"/>
          </w:tcPr>
          <w:p>
            <w:pPr>
              <w:spacing w:after="0"/>
              <w:rPr>
                <w:sz w:val="1"/>
                <w:szCs w:val="1"/>
                <w:color w:val="auto"/>
              </w:rPr>
            </w:pPr>
          </w:p>
        </w:tc>
      </w:tr>
      <w:tr>
        <w:trPr>
          <w:trHeight w:val="284"/>
        </w:trPr>
        <w:tc>
          <w:tcPr>
            <w:tcW w:w="6460" w:type="dxa"/>
            <w:vAlign w:val="bottom"/>
          </w:tcPr>
          <w:p>
            <w:pPr>
              <w:ind w:left="5440"/>
              <w:spacing w:after="0"/>
              <w:rPr>
                <w:sz w:val="20"/>
                <w:szCs w:val="20"/>
                <w:color w:val="auto"/>
              </w:rPr>
            </w:pPr>
            <w:r>
              <w:rPr>
                <w:rFonts w:ascii="Arial" w:cs="Arial" w:eastAsia="Arial" w:hAnsi="Arial"/>
                <w:sz w:val="18"/>
                <w:szCs w:val="18"/>
                <w:color w:val="auto"/>
              </w:rPr>
              <w:t>Title:</w:t>
            </w:r>
          </w:p>
        </w:tc>
        <w:tc>
          <w:tcPr>
            <w:tcW w:w="4760" w:type="dxa"/>
            <w:vAlign w:val="bottom"/>
          </w:tcPr>
          <w:p>
            <w:pPr>
              <w:ind w:left="2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513"/>
        </w:trPr>
        <w:tc>
          <w:tcPr>
            <w:tcW w:w="646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905"/>
        </w:trPr>
        <w:tc>
          <w:tcPr>
            <w:tcW w:w="6460" w:type="dxa"/>
            <w:vAlign w:val="bottom"/>
          </w:tcPr>
          <w:p>
            <w:pPr>
              <w:ind w:left="5520"/>
              <w:spacing w:after="0"/>
              <w:rPr>
                <w:sz w:val="20"/>
                <w:szCs w:val="20"/>
                <w:color w:val="auto"/>
              </w:rPr>
            </w:pPr>
            <w:r>
              <w:rPr>
                <w:rFonts w:ascii="Arial" w:cs="Arial" w:eastAsia="Arial" w:hAnsi="Arial"/>
                <w:sz w:val="18"/>
                <w:szCs w:val="18"/>
                <w:color w:val="auto"/>
              </w:rPr>
              <w:t>87</w:t>
            </w: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6"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Wesley R. Edens, certify that:</w:t>
      </w:r>
    </w:p>
    <w:p>
      <w:pPr>
        <w:spacing w:after="0" w:line="198"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Inc. (the “registrant”);</w:t>
      </w:r>
    </w:p>
    <w:p>
      <w:pPr>
        <w:spacing w:after="0" w:line="184"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700" w:val="left"/>
          <w:tab w:leader="none" w:pos="6460" w:val="left"/>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40640</wp:posOffset>
            </wp:positionV>
            <wp:extent cx="18599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185991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40640</wp:posOffset>
            </wp:positionV>
            <wp:extent cx="18605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6">
                      <a:extLst>
                        <a:ext uri="{28A0092B-C50C-407E-A947-70E740481C1C}"/>
                      </a:extLst>
                    </a:blip>
                    <a:srcRect/>
                    <a:stretch>
                      <a:fillRect/>
                    </a:stretch>
                  </pic:blipFill>
                  <pic:spPr bwMode="auto">
                    <a:xfrm>
                      <a:off x="0" y="0"/>
                      <a:ext cx="1860550" cy="17145"/>
                    </a:xfrm>
                    <a:prstGeom prst="rect">
                      <a:avLst/>
                    </a:prstGeom>
                    <a:noFill/>
                  </pic:spPr>
                </pic:pic>
              </a:graphicData>
            </a:graphic>
          </wp:anchor>
        </w:drawing>
      </w:r>
    </w:p>
    <w:p>
      <w:pPr>
        <w:spacing w:after="0" w:line="84"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Wesley R. Edens</w:t>
      </w:r>
    </w:p>
    <w:p>
      <w:pPr>
        <w:spacing w:after="0" w:line="7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39"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Guinta, certify that:</w:t>
      </w:r>
    </w:p>
    <w:p>
      <w:pPr>
        <w:spacing w:after="0" w:line="198"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(the “report”) of New Fortress Energy Inc. (the “registrant”);</w:t>
      </w:r>
    </w:p>
    <w:p>
      <w:pPr>
        <w:spacing w:after="0" w:line="184"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right="460" w:hanging="644"/>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700" w:val="left"/>
          <w:tab w:leader="none" w:pos="6460" w:val="left"/>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23495</wp:posOffset>
            </wp:positionV>
            <wp:extent cx="18599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185991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23495</wp:posOffset>
            </wp:positionV>
            <wp:extent cx="18605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1860550" cy="17145"/>
                    </a:xfrm>
                    <a:prstGeom prst="rect">
                      <a:avLst/>
                    </a:prstGeom>
                    <a:noFill/>
                  </pic:spPr>
                </pic:pic>
              </a:graphicData>
            </a:graphic>
          </wp:anchor>
        </w:drawing>
      </w:r>
    </w:p>
    <w:p>
      <w:pPr>
        <w:spacing w:after="0" w:line="4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39"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UNDER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 18 U.S.C. § 1350</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on Form 10-Q of New Fortress Energy Inc. (the “Company”) for the quarter ended June 30, 2023,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138"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20"/>
        <w:spacing w:after="0"/>
        <w:tabs>
          <w:tab w:leader="none" w:pos="700" w:val="left"/>
          <w:tab w:leader="none" w:pos="6460" w:val="left"/>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40640</wp:posOffset>
            </wp:positionV>
            <wp:extent cx="18599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185991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40640</wp:posOffset>
            </wp:positionV>
            <wp:extent cx="18605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1860550" cy="17145"/>
                    </a:xfrm>
                    <a:prstGeom prst="rect">
                      <a:avLst/>
                    </a:prstGeom>
                    <a:noFill/>
                  </pic:spPr>
                </pic:pic>
              </a:graphicData>
            </a:graphic>
          </wp:anchor>
        </w:drawing>
      </w:r>
    </w:p>
    <w:p>
      <w:pPr>
        <w:spacing w:after="0" w:line="84"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Wesley R. Edens</w:t>
      </w:r>
    </w:p>
    <w:p>
      <w:pPr>
        <w:spacing w:after="0" w:line="7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39"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UNDER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 OXLEY ACT OF 2002, 18 U.S.C. § 1350</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on Form 10-Q of New Fortress Energy Inc. (the “Company”) for the quarter ended June 30, 2023,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138"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20"/>
        <w:spacing w:after="0"/>
        <w:tabs>
          <w:tab w:leader="none" w:pos="700" w:val="left"/>
          <w:tab w:leader="none" w:pos="6460" w:val="left"/>
          <w:tab w:leader="none" w:pos="6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23495</wp:posOffset>
            </wp:positionV>
            <wp:extent cx="18599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185991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23495</wp:posOffset>
            </wp:positionV>
            <wp:extent cx="18605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1860550" cy="17145"/>
                    </a:xfrm>
                    <a:prstGeom prst="rect">
                      <a:avLst/>
                    </a:prstGeom>
                    <a:noFill/>
                  </pic:spPr>
                </pic:pic>
              </a:graphicData>
            </a:graphic>
          </wp:anchor>
        </w:drawing>
      </w:r>
    </w:p>
    <w:p>
      <w:pPr>
        <w:spacing w:after="0" w:line="4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Christopher S. Guinta</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x"/>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2"/>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2"/>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7"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166" Type="http://schemas.openxmlformats.org/officeDocument/2006/relationships/image" Target="media/image109.png"/><Relationship Id="rId167"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06" Type="http://schemas.openxmlformats.org/officeDocument/2006/relationships/hyperlink" Target="https://www.sec.gov/Archives/edgar/data/1749723/000114036120017367/brhc10013767_ex99-2.htm" TargetMode="External"/><Relationship Id="rId107" Type="http://schemas.openxmlformats.org/officeDocument/2006/relationships/hyperlink" Target="https://www.sec.gov/Archives/edgar/data/1749723/000114036120017367/brhc10013767_ex99-3.htm" TargetMode="External"/><Relationship Id="rId108" Type="http://schemas.openxmlformats.org/officeDocument/2006/relationships/hyperlink" Target="https://www.sec.gov/Archives/edgar/data/1749723/000114036120017367/brhc10013767_ex99-4.htm" TargetMode="External"/><Relationship Id="rId109" Type="http://schemas.openxmlformats.org/officeDocument/2006/relationships/hyperlink" Target="https://www.sec.gov/Archives/edgar/data/1749723/000114036119002438/s002392x19_ex4-4.htm" TargetMode="External"/><Relationship Id="rId110" Type="http://schemas.openxmlformats.org/officeDocument/2006/relationships/hyperlink" Target="https://www.sec.gov/Archives/edgar/data/1749723/000114036118045661/s002392x8_ex10-4.htm" TargetMode="External"/><Relationship Id="rId111" Type="http://schemas.openxmlformats.org/officeDocument/2006/relationships/hyperlink" Target="https://www.sec.gov/Archives/edgar/data/1749723/000174972322000028/exhibit6_psu.htm" TargetMode="External"/><Relationship Id="rId112" Type="http://schemas.openxmlformats.org/officeDocument/2006/relationships/hyperlink" Target="https://www.sec.gov/Archives/edgar/data/1749723/000114036119002493/s002392x20_ex4-1.htm" TargetMode="External"/><Relationship Id="rId113" Type="http://schemas.openxmlformats.org/officeDocument/2006/relationships/hyperlink" Target="https://www.sec.gov/Archives/edgar/data/1749723/000114036119002493/s002392x20_ex10-3.htm" TargetMode="External"/><Relationship Id="rId114" Type="http://schemas.openxmlformats.org/officeDocument/2006/relationships/hyperlink" Target="https://www.sec.gov/Archives/edgar/data/1749723/000114036119002493/s002392x20_ex10-4.htm" TargetMode="External"/><Relationship Id="rId115" Type="http://schemas.openxmlformats.org/officeDocument/2006/relationships/hyperlink" Target="https://www.sec.gov/Archives/edgar/data/1749723/000114036119002493/s002392x20_ex10-5.htm" TargetMode="External"/><Relationship Id="rId116" Type="http://schemas.openxmlformats.org/officeDocument/2006/relationships/hyperlink" Target="https://www.sec.gov/Archives/edgar/data/1749723/000114036119002493/s002392x20_ex10-7.htm" TargetMode="External"/><Relationship Id="rId118" Type="http://schemas.openxmlformats.org/officeDocument/2006/relationships/hyperlink" Target="https://www.sec.gov/Archives/edgar/data/1749723/000114036119002493/s002392x20_ex10-8.htm" TargetMode="External"/><Relationship Id="rId119" Type="http://schemas.openxmlformats.org/officeDocument/2006/relationships/hyperlink" Target="https://www.sec.gov/Archives/edgar/data/1749723/000114036119002493/s002392x20_ex10-9.htm" TargetMode="External"/><Relationship Id="rId120" Type="http://schemas.openxmlformats.org/officeDocument/2006/relationships/hyperlink" Target="https://www.sec.gov/Archives/edgar/data/1749723/000114036119002493/s002392x20_ex10-10.htm" TargetMode="External"/><Relationship Id="rId121" Type="http://schemas.openxmlformats.org/officeDocument/2006/relationships/hyperlink" Target="https://www.sec.gov/Archives/edgar/data/1749723/000114036119002493/s002392x20_ex10-11.htm" TargetMode="External"/><Relationship Id="rId122" Type="http://schemas.openxmlformats.org/officeDocument/2006/relationships/hyperlink" Target="https://www.sec.gov/Archives/edgar/data/1749723/000114036119002493/s002392x20_ex10-12.htm" TargetMode="External"/><Relationship Id="rId123" Type="http://schemas.openxmlformats.org/officeDocument/2006/relationships/hyperlink" Target="https://www.sec.gov/Archives/edgar/data/1749723/000174972323000030/indemnificationagreement.htm" TargetMode="External"/><Relationship Id="rId124" Type="http://schemas.openxmlformats.org/officeDocument/2006/relationships/hyperlink" Target="https://www.sec.gov/Archives/edgar/data/1749723/000114036119005657/s002752x1_ex10-29.htm" TargetMode="External"/><Relationship Id="rId125" Type="http://schemas.openxmlformats.org/officeDocument/2006/relationships/hyperlink" Target="https://www.sec.gov/Archives/edgar/data/0001749723/000114036120010751/ex10_3.htm" TargetMode="External"/><Relationship Id="rId126" Type="http://schemas.openxmlformats.org/officeDocument/2006/relationships/hyperlink" Target="https://www.sec.gov/Archives/edgar/data/1749723/000174972323000010/a1017-christopherguintaxof.htm" TargetMode="External"/><Relationship Id="rId127" Type="http://schemas.openxmlformats.org/officeDocument/2006/relationships/hyperlink" Target="https://www.sec.gov/Archives/edgar/data/0001749723/000114036120019661/nc10014821x1_ex4-1.htm" TargetMode="External"/><Relationship Id="rId128" Type="http://schemas.openxmlformats.org/officeDocument/2006/relationships/hyperlink" Target="https://www.sec.gov/Archives/edgar/data/0001749723/000114036120019661/nc10014821x1_ex4-2.htm" TargetMode="External"/><Relationship Id="rId129" Type="http://schemas.openxmlformats.org/officeDocument/2006/relationships/hyperlink" Target="https://www.sec.gov/Archives/edgar/data/0001749723/000114036120028859/nt10017907x7_ex4-1.htm" TargetMode="External"/><Relationship Id="rId130" Type="http://schemas.openxmlformats.org/officeDocument/2006/relationships/hyperlink" Target="https://www.sec.gov/Archives/edgar/data/1749723/000174972323000010/a1021-2025notesxsecondsupp.htm" TargetMode="External"/><Relationship Id="rId131" Type="http://schemas.openxmlformats.org/officeDocument/2006/relationships/hyperlink" Target="https://www.sec.gov/Archives/edgar/data/1749723/000174972323000010/a1022-2025notesxthirdsuppl.htm" TargetMode="External"/><Relationship Id="rId134" Type="http://schemas.openxmlformats.org/officeDocument/2006/relationships/hyperlink" Target="https://www.sec.gov/Archives/edgar/data/1749723/000174972323000010/a1023-fourth_supplementalx.htm" TargetMode="External"/><Relationship Id="rId135" Type="http://schemas.openxmlformats.org/officeDocument/2006/relationships/hyperlink" Target="https://www.sec.gov/Archives/edgar/data/1749723/000174972323000010/a1024-2025notesxfifthsuppl.htm" TargetMode="External"/><Relationship Id="rId136" Type="http://schemas.openxmlformats.org/officeDocument/2006/relationships/hyperlink" Target="https://www.sec.gov/Archives/edgar/data/1749723/000174972323000010/a1025-2025notesxsixthsuppl.htm" TargetMode="External"/><Relationship Id="rId137" Type="http://schemas.openxmlformats.org/officeDocument/2006/relationships/hyperlink" Target="https://www.sec.gov/Archives/edgar/data/1749723/000174972323000010/a1026-2025notesxseventhsup.htm" TargetMode="External"/><Relationship Id="rId138" Type="http://schemas.openxmlformats.org/officeDocument/2006/relationships/hyperlink" Target="https://www.sec.gov/Archives/edgar/data/0001749723/000114036121012455/brhc10022997_ex4-1.htm" TargetMode="External"/><Relationship Id="rId139" Type="http://schemas.openxmlformats.org/officeDocument/2006/relationships/hyperlink" Target="https://www.sec.gov/Archives/edgar/data/0001749723/000114036121012455/brhc10022997_ex4-2.htm" TargetMode="External"/><Relationship Id="rId140" Type="http://schemas.openxmlformats.org/officeDocument/2006/relationships/hyperlink" Target="https://www.sec.gov/Archives/edgar/data/1749723/000174972323000010/a1029-2026notesxfirstsuppl.htm" TargetMode="External"/><Relationship Id="rId141" Type="http://schemas.openxmlformats.org/officeDocument/2006/relationships/hyperlink" Target="https://www.sec.gov/Archives/edgar/data/1749723/000174972323000010/a1030-2026notesxsecondsupp.htm" TargetMode="External"/><Relationship Id="rId142" Type="http://schemas.openxmlformats.org/officeDocument/2006/relationships/hyperlink" Target="https://www.sec.gov/Archives/edgar/data/1749723/000174972323000010/a1031-2026notesxthirdsuppl.htm" TargetMode="External"/><Relationship Id="rId143" Type="http://schemas.openxmlformats.org/officeDocument/2006/relationships/hyperlink" Target="https://www.sec.gov/Archives/edgar/data/1749723/000174972323000010/a1032-2026notesxfourthsupp.htm" TargetMode="External"/><Relationship Id="rId146" Type="http://schemas.openxmlformats.org/officeDocument/2006/relationships/hyperlink" Target="https://www.sec.gov/Archives/edgar/data/1749723/000174972323000010/a1033-2026notesxfifthsuppl.htm" TargetMode="External"/><Relationship Id="rId147" Type="http://schemas.openxmlformats.org/officeDocument/2006/relationships/hyperlink" Target="https://www.sec.gov/Archives/edgar/data/0001749723/000114036121013692/brhc10023371_ex10-2.htm" TargetMode="External"/><Relationship Id="rId148" Type="http://schemas.openxmlformats.org/officeDocument/2006/relationships/hyperlink" Target="https://www.sec.gov/Archives/edgar/data/0001749723/000114036122007364/brhc10034476_ex10-30.htm" TargetMode="External"/><Relationship Id="rId149" Type="http://schemas.openxmlformats.org/officeDocument/2006/relationships/hyperlink" Target="https://www.sec.gov/Archives/edgar/data/0001749723/000114036122007364/brhc10034476_ex10-31.htm" TargetMode="External"/><Relationship Id="rId150" Type="http://schemas.openxmlformats.org/officeDocument/2006/relationships/hyperlink" Target="https://www.sec.gov/Archives/edgar/data/0001749723/000174972322000010/third_amendmentxtoxrcfxcre.htm" TargetMode="External"/><Relationship Id="rId151" Type="http://schemas.openxmlformats.org/officeDocument/2006/relationships/hyperlink" Target="https://www.sec.gov/Archives/edgar/data/1749723/000174972323000010/a1038-fourthamendmenttorcf.htm" TargetMode="External"/><Relationship Id="rId152" Type="http://schemas.openxmlformats.org/officeDocument/2006/relationships/hyperlink" Target="https://www.sec.gov/Archives/edgar/data/1749723/000114036121016441/brhc10023949_ex10-30.htm" TargetMode="External"/><Relationship Id="rId153" Type="http://schemas.openxmlformats.org/officeDocument/2006/relationships/hyperlink" Target="https://www.sec.gov/Archives/edgar/data/1749723/000114036121016441/brhc10023949_ex10-31.htm" TargetMode="External"/><Relationship Id="rId154" Type="http://schemas.openxmlformats.org/officeDocument/2006/relationships/hyperlink" Target="https://www.sec.gov/Archives/edgar/data/1749723/000114036121016441/brhc10023949_ex10-32.htm" TargetMode="External"/><Relationship Id="rId155" Type="http://schemas.openxmlformats.org/officeDocument/2006/relationships/hyperlink" Target="https://www.sec.gov/Archives/edgar/data/1749723/000114036121016441/brhc10023949_ex10-33.htm" TargetMode="External"/><Relationship Id="rId156" Type="http://schemas.openxmlformats.org/officeDocument/2006/relationships/hyperlink" Target="https://www.sec.gov/Archives/edgar/data/1749723/000174972322000028/exhibit39_sergipespa.htm" TargetMode="External"/><Relationship Id="rId159" Type="http://schemas.openxmlformats.org/officeDocument/2006/relationships/hyperlink" Target="https://www.sec.gov/Archives/edgar/data/1749723/000174972322000028/exhibit40_apolloepca.htm" TargetMode="External"/><Relationship Id="rId160" Type="http://schemas.openxmlformats.org/officeDocument/2006/relationships/hyperlink" Target="https://www.sec.gov/Archives/edgar/data/1749723/000174972322000028/exhibit41_natixisamendme.htm" TargetMode="External"/><Relationship Id="rId161" Type="http://schemas.openxmlformats.org/officeDocument/2006/relationships/hyperlink" Target="https://www.sec.gov/Archives/edgar/data/1749723/000174972323000010/a1045-incrementaljoinderto.htm" TargetMode="External"/><Relationship Id="rId162" Type="http://schemas.openxmlformats.org/officeDocument/2006/relationships/hyperlink" Target="https://www.sec.gov/Archives/edgar/data/1749723/000114036122045889/ny20005953x3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2023-08-26T09:00:50Z</dcterms:created>
  <dcterms:modified xsi:type="dcterms:W3CDTF">2023-08-26T09:00:50Z</dcterms:modified>
</cp:coreProperties>
</file>