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Encompass Capital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13,456,544</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13,456,544</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13,456,544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5.35%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60" w:type="dxa"/>
            <w:vAlign w:val="bottom"/>
            <w:tcBorders>
              <w:right w:val="single" w:sz="8" w:color="auto"/>
            </w:tcBorders>
          </w:tcPr>
          <w:p>
            <w:pPr>
              <w:spacing w:after="0"/>
              <w:rPr>
                <w:sz w:val="24"/>
                <w:szCs w:val="24"/>
                <w:color w:val="auto"/>
              </w:rPr>
            </w:pPr>
          </w:p>
        </w:tc>
        <w:tc>
          <w:tcPr>
            <w:tcW w:w="22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0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80" w:type="dxa"/>
            <w:vAlign w:val="bottom"/>
            <w:tcBorders>
              <w:top w:val="single" w:sz="8" w:color="auto"/>
              <w:left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60" w:type="dxa"/>
            <w:vAlign w:val="bottom"/>
            <w:tcBorders>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Todd J. Kantor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gridSpan w:val="2"/>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0" w:type="dxa"/>
            <w:vAlign w:val="bottom"/>
            <w:tcBorders>
              <w:right w:val="single" w:sz="8" w:color="auto"/>
            </w:tcBorders>
            <w:shd w:val="clear" w:color="auto" w:fill="000000"/>
          </w:tcPr>
          <w:p>
            <w:pPr>
              <w:spacing w:after="0"/>
              <w:rPr>
                <w:sz w:val="20"/>
                <w:szCs w:val="20"/>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54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right w:val="single" w:sz="8" w:color="auto"/>
            </w:tcBorders>
            <w:shd w:val="clear" w:color="auto" w:fill="000000"/>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2"/>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gridSpan w:val="2"/>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0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54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Borders>
              <w:right w:val="single" w:sz="8" w:color="auto"/>
            </w:tcBorders>
            <w:shd w:val="clear" w:color="auto" w:fill="000000"/>
          </w:tcPr>
          <w:p>
            <w:pPr>
              <w:spacing w:after="0"/>
              <w:rPr>
                <w:sz w:val="6"/>
                <w:szCs w:val="6"/>
                <w:color w:val="auto"/>
              </w:rPr>
            </w:pPr>
          </w:p>
        </w:tc>
        <w:tc>
          <w:tcPr>
            <w:tcW w:w="54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20" w:type="dxa"/>
            <w:vAlign w:val="bottom"/>
            <w:gridSpan w:val="2"/>
            <w:vMerge w:val="continue"/>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2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13,456,544</w:t>
            </w: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20" w:type="dxa"/>
            <w:vAlign w:val="bottom"/>
            <w:tcBorders>
              <w:bottom w:val="single" w:sz="8" w:color="auto"/>
            </w:tcBorders>
            <w:gridSpan w:val="2"/>
            <w:vMerge w:val="continue"/>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auto"/>
            </w:tcBorders>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0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auto"/>
              <w:right w:val="single" w:sz="8" w:color="auto"/>
            </w:tcBorders>
            <w:shd w:val="clear" w:color="auto" w:fill="000000"/>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00" w:type="dxa"/>
            <w:vAlign w:val="bottom"/>
            <w:tcBorders>
              <w:bottom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0" w:type="dxa"/>
            <w:vAlign w:val="bottom"/>
            <w:tcBorders>
              <w:right w:val="single" w:sz="8" w:color="auto"/>
            </w:tcBorders>
            <w:shd w:val="clear" w:color="auto" w:fill="000000"/>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0" w:type="dxa"/>
            <w:vAlign w:val="bottom"/>
            <w:tcBorders>
              <w:right w:val="single" w:sz="8" w:color="auto"/>
            </w:tcBorders>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20" w:type="dxa"/>
            <w:vAlign w:val="bottom"/>
            <w:gridSpan w:val="2"/>
            <w:vMerge w:val="continue"/>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13,456,544</w:t>
            </w: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20" w:type="dxa"/>
            <w:vAlign w:val="bottom"/>
            <w:tcBorders>
              <w:bottom w:val="single" w:sz="8" w:color="auto"/>
            </w:tcBorders>
            <w:gridSpan w:val="2"/>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13,456,544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60" w:type="dxa"/>
            <w:vAlign w:val="bottom"/>
            <w:tcBorders>
              <w:bottom w:val="single" w:sz="8" w:color="auto"/>
            </w:tcBorders>
            <w:gridSpan w:val="4"/>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80" w:type="dxa"/>
            <w:vAlign w:val="bottom"/>
            <w:tcBorders>
              <w:right w:val="single" w:sz="8" w:color="auto"/>
            </w:tcBorders>
          </w:tcPr>
          <w:p>
            <w:pPr>
              <w:ind w:left="294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60" w:type="dxa"/>
            <w:vAlign w:val="bottom"/>
            <w:tcBorders>
              <w:bottom w:val="single" w:sz="8" w:color="auto"/>
            </w:tcBorders>
            <w:gridSpan w:val="4"/>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5.35%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60" w:type="dxa"/>
            <w:vAlign w:val="bottom"/>
            <w:tcBorders>
              <w:bottom w:val="single" w:sz="8" w:color="auto"/>
            </w:tcBorders>
            <w:gridSpan w:val="4"/>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540" w:type="dxa"/>
            <w:vAlign w:val="bottom"/>
            <w:vMerge w:val="restart"/>
          </w:tcPr>
          <w:p>
            <w:pPr>
              <w:jc w:val="center"/>
              <w:ind w:left="144"/>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Borders>
              <w:right w:val="single" w:sz="8" w:color="auto"/>
            </w:tcBorders>
            <w:shd w:val="clear" w:color="auto" w:fill="000000"/>
          </w:tcPr>
          <w:p>
            <w:pPr>
              <w:spacing w:after="0"/>
              <w:rPr>
                <w:sz w:val="23"/>
                <w:szCs w:val="23"/>
                <w:color w:val="auto"/>
              </w:rPr>
            </w:pPr>
          </w:p>
        </w:tc>
        <w:tc>
          <w:tcPr>
            <w:tcW w:w="54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 w:type="dxa"/>
            <w:vAlign w:val="bottom"/>
            <w:tcBorders>
              <w:right w:val="single" w:sz="8" w:color="auto"/>
            </w:tcBorders>
            <w:shd w:val="clear" w:color="auto" w:fill="000000"/>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860" w:type="dxa"/>
            <w:vAlign w:val="bottom"/>
            <w:tcBorders>
              <w:bottom w:val="single" w:sz="8" w:color="auto"/>
              <w:right w:val="single" w:sz="8" w:color="auto"/>
            </w:tcBorders>
            <w:gridSpan w:val="2"/>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220" w:type="dxa"/>
            <w:vAlign w:val="bottom"/>
            <w:tcBorders>
              <w:bottom w:val="single" w:sz="8" w:color="auto"/>
            </w:tcBorders>
            <w:gridSpan w:val="3"/>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50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60" w:type="dxa"/>
            <w:vAlign w:val="bottom"/>
            <w:tcBorders>
              <w:right w:val="single" w:sz="8" w:color="auto"/>
            </w:tcBorders>
          </w:tcPr>
          <w:p>
            <w:pPr>
              <w:spacing w:after="0"/>
              <w:rPr>
                <w:sz w:val="24"/>
                <w:szCs w:val="24"/>
                <w:color w:val="auto"/>
              </w:rPr>
            </w:pPr>
          </w:p>
        </w:tc>
        <w:tc>
          <w:tcPr>
            <w:tcW w:w="2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644393100</w:t>
            </w:r>
          </w:p>
        </w:tc>
        <w:tc>
          <w:tcPr>
            <w:tcW w:w="8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4500" w:type="dxa"/>
            <w:vAlign w:val="bottom"/>
            <w:vMerge w:val="continue"/>
          </w:tcPr>
          <w:p>
            <w:pPr>
              <w:spacing w:after="0"/>
              <w:rPr>
                <w:sz w:val="24"/>
                <w:szCs w:val="24"/>
                <w:color w:val="auto"/>
              </w:rPr>
            </w:pPr>
          </w:p>
        </w:tc>
        <w:tc>
          <w:tcPr>
            <w:tcW w:w="3380" w:type="dxa"/>
            <w:vAlign w:val="bottom"/>
            <w:tcBorders>
              <w:left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Page 4 of 8 Pages</w:t>
            </w:r>
          </w:p>
        </w:tc>
        <w:tc>
          <w:tcPr>
            <w:tcW w:w="0" w:type="dxa"/>
            <w:vAlign w:val="bottom"/>
          </w:tcPr>
          <w:p>
            <w:pPr>
              <w:spacing w:after="0"/>
              <w:rPr>
                <w:sz w:val="1"/>
                <w:szCs w:val="1"/>
                <w:color w:val="auto"/>
              </w:rPr>
            </w:pPr>
          </w:p>
        </w:tc>
      </w:tr>
      <w:tr>
        <w:trPr>
          <w:trHeight w:val="112"/>
        </w:trPr>
        <w:tc>
          <w:tcPr>
            <w:tcW w:w="60" w:type="dxa"/>
            <w:vAlign w:val="bottom"/>
            <w:tcBorders>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338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 Name of Issuer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being filed by Encompass Capital Advisors LLC and Todd J. Kantor.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address of the principal business office of Encompass Capital Advisors LLC is 200 Park Avenue, Suite 1604, New York, NY 10166.</w:t>
      </w:r>
    </w:p>
    <w:p>
      <w:pPr>
        <w:spacing w:after="0" w:line="117"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Todd J. Kantor is c/o Encompass Capital Advisors LLC, 200 Park Avenue, Suite 1604, New York, NY 10166.</w:t>
      </w:r>
    </w:p>
    <w:p>
      <w:pPr>
        <w:spacing w:after="0" w:line="158" w:lineRule="exact"/>
        <w:rPr>
          <w:sz w:val="20"/>
          <w:szCs w:val="20"/>
          <w:color w:val="auto"/>
        </w:rPr>
      </w:pPr>
    </w:p>
    <w:p>
      <w:pPr>
        <w:ind w:left="920" w:hanging="237"/>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1020" w:hanging="220"/>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Encompass Capital Advisors LLC is a Delaware Limited Liability Company.</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J. Kantor is a US citizen.</w:t>
      </w:r>
    </w:p>
    <w:p>
      <w:pPr>
        <w:spacing w:after="0" w:line="11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ectPr>
          <w:pgSz w:w="11900" w:h="16838" w:orient="portrait"/>
          <w:cols w:equalWidth="0" w:num="1">
            <w:col w:w="11240"/>
          </w:cols>
          <w:pgMar w:left="320" w:top="690" w:right="339" w:bottom="0" w:gutter="0" w:footer="0" w:header="0"/>
        </w:sectPr>
      </w:pPr>
    </w:p>
    <w:bookmarkStart w:id="3" w:name="page4"/>
    <w:bookmarkEnd w:id="3"/>
    <w:p>
      <w:pPr>
        <w:ind w:left="120"/>
        <w:spacing w:after="0"/>
        <w:rPr>
          <w:sz w:val="20"/>
          <w:szCs w:val="20"/>
          <w:color w:val="auto"/>
        </w:rPr>
      </w:pPr>
      <w:r>
        <w:rPr>
          <w:rFonts w:ascii="Times New Roman" w:cs="Times New Roman" w:eastAsia="Times New Roman" w:hAnsi="Times New Roman"/>
          <w:sz w:val="18"/>
          <w:szCs w:val="18"/>
          <w:color w:val="auto"/>
        </w:rPr>
        <w:t>Class A common stock, par value $0.01 per share (the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644393100</w:t>
      </w:r>
    </w:p>
    <w:p>
      <w:pPr>
        <w:sectPr>
          <w:pgSz w:w="11900" w:h="16838" w:orient="portrait"/>
          <w:cols w:equalWidth="0" w:num="1">
            <w:col w:w="9459"/>
          </w:cols>
          <w:pgMar w:left="1000" w:top="121" w:right="1440"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644393100</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644393100</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800" w:right="340"/>
        <w:spacing w:after="0" w:line="375" w:lineRule="auto"/>
        <w:rPr>
          <w:sz w:val="20"/>
          <w:szCs w:val="20"/>
          <w:color w:val="auto"/>
        </w:rPr>
      </w:pPr>
      <w:r>
        <w:rPr>
          <w:rFonts w:ascii="Times New Roman" w:cs="Times New Roman" w:eastAsia="Times New Roman" w:hAnsi="Times New Roman"/>
          <w:sz w:val="18"/>
          <w:szCs w:val="18"/>
          <w:color w:val="auto"/>
        </w:rPr>
        <w:t xml:space="preserve">Provide the following information regarding the aggregate number and percentage of the class of securities of the issuer identified in Item 1. </w:t>
      </w:r>
      <w:r>
        <w:rPr>
          <w:rFonts w:ascii="Times New Roman" w:cs="Times New Roman" w:eastAsia="Times New Roman" w:hAnsi="Times New Roman"/>
          <w:sz w:val="18"/>
          <w:szCs w:val="18"/>
          <w:b w:val="1"/>
          <w:bCs w:val="1"/>
          <w:color w:val="auto"/>
        </w:rPr>
        <w:t>Encompass Capital Advisors LLC</w:t>
      </w:r>
    </w:p>
    <w:p>
      <w:pPr>
        <w:spacing w:after="0" w:line="1"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13,456,544</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5.35%</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13,456,544</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13,456,544</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13,456,544</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5.35%</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13,456,544</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13,456,544</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644393100</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ectPr>
          <w:pgSz w:w="11900" w:h="16838" w:orient="portrait"/>
          <w:cols w:equalWidth="0" w:num="1">
            <w:col w:w="11240"/>
          </w:cols>
          <w:pgMar w:left="320" w:top="474"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644393100</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shares of Common Stock of New Fortress Energy Inc., dated as of August 9, 2024 is, and any amendments thereto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554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lvl w:ilvl="1">
      <w:lvlJc w:val="left"/>
      <w:lvlText w:val="(%2)"/>
      <w:numFmt w:val="lowerRoman"/>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lowerRoman"/>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2024-10-07T16:24:06Z</dcterms:created>
  <dcterms:modified xsi:type="dcterms:W3CDTF">2024-10-07T16:24:06Z</dcterms:modified>
</cp:coreProperties>
</file>