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100" w:firstLine="648"/>
        <w:spacing w:after="0" w:line="230" w:lineRule="auto"/>
        <w:rPr>
          <w:sz w:val="20"/>
          <w:szCs w:val="20"/>
          <w:color w:val="auto"/>
        </w:rPr>
      </w:pPr>
      <w:r>
        <w:rPr>
          <w:rFonts w:ascii="Times New Roman" w:cs="Times New Roman" w:eastAsia="Times New Roman" w:hAnsi="Times New Roman"/>
          <w:sz w:val="18"/>
          <w:szCs w:val="18"/>
          <w:color w:val="auto"/>
        </w:rPr>
        <w:t>On October 2, 2024, New Fortress Energy Inc. (the “Company”) announced a series of financing transactions that upon closing are intended to increase the Company’s liquidity and financial flexibility. In furtherance of these goals, the Company has begun work to identify strategic partners for one or more of its primary businesses, including projects in Brazil, Puerto Rico, Jamaica, Mexico, Nicaragua, FLNG 1 and Klondike. The Company expects to explore with potential strategic partners financings, commercial ventures or asset sales that are intended to enhance the Company’s liquidity and financial flexibility. The Company cannot provide assurance that its exploration will result in pursuing a transaction or that any transaction, if pursued, will be completed on attractive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“predicts,” “intends,” “plans,” “estimates,” “anticipates,” or the negative version of these terms or other comparable words. Forward looking statements include: that the announced financing transactions are intended to increase the Company’s liquidity and financial flexibility; our ability to explore with potential strategic partners financings, commercial ventures or asset sales for one or more of its primary businesses, including projects in Brazil, Puerto Rico, Jamaica, Mexico, Nicaragua, FLNG 1 and Klondike; and our ability to enhance the Company’s liquidity and reduce the Company’s leverage through those explorations.</w:t>
      </w:r>
    </w:p>
    <w:p>
      <w:pPr>
        <w:spacing w:after="0" w:line="216" w:lineRule="exact"/>
        <w:rPr>
          <w:sz w:val="20"/>
          <w:szCs w:val="20"/>
          <w:color w:val="auto"/>
        </w:rPr>
      </w:pPr>
    </w:p>
    <w:p>
      <w:pPr>
        <w:ind w:right="60" w:firstLine="648"/>
        <w:spacing w:after="0" w:line="228" w:lineRule="auto"/>
        <w:rPr>
          <w:sz w:val="20"/>
          <w:szCs w:val="20"/>
          <w:color w:val="auto"/>
        </w:rPr>
      </w:pPr>
      <w:r>
        <w:rPr>
          <w:rFonts w:ascii="Times New Roman" w:cs="Times New Roman" w:eastAsia="Times New Roman" w:hAnsi="Times New Roman"/>
          <w:sz w:val="18"/>
          <w:szCs w:val="18"/>
          <w:color w:val="auto"/>
        </w:rPr>
        <w:t>These forward-looking statements are necessarily estimates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the risk that we may not close the announced financing transactions and the risk that those financing transactions even if closed do not increase the Company’s liquidity and financial flexibility; the risk that we may not be able to execute any financings, commercial ventures or asset sales for any of the Company’s primary businesses; and the risk that even if the Company is able to execute any transactions with potential strategic partners those transactions do not enhance the Company’s liquidity or reduce the Company’s leverage. These factors are not necessarily all of the important factors that could cause actual results to differ materially from those expressed in any of NFE’s forward-looking statements. Other known or unpredictable factors could also have material adverse effects on future results.</w:t>
      </w:r>
    </w:p>
    <w:p>
      <w:pPr>
        <w:spacing w:after="0" w:line="201"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we undertake no duty to update or revise these forward-looking statements, even though our situation may change in the future. New factors emerge from time to time, and it is not possible for the Company to predict all such factors. When considering these forward-looking statements, you should keep in mind the risk factors and other cautionary statements included in NFE’s annual and quarterly reports filed with the Securities and Exchange Commission, which could cause its actual results to differ materially from those contained in any forward-looking statement.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45"/>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63"/>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November 5,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2024-11-05T10:00:16Z</dcterms:created>
  <dcterms:modified xsi:type="dcterms:W3CDTF">2024-11-05T10:00:16Z</dcterms:modified>
</cp:coreProperties>
</file>