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December 15, 2020</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76" w:right="33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40" w:space="720"/>
            <w:col w:w="3140"/>
          </w:cols>
          <w:pgMar w:left="320" w:top="576" w:right="339" w:bottom="1440" w:gutter="0" w:footer="0" w:header="0"/>
          <w:type w:val="continuous"/>
        </w:sectPr>
      </w:pPr>
    </w:p>
    <w:p>
      <w:pPr>
        <w:spacing w:after="0" w:line="5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576"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 w:lineRule="exact"/>
        <w:rPr>
          <w:sz w:val="24"/>
          <w:szCs w:val="24"/>
          <w:color w:val="auto"/>
        </w:rPr>
      </w:pPr>
    </w:p>
    <w:p>
      <w:pPr>
        <w:ind w:left="540" w:hanging="33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540" w:hanging="33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40" w:hanging="33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40" w:hanging="33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780" w:type="dxa"/>
            <w:vAlign w:val="bottom"/>
            <w:gridSpan w:val="2"/>
          </w:tcPr>
          <w:p>
            <w:pPr>
              <w:ind w:left="1180"/>
              <w:spacing w:after="0"/>
              <w:rPr>
                <w:sz w:val="20"/>
                <w:szCs w:val="20"/>
                <w:color w:val="auto"/>
              </w:rPr>
            </w:pPr>
            <w:r>
              <w:rPr>
                <w:rFonts w:ascii="Arial" w:cs="Arial" w:eastAsia="Arial" w:hAnsi="Arial"/>
                <w:sz w:val="18"/>
                <w:szCs w:val="18"/>
                <w:color w:val="auto"/>
              </w:rPr>
              <w:t>Title of each class</w:t>
            </w:r>
          </w:p>
        </w:tc>
        <w:tc>
          <w:tcPr>
            <w:tcW w:w="38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Trading Symbol(s)</w:t>
            </w: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8"/>
        </w:trPr>
        <w:tc>
          <w:tcPr>
            <w:tcW w:w="360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5"/>
              </w:rPr>
              <w:t>Class A Common Stock, par value $0.01 per</w:t>
            </w:r>
          </w:p>
        </w:tc>
        <w:tc>
          <w:tcPr>
            <w:tcW w:w="180" w:type="dxa"/>
            <w:vAlign w:val="bottom"/>
          </w:tcPr>
          <w:p>
            <w:pPr>
              <w:spacing w:after="0"/>
              <w:rPr>
                <w:sz w:val="17"/>
                <w:szCs w:val="17"/>
                <w:color w:val="auto"/>
              </w:rPr>
            </w:pPr>
          </w:p>
        </w:tc>
        <w:tc>
          <w:tcPr>
            <w:tcW w:w="37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NFE</w:t>
            </w:r>
          </w:p>
        </w:tc>
        <w:tc>
          <w:tcPr>
            <w:tcW w:w="18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The Nasdaq Global Select Market</w:t>
            </w: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3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5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spacing w:after="0"/>
        <w:tabs>
          <w:tab w:leader="none" w:pos="16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Offering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17, 2020, New Fortress Energy Inc. (the “Company”) closed its previously announced private offering of $250.0 million aggregate principal amount of additional 6.750% senior secured notes due 2025 (the “Additional Notes”). The Additional Notes were issued at an issue price equal to 105.250% of principal, plus accrued interest from and including September 2, 2020. The Company intends to use the net proceeds from the offering for general corporate purposes.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Additional Notes were issued pursuant to an indenture, dated as of September 2, 2020 (the “Base Indenture”), as supplemented by the first supplemental indenture, dated as of December 17, 2020 (the “First Supplemental Indenture” and, the Base Indenture as so supplemented, the “Indenture”), in each case by and among the Company, the subsidiary guarantors party thereto and U.S. Bank National Association, as trustee and as notes collateral agent. A copy of the First Supplemental Indenture is attached hereto as Exhibit 4.1 and incorporated herein by reference.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original 6.750% senior secured notes due 2025 were issued in an aggregate principal amount of $1,000.0 million on September 2, 2020 (the “Original Notes” and, together with the Additional Notes, the “Notes”). There are $1,250.0 million aggregate principal amount of Notes outstanding as of the date hereof. The Additional Notes and the Original Notes have identical terms, other than with respect to the date of issuance and the issue price, and will be treated as a single class for all purposes under the Indenture, including waivers, amendments, redemptions and offers to purchase. For a description of the Base Indenture, the Notes and the related pledge and security agreement (the “Pledge and Security Agreement”), see the Company’s Current Report on Form 8-K filed with the Securities and Exchange Commission on September 2, 2020, with respect to the Original Notes. The description of the Indenture and the Pledge and Security Agreement contained herein and therein does not purport to be complete and is subject to, and qualified in its entirety by reference to, the full text of the Indenture and the Pledge and Security Agreement.</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Additional Notes and the guarantees thereof have not been registered under the Securities Act of 1933, as amended (the “Securities Act”), or any state securities laws, and, unless so registered, may not be offered or sold in the United States absent registration or an applicable exemption from registration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18, 2020, the Company closed its previously announced underwritten public offering of 5,482,352 shares (the “Shares”) of the Company’s Class A common stock, par value $0.01 per share (the “Common Stock”), in a registered public offering pursuant to the Company’s shelf registration statement on Form S-3 (File No. 333-236921) and a related registration statement on Form S-3MEF (File No. 333-251375) filed pursuant to Rule 462(b) under the Securities Act. The Company intends to use the net proceeds from the offering for general corporate purposes.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this equity offering, the Company entered into an underwriting agreement (the “Underwriting Agreement”), dated December 15, 2020, between the Company and Morgan Stanley &amp; Co. LLC (the “Underwriter”). Pursuant to the Underwriting Agreement, the Company has granted the Underwriter an option to purchase up to an additional 400,000 shares of Common Stock. For a complete description of the terms and conditions of the Underwriting Agreement, please refer to the Underwriting Agreement, a copy of which is filed as Exhibit 1.1 hereto, and is incorporated herein by reference.</w:t>
      </w:r>
    </w:p>
    <w:p>
      <w:pPr>
        <w:spacing w:after="0" w:line="21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under “Notes Offering” in Item 1.01 is incorporated by reference into this Item 2.03.</w:t>
      </w:r>
    </w:p>
    <w:p>
      <w:pPr>
        <w:spacing w:after="0" w:line="24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15, 2020, the Company issued a press release announcing the proposed offering of the Additional Notes. A copy of the press release is attached hereto as Exhibit 99.1, and is incorporated into this Item 8.01 by reference. Additionally, on December 15, 2020, the Company issued a press release announcing the pricing of the offering of the Additional Notes. A copy of the press release is attached hereto as Exhibit 99.2, and is incorporated into this Item 8.01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tcPr>
          <w:p>
            <w:pPr>
              <w:ind w:left="2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9880" w:type="dxa"/>
            <w:vAlign w:val="bottom"/>
          </w:tcPr>
          <w:p>
            <w:pPr>
              <w:spacing w:after="0"/>
              <w:rPr>
                <w:sz w:val="24"/>
                <w:szCs w:val="24"/>
                <w:color w:val="auto"/>
              </w:rPr>
            </w:pPr>
          </w:p>
        </w:tc>
      </w:tr>
      <w:tr>
        <w:trPr>
          <w:trHeight w:val="441"/>
        </w:trPr>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w:t>
            </w:r>
          </w:p>
        </w:tc>
        <w:tc>
          <w:tcPr>
            <w:tcW w:w="9880" w:type="dxa"/>
            <w:vAlign w:val="bottom"/>
          </w:tcPr>
          <w:p>
            <w:pPr>
              <w:spacing w:after="0"/>
              <w:rPr>
                <w:sz w:val="24"/>
                <w:szCs w:val="24"/>
                <w:color w:val="auto"/>
              </w:rPr>
            </w:pPr>
          </w:p>
        </w:tc>
      </w:tr>
      <w:tr>
        <w:trPr>
          <w:trHeight w:val="241"/>
        </w:trPr>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140" w:type="dxa"/>
            <w:vAlign w:val="bottom"/>
            <w:tcBorders>
              <w:top w:val="single" w:sz="8" w:color="auto"/>
            </w:tcBorders>
          </w:tcPr>
          <w:p>
            <w:pPr>
              <w:spacing w:after="0" w:line="201"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1.1</w:t>
              </w:r>
            </w:hyperlink>
          </w:p>
        </w:tc>
        <w:tc>
          <w:tcPr>
            <w:tcW w:w="220" w:type="dxa"/>
            <w:vAlign w:val="bottom"/>
          </w:tcPr>
          <w:p>
            <w:pPr>
              <w:spacing w:after="0"/>
              <w:rPr>
                <w:sz w:val="17"/>
                <w:szCs w:val="17"/>
                <w:color w:val="auto"/>
              </w:rPr>
            </w:pPr>
          </w:p>
        </w:tc>
        <w:tc>
          <w:tcPr>
            <w:tcW w:w="9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Underwriting Agreement, dated December 15, 2020, by and among New Fortress Energy Inc. and Morgan Stanley &amp; Co. LLC.</w:t>
            </w: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4.1</w:t>
              </w:r>
            </w:hyperlink>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0"/>
              </w:rPr>
              <w:t>First Supplemental Indenture, dated December 17, 2020, by and among New Fortress Energy Inc., the subsidiary guarantors from time to</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time party thereto and U.S. Bank National Association, as trustee and as notes collateral agent.</w:t>
            </w: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5.1</w:t>
              </w:r>
            </w:hyperlink>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Opinion of Cravath, Swaine &amp; Moore LLP.</w:t>
            </w: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23.1</w:t>
              </w:r>
            </w:hyperlink>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Consent of Cravath, Swaine &amp; Moore LLP (included in Exhibit 5.1).</w:t>
            </w: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99.1</w:t>
              </w:r>
            </w:hyperlink>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Press release, dated December 15, 2020, announcing the proposed offering of Additional Notes.</w:t>
            </w: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99.2</w:t>
              </w:r>
            </w:hyperlink>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Press release, dated December 15, 2020, announcing the pricing of the offering of Additional Notes.</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communication contains forward-looking statements, including but not limited to statements regarding the Company’s anticipated use of the net proceeds from the offerings. All statements contained in this communication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Arial" w:cs="Arial" w:eastAsia="Arial" w:hAnsi="Arial"/>
                <w:sz w:val="18"/>
                <w:szCs w:val="18"/>
                <w:b w:val="1"/>
                <w:bCs w:val="1"/>
                <w:color w:val="auto"/>
              </w:rPr>
              <w:t>NEW FORTRESS ENERGY INC.</w:t>
            </w:r>
          </w:p>
        </w:tc>
      </w:tr>
      <w:tr>
        <w:trPr>
          <w:trHeight w:val="439"/>
        </w:trPr>
        <w:tc>
          <w:tcPr>
            <w:tcW w:w="3740" w:type="dxa"/>
            <w:vAlign w:val="bottom"/>
          </w:tcPr>
          <w:p>
            <w:pPr>
              <w:spacing w:after="0"/>
              <w:rPr>
                <w:sz w:val="20"/>
                <w:szCs w:val="20"/>
                <w:color w:val="auto"/>
              </w:rPr>
            </w:pPr>
            <w:r>
              <w:rPr>
                <w:rFonts w:ascii="Arial" w:cs="Arial" w:eastAsia="Arial" w:hAnsi="Arial"/>
                <w:sz w:val="18"/>
                <w:szCs w:val="18"/>
                <w:color w:val="auto"/>
              </w:rPr>
              <w:t>Date: December 18, 2020</w:t>
            </w:r>
          </w:p>
        </w:tc>
        <w:tc>
          <w:tcPr>
            <w:tcW w:w="2460" w:type="dxa"/>
            <w:vAlign w:val="bottom"/>
          </w:tcPr>
          <w:p>
            <w:pPr>
              <w:ind w:left="19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740" w:type="dxa"/>
            <w:vAlign w:val="bottom"/>
          </w:tcPr>
          <w:p>
            <w:pPr>
              <w:spacing w:after="0"/>
              <w:rPr>
                <w:sz w:val="17"/>
                <w:szCs w:val="17"/>
                <w:color w:val="auto"/>
              </w:rPr>
            </w:pPr>
          </w:p>
        </w:tc>
        <w:tc>
          <w:tcPr>
            <w:tcW w:w="2460" w:type="dxa"/>
            <w:vAlign w:val="bottom"/>
          </w:tcPr>
          <w:p>
            <w:pPr>
              <w:ind w:left="19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15"/>
        </w:trPr>
        <w:tc>
          <w:tcPr>
            <w:tcW w:w="374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FORTRESS ENERGY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5,482,352 Class A common stock (par value $0.01 per share)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NEW FORTRESS ENERGY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Class A 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$0.01 per share)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15,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New Fortress Energy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confirms its agreement with Morgan Stanley &amp; Co. LLC (the “</w:t>
      </w:r>
      <w:r>
        <w:rPr>
          <w:rFonts w:ascii="Arial" w:cs="Arial" w:eastAsia="Arial" w:hAnsi="Arial"/>
          <w:sz w:val="18"/>
          <w:szCs w:val="18"/>
          <w:b w:val="1"/>
          <w:bCs w:val="1"/>
          <w:color w:val="auto"/>
        </w:rPr>
        <w:t>Underwriter</w:t>
      </w:r>
      <w:r>
        <w:rPr>
          <w:rFonts w:ascii="Arial" w:cs="Arial" w:eastAsia="Arial" w:hAnsi="Arial"/>
          <w:sz w:val="18"/>
          <w:szCs w:val="18"/>
          <w:color w:val="auto"/>
        </w:rPr>
        <w:t>”) with respect to the sale by the Company and the purchase by the Underwriter of an aggregate of 5,482,352 shares (the “</w:t>
      </w:r>
      <w:r>
        <w:rPr>
          <w:rFonts w:ascii="Arial" w:cs="Arial" w:eastAsia="Arial" w:hAnsi="Arial"/>
          <w:sz w:val="18"/>
          <w:szCs w:val="18"/>
          <w:b w:val="1"/>
          <w:bCs w:val="1"/>
          <w:color w:val="auto"/>
        </w:rPr>
        <w:t>Firm Shares</w:t>
      </w:r>
      <w:r>
        <w:rPr>
          <w:rFonts w:ascii="Arial" w:cs="Arial" w:eastAsia="Arial" w:hAnsi="Arial"/>
          <w:sz w:val="18"/>
          <w:szCs w:val="18"/>
          <w:color w:val="auto"/>
        </w:rPr>
        <w:t>”) and, at the election of the Underwriter, up to 400,000 additional shares (the “</w:t>
      </w:r>
      <w:r>
        <w:rPr>
          <w:rFonts w:ascii="Arial" w:cs="Arial" w:eastAsia="Arial" w:hAnsi="Arial"/>
          <w:sz w:val="18"/>
          <w:szCs w:val="18"/>
          <w:b w:val="1"/>
          <w:bCs w:val="1"/>
          <w:color w:val="auto"/>
        </w:rPr>
        <w:t>Additional Shares</w:t>
      </w:r>
      <w:r>
        <w:rPr>
          <w:rFonts w:ascii="Arial" w:cs="Arial" w:eastAsia="Arial" w:hAnsi="Arial"/>
          <w:sz w:val="18"/>
          <w:szCs w:val="18"/>
          <w:color w:val="auto"/>
        </w:rPr>
        <w:t>”) of Class A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Company. The Firm Shares and the Additional Shares that the Underwriter may elect to purchase pursuant to Section 2(b) hereof are hereinafter collectively referred to as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1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on Form S-3 (No. 333-236921), relating to various securities of the Company (the “</w:t>
      </w:r>
      <w:r>
        <w:rPr>
          <w:rFonts w:ascii="Arial" w:cs="Arial" w:eastAsia="Arial" w:hAnsi="Arial"/>
          <w:sz w:val="16"/>
          <w:szCs w:val="16"/>
          <w:b w:val="1"/>
          <w:bCs w:val="1"/>
          <w:color w:val="auto"/>
        </w:rPr>
        <w:t>Shelf Securities</w:t>
      </w:r>
      <w:r>
        <w:rPr>
          <w:rFonts w:ascii="Arial" w:cs="Arial" w:eastAsia="Arial" w:hAnsi="Arial"/>
          <w:sz w:val="16"/>
          <w:szCs w:val="16"/>
          <w:color w:val="auto"/>
        </w:rPr>
        <w:t>”), including the Shares, to be issued from time to time by the Company. The registration statement as amended to the date of this Agreement, including the information (if any) deemed to be part of the registration statement at the time of effectiveness pursuant to Rule 430A (“</w:t>
      </w:r>
      <w:r>
        <w:rPr>
          <w:rFonts w:ascii="Arial" w:cs="Arial" w:eastAsia="Arial" w:hAnsi="Arial"/>
          <w:sz w:val="16"/>
          <w:szCs w:val="16"/>
          <w:b w:val="1"/>
          <w:bCs w:val="1"/>
          <w:color w:val="auto"/>
        </w:rPr>
        <w:t>Rule 430A</w:t>
      </w:r>
      <w:r>
        <w:rPr>
          <w:rFonts w:ascii="Arial" w:cs="Arial" w:eastAsia="Arial" w:hAnsi="Arial"/>
          <w:sz w:val="16"/>
          <w:szCs w:val="16"/>
          <w:color w:val="auto"/>
        </w:rPr>
        <w:t>”) of the rules and regulations of the Commission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such rules and regulations of the Commission thereunder, the “</w:t>
      </w:r>
      <w:r>
        <w:rPr>
          <w:rFonts w:ascii="Arial" w:cs="Arial" w:eastAsia="Arial" w:hAnsi="Arial"/>
          <w:sz w:val="16"/>
          <w:szCs w:val="16"/>
          <w:b w:val="1"/>
          <w:bCs w:val="1"/>
          <w:color w:val="auto"/>
        </w:rPr>
        <w:t>Securities Act Regulations</w:t>
      </w:r>
      <w:r>
        <w:rPr>
          <w:rFonts w:ascii="Arial" w:cs="Arial" w:eastAsia="Arial" w:hAnsi="Arial"/>
          <w:sz w:val="16"/>
          <w:szCs w:val="16"/>
          <w:color w:val="auto"/>
        </w:rPr>
        <w:t>”) or Rule 430 B under the Securities Act,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covering the Shelf Securities dated May 6, 2020 in the form first used to confirm sales of the Shares (or in the form first made available to the Underwriter by the Company to meet requests of purchasers pursuant to Rule 173 under the Securities Act) is hereinafter referred to 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prospectus supplement specifically relating to the Shares in the form first used to confirm sales of the Shares (or in the form first made available to the Underwriter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any preliminary form of the Prospectus. For purposes of this Agreement, an “</w:t>
      </w:r>
      <w:r>
        <w:rPr>
          <w:rFonts w:ascii="Arial" w:cs="Arial" w:eastAsia="Arial" w:hAnsi="Arial"/>
          <w:sz w:val="16"/>
          <w:szCs w:val="16"/>
          <w:b w:val="1"/>
          <w:bCs w:val="1"/>
          <w:color w:val="auto"/>
        </w:rPr>
        <w:t>Issuer 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any “issuer free writing prospectus,” as defined in Rule 433 of the Securities Act Regulations (“</w:t>
      </w:r>
      <w:r>
        <w:rPr>
          <w:rFonts w:ascii="Arial" w:cs="Arial" w:eastAsia="Arial" w:hAnsi="Arial"/>
          <w:sz w:val="16"/>
          <w:szCs w:val="16"/>
          <w:b w:val="1"/>
          <w:bCs w:val="1"/>
          <w:color w:val="auto"/>
        </w:rPr>
        <w:t>Rule 433</w:t>
      </w:r>
      <w:r>
        <w:rPr>
          <w:rFonts w:ascii="Arial" w:cs="Arial" w:eastAsia="Arial" w:hAnsi="Arial"/>
          <w:sz w:val="16"/>
          <w:szCs w:val="16"/>
          <w:color w:val="auto"/>
        </w:rPr>
        <w:t>”),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any “free writing prospectus” (as defined in Rule 405 of the Securities Act Regulations (</w:t>
      </w:r>
      <w:r>
        <w:rPr>
          <w:rFonts w:ascii="Arial" w:cs="Arial" w:eastAsia="Arial" w:hAnsi="Arial"/>
          <w:sz w:val="16"/>
          <w:szCs w:val="16"/>
          <w:b w:val="1"/>
          <w:bCs w:val="1"/>
          <w:color w:val="auto"/>
        </w:rPr>
        <w:t>“Rule 405</w:t>
      </w:r>
      <w:r>
        <w:rPr>
          <w:rFonts w:ascii="Arial" w:cs="Arial" w:eastAsia="Arial" w:hAnsi="Arial"/>
          <w:sz w:val="16"/>
          <w:szCs w:val="16"/>
          <w:color w:val="auto"/>
        </w:rPr>
        <w:t>”)) relating to the Shares that is (i) required to be filed with the Commission by the Company, or (ii) a “road show that is a written communication” within the meaning of Rule 433(d)(8)(i), whether or not required to be filed with the Commission, or (iii) exempt from filing with the Commission pursuant to Rule 433(d)(5)(i) because it contains a description of the Shares or of the offering that does not reflect the final terms, in each case in the form filed or required to be filed with the Commission or, if not required to be filed, in the form retained in the Company’s records pursuant to Rule 433(g). “</w:t>
      </w:r>
      <w:r>
        <w:rPr>
          <w:rFonts w:ascii="Arial" w:cs="Arial" w:eastAsia="Arial" w:hAnsi="Arial"/>
          <w:sz w:val="16"/>
          <w:szCs w:val="16"/>
          <w:b w:val="1"/>
          <w:bCs w:val="1"/>
          <w:color w:val="auto"/>
        </w:rPr>
        <w:t>Applicable Time</w:t>
      </w:r>
      <w:r>
        <w:rPr>
          <w:rFonts w:ascii="Arial" w:cs="Arial" w:eastAsia="Arial" w:hAnsi="Arial"/>
          <w:sz w:val="16"/>
          <w:szCs w:val="16"/>
          <w:color w:val="auto"/>
        </w:rPr>
        <w:t>” means 9:45 P.M., New York City time, on December 15, 2020, or such other time as agreed by the Company and the Underwriter.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any Issuer Free Writing Prospectuses that is intended for general distribution to prospective investors (other than a broadly available roadshow), as evidenced by its being specified in Schedule B-2 and that is issued at or prior to the Applicable Time, the most recent preliminary prospectus that is distributed to investors prior to the Applicable Time and the information included on Schedule B-1 hereto, all considered together, and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w:t>
      </w:r>
      <w:r>
        <w:rPr>
          <w:rFonts w:ascii="Arial" w:cs="Arial" w:eastAsia="Arial" w:hAnsi="Arial"/>
          <w:sz w:val="16"/>
          <w:szCs w:val="16"/>
          <w:b w:val="1"/>
          <w:bCs w:val="1"/>
          <w:color w:val="auto"/>
        </w:rPr>
        <w:t>bona fide</w:t>
      </w:r>
      <w:r>
        <w:rPr>
          <w:rFonts w:ascii="Arial" w:cs="Arial" w:eastAsia="Arial" w:hAnsi="Arial"/>
          <w:sz w:val="16"/>
          <w:szCs w:val="16"/>
          <w:color w:val="auto"/>
        </w:rPr>
        <w:t xml:space="preserve"> </w:t>
      </w:r>
      <w:r>
        <w:rPr>
          <w:rFonts w:ascii="Arial" w:cs="Arial" w:eastAsia="Arial" w:hAnsi="Arial"/>
          <w:sz w:val="16"/>
          <w:szCs w:val="16"/>
          <w:b w:val="1"/>
          <w:bCs w:val="1"/>
          <w:color w:val="auto"/>
        </w:rPr>
        <w:t>electronic road show</w:t>
      </w:r>
      <w:r>
        <w:rPr>
          <w:rFonts w:ascii="Arial" w:cs="Arial" w:eastAsia="Arial" w:hAnsi="Arial"/>
          <w:sz w:val="16"/>
          <w:szCs w:val="16"/>
          <w:color w:val="auto"/>
        </w:rPr>
        <w:t>” as defined in Rule 433(h)(5) under the Securities Act that has been made available without restriction to any person. As used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the terms “Registration Statement,” “Basic Prospectus,” “preliminary prospectus,” “Time of Sale Prospectus” and “Prospectus” shall include the documents, if any, incorporated by reference therein as of the date hereof. The terms “</w:t>
      </w:r>
      <w:r>
        <w:rPr>
          <w:rFonts w:ascii="Arial" w:cs="Arial" w:eastAsia="Arial" w:hAnsi="Arial"/>
          <w:sz w:val="16"/>
          <w:szCs w:val="16"/>
          <w:b w:val="1"/>
          <w:bCs w:val="1"/>
          <w:color w:val="auto"/>
        </w:rPr>
        <w:t>supplement</w:t>
      </w:r>
      <w:r>
        <w:rPr>
          <w:rFonts w:ascii="Arial" w:cs="Arial" w:eastAsia="Arial" w:hAnsi="Arial"/>
          <w:sz w:val="16"/>
          <w:szCs w:val="16"/>
          <w:color w:val="auto"/>
        </w:rPr>
        <w:t>,” “</w:t>
      </w:r>
      <w:r>
        <w:rPr>
          <w:rFonts w:ascii="Arial" w:cs="Arial" w:eastAsia="Arial" w:hAnsi="Arial"/>
          <w:sz w:val="16"/>
          <w:szCs w:val="16"/>
          <w:b w:val="1"/>
          <w:bCs w:val="1"/>
          <w:color w:val="auto"/>
        </w:rPr>
        <w:t>amendment</w:t>
      </w:r>
      <w:r>
        <w:rPr>
          <w:rFonts w:ascii="Arial" w:cs="Arial" w:eastAsia="Arial" w:hAnsi="Arial"/>
          <w:sz w:val="16"/>
          <w:szCs w:val="16"/>
          <w:color w:val="auto"/>
        </w:rPr>
        <w:t>,” and “</w:t>
      </w:r>
      <w:r>
        <w:rPr>
          <w:rFonts w:ascii="Arial" w:cs="Arial" w:eastAsia="Arial" w:hAnsi="Arial"/>
          <w:sz w:val="16"/>
          <w:szCs w:val="16"/>
          <w:b w:val="1"/>
          <w:bCs w:val="1"/>
          <w:color w:val="auto"/>
        </w:rPr>
        <w:t>amend</w:t>
      </w:r>
      <w:r>
        <w:rPr>
          <w:rFonts w:ascii="Arial" w:cs="Arial" w:eastAsia="Arial" w:hAnsi="Arial"/>
          <w:sz w:val="16"/>
          <w:szCs w:val="16"/>
          <w:color w:val="auto"/>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such rules and regulations of the Commission thereunder, the “</w:t>
      </w:r>
      <w:r>
        <w:rPr>
          <w:rFonts w:ascii="Arial" w:cs="Arial" w:eastAsia="Arial" w:hAnsi="Arial"/>
          <w:sz w:val="16"/>
          <w:szCs w:val="16"/>
          <w:b w:val="1"/>
          <w:bCs w:val="1"/>
          <w:color w:val="auto"/>
        </w:rPr>
        <w:t>Exchange Act Regulations</w:t>
      </w:r>
      <w:r>
        <w:rPr>
          <w:rFonts w:ascii="Arial" w:cs="Arial" w:eastAsia="Arial" w:hAnsi="Arial"/>
          <w:sz w:val="16"/>
          <w:szCs w:val="16"/>
          <w:color w:val="auto"/>
        </w:rPr>
        <w:t>”), that are deemed to be incorporated by reference therein.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79" w:lineRule="exact"/>
        <w:rPr>
          <w:sz w:val="20"/>
          <w:szCs w:val="20"/>
          <w:color w:val="auto"/>
        </w:rPr>
      </w:pPr>
    </w:p>
    <w:p>
      <w:pPr>
        <w:ind w:firstLine="656"/>
        <w:spacing w:after="0" w:line="277" w:lineRule="auto"/>
        <w:tabs>
          <w:tab w:leader="none" w:pos="142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the Underwriter as of the date hereof, the Applicable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Time and any Date of Delivery (as defined below), and agrees with the Underwriter, as follows:</w:t>
      </w:r>
    </w:p>
    <w:p>
      <w:pPr>
        <w:spacing w:after="0" w:line="197" w:lineRule="exact"/>
        <w:rPr>
          <w:rFonts w:ascii="Arial" w:cs="Arial" w:eastAsia="Arial" w:hAnsi="Arial"/>
          <w:sz w:val="18"/>
          <w:szCs w:val="18"/>
          <w:color w:val="auto"/>
        </w:rPr>
      </w:pPr>
    </w:p>
    <w:p>
      <w:pPr>
        <w:jc w:val="both"/>
        <w:ind w:left="660" w:firstLine="644"/>
        <w:spacing w:after="0" w:line="253" w:lineRule="auto"/>
        <w:tabs>
          <w:tab w:leader="none" w:pos="206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Registration Statement and Prospectuses</w:t>
      </w:r>
      <w:r>
        <w:rPr>
          <w:rFonts w:ascii="Arial" w:cs="Arial" w:eastAsia="Arial" w:hAnsi="Arial"/>
          <w:sz w:val="18"/>
          <w:szCs w:val="18"/>
          <w:color w:val="auto"/>
        </w:rPr>
        <w:t>. Each of the Registration Statement and any post-effective amendment thereto have been declared effective by the Commission, other than a registration statement, if any, increasing the size of the offering (a “</w:t>
      </w:r>
      <w:r>
        <w:rPr>
          <w:rFonts w:ascii="Arial" w:cs="Arial" w:eastAsia="Arial" w:hAnsi="Arial"/>
          <w:sz w:val="18"/>
          <w:szCs w:val="18"/>
          <w:b w:val="1"/>
          <w:bCs w:val="1"/>
          <w:color w:val="auto"/>
        </w:rPr>
        <w:t>Rule 462(b)</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pursuant to Rule 462(b) under the Securities Act, which became effective upon filing, and no other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Registration Statement has heretofore been filed with the Commission, other than the Rule 462(b) Registration Statement, if any. No stop order suspending the effectiveness of the Registration Statement or any post-effective amendment thereto, or the Rule 462(b) Registration Statement, if any, has been issued under the Securities Act, and no order preventing or suspending the use of any preliminary prospectus or the Prospectus has been issued and no proceedings for any of those purposes have been instituted or are pending or, to the knowledge of the Company, threatened by the Commission. The Company has complied with each request (if any) from the Commission for additional information.</w:t>
      </w:r>
    </w:p>
    <w:p>
      <w:pPr>
        <w:spacing w:after="0" w:line="223"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Each of the Registration Statement and any post-effective amendment thereto, at the time it became effective, complied in all material respects with the requirements of the Securities Act and the Securities Act Regulations. Each preliminary prospectus, the Prospectus and any amendment or supplement thereto, at the time each was filed with the Commission, complied in all material respects with the requirements of the Securities Act and the Securities Act Regulations. Each preliminary prospectus delivered by the Company to the Underwriter for use in connection with this offering and the Prospectus was or will be identical to the electronically transmitted copies thereof filed with the Commission pursuant to EDGAR, except to the extent permitted by Regulation S-T.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both"/>
        <w:ind w:firstLine="644"/>
        <w:spacing w:after="0" w:line="267" w:lineRule="auto"/>
        <w:tabs>
          <w:tab w:leader="none" w:pos="134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necessary to make the statements therein not misleading, (iii) the Registration Statement as of the date hereof does not contain any untrue statement of a material fact or omit to state a material fact necessary in order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 Sale Prospectus does not, and at the time of each sale of the Shares in connection with the offering when the Prospectus is not yet available to prospective purchasers and at the Closing Time (as defined in Section 2) or at any Date of Delivery (as defined in Section 2), the Time of Sale Prospectus, as then amended or supplemented by the Company, if applicable, will not, contain any untrue statement of a material fact or omit to state a material fact necessary in order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in order to make the statements therein, in the light of the circumstances under which they were made, not misleading and (vii) the Prospectus does not contain and, as amended or supplemented, if applicable, will not contain any untrue statement of a material fact or omit to state a material fact necessary in order to make the statements therein, in the light of the circumstances under which they were made, not misleading.</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the Time of Sale Prospectus, any Issuer Free Writing Prospectus or the Prospectus (or any amendment or supplement thereto) made in reliance upon and in conformity with written information furnished to the Company by the Underwriter expressly for use therein. For purposes of this Agreement, the only information so furnished shall be the information in the fifth, seventh and eighth paragraphs under the heading “Underwriting” in each case contained in the Prospectus (collectively, the “</w:t>
      </w:r>
      <w:r>
        <w:rPr>
          <w:rFonts w:ascii="Arial" w:cs="Arial" w:eastAsia="Arial" w:hAnsi="Arial"/>
          <w:sz w:val="17"/>
          <w:szCs w:val="17"/>
          <w:b w:val="1"/>
          <w:bCs w:val="1"/>
          <w:color w:val="auto"/>
        </w:rPr>
        <w:t>Underwriter Information</w:t>
      </w:r>
      <w:r>
        <w:rPr>
          <w:rFonts w:ascii="Arial" w:cs="Arial" w:eastAsia="Arial" w:hAnsi="Arial"/>
          <w:sz w:val="17"/>
          <w:szCs w:val="17"/>
          <w:color w:val="auto"/>
        </w:rPr>
        <w:t>”).</w:t>
      </w:r>
    </w:p>
    <w:p>
      <w:pPr>
        <w:spacing w:after="0" w:line="203" w:lineRule="exact"/>
        <w:rPr>
          <w:sz w:val="20"/>
          <w:szCs w:val="20"/>
          <w:color w:val="auto"/>
        </w:rPr>
      </w:pPr>
    </w:p>
    <w:p>
      <w:pPr>
        <w:jc w:val="both"/>
        <w:ind w:firstLine="644"/>
        <w:spacing w:after="0" w:line="263" w:lineRule="auto"/>
        <w:tabs>
          <w:tab w:leader="none" w:pos="138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Prospectuses</w:t>
      </w:r>
      <w:r>
        <w:rPr>
          <w:rFonts w:ascii="Arial" w:cs="Arial" w:eastAsia="Arial" w:hAnsi="Arial"/>
          <w:sz w:val="18"/>
          <w:szCs w:val="18"/>
          <w:color w:val="auto"/>
        </w:rPr>
        <w:t>. No Issuer Free Writing Prospectus conflicts or will conflict with the information contained in the Registration Statement or the Prospectus, and any preliminary or other prospectus deemed to be a part thereof that has not been superseded or modified.</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8" w:name="page9"/>
    <w:bookmarkEnd w:id="8"/>
    <w:p>
      <w:pPr>
        <w:jc w:val="both"/>
        <w:ind w:left="-460" w:firstLine="644"/>
        <w:spacing w:after="0" w:line="257" w:lineRule="auto"/>
        <w:tabs>
          <w:tab w:leader="none" w:pos="97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Company Not Ineligible Issuer</w:t>
      </w:r>
      <w:r>
        <w:rPr>
          <w:rFonts w:ascii="Arial" w:cs="Arial" w:eastAsia="Arial" w:hAnsi="Arial"/>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Securities Act Regulations) of the Shares,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241" w:lineRule="exact"/>
        <w:rPr>
          <w:rFonts w:ascii="Arial" w:cs="Arial" w:eastAsia="Arial" w:hAnsi="Arial"/>
          <w:sz w:val="18"/>
          <w:szCs w:val="18"/>
          <w:color w:val="auto"/>
        </w:rPr>
      </w:pPr>
    </w:p>
    <w:p>
      <w:pPr>
        <w:jc w:val="both"/>
        <w:ind w:left="-460" w:firstLine="644"/>
        <w:spacing w:after="0" w:line="270" w:lineRule="auto"/>
        <w:tabs>
          <w:tab w:leader="none" w:pos="111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Organization and Good Standing of the Company</w:t>
      </w:r>
      <w:r>
        <w:rPr>
          <w:rFonts w:ascii="Arial" w:cs="Arial" w:eastAsia="Arial" w:hAnsi="Arial"/>
          <w:sz w:val="17"/>
          <w:szCs w:val="17"/>
          <w:color w:val="auto"/>
        </w:rPr>
        <w:t>. The Company and each of its subsidiaries has been duly organized, is validly existing and in good standing as a corporation, limited liability company, limited partnership or other business entity under the laws of its jurisdiction of organization and is duly qualified to do business and in good standing as a foreign corporation, limited liability company, limited partnership or other business entity in each jurisdiction in which its ownership or lease of property or the conduct of its businesses requires such qualification, except where the failure to be so qualified or in good standing would not, in the aggregate, reasonably be expected to have a material adverse effect on the condition (financial or otherwise), results of operations, members’ or stockholders’ equity, properties or business of the Company and its subsidiaries taken as a whole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or, material adverse effect on the performance by the Company of its obligations under this Agreement. The Company and its subsidiaries have all power and authority necessary to own or hold its properties and to conduct the businesses in which it is engaged.</w:t>
      </w:r>
    </w:p>
    <w:p>
      <w:pPr>
        <w:spacing w:after="0" w:line="234" w:lineRule="exact"/>
        <w:rPr>
          <w:rFonts w:ascii="Arial" w:cs="Arial" w:eastAsia="Arial" w:hAnsi="Arial"/>
          <w:sz w:val="17"/>
          <w:szCs w:val="17"/>
          <w:color w:val="auto"/>
        </w:rPr>
      </w:pPr>
    </w:p>
    <w:p>
      <w:pPr>
        <w:jc w:val="both"/>
        <w:ind w:left="-460" w:firstLine="644"/>
        <w:spacing w:after="0" w:line="286" w:lineRule="auto"/>
        <w:tabs>
          <w:tab w:leader="none" w:pos="100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Due Authorization</w:t>
      </w:r>
      <w:r>
        <w:rPr>
          <w:rFonts w:ascii="Arial" w:cs="Arial" w:eastAsia="Arial" w:hAnsi="Arial"/>
          <w:sz w:val="17"/>
          <w:szCs w:val="17"/>
          <w:color w:val="auto"/>
        </w:rPr>
        <w:t>. The Company has all requisite limited liability company, limited partnership, corporate or other power, as applicable, and authority to perform its obligations under this Agreement. All action required to be taken for the due and proper authorization, execution and delivery of this Agreement by the Company has, as of the Closing Time, been duly and validly taken.</w:t>
      </w:r>
    </w:p>
    <w:p>
      <w:pPr>
        <w:spacing w:after="0" w:line="192" w:lineRule="exact"/>
        <w:rPr>
          <w:rFonts w:ascii="Arial" w:cs="Arial" w:eastAsia="Arial" w:hAnsi="Arial"/>
          <w:sz w:val="17"/>
          <w:szCs w:val="17"/>
          <w:color w:val="auto"/>
        </w:rPr>
      </w:pPr>
    </w:p>
    <w:p>
      <w:pPr>
        <w:jc w:val="both"/>
        <w:ind w:left="-460" w:firstLine="644"/>
        <w:spacing w:after="0" w:line="254" w:lineRule="auto"/>
        <w:tabs>
          <w:tab w:leader="none" w:pos="101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Company has an authorized capitalization as set forth in each of the Registration Statement, the Time of Sale Prospectus and the Prospectus and all of the authorized, issued and outstanding shares of capital stock have been duly authorized and validly issued and are fully paid and non-assessable. All of the issued and outstanding shares of capital stock or other equity interests of each subsidiary of the Company have been duly authorized and validly issued, are fully paid and non-assessable and, except as described in each of the Registration Statement, Time of Sale Prospectus and Prospectus, are owned directly or indirectly by the Company, free and clear of all liens, encumbrances, equities or claims (collectively, “Liens”), except for Liens as would not, in the aggregate, reasonably be expected to have a Material Adverse Effect.</w:t>
      </w:r>
    </w:p>
    <w:p>
      <w:pPr>
        <w:spacing w:after="0" w:line="221" w:lineRule="exact"/>
        <w:rPr>
          <w:rFonts w:ascii="Arial" w:cs="Arial" w:eastAsia="Arial" w:hAnsi="Arial"/>
          <w:sz w:val="18"/>
          <w:szCs w:val="18"/>
          <w:color w:val="auto"/>
        </w:rPr>
      </w:pPr>
    </w:p>
    <w:p>
      <w:pPr>
        <w:jc w:val="both"/>
        <w:ind w:left="-460" w:firstLine="644"/>
        <w:spacing w:after="0" w:line="275" w:lineRule="auto"/>
        <w:tabs>
          <w:tab w:leader="none" w:pos="103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Shares</w:t>
      </w:r>
      <w:r>
        <w:rPr>
          <w:rFonts w:ascii="Arial" w:cs="Arial" w:eastAsia="Arial" w:hAnsi="Arial"/>
          <w:sz w:val="17"/>
          <w:szCs w:val="17"/>
          <w:color w:val="auto"/>
        </w:rPr>
        <w:t>. The Shares to be purchased by the Underwriter from the Company have been duly authorized for issuance and sale to the Underwriter pursuant to this Agreement and, when issued and delivered by the Company pursuant to this Agreement against payment of the consideration set herein, will be validly issued and fully paid and non-assessable; and the issuance of the Shares is not subject to any preemptive or other similar rights of any securityholder of the Company. The Shares will conform in all material respects to the descriptions thereof in the Registration Statement, the Time of Sale Prospectus and the Prospectus.</w:t>
      </w:r>
    </w:p>
    <w:p>
      <w:pPr>
        <w:spacing w:after="0" w:line="1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9" w:name="page10"/>
    <w:bookmarkEnd w:id="9"/>
    <w:p>
      <w:pPr>
        <w:jc w:val="both"/>
        <w:ind w:left="-460" w:firstLine="644"/>
        <w:spacing w:after="0" w:line="269" w:lineRule="auto"/>
        <w:tabs>
          <w:tab w:leader="none" w:pos="1235"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the consummation of the transactions contemplated herein and in each of the Registration Statement, Time of Sale Prospectus and the Prospectus (including the issuance and sale of the Shares and the use of the proceeds from the sale of the Shares as described therein under the caption “Use of Proceeds”) will not (i) conflict with or result in a breach or violation of any of the terms or provisions of, impose any lien, charge or encumbrance upon any property or assets of the Company or any of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conflicts or violations that would not reasonably be expected to have a Material Adverse Effect.</w:t>
      </w:r>
    </w:p>
    <w:p>
      <w:pPr>
        <w:spacing w:after="0" w:line="208" w:lineRule="exact"/>
        <w:rPr>
          <w:rFonts w:ascii="Arial" w:cs="Arial" w:eastAsia="Arial" w:hAnsi="Arial"/>
          <w:sz w:val="17"/>
          <w:szCs w:val="17"/>
          <w:color w:val="auto"/>
        </w:rPr>
      </w:pPr>
    </w:p>
    <w:p>
      <w:pPr>
        <w:jc w:val="both"/>
        <w:ind w:left="-460" w:firstLine="644"/>
        <w:spacing w:after="0" w:line="271" w:lineRule="auto"/>
        <w:tabs>
          <w:tab w:leader="none" w:pos="86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No Consents Required</w:t>
      </w:r>
      <w:r>
        <w:rPr>
          <w:rFonts w:ascii="Arial" w:cs="Arial" w:eastAsia="Arial" w:hAnsi="Arial"/>
          <w:sz w:val="17"/>
          <w:szCs w:val="17"/>
          <w:color w:val="auto"/>
        </w:rPr>
        <w:t>. No consent, approval, authorization or order of, or filing, registration or qualification with, any court or governmental agency or body having jurisdiction over the Company or any of its subsidiaries or any of their properties or assets is required for the execution, delivery and performance by the Company of this Agreement or the application of the proceeds from the sale of the Shares as described under “Use of Proceeds” in each of the Registration Statement, Time of Sale Prospectus and the Prospectus and the consummation by the Company of the transactions contemplated hereby and thereby, except (A) such as have been already obtained or as may be required under the Securities Act, the Securities Act Regulations, the rules of the Nasdaq Global Select Market, state securities or Blue Sky laws or the rules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and (B) such consents, approvals, authorizations or orders that would not, in the aggregate, reasonably be expected to have a Material Adverse Effect.</w:t>
      </w:r>
    </w:p>
    <w:p>
      <w:pPr>
        <w:spacing w:after="0" w:line="205" w:lineRule="exact"/>
        <w:rPr>
          <w:rFonts w:ascii="Arial" w:cs="Arial" w:eastAsia="Arial" w:hAnsi="Arial"/>
          <w:sz w:val="17"/>
          <w:szCs w:val="17"/>
          <w:color w:val="auto"/>
        </w:rPr>
      </w:pPr>
    </w:p>
    <w:p>
      <w:pPr>
        <w:jc w:val="both"/>
        <w:ind w:left="-460" w:firstLine="644"/>
        <w:spacing w:after="0" w:line="263" w:lineRule="auto"/>
        <w:tabs>
          <w:tab w:leader="none" w:pos="897"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to be described in the Registration Statement, the Time of Sale Prospectus or the Prospectus or to be filed as exhibits to the Registration Statement which have not been so described and/ or filed as required.</w:t>
      </w:r>
    </w:p>
    <w:p>
      <w:pPr>
        <w:spacing w:after="0" w:line="237" w:lineRule="exact"/>
        <w:rPr>
          <w:rFonts w:ascii="Arial" w:cs="Arial" w:eastAsia="Arial" w:hAnsi="Arial"/>
          <w:sz w:val="18"/>
          <w:szCs w:val="18"/>
          <w:color w:val="auto"/>
        </w:rPr>
      </w:pPr>
    </w:p>
    <w:p>
      <w:pPr>
        <w:jc w:val="both"/>
        <w:ind w:left="-460" w:firstLine="644"/>
        <w:spacing w:after="0" w:line="263" w:lineRule="auto"/>
        <w:tabs>
          <w:tab w:leader="none" w:pos="103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Related-Party Transactions</w:t>
      </w:r>
      <w:r>
        <w:rPr>
          <w:rFonts w:ascii="Arial" w:cs="Arial" w:eastAsia="Arial" w:hAnsi="Arial"/>
          <w:sz w:val="18"/>
          <w:szCs w:val="18"/>
          <w:color w:val="auto"/>
        </w:rPr>
        <w:t>. There are no business relationships or related-party transactions involving the Company or any of its subsidiaries or any related person as defined under Item 404 of Regulation S-K required to be described in the Registration Statement, the Time of Sale Prospectus or the Prospectus that have not been described as required.</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0" w:name="page11"/>
    <w:bookmarkEnd w:id="10"/>
    <w:p>
      <w:pPr>
        <w:jc w:val="both"/>
        <w:ind w:left="4" w:firstLine="644"/>
        <w:spacing w:after="0" w:line="287" w:lineRule="auto"/>
        <w:tabs>
          <w:tab w:leader="none" w:pos="1583"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historical financial statements (including the related notes and supporting schedules) included or incorporated by reference in the Registration Statement, Time of Sale Prospectus and Prospectus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except for any annual year-end adjustment, the adoption of new accounting principles, and except as otherwise noted therein. The supporting schedules, if any, present fairly in accordance with GAAP the information required to be stated therein. The selected financial data and the summary financial information included in each of the Registration Statement, the Time of Sale Prospectus and the Prospectus present fairly the information shown therein and have been compiled on a basis consistent with that of the audited financial statements included therein. Any disclosures contained in the Registration Statement, the Time of Sale Prospectus or the Prospectus, regarding “non-GAAP financial measures” (as such term is defined by the rules and regulations of the Commission) comply with Regulation G of the Exchange Act and Item 10 of Regulation S-K of the Securities Act, to the extent applicable.</w:t>
      </w:r>
    </w:p>
    <w:p>
      <w:pPr>
        <w:spacing w:after="0" w:line="225" w:lineRule="exact"/>
        <w:rPr>
          <w:rFonts w:ascii="Arial" w:cs="Arial" w:eastAsia="Arial" w:hAnsi="Arial"/>
          <w:sz w:val="16"/>
          <w:szCs w:val="16"/>
          <w:color w:val="auto"/>
        </w:rPr>
      </w:pPr>
    </w:p>
    <w:p>
      <w:pPr>
        <w:jc w:val="both"/>
        <w:ind w:left="4" w:firstLine="644"/>
        <w:spacing w:after="0" w:line="271" w:lineRule="auto"/>
        <w:tabs>
          <w:tab w:leader="none" w:pos="1623"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Distributions</w:t>
      </w:r>
      <w:r>
        <w:rPr>
          <w:rFonts w:ascii="Arial" w:cs="Arial" w:eastAsia="Arial" w:hAnsi="Arial"/>
          <w:sz w:val="17"/>
          <w:szCs w:val="17"/>
          <w:color w:val="auto"/>
        </w:rPr>
        <w:t>. No subsidiary of the Company is prohibited or restricted, directly or indirectly, from paying distributions or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 of the Company, except (i) as described in or contemplated in each of the Registration Statement, Time of Sale Prospectus and Prospectus (including any amendment or supplement thereto), (ii) such prohibitions mandated by the laws of each such subsidiary’s jurisdiction of formation and the organizational documents of such subsidiaries, as applicable, (iii) for such prohibitions arising under the debt agreements of such subsidiaries and (iv) where such prohibition would not, individually or in the aggregate, have a Material Adverse Effect.</w:t>
      </w:r>
    </w:p>
    <w:p>
      <w:pPr>
        <w:spacing w:after="0" w:line="232" w:lineRule="exact"/>
        <w:rPr>
          <w:rFonts w:ascii="Arial" w:cs="Arial" w:eastAsia="Arial" w:hAnsi="Arial"/>
          <w:sz w:val="17"/>
          <w:szCs w:val="17"/>
          <w:color w:val="auto"/>
        </w:rPr>
      </w:pPr>
    </w:p>
    <w:p>
      <w:pPr>
        <w:jc w:val="both"/>
        <w:ind w:left="4" w:firstLine="644"/>
        <w:spacing w:after="0" w:line="257" w:lineRule="auto"/>
        <w:tabs>
          <w:tab w:leader="none" w:pos="176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Independent Auditors</w:t>
      </w:r>
      <w:r>
        <w:rPr>
          <w:rFonts w:ascii="Arial" w:cs="Arial" w:eastAsia="Arial" w:hAnsi="Arial"/>
          <w:sz w:val="18"/>
          <w:szCs w:val="18"/>
          <w:color w:val="auto"/>
        </w:rPr>
        <w:t>. Ernst &amp; Young LLP, which have audited certain financial statements of the Company and its subsidiaries, the reports of which are incorporated by reference into the Registration Statement, Time of Sale Prospectus and Prospectus, and which have delivered the initial letter referred to in Section 5(e) hereof, are independent auditors with respect to the Company and its subsidiaries within the applicable rules and regulations adopted by the Commission and the Public Company Accounting Oversight Board (United States) as required by the Securities Act.</w:t>
      </w:r>
    </w:p>
    <w:p>
      <w:pPr>
        <w:spacing w:after="0" w:line="214" w:lineRule="exact"/>
        <w:rPr>
          <w:rFonts w:ascii="Arial" w:cs="Arial" w:eastAsia="Arial" w:hAnsi="Arial"/>
          <w:sz w:val="18"/>
          <w:szCs w:val="18"/>
          <w:color w:val="auto"/>
        </w:rPr>
      </w:pPr>
    </w:p>
    <w:p>
      <w:pPr>
        <w:jc w:val="both"/>
        <w:ind w:left="4" w:firstLine="644"/>
        <w:spacing w:after="0" w:line="287" w:lineRule="auto"/>
        <w:tabs>
          <w:tab w:leader="none" w:pos="1627"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The Company and its subsidiaries maintains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w:t>
      </w:r>
    </w:p>
    <w:p>
      <w:pPr>
        <w:spacing w:after="0" w:line="2" w:lineRule="exact"/>
        <w:rPr>
          <w:rFonts w:ascii="Arial" w:cs="Arial" w:eastAsia="Arial" w:hAnsi="Arial"/>
          <w:sz w:val="16"/>
          <w:szCs w:val="16"/>
          <w:color w:val="auto"/>
        </w:rPr>
      </w:pPr>
    </w:p>
    <w:p>
      <w:pPr>
        <w:jc w:val="both"/>
        <w:ind w:left="4" w:hanging="4"/>
        <w:spacing w:after="0" w:line="251" w:lineRule="auto"/>
        <w:tabs>
          <w:tab w:leader="none" w:pos="289"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 (D) the recorded accountability for assets is compared with the existing assets at reasonable intervals and appropriate action is taken with respect to any differences; and (E) interactive data in eXtensible Business Reporting Language included or incorporated by reference in each of the Registration Statement, Time of Sale Prospectus and Prospectus is prepared in accordance with the Commission’s rules and guidelines applicable thereto. Except as described in the Registration Statement, Time of Sale Prospectus and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w:t>
      </w:r>
    </w:p>
    <w:p>
      <w:pPr>
        <w:spacing w:after="0" w:line="15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1" w:name="page12"/>
    <w:bookmarkEnd w:id="11"/>
    <w:p>
      <w:pPr>
        <w:jc w:val="both"/>
        <w:ind w:firstLine="648"/>
        <w:spacing w:after="0" w:line="263" w:lineRule="auto"/>
        <w:rPr>
          <w:sz w:val="20"/>
          <w:szCs w:val="20"/>
          <w:color w:val="auto"/>
        </w:rPr>
      </w:pPr>
      <w:r>
        <w:rPr>
          <w:rFonts w:ascii="Arial" w:cs="Arial" w:eastAsia="Arial" w:hAnsi="Arial"/>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211" w:lineRule="exact"/>
        <w:rPr>
          <w:sz w:val="20"/>
          <w:szCs w:val="20"/>
          <w:color w:val="auto"/>
        </w:rPr>
      </w:pPr>
    </w:p>
    <w:p>
      <w:pPr>
        <w:jc w:val="both"/>
        <w:ind w:firstLine="644"/>
        <w:spacing w:after="0" w:line="287" w:lineRule="auto"/>
        <w:tabs>
          <w:tab w:leader="none" w:pos="168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Changes</w:t>
      </w:r>
      <w:r>
        <w:rPr>
          <w:rFonts w:ascii="Arial" w:cs="Arial" w:eastAsia="Arial" w:hAnsi="Arial"/>
          <w:sz w:val="16"/>
          <w:szCs w:val="16"/>
          <w:color w:val="auto"/>
        </w:rPr>
        <w:t>. Except as described in each of the Registration Statement, Time of Sale Prospectus and Prospectus, since the date of the latest audited financial statements included or incorporated by reference in each of the Registration Statement, the Time of Sale Prospectus and the Prospectus, neither the Company nor any of its subsidiaries has (A) sustained any material loss or interference with its business from fire, explosion, flood or other calamity, whether or not covered by insurance, or from any labor disturbance or dispute or court or governmental action, order or decree, (B) issued or granted any equity securities, (C) incurred any material liability or obligation, direct or contingent, other than liabilities and obligations that were incurred in the ordinary course of business, (D) entered into any material transaction not in the ordinary course of business, (E) declared or paid any dividend on its limited liability company interests, capital stock or other equity interests, and (F) since such date, there has not been any change in the capital stock, limited partnership or membership interests, as applicable, or short- or long-term debt of the Company or its subsidiaries or any adverse change in or affecting the condition (financial or otherwise), results of operations, members’ or stockholders’ equity, properties, management or business of the Company or its subsidiaries, taken as a whole, in each case except as would not, in the aggregate, reasonably be expected to have a Material Adverse Effect.</w:t>
      </w:r>
    </w:p>
    <w:p>
      <w:pPr>
        <w:spacing w:after="0" w:line="198" w:lineRule="exact"/>
        <w:rPr>
          <w:rFonts w:ascii="Arial" w:cs="Arial" w:eastAsia="Arial" w:hAnsi="Arial"/>
          <w:sz w:val="16"/>
          <w:szCs w:val="16"/>
          <w:color w:val="auto"/>
        </w:rPr>
      </w:pPr>
    </w:p>
    <w:p>
      <w:pPr>
        <w:jc w:val="both"/>
        <w:ind w:firstLine="644"/>
        <w:spacing w:after="0" w:line="290" w:lineRule="auto"/>
        <w:tabs>
          <w:tab w:leader="none" w:pos="164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Real and Personal Property</w:t>
      </w:r>
      <w:r>
        <w:rPr>
          <w:rFonts w:ascii="Arial" w:cs="Arial" w:eastAsia="Arial" w:hAnsi="Arial"/>
          <w:sz w:val="16"/>
          <w:szCs w:val="16"/>
          <w:color w:val="auto"/>
        </w:rPr>
        <w:t>. The Company and its subsidiaries have (i) good and marketable title in fee simple to all real property and (ii) good and marketable title to all personal property owned by them, in each case free and clear of all liens, encumbrances, equities and claims, except such liens, encumbrances, equities and claims as are described in each of the Registration Statement, the Time of Sale Prospectus and the Prospectus or which would not reasonably be expected to have a Material Adverse Effect, and do not interfere with the use made and proposed to be made of any property by the Company or its subsidiaries; and any real property and buildings held under lease by the Company or any of its subsidiaries are held by them under valid, subsisting and enforceable leases with such exceptions as are not material and do not interfere with the use made and proposed to be made of such property and buildings by the Company or such subsidiary, in each case except as described in each of the Registration Statement, the Time of Sale Prospectus and the Prospectus.</w:t>
      </w:r>
    </w:p>
    <w:p>
      <w:pPr>
        <w:spacing w:after="0" w:line="1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12" w:name="page13"/>
    <w:bookmarkEnd w:id="12"/>
    <w:p>
      <w:pPr>
        <w:jc w:val="both"/>
        <w:ind w:left="-460" w:firstLine="644"/>
        <w:spacing w:after="0" w:line="288" w:lineRule="auto"/>
        <w:tabs>
          <w:tab w:leader="none" w:pos="104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Rights-of-way</w:t>
      </w:r>
      <w:r>
        <w:rPr>
          <w:rFonts w:ascii="Arial" w:cs="Arial" w:eastAsia="Arial" w:hAnsi="Arial"/>
          <w:sz w:val="16"/>
          <w:szCs w:val="16"/>
          <w:color w:val="auto"/>
        </w:rPr>
        <w:t>. The Company and its subsidiaries have such consents, easements, rights-of-way or licenses from any person (“</w:t>
      </w:r>
      <w:r>
        <w:rPr>
          <w:rFonts w:ascii="Arial" w:cs="Arial" w:eastAsia="Arial" w:hAnsi="Arial"/>
          <w:sz w:val="16"/>
          <w:szCs w:val="16"/>
          <w:b w:val="1"/>
          <w:bCs w:val="1"/>
          <w:color w:val="auto"/>
        </w:rPr>
        <w:t>rights-of-way</w:t>
      </w:r>
      <w:r>
        <w:rPr>
          <w:rFonts w:ascii="Arial" w:cs="Arial" w:eastAsia="Arial" w:hAnsi="Arial"/>
          <w:sz w:val="16"/>
          <w:szCs w:val="16"/>
          <w:color w:val="auto"/>
        </w:rPr>
        <w:t>”) as are necessary to conduct their businesses in the manner described in each of the Registration Statement, the Time of Sale Prospectus and the Prospectus, subject to such qualifications as may be set forth in the Registration Statement, Time of Sale Prospectus and Prospectus and except for such rights-of-way the failure of which to have obtained would not have, individually or in the aggregate, a Material Adverse Effect; the Company and its subsidiaries have fulfilled and performed all their material obligations with respect to such rights-of-way and no event has occurred which allows, or after notice or lapse of time would allow, revocation or termination thereof or would result in any impairment of the rights of the holder of any such rights-of-way, except for such revocations, termination and impairments that will not have a Material Adverse Effect, subject in each case to such qualification as may be set forth in each of the Registration Statement, the Time of Sale Prospectus and the Prospectus; and, except as described in each of the Registration Statement, the Time of Sale Prospectus and the Prospectus, none of such rights-of-way contains any restriction that is materially burdensome to the Company and its subsidiaries, taken as a whole.</w:t>
      </w:r>
    </w:p>
    <w:p>
      <w:pPr>
        <w:spacing w:after="0" w:line="195" w:lineRule="exact"/>
        <w:rPr>
          <w:rFonts w:ascii="Arial" w:cs="Arial" w:eastAsia="Arial" w:hAnsi="Arial"/>
          <w:sz w:val="16"/>
          <w:szCs w:val="16"/>
          <w:color w:val="auto"/>
        </w:rPr>
      </w:pPr>
    </w:p>
    <w:p>
      <w:pPr>
        <w:jc w:val="both"/>
        <w:ind w:left="-460" w:firstLine="644"/>
        <w:spacing w:after="0" w:line="288" w:lineRule="auto"/>
        <w:tabs>
          <w:tab w:leader="none" w:pos="937"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Licenses and Permits</w:t>
      </w:r>
      <w:r>
        <w:rPr>
          <w:rFonts w:ascii="Arial" w:cs="Arial" w:eastAsia="Arial" w:hAnsi="Arial"/>
          <w:sz w:val="16"/>
          <w:szCs w:val="16"/>
          <w:color w:val="auto"/>
        </w:rPr>
        <w:t>. The Company and each of its subsidiaries have such permits, licenses, patents, franchises, certificates of need and other approvals or authorizations of governmental or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as are necessary under applicable law to own their properties and conduct their businesses in the manner described in each of the Registration Statement, the Time of Sale Prospectus and the Prospectus, except for any of the foregoing that would not, singly or in the aggregate, reasonably be expected to have a Material Adverse Effect. The Company and each of its subsidiaries have fulfilled and performed all of their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or except as described in each of the Registration Statement, the Time of Sale Prospectus and the Prospectus. Neither the Company nor any of its subsidiaries has received notice of any revocation or modification of any such Permits or has reason to believe that any such Permits will not be renewed in the ordinary course, except for any of the foregoing that would not reasonably be expected to have a Material Adverse Effect.</w:t>
      </w:r>
    </w:p>
    <w:p>
      <w:pPr>
        <w:spacing w:after="0" w:line="195" w:lineRule="exact"/>
        <w:rPr>
          <w:rFonts w:ascii="Arial" w:cs="Arial" w:eastAsia="Arial" w:hAnsi="Arial"/>
          <w:sz w:val="16"/>
          <w:szCs w:val="16"/>
          <w:color w:val="auto"/>
        </w:rPr>
      </w:pPr>
    </w:p>
    <w:p>
      <w:pPr>
        <w:jc w:val="both"/>
        <w:ind w:left="-460" w:firstLine="644"/>
        <w:spacing w:after="0" w:line="219" w:lineRule="exact"/>
        <w:tabs>
          <w:tab w:leader="none" w:pos="98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Company and its subsidiaries own or possess, or can acquire on reasonable terms, all patents, patent rights, licenses, inventions, copyrights, know</w:t>
      </w:r>
      <w:r>
        <w:rPr>
          <w:rFonts w:ascii="MS PGothic" w:cs="MS PGothic" w:eastAsia="MS PGothic" w:hAnsi="MS PGothic"/>
          <w:sz w:val="18"/>
          <w:szCs w:val="18"/>
          <w:color w:val="auto"/>
        </w:rPr>
        <w:t>‑</w:t>
      </w:r>
      <w:r>
        <w:rPr>
          <w:rFonts w:ascii="Arial" w:cs="Arial" w:eastAsia="Arial" w:hAnsi="Arial"/>
          <w:sz w:val="18"/>
          <w:szCs w:val="18"/>
          <w:color w:val="auto"/>
        </w:rPr>
        <w:t>how (including trade secrets and other unpatented and/or unpatentable proprietary or confidential information, systems or procedures), trademarks, service marks and trade names currently employed by them in connection with the business now operated by them, and neither the Company nor any of its subsidiaries has received any notice of infringement of or conflict with asserted rights of others with respect to any of the foregoing which, singly or in the aggregate, if the subject of an unfavorable decision, ruling or finding, would have a Material Adverse Effect.</w:t>
      </w:r>
    </w:p>
    <w:p>
      <w:pPr>
        <w:spacing w:after="0" w:line="1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3" w:name="page14"/>
    <w:bookmarkEnd w:id="13"/>
    <w:p>
      <w:pPr>
        <w:jc w:val="both"/>
        <w:ind w:left="-460" w:firstLine="644"/>
        <w:spacing w:after="0" w:line="273" w:lineRule="auto"/>
        <w:tabs>
          <w:tab w:leader="none" w:pos="105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Legal Proceedings</w:t>
      </w:r>
      <w:r>
        <w:rPr>
          <w:rFonts w:ascii="Arial" w:cs="Arial" w:eastAsia="Arial" w:hAnsi="Arial"/>
          <w:sz w:val="17"/>
          <w:szCs w:val="17"/>
          <w:color w:val="auto"/>
        </w:rPr>
        <w:t>. Except as described in each of the Registration Statement, Time of Sale Prospectus and Prospectus, there are no legal or governmental proceedings pending to which the Company or any of its subsidiaries is a party or of which any property or assets of the Company or any of its subsidiaries is the subject that would, singly or in the aggregate, reasonably be expected to have a Material Adverse Effect or would, singly or in the aggregate, reasonably be expected to have a material adverse effect on the performance by the Company of its obligations under this Agreement or the consummation of any of the transactions contemplated hereby. To the knowledge of the Company, no such proceedings are threatened by governmental authorities or others.</w:t>
      </w:r>
    </w:p>
    <w:p>
      <w:pPr>
        <w:spacing w:after="0" w:line="204" w:lineRule="exact"/>
        <w:rPr>
          <w:rFonts w:ascii="Arial" w:cs="Arial" w:eastAsia="Arial" w:hAnsi="Arial"/>
          <w:sz w:val="17"/>
          <w:szCs w:val="17"/>
          <w:color w:val="auto"/>
        </w:rPr>
      </w:pPr>
    </w:p>
    <w:p>
      <w:pPr>
        <w:jc w:val="both"/>
        <w:ind w:left="-460" w:firstLine="644"/>
        <w:spacing w:after="0" w:line="273" w:lineRule="auto"/>
        <w:tabs>
          <w:tab w:leader="none" w:pos="127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its subsidiaries are insured by insurers of recognized financial responsibility against such losses and risks and in such amounts as are prudent and customary in the businesses in which they are engaged; none of the Company or any of its subsidiaries have been refused any insurance coverage sought or applied for; and none of the Company or any of its subsidiaries have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described in each of the Registration Statement, the Time of Sale Prospectus and the Prospectus.</w:t>
      </w:r>
    </w:p>
    <w:p>
      <w:pPr>
        <w:spacing w:after="0" w:line="204" w:lineRule="exact"/>
        <w:rPr>
          <w:rFonts w:ascii="Arial" w:cs="Arial" w:eastAsia="Arial" w:hAnsi="Arial"/>
          <w:sz w:val="17"/>
          <w:szCs w:val="17"/>
          <w:color w:val="auto"/>
        </w:rPr>
      </w:pPr>
    </w:p>
    <w:p>
      <w:pPr>
        <w:jc w:val="both"/>
        <w:ind w:left="-460" w:firstLine="644"/>
        <w:spacing w:after="0" w:line="259" w:lineRule="auto"/>
        <w:tabs>
          <w:tab w:leader="none" w:pos="113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or any of its subsidiaries exists, or, to the knowledge of the Company, is imminent that could have a Material Adverse Effect; and the Company is not aware of any existing, threatened or imminent labor disturbance by the employees of any of their principal suppliers, manufacturers or contractors that would have a Material Adverse Effect.</w:t>
      </w:r>
    </w:p>
    <w:p>
      <w:pPr>
        <w:spacing w:after="0" w:line="240" w:lineRule="exact"/>
        <w:rPr>
          <w:rFonts w:ascii="Arial" w:cs="Arial" w:eastAsia="Arial" w:hAnsi="Arial"/>
          <w:sz w:val="18"/>
          <w:szCs w:val="18"/>
          <w:color w:val="auto"/>
        </w:rPr>
      </w:pPr>
    </w:p>
    <w:p>
      <w:pPr>
        <w:jc w:val="both"/>
        <w:ind w:left="-460" w:firstLine="644"/>
        <w:spacing w:after="0" w:line="270" w:lineRule="auto"/>
        <w:tabs>
          <w:tab w:leader="none" w:pos="1347"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No Violation or Default</w:t>
      </w:r>
      <w:r>
        <w:rPr>
          <w:rFonts w:ascii="Arial" w:cs="Arial" w:eastAsia="Arial" w:hAnsi="Arial"/>
          <w:sz w:val="17"/>
          <w:szCs w:val="17"/>
          <w:color w:val="auto"/>
        </w:rPr>
        <w:t>. None of Company or any of its subsidiaries (A) is in violation of its charter, certificate of formation, bylaws, limited partnership agreement or limited liability company agreement (or similar organizational documents), (B) is in default, and no event has occurred that, with notice or lapse of time or both, would constitute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(C)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(B) and (C), to the extent any such conflict, breach, violation or default would not, singly or in the aggregate, reasonably be expected to have a Material Adverse Effect.</w:t>
      </w:r>
    </w:p>
    <w:p>
      <w:pPr>
        <w:spacing w:after="0" w:line="1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4" w:name="page15"/>
    <w:bookmarkEnd w:id="14"/>
    <w:p>
      <w:pPr>
        <w:ind w:left="1080" w:hanging="89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Compliance With Environmental Laws</w:t>
      </w:r>
      <w:r>
        <w:rPr>
          <w:rFonts w:ascii="Arial" w:cs="Arial" w:eastAsia="Arial" w:hAnsi="Arial"/>
          <w:sz w:val="18"/>
          <w:szCs w:val="18"/>
          <w:color w:val="auto"/>
        </w:rPr>
        <w:t>.</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Except as described in the Registration Statement, the Time of Sale Prospectus and the Prospectus:</w:t>
      </w:r>
    </w:p>
    <w:p>
      <w:pPr>
        <w:spacing w:after="0" w:line="252" w:lineRule="exact"/>
        <w:rPr>
          <w:sz w:val="20"/>
          <w:szCs w:val="20"/>
          <w:color w:val="auto"/>
        </w:rPr>
      </w:pPr>
    </w:p>
    <w:p>
      <w:pPr>
        <w:jc w:val="both"/>
        <w:ind w:left="-460" w:firstLine="644"/>
        <w:spacing w:after="0" w:line="284" w:lineRule="auto"/>
        <w:tabs>
          <w:tab w:leader="none" w:pos="4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its subsidiaries (i) are in compliance with any and all applicable, legally binding foreign, federal, state and local laws, rules, regulations, requirements, decisions, judgments, decrees, orders and the common law relating to the protection of the environment, natural resources, wildlife or human health or safety, including, without limitation, those relating to the Release (as defined below) or threat of Release of Hazardous Materials (as defined below)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have applied for or received and are in compliance with all permits, licenses, certificates or other authorizations or approvals required of them under applicable Environmental Laws to conduct their respective businesses, (iii) have not received written notice of any actual or potential liability of the Company and its subsidiaries under or relating to, or actual or potential violation by the Company and its subsidiaries of, any Environmental Laws, including for the investigation or remediation of any Release or threat of Release of Hazardous Materials, and, to the knowledge of the Company, there is no environmental incident or condition that would reasonably be expected to result in any such notice, (iv) are not subject to any written or, to the knowledge of the Company, threatened adverse claim by any governmental agency or government body or other person relating to Environmental Laws or Hazardous Materials and (v) to the knowledge of the Company, does not have any liability in connection with the Release into the environment of any Hazardous Material, except where such failure to comply with Environmental Laws in clause (i) above, such failure to receive required permits or such failure to comply with the terms and conditions of such permits in clause (ii) above, such notices in clause (iii) above, such claims in clause (iv) above, or such liability in clause (v) above would not have a Material Adverse Effect on the Company and its subsidiaries, taken as a whole.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6"/>
          <w:szCs w:val="16"/>
          <w:b w:val="1"/>
          <w:bCs w:val="1"/>
          <w:color w:val="auto"/>
        </w:rPr>
        <w:t>Release</w:t>
      </w:r>
      <w:r>
        <w:rPr>
          <w:rFonts w:ascii="Arial" w:cs="Arial" w:eastAsia="Arial" w:hAnsi="Arial"/>
          <w:sz w:val="16"/>
          <w:szCs w:val="16"/>
          <w:color w:val="auto"/>
        </w:rPr>
        <w:t>”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208" w:lineRule="exact"/>
        <w:rPr>
          <w:rFonts w:ascii="Arial" w:cs="Arial" w:eastAsia="Arial" w:hAnsi="Arial"/>
          <w:sz w:val="16"/>
          <w:szCs w:val="16"/>
          <w:color w:val="auto"/>
        </w:rPr>
      </w:pPr>
    </w:p>
    <w:p>
      <w:pPr>
        <w:jc w:val="both"/>
        <w:ind w:left="-460" w:firstLine="644"/>
        <w:spacing w:after="0" w:line="279"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are no proceedings that are pending, or that are known by the Company to be contemplated, against the Company or any of its subsidiaries under any Environmental Laws and the Company is not aware of any facts or issues which form the basis of any violation of Environmental Laws, or liabilities or other obligations under Environmental Laws, including the Release or threat of Release of Hazardous Materials, that would, singly or in the aggregate, have a Material Adverse Effect on the Company and its subsidiaries, taken as a whole.</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5" w:name="page16"/>
    <w:bookmarkEnd w:id="15"/>
    <w:p>
      <w:pPr>
        <w:jc w:val="both"/>
        <w:ind w:left="-460" w:firstLine="644"/>
        <w:spacing w:after="0" w:line="219" w:lineRule="exact"/>
        <w:tabs>
          <w:tab w:leader="none" w:pos="4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the knowledge of the Company, there are no costs or liabilities of the Company and its subsidiaries associated with Environmental Laws (including, without limitation, any capital or operating expenditures required for clean</w:t>
      </w:r>
      <w:r>
        <w:rPr>
          <w:rFonts w:ascii="MS PGothic" w:cs="MS PGothic" w:eastAsia="MS PGothic" w:hAnsi="MS PGothic"/>
          <w:sz w:val="18"/>
          <w:szCs w:val="18"/>
          <w:color w:val="auto"/>
        </w:rPr>
        <w:t>‑</w:t>
      </w:r>
      <w:r>
        <w:rPr>
          <w:rFonts w:ascii="Arial" w:cs="Arial" w:eastAsia="Arial" w:hAnsi="Arial"/>
          <w:sz w:val="18"/>
          <w:szCs w:val="18"/>
          <w:color w:val="auto"/>
        </w:rPr>
        <w:t>up, closure of properties or compliance with Environmental Laws or any permit, license or approval, any related constraints on operating activities and any potential liabilities to third parties under Environmental Laws) which would, singly or in the aggregate, have a Material Adverse Effect on the Company and its subsidiaries, taken as a whole.</w:t>
      </w:r>
    </w:p>
    <w:p>
      <w:pPr>
        <w:spacing w:after="0" w:line="232" w:lineRule="exact"/>
        <w:rPr>
          <w:sz w:val="20"/>
          <w:szCs w:val="20"/>
          <w:color w:val="auto"/>
        </w:rPr>
      </w:pPr>
    </w:p>
    <w:p>
      <w:pPr>
        <w:jc w:val="both"/>
        <w:ind w:left="-460" w:firstLine="644"/>
        <w:spacing w:after="0" w:line="254" w:lineRule="auto"/>
        <w:tabs>
          <w:tab w:leader="none" w:pos="122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each of its subsidiaries have filed all federal, state, local and foreign tax returns required to be filed through the date of this Agreement or have requested extensions thereof (except where the failure to file would not, individually or in the aggregate, have a Material Adverse Effect) and have paid all taxes required to be paid by them (except for cases in which the failure to file or pay would not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or any of its subsidiaries have any notice or knowledge of any tax deficiency which would reasonably be expected to be determined adversely to the Company or its subsidiaries and which would reasonably be expected to have) a Material Adverse Effect.</w:t>
      </w:r>
    </w:p>
    <w:p>
      <w:pPr>
        <w:spacing w:after="0" w:line="218" w:lineRule="exact"/>
        <w:rPr>
          <w:rFonts w:ascii="Arial" w:cs="Arial" w:eastAsia="Arial" w:hAnsi="Arial"/>
          <w:sz w:val="18"/>
          <w:szCs w:val="18"/>
          <w:color w:val="auto"/>
        </w:rPr>
      </w:pPr>
    </w:p>
    <w:p>
      <w:pPr>
        <w:jc w:val="both"/>
        <w:ind w:left="-460" w:firstLine="644"/>
        <w:spacing w:after="0" w:line="285" w:lineRule="auto"/>
        <w:tabs>
          <w:tab w:leader="none" w:pos="127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Except as would not reasonably be expected to result in a Material Adverse Effect on the Company and its subsidiaries, taken as a whole, (i) each “employee benefit plan” (within the meaning of Section 3(3) of the Employee Retirement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of its Subsidiaries would have, directly or indirectly (including as a result of being in a "controlled group" for purposes of Section 414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and all required contributions to each Plan have been made, in compliance with its terms and with the requirements of applicable statutes, rules and regulations including ERISA and the Code; (ii) no prohibited transaction, within the meaning of Section 406 of ERISA or Section 4975 of the Code, or violation of fiduciary obligations,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Sections 412 and 430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of its Subsidiaries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that would reasonably be expected to cause the loss of such qualification.</w:t>
      </w:r>
    </w:p>
    <w:p>
      <w:pPr>
        <w:spacing w:after="0" w:line="203" w:lineRule="exact"/>
        <w:rPr>
          <w:rFonts w:ascii="Arial" w:cs="Arial" w:eastAsia="Arial" w:hAnsi="Arial"/>
          <w:sz w:val="16"/>
          <w:szCs w:val="16"/>
          <w:color w:val="auto"/>
        </w:rPr>
      </w:pPr>
    </w:p>
    <w:p>
      <w:pPr>
        <w:jc w:val="both"/>
        <w:ind w:left="-460" w:firstLine="644"/>
        <w:spacing w:after="0" w:line="279" w:lineRule="auto"/>
        <w:tabs>
          <w:tab w:leader="none" w:pos="1104"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Statistical and Market Data</w:t>
      </w:r>
      <w:r>
        <w:rPr>
          <w:rFonts w:ascii="Arial" w:cs="Arial" w:eastAsia="Arial" w:hAnsi="Arial"/>
          <w:sz w:val="17"/>
          <w:szCs w:val="17"/>
          <w:color w:val="auto"/>
        </w:rPr>
        <w:t>. The statistical and market-related data included in each of the Registration Statement, the Time of Sale Prospectus and the Prospectus and the consolidated financial statements included in each of the Registration Statement, the Time of Sale Prospectus and the Prospectus are based on or derived from sources that the Company believes to be reliable in all material respects and, to the extent required, the Company has obtained the written consent to the use of such data from such sources.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6" w:name="page17"/>
    <w:bookmarkEnd w:id="16"/>
    <w:p>
      <w:pPr>
        <w:jc w:val="both"/>
        <w:ind w:left="-460" w:firstLine="644"/>
        <w:spacing w:after="0" w:line="279" w:lineRule="auto"/>
        <w:tabs>
          <w:tab w:leader="none" w:pos="1027"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is not, and immediately after giving effect to the offering and sale of the Shares and the application of the proceeds thereof as described under “Use of Proceeds” in each of the Registration Statement, Time of Sale Prospectus and Prospectus, will not be, an “investment company” or a company “controlled” by an “investment company” within the meaning of the Investment Company Act of 1940, as amended, and the rules and regulations of the Commission thereunder.</w:t>
      </w:r>
    </w:p>
    <w:p>
      <w:pPr>
        <w:spacing w:after="0" w:line="198" w:lineRule="exact"/>
        <w:rPr>
          <w:rFonts w:ascii="Arial" w:cs="Arial" w:eastAsia="Arial" w:hAnsi="Arial"/>
          <w:sz w:val="17"/>
          <w:szCs w:val="17"/>
          <w:color w:val="auto"/>
        </w:rPr>
      </w:pPr>
    </w:p>
    <w:p>
      <w:pPr>
        <w:jc w:val="both"/>
        <w:ind w:left="-460" w:firstLine="644"/>
        <w:spacing w:after="0" w:line="311" w:lineRule="auto"/>
        <w:tabs>
          <w:tab w:leader="none" w:pos="1118"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Authorization of Description of Laws and Documents</w:t>
      </w:r>
      <w:r>
        <w:rPr>
          <w:rFonts w:ascii="Arial" w:cs="Arial" w:eastAsia="Arial" w:hAnsi="Arial"/>
          <w:sz w:val="16"/>
          <w:szCs w:val="16"/>
          <w:color w:val="auto"/>
        </w:rPr>
        <w:t>. The statements set forth in each of the Registration Statement, Time of Sale Prospectus and Prospectus under the captions “</w:t>
      </w:r>
      <w:r>
        <w:rPr>
          <w:rFonts w:ascii="Arial" w:cs="Arial" w:eastAsia="Arial" w:hAnsi="Arial"/>
          <w:sz w:val="16"/>
          <w:szCs w:val="16"/>
          <w:b w:val="1"/>
          <w:bCs w:val="1"/>
          <w:color w:val="auto"/>
        </w:rPr>
        <w:t>Material United States Federal Income Tax Considerations for Non-U.S. Holders</w:t>
      </w:r>
      <w:r>
        <w:rPr>
          <w:rFonts w:ascii="Arial" w:cs="Arial" w:eastAsia="Arial" w:hAnsi="Arial"/>
          <w:sz w:val="16"/>
          <w:szCs w:val="16"/>
          <w:color w:val="auto"/>
        </w:rPr>
        <w:t>,” insofar as they purport to summarize provisions of the laws and documents referred to therein, are accurate summaries in all material respects.</w:t>
      </w:r>
    </w:p>
    <w:p>
      <w:pPr>
        <w:spacing w:after="0" w:line="175" w:lineRule="exact"/>
        <w:rPr>
          <w:rFonts w:ascii="Arial" w:cs="Arial" w:eastAsia="Arial" w:hAnsi="Arial"/>
          <w:sz w:val="16"/>
          <w:szCs w:val="16"/>
          <w:color w:val="auto"/>
        </w:rPr>
      </w:pPr>
    </w:p>
    <w:p>
      <w:pPr>
        <w:jc w:val="both"/>
        <w:ind w:left="-460" w:firstLine="644"/>
        <w:spacing w:after="0" w:line="301" w:lineRule="auto"/>
        <w:tabs>
          <w:tab w:leader="none" w:pos="115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Except as described in each of the Registration Statement,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w:t>
      </w:r>
    </w:p>
    <w:p>
      <w:pPr>
        <w:spacing w:after="0" w:line="184" w:lineRule="exact"/>
        <w:rPr>
          <w:rFonts w:ascii="Arial" w:cs="Arial" w:eastAsia="Arial" w:hAnsi="Arial"/>
          <w:sz w:val="16"/>
          <w:szCs w:val="16"/>
          <w:color w:val="auto"/>
        </w:rPr>
      </w:pPr>
    </w:p>
    <w:p>
      <w:pPr>
        <w:jc w:val="both"/>
        <w:ind w:left="-460" w:right="20" w:firstLine="644"/>
        <w:spacing w:after="0" w:line="263" w:lineRule="auto"/>
        <w:tabs>
          <w:tab w:leader="none" w:pos="123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Neither the Company nor any of its subsidiaries is a party to any contract, agreement or understanding with any person (other than this Agreement) that would give rise to a valid claim against any of them or the Underwriter for a brokerage commission, finder’s fee or like payment in connection with the offering and sale of the Shares.</w:t>
      </w:r>
    </w:p>
    <w:p>
      <w:pPr>
        <w:spacing w:after="0" w:line="210" w:lineRule="exact"/>
        <w:rPr>
          <w:rFonts w:ascii="Arial" w:cs="Arial" w:eastAsia="Arial" w:hAnsi="Arial"/>
          <w:sz w:val="18"/>
          <w:szCs w:val="18"/>
          <w:color w:val="auto"/>
        </w:rPr>
      </w:pPr>
    </w:p>
    <w:p>
      <w:pPr>
        <w:jc w:val="both"/>
        <w:ind w:left="-460" w:right="20" w:firstLine="644"/>
        <w:spacing w:after="0" w:line="263" w:lineRule="auto"/>
        <w:tabs>
          <w:tab w:leader="none" w:pos="124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Stabilization</w:t>
      </w:r>
      <w:r>
        <w:rPr>
          <w:rFonts w:ascii="Arial" w:cs="Arial" w:eastAsia="Arial" w:hAnsi="Arial"/>
          <w:sz w:val="18"/>
          <w:szCs w:val="18"/>
          <w:color w:val="auto"/>
        </w:rPr>
        <w:t>. The Company and its affiliates have not taken, directly or indirectly, any action designed to or that has constituted or that would reasonably be expected to cause or result in the stabilization or manipulation of the price of any security of the Company in connection with the offering of the Shares.</w:t>
      </w:r>
    </w:p>
    <w:p>
      <w:pPr>
        <w:spacing w:after="0" w:line="210" w:lineRule="exact"/>
        <w:rPr>
          <w:rFonts w:ascii="Arial" w:cs="Arial" w:eastAsia="Arial" w:hAnsi="Arial"/>
          <w:sz w:val="18"/>
          <w:szCs w:val="18"/>
          <w:color w:val="auto"/>
        </w:rPr>
      </w:pPr>
    </w:p>
    <w:p>
      <w:pPr>
        <w:jc w:val="both"/>
        <w:ind w:left="-460" w:right="20" w:firstLine="644"/>
        <w:spacing w:after="0" w:line="286" w:lineRule="auto"/>
        <w:tabs>
          <w:tab w:leader="none" w:pos="119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Stabilization Safe Harbor</w:t>
      </w:r>
      <w:r>
        <w:rPr>
          <w:rFonts w:ascii="Arial" w:cs="Arial" w:eastAsia="Arial" w:hAnsi="Arial"/>
          <w:sz w:val="17"/>
          <w:szCs w:val="17"/>
          <w:color w:val="auto"/>
        </w:rPr>
        <w:t>. The Company has not taken any action or omitted to take any action (such as issuing any press release relating to any Shares without an appropriate legend) which may result in the loss by the Underwriter of the ability to rely on any stabilization safe harbor provided by the Financial Services Authority under the Financial Services Markets Act of 2000.</w:t>
      </w:r>
    </w:p>
    <w:p>
      <w:pPr>
        <w:spacing w:after="0" w:line="1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7" w:name="page18"/>
    <w:bookmarkEnd w:id="17"/>
    <w:p>
      <w:pPr>
        <w:jc w:val="both"/>
        <w:ind w:left="-460" w:firstLine="644"/>
        <w:spacing w:after="0" w:line="269" w:lineRule="auto"/>
        <w:tabs>
          <w:tab w:leader="none" w:pos="123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 Unlawful Payments</w:t>
      </w:r>
      <w:r>
        <w:rPr>
          <w:rFonts w:ascii="Arial" w:cs="Arial" w:eastAsia="Arial" w:hAnsi="Arial"/>
          <w:sz w:val="17"/>
          <w:szCs w:val="17"/>
          <w:color w:val="auto"/>
        </w:rPr>
        <w:t>. (A) None of the Company or any of its subsidiaries, nor, to the knowledge of the Company after reasonable inquiry, any director, officer, or employee, agent, or representative of the Company or of any of its subsidiaries,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7"/>
          <w:szCs w:val="17"/>
          <w:b w:val="1"/>
          <w:bCs w:val="1"/>
          <w:color w:val="auto"/>
        </w:rPr>
        <w:t>Government Official</w:t>
      </w:r>
      <w:r>
        <w:rPr>
          <w:rFonts w:ascii="Arial" w:cs="Arial" w:eastAsia="Arial" w:hAnsi="Arial"/>
          <w:sz w:val="17"/>
          <w:szCs w:val="17"/>
          <w:color w:val="auto"/>
        </w:rPr>
        <w:t>”) in order to influence official action, or to any person in violation of any applicable anti-corruption laws; (B) the Company and its subsidiaries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(C) none of the Company 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205" w:lineRule="exact"/>
        <w:rPr>
          <w:rFonts w:ascii="Arial" w:cs="Arial" w:eastAsia="Arial" w:hAnsi="Arial"/>
          <w:sz w:val="17"/>
          <w:szCs w:val="17"/>
          <w:color w:val="auto"/>
        </w:rPr>
      </w:pPr>
    </w:p>
    <w:p>
      <w:pPr>
        <w:jc w:val="both"/>
        <w:ind w:left="-460" w:firstLine="644"/>
        <w:spacing w:after="0" w:line="271" w:lineRule="auto"/>
        <w:tabs>
          <w:tab w:leader="none" w:pos="144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Compliance with Money Laundering Laws</w:t>
      </w:r>
      <w:r>
        <w:rPr>
          <w:rFonts w:ascii="Arial" w:cs="Arial" w:eastAsia="Arial" w:hAnsi="Arial"/>
          <w:sz w:val="17"/>
          <w:szCs w:val="17"/>
          <w:color w:val="auto"/>
        </w:rPr>
        <w:t>. The operations of the Company and its subsidiaries are and have been conducted at all times in material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205" w:lineRule="exact"/>
        <w:rPr>
          <w:rFonts w:ascii="Arial" w:cs="Arial" w:eastAsia="Arial" w:hAnsi="Arial"/>
          <w:sz w:val="17"/>
          <w:szCs w:val="17"/>
          <w:color w:val="auto"/>
        </w:rPr>
      </w:pPr>
    </w:p>
    <w:p>
      <w:pPr>
        <w:jc w:val="both"/>
        <w:ind w:left="-460" w:firstLine="644"/>
        <w:spacing w:after="0" w:line="287" w:lineRule="auto"/>
        <w:tabs>
          <w:tab w:leader="none" w:pos="128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Compliance with OFAC</w:t>
      </w:r>
      <w:r>
        <w:rPr>
          <w:rFonts w:ascii="Arial" w:cs="Arial" w:eastAsia="Arial" w:hAnsi="Arial"/>
          <w:sz w:val="16"/>
          <w:szCs w:val="16"/>
          <w:color w:val="auto"/>
        </w:rPr>
        <w:t>. (A) None of the Company or any of its subsidiaries, nor, to the knowledge of the Company after reasonable inquiry, any director, officer, employee or agent of the Company or any of its subsidiaries, is an individual or entity (“</w:t>
      </w:r>
      <w:r>
        <w:rPr>
          <w:rFonts w:ascii="Arial" w:cs="Arial" w:eastAsia="Arial" w:hAnsi="Arial"/>
          <w:sz w:val="16"/>
          <w:szCs w:val="16"/>
          <w:b w:val="1"/>
          <w:bCs w:val="1"/>
          <w:color w:val="auto"/>
        </w:rPr>
        <w:t>Person</w:t>
      </w:r>
      <w:r>
        <w:rPr>
          <w:rFonts w:ascii="Arial" w:cs="Arial" w:eastAsia="Arial" w:hAnsi="Arial"/>
          <w:sz w:val="16"/>
          <w:szCs w:val="16"/>
          <w:color w:val="auto"/>
        </w:rPr>
        <w:t>”) that is, or is owned or controlled by one or more Persons that are: (1) the subject of any sanctions administered or enforced by the U.S. Department of Treasury’s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 United Nations Security Council (“</w:t>
      </w:r>
      <w:r>
        <w:rPr>
          <w:rFonts w:ascii="Arial" w:cs="Arial" w:eastAsia="Arial" w:hAnsi="Arial"/>
          <w:sz w:val="16"/>
          <w:szCs w:val="16"/>
          <w:b w:val="1"/>
          <w:bCs w:val="1"/>
          <w:color w:val="auto"/>
        </w:rPr>
        <w:t>UNSC</w:t>
      </w:r>
      <w:r>
        <w:rPr>
          <w:rFonts w:ascii="Arial" w:cs="Arial" w:eastAsia="Arial" w:hAnsi="Arial"/>
          <w:sz w:val="16"/>
          <w:szCs w:val="16"/>
          <w:color w:val="auto"/>
        </w:rPr>
        <w:t>”), the European Union (“</w:t>
      </w:r>
      <w:r>
        <w:rPr>
          <w:rFonts w:ascii="Arial" w:cs="Arial" w:eastAsia="Arial" w:hAnsi="Arial"/>
          <w:sz w:val="16"/>
          <w:szCs w:val="16"/>
          <w:b w:val="1"/>
          <w:bCs w:val="1"/>
          <w:color w:val="auto"/>
        </w:rPr>
        <w:t>EU</w:t>
      </w:r>
      <w:r>
        <w:rPr>
          <w:rFonts w:ascii="Arial" w:cs="Arial" w:eastAsia="Arial" w:hAnsi="Arial"/>
          <w:sz w:val="16"/>
          <w:szCs w:val="16"/>
          <w:color w:val="auto"/>
        </w:rPr>
        <w:t>”), Her Majesty’s Treasury (“</w:t>
      </w:r>
      <w:r>
        <w:rPr>
          <w:rFonts w:ascii="Arial" w:cs="Arial" w:eastAsia="Arial" w:hAnsi="Arial"/>
          <w:sz w:val="16"/>
          <w:szCs w:val="16"/>
          <w:b w:val="1"/>
          <w:bCs w:val="1"/>
          <w:color w:val="auto"/>
        </w:rPr>
        <w:t>HMT</w:t>
      </w:r>
      <w:r>
        <w:rPr>
          <w:rFonts w:ascii="Arial" w:cs="Arial" w:eastAsia="Arial" w:hAnsi="Arial"/>
          <w:sz w:val="16"/>
          <w:szCs w:val="16"/>
          <w:color w:val="auto"/>
        </w:rPr>
        <w:t>”),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or (2) located, organized or resident in a country or territory that is the subject of Sanctions (including, without limitation, Crimea, Cuba, Iran, North Korea and Syria); (B) the Company will not, directly or indirectly, use the proceeds of the offering, or lend, contribute or otherwise make available such proceeds to any subsidiary, joint venture partner or other Person: (1) to fund or facilitate any activities or business of or with any Person or in any country or territory that, at the time of such funding or facilitation, is the subject of Sanctions; or (2) in any other manner that will result in a violation of Sanctions by any Person (including any Person participating in the offering, whether as underwriter, advisor, investor or otherwise); and (C) For the past five years, the Company and its subsidiaries have not knowingly engaged in, and are not now knowingly engaged in, any dealings or transactions with any Person, or in any country or territory, that at the time of the dealing or transaction is or was the subject of Sanctions.</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8" w:name="page19"/>
    <w:bookmarkEnd w:id="18"/>
    <w:p>
      <w:pPr>
        <w:ind w:right="20" w:firstLine="656"/>
        <w:spacing w:after="0" w:line="342" w:lineRule="auto"/>
        <w:tabs>
          <w:tab w:leader="none" w:pos="142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Certificates. </w:t>
      </w:r>
      <w:r>
        <w:rPr>
          <w:rFonts w:ascii="Arial" w:cs="Arial" w:eastAsia="Arial" w:hAnsi="Arial"/>
          <w:sz w:val="16"/>
          <w:szCs w:val="16"/>
          <w:color w:val="auto"/>
        </w:rPr>
        <w:t>Any certificate signed by any officer of the Company or any of its subsidiaries delivered to the Underwriter or to</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Underwriter shall be deemed a representation and warranty by the Company to each Underwriter as to the matters covered thereby.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Underwriter; Closing</w:t>
      </w:r>
      <w:r>
        <w:rPr>
          <w:rFonts w:ascii="Arial" w:cs="Arial" w:eastAsia="Arial" w:hAnsi="Arial"/>
          <w:sz w:val="18"/>
          <w:szCs w:val="18"/>
          <w:color w:val="auto"/>
        </w:rPr>
        <w:t>.</w:t>
      </w:r>
    </w:p>
    <w:p>
      <w:pPr>
        <w:spacing w:after="0" w:line="252" w:lineRule="exact"/>
        <w:rPr>
          <w:sz w:val="20"/>
          <w:szCs w:val="20"/>
          <w:color w:val="auto"/>
        </w:rPr>
      </w:pPr>
    </w:p>
    <w:p>
      <w:pPr>
        <w:jc w:val="both"/>
        <w:ind w:firstLine="656"/>
        <w:spacing w:after="0" w:line="263" w:lineRule="auto"/>
        <w:tabs>
          <w:tab w:leader="none" w:pos="131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Firm Shares</w:t>
      </w:r>
      <w:r>
        <w:rPr>
          <w:rFonts w:ascii="Arial" w:cs="Arial" w:eastAsia="Arial" w:hAnsi="Arial"/>
          <w:sz w:val="18"/>
          <w:szCs w:val="18"/>
          <w:color w:val="auto"/>
        </w:rPr>
        <w:t>. On the basis of the representations and warranties herein contained and subject to the terms and conditions herein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agrees to sell to the Underwriter and the Underwriter agrees to purchase from the Company, at $49.5758 per Share, the number of Firm Shares set forth in Schedule A opposite the name of the Underwriter.</w:t>
      </w:r>
    </w:p>
    <w:p>
      <w:pPr>
        <w:spacing w:after="0" w:line="210" w:lineRule="exact"/>
        <w:rPr>
          <w:rFonts w:ascii="Arial" w:cs="Arial" w:eastAsia="Arial" w:hAnsi="Arial"/>
          <w:sz w:val="18"/>
          <w:szCs w:val="18"/>
          <w:color w:val="auto"/>
        </w:rPr>
      </w:pPr>
    </w:p>
    <w:p>
      <w:pPr>
        <w:jc w:val="both"/>
        <w:ind w:firstLine="656"/>
        <w:spacing w:after="0" w:line="289" w:lineRule="auto"/>
        <w:tabs>
          <w:tab w:leader="none" w:pos="156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Additional Shares</w:t>
      </w:r>
      <w:r>
        <w:rPr>
          <w:rFonts w:ascii="Arial" w:cs="Arial" w:eastAsia="Arial" w:hAnsi="Arial"/>
          <w:sz w:val="16"/>
          <w:szCs w:val="16"/>
          <w:color w:val="auto"/>
        </w:rPr>
        <w:t>. In addition, on the basis of the representations and warranties herein contained and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herein set forth, the Company hereby grants an option to the Underwriter to purchase up to the number of Additional Shares set forth in Schedule A at the same purchase price as the Firm Shares, less an amount per share equal to any dividends or distributions declared by the Company and payable on the Firm Shares but not payable on the Additional Shares. The option hereby granted may be exercised for 30 days after the date hereof and may be exercised in whole or in part at any time from time to time upon notice by the Underwriter to the Company setting forth the number of Additional Shares as to which the Underwriter is then exercising the option and the time and date of payment and delivery for such Additional Shares. Any such time and date of delivery (a “</w:t>
      </w:r>
      <w:r>
        <w:rPr>
          <w:rFonts w:ascii="Arial" w:cs="Arial" w:eastAsia="Arial" w:hAnsi="Arial"/>
          <w:sz w:val="16"/>
          <w:szCs w:val="16"/>
          <w:b w:val="1"/>
          <w:bCs w:val="1"/>
          <w:color w:val="auto"/>
        </w:rPr>
        <w:t>Date of Delivery</w:t>
      </w:r>
      <w:r>
        <w:rPr>
          <w:rFonts w:ascii="Arial" w:cs="Arial" w:eastAsia="Arial" w:hAnsi="Arial"/>
          <w:sz w:val="16"/>
          <w:szCs w:val="16"/>
          <w:color w:val="auto"/>
        </w:rPr>
        <w:t>”) shall be determined by the Underwriter, but shall not be earlier than two or later than seven full business days after the exercise of said option, nor in any event prior to the Closing Time. If the option is exercised as to all or any portion of the Additional Shares the Underwriter will purchase the number of Additional Shares set forth in Schedule A opposite the name of the Underwriter.</w:t>
      </w:r>
    </w:p>
    <w:p>
      <w:pPr>
        <w:spacing w:after="0" w:line="193" w:lineRule="exact"/>
        <w:rPr>
          <w:rFonts w:ascii="Arial" w:cs="Arial" w:eastAsia="Arial" w:hAnsi="Arial"/>
          <w:sz w:val="16"/>
          <w:szCs w:val="16"/>
          <w:color w:val="auto"/>
        </w:rPr>
      </w:pPr>
    </w:p>
    <w:p>
      <w:pPr>
        <w:jc w:val="both"/>
        <w:ind w:firstLine="656"/>
        <w:spacing w:after="0" w:line="257" w:lineRule="auto"/>
        <w:tabs>
          <w:tab w:leader="none" w:pos="139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for, the Firm Shares shall be made at the offices of Skadden,</w:t>
      </w:r>
      <w:r>
        <w:rPr>
          <w:rFonts w:ascii="Arial" w:cs="Arial" w:eastAsia="Arial" w:hAnsi="Arial"/>
          <w:sz w:val="18"/>
          <w:szCs w:val="18"/>
          <w:i w:val="1"/>
          <w:iCs w:val="1"/>
          <w:color w:val="auto"/>
        </w:rPr>
        <w:t xml:space="preserve"> </w:t>
      </w:r>
      <w:r>
        <w:rPr>
          <w:rFonts w:ascii="Arial" w:cs="Arial" w:eastAsia="Arial" w:hAnsi="Arial"/>
          <w:sz w:val="18"/>
          <w:szCs w:val="18"/>
          <w:color w:val="auto"/>
        </w:rPr>
        <w:t>Arps, Slate, Meagher &amp; Flom LLP, or at such other place as shall be agreed upon by the Underwriter and the Company, at 10:00 A.M. (New York City time) on the second (third, if the pricing occurs after 4:30 P.M. (New York City time) on any given day) business day after the date hereof, or such other time not later than ten business days after such date as shall be agreed upon by the Underwriter and the Company (such time and date of payment and delivery being herein called “</w:t>
      </w:r>
      <w:r>
        <w:rPr>
          <w:rFonts w:ascii="Arial" w:cs="Arial" w:eastAsia="Arial" w:hAnsi="Arial"/>
          <w:sz w:val="18"/>
          <w:szCs w:val="18"/>
          <w:b w:val="1"/>
          <w:bCs w:val="1"/>
          <w:color w:val="auto"/>
        </w:rPr>
        <w:t>Closing Time</w:t>
      </w:r>
      <w:r>
        <w:rPr>
          <w:rFonts w:ascii="Arial" w:cs="Arial" w:eastAsia="Arial" w:hAnsi="Arial"/>
          <w:sz w:val="18"/>
          <w:szCs w:val="18"/>
          <w:color w:val="auto"/>
        </w:rPr>
        <w: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in the event that any or all of the Additional Shares are purchased by the Underwriter, payment of the purchase price for, and delivery of such Additional Shares shall be made at the above mentioned offices, or at such other place as shall be agreed upon by the Underwriter and the Company, on each Date of Delivery as specified in the notice from the Underwriter to the Company.</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Payment shall be made to the Company by wire transfer of immediately available funds to the bank account designated by the Company against delivery to the Underwriter of the Shares to be purchased by the Underwriter.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the Underwriter as follows:</w:t>
      </w:r>
    </w:p>
    <w:p>
      <w:pPr>
        <w:spacing w:after="0" w:line="252" w:lineRule="exact"/>
        <w:rPr>
          <w:sz w:val="20"/>
          <w:szCs w:val="20"/>
          <w:color w:val="auto"/>
        </w:rPr>
      </w:pPr>
    </w:p>
    <w:p>
      <w:pPr>
        <w:jc w:val="both"/>
        <w:ind w:firstLine="656"/>
        <w:spacing w:after="0" w:line="287" w:lineRule="auto"/>
        <w:tabs>
          <w:tab w:leader="none" w:pos="1538"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430A, and will notify the Underwriter as soon as practicable (i) when any post-effective amendment to the Registration Statement shall become effective or any amendment or supplement to the Prospectus shall have been filed, (ii) of the receipt of any comments from the Commission,</w:t>
      </w:r>
    </w:p>
    <w:p>
      <w:pPr>
        <w:spacing w:after="0" w:line="2" w:lineRule="exact"/>
        <w:rPr>
          <w:rFonts w:ascii="Arial" w:cs="Arial" w:eastAsia="Arial" w:hAnsi="Arial"/>
          <w:sz w:val="16"/>
          <w:szCs w:val="16"/>
          <w:color w:val="auto"/>
        </w:rPr>
      </w:pPr>
    </w:p>
    <w:p>
      <w:pPr>
        <w:jc w:val="both"/>
        <w:ind w:firstLine="8"/>
        <w:spacing w:after="0" w:line="268" w:lineRule="auto"/>
        <w:tabs>
          <w:tab w:leader="none" w:pos="322" w:val="left"/>
        </w:tabs>
        <w:numPr>
          <w:ilvl w:val="0"/>
          <w:numId w:val="22"/>
        </w:numPr>
        <w:rPr>
          <w:rFonts w:ascii="Arial" w:cs="Arial" w:eastAsia="Arial" w:hAnsi="Arial"/>
          <w:sz w:val="17"/>
          <w:szCs w:val="17"/>
          <w:color w:val="auto"/>
        </w:rPr>
      </w:pPr>
      <w:r>
        <w:rPr>
          <w:rFonts w:ascii="Arial" w:cs="Arial" w:eastAsia="Arial" w:hAnsi="Arial"/>
          <w:sz w:val="17"/>
          <w:szCs w:val="17"/>
          <w:color w:val="auto"/>
        </w:rPr>
        <w:t>of any request by the Commission for any amendment to the Registration Statement or any amendment or supplement to the Time of Sale Prospectus or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Shares . The Company will effect all filings required under Rule 424(b) in the manner and within the time period required by Rule 424(b) (without reliance on Rule 424(b)(8)). The Company will make every commercially reasonable effort to prevent the issuance of any stop order, prevention or suspension and, if any such order is issued, to obtain the lifting thereof as soon as practicable.</w:t>
      </w:r>
    </w:p>
    <w:p>
      <w:pPr>
        <w:spacing w:after="0" w:line="208" w:lineRule="exact"/>
        <w:rPr>
          <w:rFonts w:ascii="Arial" w:cs="Arial" w:eastAsia="Arial" w:hAnsi="Arial"/>
          <w:sz w:val="17"/>
          <w:szCs w:val="17"/>
          <w:color w:val="auto"/>
        </w:rPr>
      </w:pPr>
    </w:p>
    <w:p>
      <w:pPr>
        <w:jc w:val="both"/>
        <w:ind w:firstLine="656"/>
        <w:spacing w:after="0" w:line="285" w:lineRule="auto"/>
        <w:tabs>
          <w:tab w:leader="none" w:pos="1307"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Securities Act and the Securities Act Regulations so as</w:t>
      </w:r>
      <w:r>
        <w:rPr>
          <w:rFonts w:ascii="Arial" w:cs="Arial" w:eastAsia="Arial" w:hAnsi="Arial"/>
          <w:sz w:val="16"/>
          <w:szCs w:val="16"/>
          <w:i w:val="1"/>
          <w:iCs w:val="1"/>
          <w:color w:val="auto"/>
        </w:rPr>
        <w:t xml:space="preserve"> </w:t>
      </w:r>
      <w:r>
        <w:rPr>
          <w:rFonts w:ascii="Arial" w:cs="Arial" w:eastAsia="Arial" w:hAnsi="Arial"/>
          <w:sz w:val="16"/>
          <w:szCs w:val="16"/>
          <w:color w:val="auto"/>
        </w:rPr>
        <w:t>to permit the completion of the distribution of the Shares as contemplated in this Agreement and in the Registration Statement, Time of Sale Prospectus and Prospectus. If at any time when a prospectus relating to the Shares is (or, but for the exception afforded by Rule 172 of the Securities Act Regulations (“</w:t>
      </w:r>
      <w:r>
        <w:rPr>
          <w:rFonts w:ascii="Arial" w:cs="Arial" w:eastAsia="Arial" w:hAnsi="Arial"/>
          <w:sz w:val="16"/>
          <w:szCs w:val="16"/>
          <w:b w:val="1"/>
          <w:bCs w:val="1"/>
          <w:color w:val="auto"/>
        </w:rPr>
        <w:t>Rule 172</w:t>
      </w:r>
      <w:r>
        <w:rPr>
          <w:rFonts w:ascii="Arial" w:cs="Arial" w:eastAsia="Arial" w:hAnsi="Arial"/>
          <w:sz w:val="16"/>
          <w:szCs w:val="16"/>
          <w:color w:val="auto"/>
        </w:rPr>
        <w:t xml:space="preserve">”), would be) required by the Securities Act to be delivered in connection with sales of the Securities, any event shall occur or condition shall exist as a result of which it is necessary, in the opinion of counsel for the Underwriter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Time of Sale Prospectus or the Prospectus in order that the Time of Sale Prospectus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Time of Sale Prospectus or the Prospectus, as the case may be, in order to comply with the requirements of the Securities Act or the Securities Act Regulations, the Company will promptly (A) give the Underwriter notice of such event, (B) prepare any amendment or supplement as may be necessary to correct such statement or omission or to make the Registration Statement, the Time of Sale Prospectus or the Prospectus comply with such requirements and, a reasonable amount of time prior to any proposed filing or use, furnish the Underwriter with copies of any such amendment or supplement and (C) file with the Commission any such amendment or supplement;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file or use any such amendment or supplement to which the Underwriter or counsel for the Underwriter shall reasonably object. The Company will furnish to the Underwriter such number of copies of such amendment or supplement as the Underwriter may reasonably request.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both"/>
        <w:ind w:firstLine="656"/>
        <w:spacing w:after="0" w:line="254" w:lineRule="auto"/>
        <w:tabs>
          <w:tab w:leader="none" w:pos="1409"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upon request to the Underwriter and counsel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 without charge, conformed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Underwriter, without charge, upon request, a conformed copy of the Registration Statement as originally filed and each amendment thereto (without exhibits) for the Underwriter. The copies of the Registration Statement and each amendment thereto furnished to the Underwriter will be identical to the electronically transmitted copies thereof filed with the Commission pursuant to EDGAR, except to the extent permitted by Regulation S-T.</w:t>
      </w:r>
    </w:p>
    <w:p>
      <w:pPr>
        <w:spacing w:after="0" w:line="221" w:lineRule="exact"/>
        <w:rPr>
          <w:rFonts w:ascii="Arial" w:cs="Arial" w:eastAsia="Arial" w:hAnsi="Arial"/>
          <w:sz w:val="18"/>
          <w:szCs w:val="18"/>
          <w:color w:val="auto"/>
        </w:rPr>
      </w:pPr>
    </w:p>
    <w:p>
      <w:pPr>
        <w:jc w:val="both"/>
        <w:ind w:firstLine="656"/>
        <w:spacing w:after="0" w:line="254" w:lineRule="auto"/>
        <w:tabs>
          <w:tab w:leader="none" w:pos="1589"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Delivery of Prospectuses</w:t>
      </w:r>
      <w:r>
        <w:rPr>
          <w:rFonts w:ascii="Arial" w:cs="Arial" w:eastAsia="Arial" w:hAnsi="Arial"/>
          <w:sz w:val="18"/>
          <w:szCs w:val="18"/>
          <w:color w:val="auto"/>
        </w:rPr>
        <w:t>. The Company has delivered to the Underwriter, without charge, as many copies of each preliminary</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as the Underwriter reasonably requested, and the Company hereby consents to the use of such copies for purposes permitted by the Securities Act. The Company will furnish to the Underwriter, without charge, during the period when a prospectus relating to the Securities is (or, but for the exception afforded by Rule 172, would be) required to be delivered under the Securities Act, such number of copies of the Prospectus (as amended or supplemented) as the Underwriter may reasonably request. The Prospectus and any amendments or supplements thereto furnished to the Underwriter will be identical to the electronically transmitted copies thereof filed with the Commission pursuant to EDGAR, except to the extent permitted by Regulation S-T.</w:t>
      </w:r>
    </w:p>
    <w:p>
      <w:pPr>
        <w:spacing w:after="0" w:line="221" w:lineRule="exact"/>
        <w:rPr>
          <w:rFonts w:ascii="Arial" w:cs="Arial" w:eastAsia="Arial" w:hAnsi="Arial"/>
          <w:sz w:val="18"/>
          <w:szCs w:val="18"/>
          <w:color w:val="auto"/>
        </w:rPr>
      </w:pPr>
    </w:p>
    <w:p>
      <w:pPr>
        <w:jc w:val="both"/>
        <w:ind w:firstLine="656"/>
        <w:spacing w:after="0" w:line="296" w:lineRule="auto"/>
        <w:tabs>
          <w:tab w:leader="none" w:pos="143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cooperate with the Underwriter, to qualify the Securities for offering and sale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securities laws of such states and other jurisdictions (domestic or foreign) as the Underwriter may designate and to maintain such qualifications in effect so long as required to complete the distribution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file any general consent or otherwise subject itself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8" w:lineRule="exact"/>
        <w:rPr>
          <w:rFonts w:ascii="Arial" w:cs="Arial" w:eastAsia="Arial" w:hAnsi="Arial"/>
          <w:sz w:val="16"/>
          <w:szCs w:val="16"/>
          <w:color w:val="auto"/>
        </w:rPr>
      </w:pPr>
    </w:p>
    <w:p>
      <w:pPr>
        <w:jc w:val="both"/>
        <w:ind w:firstLine="656"/>
        <w:spacing w:after="0" w:line="263" w:lineRule="auto"/>
        <w:tabs>
          <w:tab w:leader="none" w:pos="130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Exchange Act as are necessary in order to make generally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to its securityholders as soon as practicable an earnings statement for the purposes of, and to provide to the Underwriter the benefits contemplated by, the last paragraph of Section 11(a) of the Securities Act.</w:t>
      </w:r>
    </w:p>
    <w:p>
      <w:pPr>
        <w:spacing w:after="0" w:line="210" w:lineRule="exact"/>
        <w:rPr>
          <w:rFonts w:ascii="Arial" w:cs="Arial" w:eastAsia="Arial" w:hAnsi="Arial"/>
          <w:sz w:val="18"/>
          <w:szCs w:val="18"/>
          <w:color w:val="auto"/>
        </w:rPr>
      </w:pPr>
    </w:p>
    <w:p>
      <w:pPr>
        <w:ind w:firstLine="656"/>
        <w:spacing w:after="0" w:line="277" w:lineRule="auto"/>
        <w:tabs>
          <w:tab w:leader="none" w:pos="147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Shares in the manner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Time of Sale Prospectus and Prospectus under “Use of Proceeds.”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both"/>
        <w:ind w:firstLine="656"/>
        <w:spacing w:after="0" w:line="285" w:lineRule="auto"/>
        <w:tabs>
          <w:tab w:leader="none" w:pos="1317"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45 days from the date of the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the Company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without the prior written consent of the Underwriter, (i) directly or indirectly, offer, pledge, sell, contract to sell, sell any option or contract to purchase, purchase any option or contract to sell, grant any option, right or warrant to purchase or otherwise transfer or dispose of any Common Stock or any securities convertible into or exercisable or exchangeable for Common Stock or file any registration statement under the Securities Act with respect to any of the foregoing or (ii) enter into any swap or any other agreement or any transaction that transfers, in whole or in part, directly or indirectly, the economic consequence of ownership of the Common Stock or any securities convertible into or exercisable or exchangeable for Common Stock, whether any such swap or transaction described in clause (i) or (ii) above is to be settled by delivery of Common Stock or such other securities, in cash or otherwise. The foregoing sentence shall not apply to (A) the Shares to be sold hereunder, (B) any Common Stock issued by the Company upon the exercise of an option or warrant or the conversion of a security outstanding on the date hereof or at the Closing Time and referred to in the Registration Statement, Time of Sale Prospectus and Prospectus, (C) any grants of Common Stock, share options, restricted shares, notional units or other equity or equity-based securities to employees, directors, contractors, or other individuals eligible to receive awards pursuant to the terms of any plan in effect as of the Closing Time and described in the Registration Statement, Time of Sale Prospectus and Prospectus, or the issuance of Common Stock pursuant to the exercise, vesting, or settlement of any award granted pursuant to the Company’s equity incentive plans that are described in the Registration Statement, Time of Sale Prospectus and Prospectus, (D) any Common Stock issued pursuant to any non-employee director share plan or dividend reinvestment plan referred to in the Registration Statement, Time of Sale Prospectus and Prospectus, (E) enter into an agreement to issue shares of Common Stock, or securities convertible into Common Stock in connection with mergers or acquisition transactions, joint ventures or other strategic corporate transactions, and (F) any registration statement on Form S-8 under the Securities Act with respect to the foregoing clauses (B), (C) and (D); provided that, the holders of Common Stock issued pursuant to (B), (C) or (D) above agree to execute a lock-up letter described in Section 5(i) hereof (to the extent such holder has not previously signed a lock-up letter covering such Class A Shares) or such Class A Shares do not vest until after the expiry of the Lock-Up Period.</w:t>
      </w:r>
    </w:p>
    <w:p>
      <w:pPr>
        <w:spacing w:after="0" w:line="199" w:lineRule="exact"/>
        <w:rPr>
          <w:rFonts w:ascii="Arial" w:cs="Arial" w:eastAsia="Arial" w:hAnsi="Arial"/>
          <w:sz w:val="16"/>
          <w:szCs w:val="16"/>
          <w:color w:val="auto"/>
        </w:rPr>
      </w:pPr>
    </w:p>
    <w:p>
      <w:pPr>
        <w:jc w:val="both"/>
        <w:ind w:firstLine="656"/>
        <w:spacing w:after="0" w:line="259" w:lineRule="auto"/>
        <w:tabs>
          <w:tab w:leader="none" w:pos="129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the Prospectus is (or, but for the exception afforded by Rule 172, would</w:t>
      </w:r>
      <w:r>
        <w:rPr>
          <w:rFonts w:ascii="Arial" w:cs="Arial" w:eastAsia="Arial" w:hAnsi="Arial"/>
          <w:sz w:val="18"/>
          <w:szCs w:val="18"/>
          <w:i w:val="1"/>
          <w:iCs w:val="1"/>
          <w:color w:val="auto"/>
        </w:rPr>
        <w:t xml:space="preserve"> </w:t>
      </w:r>
      <w:r>
        <w:rPr>
          <w:rFonts w:ascii="Arial" w:cs="Arial" w:eastAsia="Arial" w:hAnsi="Arial"/>
          <w:sz w:val="18"/>
          <w:szCs w:val="18"/>
          <w:color w:val="auto"/>
        </w:rPr>
        <w:t>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the Securities as may be required under Rule 463 under the Securities Act.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firstLine="656"/>
        <w:spacing w:after="0" w:line="286" w:lineRule="auto"/>
        <w:tabs>
          <w:tab w:leader="none" w:pos="1382"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The Company agrees that, unless it obtains the prior written consent of the Underwriter, it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make any offer relating to the Securities that would constitute an Issuer Free Writing Prospectus or that would otherwise constitute a “free writing prospectus,” or a portion thereof, required to be filed by the Company with the Commission or retained by the Company under Rule 433;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Underwriter will be deemed to have consented to the Issuer Free Writing Prospectuses listed on Schedule B-2 hereto and any “road show that is a written communication” within the meaning of Rule 433(d)(8)(i) that has been reviewed by the Underwriter. The Company represents that it has treated or agrees that it will treat each such free writing prospectus consented to, or deemed consented to, by the Underwriter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 and will promptly amend or supplement, at its own expense, such Issuer Free Writing Prospectus to eliminate or correct such conflict, untrue statement or omission. The Underwriter represents that it has not made, and agrees that, without the prior consent of the Company, it will not make any offer relating to the Securities that would constitute a “free writing prospectus” required to be filed by the Company with the Commission or retained by the Company under Rule 433.</w:t>
      </w:r>
    </w:p>
    <w:p>
      <w:pPr>
        <w:spacing w:after="0" w:line="221" w:lineRule="exact"/>
        <w:rPr>
          <w:rFonts w:ascii="Arial" w:cs="Arial" w:eastAsia="Arial" w:hAnsi="Arial"/>
          <w:sz w:val="16"/>
          <w:szCs w:val="16"/>
          <w:color w:val="auto"/>
        </w:rPr>
      </w:pPr>
    </w:p>
    <w:p>
      <w:pPr>
        <w:jc w:val="both"/>
        <w:ind w:firstLine="656"/>
        <w:spacing w:after="0" w:line="259" w:lineRule="auto"/>
        <w:tabs>
          <w:tab w:leader="none" w:pos="142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Shelf Securities</w:t>
      </w:r>
      <w:r>
        <w:rPr>
          <w:rFonts w:ascii="Arial" w:cs="Arial" w:eastAsia="Arial" w:hAnsi="Arial"/>
          <w:sz w:val="18"/>
          <w:szCs w:val="18"/>
          <w:color w:val="auto"/>
        </w:rPr>
        <w:t>. If the third anniversary of the initial effective date of the Registration Statement occurs before all the Shares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sold by the Underwriter, prior to the third anniversary to file a new shelf registration statement and to take any other action necessary to permit the public offering of the Shares to continue without interruption; references herein to the Registration Statement shall include the new registration statement declared effective by the Commission.</w:t>
      </w:r>
    </w:p>
    <w:p>
      <w:pPr>
        <w:spacing w:after="0" w:line="240" w:lineRule="exact"/>
        <w:rPr>
          <w:rFonts w:ascii="Arial" w:cs="Arial" w:eastAsia="Arial" w:hAnsi="Arial"/>
          <w:sz w:val="18"/>
          <w:szCs w:val="18"/>
          <w:color w:val="auto"/>
        </w:rPr>
      </w:pPr>
    </w:p>
    <w:p>
      <w:pPr>
        <w:jc w:val="both"/>
        <w:ind w:firstLine="656"/>
        <w:spacing w:after="0" w:line="259" w:lineRule="auto"/>
        <w:tabs>
          <w:tab w:leader="none" w:pos="139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Rule 462(b) Registration Statement. </w:t>
      </w:r>
      <w:r>
        <w:rPr>
          <w:rFonts w:ascii="Arial" w:cs="Arial" w:eastAsia="Arial" w:hAnsi="Arial"/>
          <w:sz w:val="18"/>
          <w:szCs w:val="18"/>
          <w:color w:val="auto"/>
        </w:rPr>
        <w:t>If the Company elects to rely upon Rule 462(b), the Company shall file a Rule 462(b)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Securities Act.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52" w:lineRule="exact"/>
        <w:rPr>
          <w:sz w:val="20"/>
          <w:szCs w:val="20"/>
          <w:color w:val="auto"/>
        </w:rPr>
      </w:pPr>
    </w:p>
    <w:p>
      <w:pPr>
        <w:jc w:val="both"/>
        <w:ind w:firstLine="656"/>
        <w:spacing w:after="0" w:line="283" w:lineRule="auto"/>
        <w:tabs>
          <w:tab w:leader="none" w:pos="1365"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than to the extent described in Section 4(b) below, including (i) the preparation, printing and filing of the Registration Statement (including financial statements and exhibits) as originally filed and of each amendment thereto, (ii) the preparation, printing and delivery to the Underwriter of copies of each preliminary prospectus, each Issuer Free Writing Prospectus and the Prospectus and any amendments or supplements thereto and any costs associated with electronic delivery of any of the foregoing by the Underwriter to investors, (iii) the preparation, issuance and delivery of the certificates for the Shares to the Underwriter, if any, including any stock or other transfer taxes and any stamp or other duties payable upon the sale, issuance or delivery of the Shares to the Underwriter, (iv) the fees and disbursements of the counsel, accountants and other advisors of the Company, (v) the qualification of the Shares under securities laws in accordance with the provisions of Section 3(e) hereof, including filing fees and the reasonable and documented fees and disbursements of counsel for the Underwriter in connection therewith and in connection with the preparation of the Blue Sky Survey and any supplement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such fees and disbursements of counsel shall not exceed $10,000, (vi) the fees and expenses of any transfer agent or registrar for the Shares, (vii) the costs and expenses of the Company relating to investor presentations on any “road show” undertaken in connection with the marketing of the Shares, including without limitation, expenses associated with the production of road show slides and graphics, reasonable and documented fees and expenses of any consultants engaged with the consent of the Company in connection with the road show presentations, travel and lodging expenses of the representatives of the Company (which, for the avoidance of doubt, does not include the Underwriter for purposes of this Section 4(a)(vii)) and officers of the Company and any such consultants, as well as one half (50%) of the cost of aircraft and other transportation chartered in connection with the road show,</w:t>
      </w:r>
    </w:p>
    <w:p>
      <w:pPr>
        <w:jc w:val="both"/>
        <w:ind w:firstLine="8"/>
        <w:spacing w:after="0" w:line="253" w:lineRule="auto"/>
        <w:tabs>
          <w:tab w:leader="none" w:pos="4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filing fees incident to, and the reasonable fees and disbursements of counsel to the Underwriter in connection with, the review by FINRA of the terms of the sale of the Shares (such counsel fees not to exceed $35,000) and (ix) the fees and expenses incurred in connection with the listing of the Shares on the Nasdaq Global Select Market. It is understood that, except as provided in clause (a) of this Section 4, the Underwriter will pay all of its own costs and expenses, including the fees of its counsel, stock transfer taxes on resale of any of the Shares by it, and any advertising expenses connected with any offers it may make.</w:t>
      </w:r>
    </w:p>
    <w:p>
      <w:pPr>
        <w:spacing w:after="0" w:line="217" w:lineRule="exact"/>
        <w:rPr>
          <w:rFonts w:ascii="Arial" w:cs="Arial" w:eastAsia="Arial" w:hAnsi="Arial"/>
          <w:sz w:val="18"/>
          <w:szCs w:val="18"/>
          <w:color w:val="auto"/>
        </w:rPr>
      </w:pPr>
    </w:p>
    <w:p>
      <w:pPr>
        <w:jc w:val="both"/>
        <w:ind w:firstLine="656"/>
        <w:spacing w:after="0" w:line="263" w:lineRule="auto"/>
        <w:tabs>
          <w:tab w:leader="none" w:pos="1374"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Underwriter in accordance with the provisions of Section 5,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9(a)(i) or (iii), or Section 11 hereof, the Company shall reimburse the Underwriter for all of its reasonable and documented out of pocket expenses that were actually incurred, including the reasonable fees and disbursements of counsel for the Underwriter.</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The obligations of the Underwriter hereunder are subject to the accuracy of the representations and warranties of the Company contained herein or in certificates of any officer of the Company delivered pursuant to the provisions hereof, to the performance by the Company of its covenants and other obligations hereunder, and to the following further conditions:</w:t>
      </w:r>
    </w:p>
    <w:p>
      <w:pPr>
        <w:spacing w:after="0" w:line="219" w:lineRule="exact"/>
        <w:rPr>
          <w:sz w:val="20"/>
          <w:szCs w:val="20"/>
          <w:color w:val="auto"/>
        </w:rPr>
      </w:pPr>
    </w:p>
    <w:p>
      <w:pPr>
        <w:jc w:val="both"/>
        <w:ind w:firstLine="656"/>
        <w:spacing w:after="0" w:line="270" w:lineRule="auto"/>
        <w:tabs>
          <w:tab w:leader="none" w:pos="1482"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 Rule 430A Information</w:t>
      </w:r>
      <w:r>
        <w:rPr>
          <w:rFonts w:ascii="Arial" w:cs="Arial" w:eastAsia="Arial" w:hAnsi="Arial"/>
          <w:sz w:val="17"/>
          <w:szCs w:val="17"/>
          <w:color w:val="auto"/>
        </w:rPr>
        <w:t>. The Registration Statement, including any Rule 462(b)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has become effective and, at the Closing Time,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knowledge of the Company, threatened by the Commission; and the Company has complied with each request (if any) from the Commission for additional information.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 If the Company has elected to rely upon Rule 462(b) under the Securities Act, the Rule 462(b) Registration Statement shall have become effective by 10:00 P.M., Washington, D.C. time.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both"/>
        <w:ind w:firstLine="656"/>
        <w:spacing w:after="0" w:line="273" w:lineRule="auto"/>
        <w:tabs>
          <w:tab w:leader="none" w:pos="1433"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Opinion of Counsel for Company</w:t>
      </w:r>
      <w:r>
        <w:rPr>
          <w:rFonts w:ascii="Arial" w:cs="Arial" w:eastAsia="Arial" w:hAnsi="Arial"/>
          <w:sz w:val="17"/>
          <w:szCs w:val="17"/>
          <w:color w:val="auto"/>
        </w:rPr>
        <w:t>. At the Closing Time, the Underwriter shall have received the opinion, dated the Closing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Cravath, Swaine &amp; Moore LLP, counsel for the Company, in form and substance satisfactory to counsel for the Underwriter.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Underwriter.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204" w:lineRule="exact"/>
        <w:rPr>
          <w:rFonts w:ascii="Arial" w:cs="Arial" w:eastAsia="Arial" w:hAnsi="Arial"/>
          <w:sz w:val="17"/>
          <w:szCs w:val="17"/>
          <w:color w:val="auto"/>
        </w:rPr>
      </w:pPr>
    </w:p>
    <w:p>
      <w:pPr>
        <w:jc w:val="both"/>
        <w:ind w:firstLine="656"/>
        <w:spacing w:after="0" w:line="273" w:lineRule="auto"/>
        <w:tabs>
          <w:tab w:leader="none" w:pos="1355"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Opinion of Counsel for Underwriter</w:t>
      </w:r>
      <w:r>
        <w:rPr>
          <w:rFonts w:ascii="Arial" w:cs="Arial" w:eastAsia="Arial" w:hAnsi="Arial"/>
          <w:sz w:val="17"/>
          <w:szCs w:val="17"/>
          <w:color w:val="auto"/>
        </w:rPr>
        <w:t>. At the Closing Time, the Underwriter shall have received the opinion, dated the Closing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Skadden, Arps, Slate, Meagher &amp; Flom LLP, counsel for the Underwriter, in form and substance satisfactory to the Underwriter.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Underwriter.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204" w:lineRule="exact"/>
        <w:rPr>
          <w:rFonts w:ascii="Arial" w:cs="Arial" w:eastAsia="Arial" w:hAnsi="Arial"/>
          <w:sz w:val="17"/>
          <w:szCs w:val="17"/>
          <w:color w:val="auto"/>
        </w:rPr>
      </w:pPr>
    </w:p>
    <w:p>
      <w:pPr>
        <w:jc w:val="both"/>
        <w:ind w:firstLine="656"/>
        <w:spacing w:after="0" w:line="269" w:lineRule="auto"/>
        <w:tabs>
          <w:tab w:leader="none" w:pos="1442"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At the Closing Time, there shall not have been, since the date hereof or since the respective dates as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is given in the Registration Statement, the Time of Sale Prospectus or the Prospectus, any material adverse change in the condition, financial or otherwise, or in the earnings or business affairs or business prospects of the Company and its subsidiaries considered as one enterprise, whether or not arising in the ordinary course of business, and the Underwriter shall have received a certificate of the Chief Executive Officer of the Company, in his capacity as such officer only, and of the chief financial or chief accounting officer of the Company, in their respective capacities as such officers only, dated the Closing Time, to the effect that (i) the representations and warranties of the Company in this Agreement are true and correct, in the case of representations and warranties which are qualified as to materiality, and true and correct in all material respects, in the case of representations and warranties that are not so qualified, with the same force and effect as though expressly made at and as of the Closing Time, (ii) the Company has complied with all agreements and satisfied all conditions on their part to be performed or satisfied at or prior to the Closing Time, and (iii) no stop order suspending the effectiveness of the Registration Statement under the Securities Act has been issued, no order preventing or suspending the use of any preliminary prospectus or the Prospectus has been issued and no proceedings for any of those purposes have been instituted or are pending or, to their knowledge, threatened by the Commission.</w:t>
      </w:r>
    </w:p>
    <w:p>
      <w:pPr>
        <w:spacing w:after="0" w:line="205" w:lineRule="exact"/>
        <w:rPr>
          <w:rFonts w:ascii="Arial" w:cs="Arial" w:eastAsia="Arial" w:hAnsi="Arial"/>
          <w:sz w:val="17"/>
          <w:szCs w:val="17"/>
          <w:color w:val="auto"/>
        </w:rPr>
      </w:pPr>
    </w:p>
    <w:p>
      <w:pPr>
        <w:jc w:val="both"/>
        <w:ind w:firstLine="656"/>
        <w:spacing w:after="0" w:line="259" w:lineRule="auto"/>
        <w:tabs>
          <w:tab w:leader="none" w:pos="136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Underwriter shall have received from Ernst &amp; Young</w:t>
      </w:r>
      <w:r>
        <w:rPr>
          <w:rFonts w:ascii="Arial" w:cs="Arial" w:eastAsia="Arial" w:hAnsi="Arial"/>
          <w:sz w:val="18"/>
          <w:szCs w:val="18"/>
          <w:i w:val="1"/>
          <w:iCs w:val="1"/>
          <w:color w:val="auto"/>
        </w:rPr>
        <w:t xml:space="preserve"> </w:t>
      </w:r>
      <w:r>
        <w:rPr>
          <w:rFonts w:ascii="Arial" w:cs="Arial" w:eastAsia="Arial" w:hAnsi="Arial"/>
          <w:sz w:val="18"/>
          <w:szCs w:val="18"/>
          <w:color w:val="auto"/>
        </w:rPr>
        <w:t>LLP a letter, dated such date, in form and substance satisfactory to the Underwriter, containing statements and information of the type ordinarily included in accountants’ “comfort letters” to underwriters with respect to the financial statements and certain financial information contained in and incorporated by reference into the Registration Statement, Time of Sale Prospectus and Prospectus.</w:t>
      </w:r>
    </w:p>
    <w:p>
      <w:pPr>
        <w:spacing w:after="0" w:line="213" w:lineRule="exact"/>
        <w:rPr>
          <w:rFonts w:ascii="Arial" w:cs="Arial" w:eastAsia="Arial" w:hAnsi="Arial"/>
          <w:sz w:val="18"/>
          <w:szCs w:val="18"/>
          <w:color w:val="auto"/>
        </w:rPr>
      </w:pPr>
    </w:p>
    <w:p>
      <w:pPr>
        <w:jc w:val="both"/>
        <w:ind w:firstLine="656"/>
        <w:spacing w:after="0" w:line="263" w:lineRule="auto"/>
        <w:tabs>
          <w:tab w:leader="none" w:pos="1323"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Underwriter shall have received from Ernst &amp; Young LLP a letter,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to the effect that they reaffirm the statements made in the letter furnished pursuant to subsection (g) of this Section, except that the specified date referred to shall be a date not more than three business days prior to the Closing Time.</w:t>
      </w:r>
    </w:p>
    <w:p>
      <w:pPr>
        <w:spacing w:after="0" w:line="237" w:lineRule="exact"/>
        <w:rPr>
          <w:rFonts w:ascii="Arial" w:cs="Arial" w:eastAsia="Arial" w:hAnsi="Arial"/>
          <w:sz w:val="18"/>
          <w:szCs w:val="18"/>
          <w:color w:val="auto"/>
        </w:rPr>
      </w:pPr>
    </w:p>
    <w:p>
      <w:pPr>
        <w:ind w:left="1400" w:hanging="744"/>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ind w:firstLine="656"/>
        <w:spacing w:after="0" w:line="277" w:lineRule="auto"/>
        <w:tabs>
          <w:tab w:leader="none" w:pos="136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Shares shall have been approved for listing on the Nasdaq Global Select Market,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only to official notice of issuance.</w:t>
      </w:r>
    </w:p>
    <w:p>
      <w:pPr>
        <w:spacing w:after="0" w:line="197" w:lineRule="exact"/>
        <w:rPr>
          <w:rFonts w:ascii="Arial" w:cs="Arial" w:eastAsia="Arial" w:hAnsi="Arial"/>
          <w:sz w:val="18"/>
          <w:szCs w:val="18"/>
          <w:color w:val="auto"/>
        </w:rPr>
      </w:pPr>
    </w:p>
    <w:p>
      <w:pPr>
        <w:ind w:firstLine="656"/>
        <w:spacing w:after="0" w:line="277" w:lineRule="auto"/>
        <w:tabs>
          <w:tab w:leader="none" w:pos="155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terms and arrangements relating to the offering of the Shares.</w:t>
      </w:r>
    </w:p>
    <w:p>
      <w:pPr>
        <w:spacing w:after="0" w:line="197" w:lineRule="exact"/>
        <w:rPr>
          <w:rFonts w:ascii="Arial" w:cs="Arial" w:eastAsia="Arial" w:hAnsi="Arial"/>
          <w:sz w:val="18"/>
          <w:szCs w:val="18"/>
          <w:color w:val="auto"/>
        </w:rPr>
      </w:pPr>
    </w:p>
    <w:p>
      <w:pPr>
        <w:ind w:firstLine="656"/>
        <w:spacing w:after="0" w:line="277" w:lineRule="auto"/>
        <w:tabs>
          <w:tab w:leader="none" w:pos="145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Underwriter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B hereto signed by the persons listed on Schedule C hereto.</w:t>
      </w:r>
    </w:p>
    <w:p>
      <w:pPr>
        <w:spacing w:after="0" w:line="224" w:lineRule="exact"/>
        <w:rPr>
          <w:rFonts w:ascii="Arial" w:cs="Arial" w:eastAsia="Arial" w:hAnsi="Arial"/>
          <w:sz w:val="18"/>
          <w:szCs w:val="18"/>
          <w:color w:val="auto"/>
        </w:rPr>
      </w:pPr>
    </w:p>
    <w:p>
      <w:pPr>
        <w:jc w:val="both"/>
        <w:ind w:firstLine="656"/>
        <w:spacing w:after="0" w:line="259" w:lineRule="auto"/>
        <w:tabs>
          <w:tab w:leader="none" w:pos="141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FinCEN Certificate. </w:t>
      </w:r>
      <w:r>
        <w:rPr>
          <w:rFonts w:ascii="Arial" w:cs="Arial" w:eastAsia="Arial" w:hAnsi="Arial"/>
          <w:sz w:val="18"/>
          <w:szCs w:val="18"/>
          <w:color w:val="auto"/>
        </w:rPr>
        <w:t>On or prior to the date of this Agreement, the Underwriter shall have received a certificate satisfying the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due diligence requirements of the Financial Crimes Enforcement Network (“FinCEN”) from the Company, in form and substance satisfactory to the Underwriter, along with such additional supporting documentation as the Underwriter has requested in connection with the verification of the foregoing certificate.</w:t>
      </w:r>
    </w:p>
    <w:p>
      <w:pPr>
        <w:spacing w:after="0" w:line="213" w:lineRule="exact"/>
        <w:rPr>
          <w:rFonts w:ascii="Arial" w:cs="Arial" w:eastAsia="Arial" w:hAnsi="Arial"/>
          <w:sz w:val="18"/>
          <w:szCs w:val="18"/>
          <w:color w:val="auto"/>
        </w:rPr>
      </w:pPr>
    </w:p>
    <w:p>
      <w:pPr>
        <w:jc w:val="both"/>
        <w:ind w:firstLine="656"/>
        <w:spacing w:after="0" w:line="259" w:lineRule="auto"/>
        <w:tabs>
          <w:tab w:leader="none" w:pos="137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Conditions to Purchase of Additional Shares</w:t>
      </w:r>
      <w:r>
        <w:rPr>
          <w:rFonts w:ascii="Arial" w:cs="Arial" w:eastAsia="Arial" w:hAnsi="Arial"/>
          <w:sz w:val="18"/>
          <w:szCs w:val="18"/>
          <w:color w:val="auto"/>
        </w:rPr>
        <w:t>. In the event that the Underwriter exercises its option provided in Section 2(b)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Additional Shares, the representations and warranties of the Company contained herein and the statements in any certificates furnished by the Company and any of their subsidiaries hereunder shall be true and correct as of each Date of Delivery and, at the relevant Date of Delivery, the Underwriter shall have received:</w:t>
      </w:r>
    </w:p>
    <w:p>
      <w:pPr>
        <w:spacing w:after="0" w:line="213" w:lineRule="exact"/>
        <w:rPr>
          <w:rFonts w:ascii="Arial" w:cs="Arial" w:eastAsia="Arial" w:hAnsi="Arial"/>
          <w:sz w:val="18"/>
          <w:szCs w:val="18"/>
          <w:color w:val="auto"/>
        </w:rPr>
      </w:pPr>
    </w:p>
    <w:p>
      <w:pPr>
        <w:jc w:val="both"/>
        <w:ind w:left="660" w:right="20" w:firstLine="644"/>
        <w:spacing w:after="0" w:line="263" w:lineRule="auto"/>
        <w:tabs>
          <w:tab w:leader="none" w:pos="195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Chief Executive Officer of the Company and of the chief financial or chief accounting officer of the Company confirming that the certificate delivered at the Closing Time pursuant to Section 5(d) hereof remains true and correct as of such Date of Delivery.</w:t>
      </w:r>
    </w:p>
    <w:p>
      <w:pPr>
        <w:spacing w:after="0" w:line="210" w:lineRule="exact"/>
        <w:rPr>
          <w:rFonts w:ascii="Arial" w:cs="Arial" w:eastAsia="Arial" w:hAnsi="Arial"/>
          <w:sz w:val="18"/>
          <w:szCs w:val="18"/>
          <w:color w:val="auto"/>
        </w:rPr>
      </w:pPr>
    </w:p>
    <w:p>
      <w:pPr>
        <w:jc w:val="both"/>
        <w:ind w:left="660" w:firstLine="644"/>
        <w:spacing w:after="0" w:line="286" w:lineRule="auto"/>
        <w:tabs>
          <w:tab w:leader="none" w:pos="2072"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Opinion of Counsel for Company</w:t>
      </w:r>
      <w:r>
        <w:rPr>
          <w:rFonts w:ascii="Arial" w:cs="Arial" w:eastAsia="Arial" w:hAnsi="Arial"/>
          <w:sz w:val="17"/>
          <w:szCs w:val="17"/>
          <w:color w:val="auto"/>
        </w:rPr>
        <w:t>. If requested by the Underwriter, the favorable opinion of Cravath, Swaine &amp; Moore LLP, counsel for the Company, in form and substance satisfactory to counsel for the Underwriter, dated such Date of Delivery, relating to the Additional Shares to be purchased on such Date of Delivery and otherwise to the same effect as the opinion required by Section 5(b) hereof.</w:t>
      </w:r>
    </w:p>
    <w:p>
      <w:pPr>
        <w:spacing w:after="0" w:line="192" w:lineRule="exact"/>
        <w:rPr>
          <w:rFonts w:ascii="Arial" w:cs="Arial" w:eastAsia="Arial" w:hAnsi="Arial"/>
          <w:sz w:val="17"/>
          <w:szCs w:val="17"/>
          <w:color w:val="auto"/>
        </w:rPr>
      </w:pPr>
    </w:p>
    <w:p>
      <w:pPr>
        <w:jc w:val="both"/>
        <w:ind w:left="660" w:firstLine="644"/>
        <w:spacing w:after="0" w:line="263" w:lineRule="auto"/>
        <w:tabs>
          <w:tab w:leader="none" w:pos="206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Opinion of Counsel for Underwriter</w:t>
      </w:r>
      <w:r>
        <w:rPr>
          <w:rFonts w:ascii="Arial" w:cs="Arial" w:eastAsia="Arial" w:hAnsi="Arial"/>
          <w:sz w:val="18"/>
          <w:szCs w:val="18"/>
          <w:color w:val="auto"/>
        </w:rPr>
        <w:t>. If requested by the Underwriter, the favorable opinion of Skadden, Arps, Slate, Meagher &amp; Flom LLP, counsel for the Underwriter, dated such Date of Delivery, relating to the Additional Shares to be purchased on such Date of Delivery and otherwise to the same effect as the opinion required by Section 5(c) hereof.</w:t>
      </w:r>
    </w:p>
    <w:p>
      <w:pPr>
        <w:spacing w:after="0" w:line="210" w:lineRule="exact"/>
        <w:rPr>
          <w:rFonts w:ascii="Arial" w:cs="Arial" w:eastAsia="Arial" w:hAnsi="Arial"/>
          <w:sz w:val="18"/>
          <w:szCs w:val="18"/>
          <w:color w:val="auto"/>
        </w:rPr>
      </w:pPr>
    </w:p>
    <w:p>
      <w:pPr>
        <w:jc w:val="both"/>
        <w:ind w:left="660" w:firstLine="644"/>
        <w:spacing w:after="0" w:line="259" w:lineRule="auto"/>
        <w:tabs>
          <w:tab w:leader="none" w:pos="226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Underwriter, a letter from Ernst &amp; Young LLP, in form and substance satisfactory to the Underwriter and dated such Date of Delivery, substantially in the same form and substance as the letter furnished to the Underwriter pursuant to Section 5(f) hereof, except that the “specified date” in the letter furnished pursuant to this paragraph shall be a date not more than three business days prior to such Date of Delivery.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both"/>
        <w:ind w:firstLine="656"/>
        <w:spacing w:after="0" w:line="257" w:lineRule="auto"/>
        <w:tabs>
          <w:tab w:leader="none" w:pos="137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and at each Date of Delivery (if any) counsel for the Underwriter shall have been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documents and opinions as they may require for the purpose of enabling them to pass upon the issuance and sale of the Shares as herein contemplated, or in order to evidence the accuracy of any of the representations or warranties, or the fulfillment of any of the conditions, herein contained; and all proceedings taken by the Company in connection with the issuance and sale of the Shares as herein contemplated shall be satisfactory in form and substance to the Underwriter and counsel for the Underwriter.</w:t>
      </w:r>
    </w:p>
    <w:p>
      <w:pPr>
        <w:spacing w:after="0" w:line="214" w:lineRule="exact"/>
        <w:rPr>
          <w:rFonts w:ascii="Arial" w:cs="Arial" w:eastAsia="Arial" w:hAnsi="Arial"/>
          <w:sz w:val="18"/>
          <w:szCs w:val="18"/>
          <w:color w:val="auto"/>
        </w:rPr>
      </w:pPr>
    </w:p>
    <w:p>
      <w:pPr>
        <w:jc w:val="both"/>
        <w:ind w:firstLine="656"/>
        <w:spacing w:after="0" w:line="296" w:lineRule="auto"/>
        <w:tabs>
          <w:tab w:leader="none" w:pos="1397"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any condition specified in this Section shall not have been fulfilled when and as required to be fulfilled,</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or, in the case of any condition to the purchase of Additional Shares on a Date of Delivery which is after the Closing Time, the obligations of the Underwriter to purchase the relevant Additional Shares, may be terminated by the Underwriter by notice to the Company at any time at or prior to Closing Time or such Date of Delivery, as the case may be, and such termination shall be without liability of any party to any other party except as provided in Section 4 and except that Sections 1, 6, 7, 8, 15, 16 and 17 shall survive any such termination and remain in full force and effect.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52" w:lineRule="exact"/>
        <w:rPr>
          <w:sz w:val="20"/>
          <w:szCs w:val="20"/>
          <w:color w:val="auto"/>
        </w:rPr>
      </w:pPr>
    </w:p>
    <w:p>
      <w:pPr>
        <w:jc w:val="both"/>
        <w:ind w:firstLine="656"/>
        <w:spacing w:after="0" w:line="263" w:lineRule="auto"/>
        <w:tabs>
          <w:tab w:leader="none" w:pos="143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w:t>
      </w:r>
      <w:r>
        <w:rPr>
          <w:rFonts w:ascii="Arial" w:cs="Arial" w:eastAsia="Arial" w:hAnsi="Arial"/>
          <w:sz w:val="18"/>
          <w:szCs w:val="18"/>
          <w:color w:val="auto"/>
        </w:rPr>
        <w:t>. The Company agrees to indemnify and hold harmless the Underwriter, its affiliates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 405 under the Securities Act (each, an “Affiliate”)), its selling agents, officers, directors, employees and each person, if any, who controls the Underwriter within the meaning of Section 15 of the Securities Act or Section 20 of the Exchange Act as follows:</w:t>
      </w:r>
    </w:p>
    <w:p>
      <w:pPr>
        <w:spacing w:after="0" w:line="237" w:lineRule="exact"/>
        <w:rPr>
          <w:rFonts w:ascii="Arial" w:cs="Arial" w:eastAsia="Arial" w:hAnsi="Arial"/>
          <w:sz w:val="18"/>
          <w:szCs w:val="18"/>
          <w:color w:val="auto"/>
        </w:rPr>
      </w:pPr>
    </w:p>
    <w:p>
      <w:pPr>
        <w:jc w:val="both"/>
        <w:ind w:left="660" w:firstLine="644"/>
        <w:spacing w:after="0" w:line="291" w:lineRule="auto"/>
        <w:tabs>
          <w:tab w:leader="none" w:pos="2139" w:val="left"/>
        </w:tabs>
        <w:numPr>
          <w:ilvl w:val="1"/>
          <w:numId w:val="32"/>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any Issuer Free Writing Prospectus, the Time of Sale Prospectus, any road show as defined in Rule 433(h) under the Securities Act (a “road show”) or the Prospectus (or any amendment or supplement thereto), or the omission or alleged omission of a material fact necessary in order to make the statements therein, in the light of the circumstances under which they were made, not misleading;</w:t>
      </w:r>
    </w:p>
    <w:p>
      <w:pPr>
        <w:spacing w:after="0" w:line="220" w:lineRule="exact"/>
        <w:rPr>
          <w:rFonts w:ascii="Arial" w:cs="Arial" w:eastAsia="Arial" w:hAnsi="Arial"/>
          <w:sz w:val="16"/>
          <w:szCs w:val="16"/>
          <w:color w:val="auto"/>
        </w:rPr>
      </w:pPr>
    </w:p>
    <w:p>
      <w:pPr>
        <w:jc w:val="both"/>
        <w:ind w:left="660" w:firstLine="644"/>
        <w:spacing w:after="0" w:line="301" w:lineRule="auto"/>
        <w:tabs>
          <w:tab w:leader="none" w:pos="2162"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settlement is effected with the written consent of the Company, which consent shall not be unreasonably withheld, conditioned or delayed;</w:t>
      </w:r>
    </w:p>
    <w:p>
      <w:pPr>
        <w:spacing w:after="0" w:line="211" w:lineRule="exact"/>
        <w:rPr>
          <w:rFonts w:ascii="Arial" w:cs="Arial" w:eastAsia="Arial" w:hAnsi="Arial"/>
          <w:sz w:val="16"/>
          <w:szCs w:val="16"/>
          <w:color w:val="auto"/>
        </w:rPr>
      </w:pPr>
    </w:p>
    <w:p>
      <w:pPr>
        <w:jc w:val="both"/>
        <w:ind w:left="660" w:firstLine="644"/>
        <w:spacing w:after="0" w:line="301" w:lineRule="auto"/>
        <w:tabs>
          <w:tab w:leader="none" w:pos="21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reasonable fees and disbursements of counsel chosen by the Underwriter),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right="1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indemnity provision shall not apply to any loss, liability, claim, damage or expense to the extent arising out of any untrue statement or omission or alleged untrue statement or omission made in the Registration Statement (or any amendment thereto), including the Rule 430A Information, any Issuer Free Writing Prospectus, any preliminary prospectus, Time of Sale Prospectus, roadshow or the Prospectus (or any amendment or supplement thereto) in reliance upon and in conformity with the Underwriter Information.</w:t>
      </w:r>
    </w:p>
    <w:p>
      <w:pPr>
        <w:spacing w:after="0" w:line="214" w:lineRule="exact"/>
        <w:rPr>
          <w:sz w:val="20"/>
          <w:szCs w:val="20"/>
          <w:color w:val="auto"/>
        </w:rPr>
      </w:pPr>
    </w:p>
    <w:p>
      <w:pPr>
        <w:jc w:val="both"/>
        <w:ind w:firstLine="656"/>
        <w:spacing w:after="0" w:line="272" w:lineRule="auto"/>
        <w:tabs>
          <w:tab w:leader="none" w:pos="1392"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Indemnification of Company and Directors and Officers of the Company</w:t>
      </w:r>
      <w:r>
        <w:rPr>
          <w:rFonts w:ascii="Arial" w:cs="Arial" w:eastAsia="Arial" w:hAnsi="Arial"/>
          <w:sz w:val="17"/>
          <w:szCs w:val="17"/>
          <w:color w:val="auto"/>
        </w:rPr>
        <w:t>. The Underwriter agrees to indemnify and hold harmless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each director of the Company and each of its officers who signed the Registration Statement, and each person, if any, who controls the Company within the meaning of Section 15 of the Securities Act or Section 20 of the Exchange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any preliminary prospectus, the Time of Sale Prospectus or the Prospectus (or any amendment or supplement thereto) or any Issuer Free Writing Prospectus or roadshow in reliance upon and in conformity with the Underwriter Information.</w:t>
      </w:r>
    </w:p>
    <w:p>
      <w:pPr>
        <w:spacing w:after="0" w:line="204" w:lineRule="exact"/>
        <w:rPr>
          <w:rFonts w:ascii="Arial" w:cs="Arial" w:eastAsia="Arial" w:hAnsi="Arial"/>
          <w:sz w:val="17"/>
          <w:szCs w:val="17"/>
          <w:color w:val="auto"/>
        </w:rPr>
      </w:pPr>
    </w:p>
    <w:p>
      <w:pPr>
        <w:jc w:val="both"/>
        <w:ind w:firstLine="656"/>
        <w:spacing w:after="0" w:line="266" w:lineRule="auto"/>
        <w:tabs>
          <w:tab w:leader="none" w:pos="13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Actions against Parties; Notification</w:t>
      </w:r>
      <w:r>
        <w:rPr>
          <w:rFonts w:ascii="Arial" w:cs="Arial" w:eastAsia="Arial" w:hAnsi="Arial"/>
          <w:sz w:val="17"/>
          <w:szCs w:val="17"/>
          <w:color w:val="auto"/>
        </w:rPr>
        <w:t>. Each indemnified party shall give notice in writing as promptly as reasonably practicable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expenses of more than one separate counsel (other than local counsel), reasonably approved by the indemnifying party (or by the Underwriter in the case of Section 6(c)), representing the indemnified parties who are parties to such action) or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ind w:firstLine="648"/>
        <w:spacing w:after="0" w:line="290"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 on the other hand, from the offering of the Shares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 on the other hand, in connection with the statements or omissions, or in connection with any violation of the nature referred to in Section 6(e) hereof, which resulted in such losses, liabilities, claims, damages or expenses, as well as any other relevant equitable considerations.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relative benefits received by the Company on the one hand and the Underwriter on the other hand in connection with the offering of the Shares pursuant to this Agreement shall be deemed to be in the same respective proportions as (i) the total net proceeds from the offering of the Shares (before deducting expenses) received for the Shares by the Company, and (ii) the difference between (a) the aggregate price to the public received by the Underwriter and (b) the aggregate price paid by the Underwriter to the Company for the Shares, bear to the aggregate price to public received for the Shares by the Underwriter.</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relative fault of the Company, on the one hand, and the Underwriter, on the other hand, shall be determined by reference to, among other things, whether any such untrue or alleged untrue statement of a material fact or omission or alleged omission to state a material fact relates to information supplied by the Company or by the Underwriter and the parties’ relative intent, knowledge, access to information and opportunity to correct or prevent such statement or omission or any violation of the nature referred to in Section 6(e) hereof.</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and the Underwriter agree that it would not be just and equitable if contribution pursuant to this Section 7 were determined by pro rata allocation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both"/>
        <w:ind w:firstLine="648"/>
        <w:spacing w:after="0" w:line="277" w:lineRule="auto"/>
        <w:rPr>
          <w:sz w:val="20"/>
          <w:szCs w:val="20"/>
          <w:color w:val="auto"/>
        </w:rPr>
      </w:pPr>
      <w:r>
        <w:rPr>
          <w:rFonts w:ascii="Arial" w:cs="Arial" w:eastAsia="Arial" w:hAnsi="Arial"/>
          <w:sz w:val="18"/>
          <w:szCs w:val="18"/>
          <w:color w:val="auto"/>
        </w:rPr>
        <w:t>Notwithstanding the provisions of this Section 7, the Underwriter shall not be required to contribute any amount in excess of the underwriting discounts received by the Underwriter in connection with the Shares underwritten by it and distributed to the public.</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purposes of this Section 7, each person, if any, who controls the Underwriter within the meaning of Section 15 of the Securities Act or Section 20 of the Exchange Act and the Underwriter’s Affiliates, officers, directors, employees and selling agents shall have the same rights to contribution as the Underwriter,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submitted pursuant hereto, shall remain operative and in full force and effect regardless of (i) any investigation made by or on behalf of the Underwriter or its Affiliates or selling agents, any person controlling the Underwriter, its officers or directors, any person controlling the Company and (ii) delivery of and payment for the Securities.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52" w:lineRule="exact"/>
        <w:rPr>
          <w:sz w:val="20"/>
          <w:szCs w:val="20"/>
          <w:color w:val="auto"/>
        </w:rPr>
      </w:pPr>
    </w:p>
    <w:p>
      <w:pPr>
        <w:jc w:val="both"/>
        <w:ind w:firstLine="656"/>
        <w:spacing w:after="0" w:line="286" w:lineRule="auto"/>
        <w:tabs>
          <w:tab w:leader="none" w:pos="1311"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 may terminate this Agreement, by notice to the Company, at any time at or prior to the Closing Time (i) if</w:t>
      </w:r>
      <w:r>
        <w:rPr>
          <w:rFonts w:ascii="Arial" w:cs="Arial" w:eastAsia="Arial" w:hAnsi="Arial"/>
          <w:sz w:val="16"/>
          <w:szCs w:val="16"/>
          <w:i w:val="1"/>
          <w:iCs w:val="1"/>
          <w:color w:val="auto"/>
        </w:rPr>
        <w:t xml:space="preserve"> </w:t>
      </w:r>
      <w:r>
        <w:rPr>
          <w:rFonts w:ascii="Arial" w:cs="Arial" w:eastAsia="Arial" w:hAnsi="Arial"/>
          <w:sz w:val="16"/>
          <w:szCs w:val="16"/>
          <w:color w:val="auto"/>
        </w:rPr>
        <w:t>there has been, in the judgment of the Underwriter, since the time of execution of this Agreement or since the respective dates as of which information is given in the Registration Statement, the Time of Sale Prospectus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Underwriter, impracticable or inadvisable to proceed with the completion of the offering or to enforce contracts for the sale of the Shares, or (iii) if trading in any securities of the Company has been suspended or materially limited by the Commission or the Nasdaq Global Select Market, or (iv) if trading generally on the NYSE Amex Equities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(vi) if a banking moratorium has been declared by either Federal or New York authorities.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ind w:firstLine="656"/>
        <w:spacing w:after="0" w:line="263" w:lineRule="auto"/>
        <w:tabs>
          <w:tab w:leader="none" w:pos="134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party except as provided in Section 4 hereof,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Sections 1, 6, 7, 8, 15, 16 and 17 shall survive such termination and remain in full force and effect.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10. [Reserved].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Default by the Company</w:t>
      </w:r>
      <w:r>
        <w:rPr>
          <w:rFonts w:ascii="Arial" w:cs="Arial" w:eastAsia="Arial" w:hAnsi="Arial"/>
          <w:sz w:val="18"/>
          <w:szCs w:val="18"/>
          <w:color w:val="auto"/>
        </w:rPr>
        <w:t>. If the Company shall fail at the Closing Time or a Date of Delivery, as the case may be, to sell the number of Shares that it is obligated to sell hereunder, then this Agreement shall terminate without any liability on the part of any non-defaulting party; provided, however, that the provisions of Sections 1, 4, 6, 7, 8, 14, 15 and 16 shall remain in full force and effect. No action taken pursuant to this Section shall relieve the Company from liability, if any, in respect of such default.</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by any standard form of telecommunication.</w:t>
      </w:r>
    </w:p>
    <w:p>
      <w:pPr>
        <w:spacing w:after="0" w:line="197" w:lineRule="exact"/>
        <w:rPr>
          <w:sz w:val="20"/>
          <w:szCs w:val="20"/>
          <w:color w:val="auto"/>
        </w:rPr>
      </w:pPr>
    </w:p>
    <w:p>
      <w:pPr>
        <w:jc w:val="center"/>
        <w:ind w:right="5260"/>
        <w:spacing w:after="0"/>
        <w:rPr>
          <w:sz w:val="20"/>
          <w:szCs w:val="20"/>
          <w:color w:val="auto"/>
        </w:rPr>
      </w:pPr>
      <w:r>
        <w:rPr>
          <w:rFonts w:ascii="Arial" w:cs="Arial" w:eastAsia="Arial" w:hAnsi="Arial"/>
          <w:sz w:val="18"/>
          <w:szCs w:val="18"/>
          <w:color w:val="auto"/>
        </w:rPr>
        <w:t>Notices to the Underwriter shall be directed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Equity Syndicate Desk, with a copy to the Legal Department</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Michael J. Zeidel; Michael J. Schwartz</w:t>
      </w:r>
    </w:p>
    <w:p>
      <w:pPr>
        <w:spacing w:after="0" w:line="238" w:lineRule="exact"/>
        <w:rPr>
          <w:sz w:val="20"/>
          <w:szCs w:val="20"/>
          <w:color w:val="auto"/>
        </w:rPr>
      </w:pPr>
    </w:p>
    <w:p>
      <w:pPr>
        <w:jc w:val="center"/>
        <w:ind w:right="5440"/>
        <w:spacing w:after="0"/>
        <w:rPr>
          <w:sz w:val="20"/>
          <w:szCs w:val="20"/>
          <w:color w:val="auto"/>
        </w:rPr>
      </w:pPr>
      <w:r>
        <w:rPr>
          <w:rFonts w:ascii="Arial" w:cs="Arial" w:eastAsia="Arial" w:hAnsi="Arial"/>
          <w:sz w:val="18"/>
          <w:szCs w:val="18"/>
          <w:color w:val="auto"/>
        </w:rPr>
        <w:t>Notices to the Company shall be directed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Fortress Energy Inc.</w:t>
      </w:r>
    </w:p>
    <w:p>
      <w:pPr>
        <w:ind w:left="1960"/>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1960"/>
        <w:spacing w:after="0"/>
        <w:rPr>
          <w:sz w:val="20"/>
          <w:szCs w:val="20"/>
          <w:color w:val="auto"/>
        </w:rPr>
      </w:pPr>
      <w:r>
        <w:rPr>
          <w:rFonts w:ascii="Arial" w:cs="Arial" w:eastAsia="Arial" w:hAnsi="Arial"/>
          <w:sz w:val="18"/>
          <w:szCs w:val="18"/>
          <w:color w:val="auto"/>
        </w:rPr>
        <w:t>New York, New York 10011</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Cameron D. MacDougall, Esq.</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Stephen Burns; Johnny Skumpija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ind w:firstLine="648"/>
        <w:spacing w:after="0" w:line="28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agrees that (a) the purchase and sale of the Shares pursuant to this Agreement, is an arm’s-length commercial transaction between the Company, on the one hand, and the Underwriter, on the other hand, (b) in connection with the offering of the Shares and the process leading thereto, the Underwriter is and has been acting solely as a principal and is not the agent or fiduciary of the Company, any of their subsidiaries, or their respective shareholders, creditors, employees or any other party, (c) the Underwriter has not assumed nor will it assume an advisory or fiduciary responsibility in favor of the Company with respect to the offering of the Shares or the process leading thereto (irrespective of whether the Underwriter has advised or is currently advising either of the Company or any of their subsidiaries on other matters) and the Underwriter has no obligation to the Company with respect to the offering of the Shares except the obligations expressly set forth in this Agreement, (d) the Underwriter and its affiliates may be engaged in a broad range of transactions that involve interests that differ from those of the Company, and (e) the Underwriter has not provided any legal, accounting, regulatory or tax advice with respect to the offering of the Shares and the Company has consulted its own legal, accounting, regulatory and tax advisors to the extent it deemed appropriate. The Company hereby waive any claims that the Company may have against the Underwriter with respect to any breach of fiduciary duty in connection with the Securities.</w:t>
      </w:r>
    </w:p>
    <w:p>
      <w:pPr>
        <w:spacing w:after="0" w:line="1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each inure to the benefit of and be binding upon the Underwriter and the Company and their respective successors. Nothing expressed or mentioned in this Agreement is intended or shall be construed to give any person, firm or corporation, other than the Underwriter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 and the Company and their respective successors, and said controlling persons and officers and directors and their heirs and legal representatives, and for the benefit of no other person, firm or corporation. No purchaser of Securities from the Underwriter shall be deemed to be a successor by reason merely of such purchase.</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(ON ITS BEHALF AND, TO THE EXTENT PERMITTED BY APPLICABLE LAW, ON BEHALF OF ITS SHAREHOLDERS AND AFFILIATES) AND THE UNDERWRITER HEREBY IRREVOCABLY WAIVES, TO THE FULLEST EXTENT PERMITTED BY APPLICABLE LAW, ANY AND ALL RIGHT TO TRIAL BY JURY IN ANY LEGAL PROCEEDING ARISING OUT OF OR RELATING TO THIS AGREEMENT OR THE TRANSACTIONS CONTEMPLATED HEREBY.</w:t>
      </w:r>
    </w:p>
    <w:p>
      <w:pPr>
        <w:spacing w:after="0" w:line="21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both"/>
        <w:ind w:firstLine="648"/>
        <w:spacing w:after="0" w:line="289"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Consent to Jurisdiction; Waiver of Immunity</w:t>
      </w:r>
      <w:r>
        <w:rPr>
          <w:rFonts w:ascii="Arial" w:cs="Arial" w:eastAsia="Arial" w:hAnsi="Arial"/>
          <w:sz w:val="16"/>
          <w:szCs w:val="16"/>
          <w:color w:val="auto"/>
        </w:rPr>
        <w:t>.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Recognition of the U.S. Special Resolutions Regimes</w:t>
      </w:r>
      <w:r>
        <w:rPr>
          <w:rFonts w:ascii="Arial" w:cs="Arial" w:eastAsia="Arial" w:hAnsi="Arial"/>
          <w:sz w:val="18"/>
          <w:szCs w:val="18"/>
          <w:color w:val="auto"/>
        </w:rPr>
        <w:t>.</w:t>
      </w:r>
    </w:p>
    <w:p>
      <w:pPr>
        <w:spacing w:after="0" w:line="279" w:lineRule="exact"/>
        <w:rPr>
          <w:sz w:val="20"/>
          <w:szCs w:val="20"/>
          <w:color w:val="auto"/>
        </w:rPr>
      </w:pPr>
    </w:p>
    <w:p>
      <w:pPr>
        <w:jc w:val="both"/>
        <w:ind w:firstLine="656"/>
        <w:spacing w:after="0" w:line="296" w:lineRule="auto"/>
        <w:tabs>
          <w:tab w:leader="none" w:pos="1523"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event that the Underwriter is a Covered Entity (as defined below) and becomes subject to a proceeding under (i) the Federal Deposit Insurance Act and the regulations promulgated thereunder or (ii) Title II of the Dodd-Frank Wall Street Reform and Consumer Protection Act and the regulations promulgated thereunder (each, a “U.S. Special Resolution Regime”), the transfer from the Underwriter of this Agreement, and any interest and obligation in or under this Agreement, will be effective to the same extent as the transfer would be effective under the applicable U.S. Special Resolution Regime if this Agreement, and any such interest and obligation, were governed by the laws of the United States or a state of the United States.</w:t>
      </w:r>
    </w:p>
    <w:p>
      <w:pPr>
        <w:spacing w:after="0" w:line="215" w:lineRule="exact"/>
        <w:rPr>
          <w:rFonts w:ascii="Arial" w:cs="Arial" w:eastAsia="Arial" w:hAnsi="Arial"/>
          <w:sz w:val="16"/>
          <w:szCs w:val="16"/>
          <w:color w:val="auto"/>
        </w:rPr>
      </w:pPr>
    </w:p>
    <w:p>
      <w:pPr>
        <w:jc w:val="both"/>
        <w:ind w:firstLine="656"/>
        <w:spacing w:after="0" w:line="259" w:lineRule="auto"/>
        <w:tabs>
          <w:tab w:leader="none" w:pos="14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that the Underwriter is a Covered Entity or a BHC Act Affiliate (as defined below) of the Underwriter becomes subject to a proceeding under a U.S. Special Resolution Regime, Default Rights (as defined below)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r>
        <w:rPr>
          <w:rFonts w:ascii="Arial" w:cs="Arial" w:eastAsia="Arial" w:hAnsi="Arial"/>
          <w:sz w:val="18"/>
          <w:szCs w:val="18"/>
          <w:i w:val="1"/>
          <w:iCs w:val="1"/>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For purposes of this Section 20: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“BHC Act Affiliate”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“Covered Entity” means any of the following:</w:t>
      </w:r>
    </w:p>
    <w:p>
      <w:pPr>
        <w:spacing w:after="0" w:line="252" w:lineRule="exact"/>
        <w:rPr>
          <w:sz w:val="20"/>
          <w:szCs w:val="20"/>
          <w:color w:val="auto"/>
        </w:rPr>
      </w:pPr>
    </w:p>
    <w:p>
      <w:pPr>
        <w:ind w:left="1460" w:hanging="642"/>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Sec. 252.82(b);</w:t>
      </w:r>
    </w:p>
    <w:p>
      <w:pPr>
        <w:spacing w:after="0" w:line="252" w:lineRule="exact"/>
        <w:rPr>
          <w:rFonts w:ascii="Arial" w:cs="Arial" w:eastAsia="Arial" w:hAnsi="Arial"/>
          <w:sz w:val="18"/>
          <w:szCs w:val="18"/>
          <w:color w:val="auto"/>
        </w:rPr>
      </w:pPr>
    </w:p>
    <w:p>
      <w:pPr>
        <w:ind w:left="1460" w:hanging="642"/>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Sec. 47.3(b); or</w:t>
      </w:r>
    </w:p>
    <w:p>
      <w:pPr>
        <w:spacing w:after="0" w:line="252" w:lineRule="exact"/>
        <w:rPr>
          <w:rFonts w:ascii="Arial" w:cs="Arial" w:eastAsia="Arial" w:hAnsi="Arial"/>
          <w:sz w:val="18"/>
          <w:szCs w:val="18"/>
          <w:color w:val="auto"/>
        </w:rPr>
      </w:pPr>
    </w:p>
    <w:p>
      <w:pPr>
        <w:ind w:left="1460" w:hanging="642"/>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Sec. 382.2(b).</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Sec.Sec. 252.81, 47.2 or 382.1 as applicable.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Stephen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Christopher Stephen Guinta</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first above written: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Ashraf Saheb</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Ashraf Saheb</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65" w:lineRule="exact"/>
        <w:rPr>
          <w:sz w:val="20"/>
          <w:szCs w:val="20"/>
          <w:color w:val="auto"/>
        </w:rPr>
      </w:pPr>
    </w:p>
    <w:p>
      <w:pPr>
        <w:jc w:val="right"/>
        <w:ind w:right="2639"/>
        <w:spacing w:after="0"/>
        <w:rPr>
          <w:sz w:val="20"/>
          <w:szCs w:val="20"/>
          <w:color w:val="auto"/>
        </w:rPr>
      </w:pPr>
      <w:r>
        <w:rPr>
          <w:rFonts w:ascii="Arial" w:cs="Arial" w:eastAsia="Arial" w:hAnsi="Arial"/>
          <w:sz w:val="22"/>
          <w:szCs w:val="22"/>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480" w:type="dxa"/>
            <w:vAlign w:val="bottom"/>
            <w:gridSpan w:val="3"/>
          </w:tcPr>
          <w:p>
            <w:pPr>
              <w:jc w:val="right"/>
              <w:ind w:right="3820"/>
              <w:spacing w:after="0"/>
              <w:rPr>
                <w:sz w:val="20"/>
                <w:szCs w:val="20"/>
                <w:color w:val="auto"/>
              </w:rPr>
            </w:pPr>
            <w:r>
              <w:rPr>
                <w:rFonts w:ascii="Arial" w:cs="Arial" w:eastAsia="Arial" w:hAnsi="Arial"/>
                <w:sz w:val="18"/>
                <w:szCs w:val="18"/>
                <w:b w:val="1"/>
                <w:bCs w:val="1"/>
                <w:color w:val="auto"/>
              </w:rPr>
              <w:t>SCHEDULE A</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5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Maximum</w:t>
            </w:r>
          </w:p>
        </w:tc>
      </w:tr>
      <w:tr>
        <w:trPr>
          <w:trHeight w:val="216"/>
        </w:trPr>
        <w:tc>
          <w:tcPr>
            <w:tcW w:w="35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r>
      <w:tr>
        <w:trPr>
          <w:trHeight w:val="216"/>
        </w:trPr>
        <w:tc>
          <w:tcPr>
            <w:tcW w:w="35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Additional</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Name of Underwriter</w:t>
            </w:r>
          </w:p>
        </w:tc>
        <w:tc>
          <w:tcPr>
            <w:tcW w:w="514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Firm 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r>
      <w:tr>
        <w:trPr>
          <w:trHeight w:val="216"/>
        </w:trPr>
        <w:tc>
          <w:tcPr>
            <w:tcW w:w="35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5,482,352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3540" w:type="dxa"/>
            <w:vAlign w:val="bottom"/>
          </w:tcPr>
          <w:p>
            <w:pPr>
              <w:ind w:left="640"/>
              <w:spacing w:after="0"/>
              <w:rPr>
                <w:sz w:val="20"/>
                <w:szCs w:val="20"/>
                <w:color w:val="auto"/>
              </w:rPr>
            </w:pPr>
            <w:r>
              <w:rPr>
                <w:rFonts w:ascii="Arial" w:cs="Arial" w:eastAsia="Arial" w:hAnsi="Arial"/>
                <w:sz w:val="18"/>
                <w:szCs w:val="18"/>
                <w:color w:val="auto"/>
              </w:rPr>
              <w:t>Total</w:t>
            </w:r>
          </w:p>
        </w:tc>
        <w:tc>
          <w:tcPr>
            <w:tcW w:w="5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5,482,352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r>
      <w:tr>
        <w:trPr>
          <w:trHeight w:val="21"/>
        </w:trPr>
        <w:tc>
          <w:tcPr>
            <w:tcW w:w="35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540" w:type="dxa"/>
            <w:vAlign w:val="bottom"/>
          </w:tcPr>
          <w:p>
            <w:pPr>
              <w:spacing w:after="0"/>
              <w:rPr>
                <w:sz w:val="24"/>
                <w:szCs w:val="24"/>
                <w:color w:val="auto"/>
              </w:rPr>
            </w:pPr>
          </w:p>
        </w:tc>
        <w:tc>
          <w:tcPr>
            <w:tcW w:w="6480" w:type="dxa"/>
            <w:vAlign w:val="bottom"/>
            <w:gridSpan w:val="3"/>
          </w:tcPr>
          <w:p>
            <w:pPr>
              <w:jc w:val="right"/>
              <w:ind w:right="4100"/>
              <w:spacing w:after="0"/>
              <w:rPr>
                <w:sz w:val="20"/>
                <w:szCs w:val="20"/>
                <w:color w:val="auto"/>
              </w:rPr>
            </w:pPr>
            <w:r>
              <w:rPr>
                <w:rFonts w:ascii="Arial" w:cs="Arial" w:eastAsia="Arial" w:hAnsi="Arial"/>
                <w:sz w:val="18"/>
                <w:szCs w:val="18"/>
                <w:color w:val="auto"/>
              </w:rPr>
              <w:t>Sch A-1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540" w:type="dxa"/>
            <w:vAlign w:val="bottom"/>
            <w:tcBorders>
              <w:bottom w:val="single" w:sz="8" w:color="auto"/>
            </w:tcBorders>
          </w:tcPr>
          <w:p>
            <w:pPr>
              <w:spacing w:after="0"/>
              <w:rPr>
                <w:sz w:val="5"/>
                <w:szCs w:val="5"/>
                <w:color w:val="auto"/>
              </w:rPr>
            </w:pPr>
          </w:p>
        </w:tc>
        <w:tc>
          <w:tcPr>
            <w:tcW w:w="5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jc w:val="center"/>
        <w:ind w:right="-1120"/>
        <w:spacing w:after="0"/>
        <w:rPr>
          <w:sz w:val="20"/>
          <w:szCs w:val="20"/>
          <w:color w:val="auto"/>
        </w:rPr>
      </w:pPr>
      <w:r>
        <w:rPr>
          <w:rFonts w:ascii="Arial" w:cs="Arial" w:eastAsia="Arial" w:hAnsi="Arial"/>
          <w:sz w:val="17"/>
          <w:szCs w:val="17"/>
          <w:b w:val="1"/>
          <w:bCs w:val="1"/>
          <w:color w:val="auto"/>
        </w:rPr>
        <w:t>SCHEDULE B-1</w:t>
      </w:r>
    </w:p>
    <w:p>
      <w:pPr>
        <w:spacing w:after="0" w:line="268"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Pricing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Share: $51.00</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Sch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jc w:val="center"/>
        <w:ind w:right="-1100"/>
        <w:spacing w:after="0"/>
        <w:rPr>
          <w:sz w:val="20"/>
          <w:szCs w:val="20"/>
          <w:color w:val="auto"/>
        </w:rPr>
      </w:pPr>
      <w:r>
        <w:rPr>
          <w:rFonts w:ascii="Arial" w:cs="Arial" w:eastAsia="Arial" w:hAnsi="Arial"/>
          <w:sz w:val="18"/>
          <w:szCs w:val="18"/>
          <w:b w:val="1"/>
          <w:bCs w:val="1"/>
          <w:color w:val="auto"/>
        </w:rPr>
        <w:t>SCHEDULE B-2</w:t>
      </w:r>
    </w:p>
    <w:p>
      <w:pPr>
        <w:spacing w:after="0" w:line="256" w:lineRule="exact"/>
        <w:rPr>
          <w:sz w:val="20"/>
          <w:szCs w:val="20"/>
          <w:color w:val="auto"/>
        </w:rPr>
      </w:pPr>
    </w:p>
    <w:p>
      <w:pPr>
        <w:jc w:val="right"/>
        <w:ind w:right="3339"/>
        <w:spacing w:after="0"/>
        <w:rPr>
          <w:sz w:val="20"/>
          <w:szCs w:val="20"/>
          <w:color w:val="auto"/>
        </w:rPr>
      </w:pPr>
      <w:r>
        <w:rPr>
          <w:rFonts w:ascii="Arial" w:cs="Arial" w:eastAsia="Arial" w:hAnsi="Arial"/>
          <w:sz w:val="18"/>
          <w:szCs w:val="18"/>
          <w:u w:val="single" w:color="auto"/>
          <w:color w:val="auto"/>
        </w:rPr>
        <w:t>Issuer Free Writing Prospectuses</w:t>
      </w:r>
    </w:p>
    <w:p>
      <w:pPr>
        <w:spacing w:after="0" w:line="279" w:lineRule="exact"/>
        <w:rPr>
          <w:sz w:val="20"/>
          <w:szCs w:val="20"/>
          <w:color w:val="auto"/>
        </w:rPr>
      </w:pPr>
    </w:p>
    <w:p>
      <w:pPr>
        <w:ind w:left="680" w:hanging="672"/>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None</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Sch 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9" w:name="page40"/>
    <w:bookmarkEnd w:id="39"/>
    <w:p>
      <w:pPr>
        <w:jc w:val="center"/>
        <w:ind w:right="-1100"/>
        <w:spacing w:after="0"/>
        <w:rPr>
          <w:sz w:val="20"/>
          <w:szCs w:val="20"/>
          <w:color w:val="auto"/>
        </w:rPr>
      </w:pPr>
      <w:r>
        <w:rPr>
          <w:rFonts w:ascii="Arial" w:cs="Arial" w:eastAsia="Arial" w:hAnsi="Arial"/>
          <w:sz w:val="18"/>
          <w:szCs w:val="18"/>
          <w:b w:val="1"/>
          <w:bCs w:val="1"/>
          <w:color w:val="auto"/>
        </w:rPr>
        <w:t>SCHEDULE C</w:t>
      </w:r>
    </w:p>
    <w:p>
      <w:pPr>
        <w:spacing w:after="0" w:line="256" w:lineRule="exact"/>
        <w:rPr>
          <w:sz w:val="20"/>
          <w:szCs w:val="20"/>
          <w:color w:val="auto"/>
        </w:rPr>
      </w:pPr>
    </w:p>
    <w:p>
      <w:pPr>
        <w:jc w:val="right"/>
        <w:ind w:right="2819"/>
        <w:spacing w:after="0"/>
        <w:rPr>
          <w:sz w:val="20"/>
          <w:szCs w:val="20"/>
          <w:color w:val="auto"/>
        </w:rPr>
      </w:pPr>
      <w:r>
        <w:rPr>
          <w:rFonts w:ascii="Arial" w:cs="Arial" w:eastAsia="Arial" w:hAnsi="Arial"/>
          <w:sz w:val="18"/>
          <w:szCs w:val="18"/>
          <w:u w:val="single" w:color="auto"/>
          <w:color w:val="auto"/>
        </w:rPr>
        <w:t>List of Persons and Entities Subject to Lock-up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Wesley R. Edens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Christopher S. Guinta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Yunyoung Shin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Randal A. Nardone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Desmond Iain Catterall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J. Grain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William Griffin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J. Mack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Katherine E. Wanner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Wilkinson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Wesley R. Edens 2012 Trust LLC</w:t>
      </w:r>
    </w:p>
    <w:p>
      <w:pPr>
        <w:spacing w:after="0" w:line="17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Sch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[Reserved]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B</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lock-up from directors, officers or other shareholders pursuant to Section 5(k)]</w:t>
      </w: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December 15,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79"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New Fortress Energy Inc. Lock-Up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 or Madames:</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undersigned, a shareholder and/or an officer and/or director of New Fortress Energy Inc., a Delaware corporation (the “Company”), understands that Morgan Stanley &amp; Co. LLC (the “Underwriter”) proposes to enter into an Underwriting Agreement (the “Underwriting Agreement”) with the Company providing for the public offering of Class A common stock, par value $0.01 per share of the Company (the “Shares”). In recognition of the benefit that such an offering will confer upon the undersigned as a shareholder and/or an officer and/or director of the Company, and for other good and valuable consideration, the receipt and sufficiency of which are hereby acknowledged, the undersigned agrees with the underwriter to be named in the Underwriting Agreement that, during the period beginning on the date hereof and ending on the date that is 45 days from the date of the Underwriting Agreement (subject to extensions as discussed below), the undersigned will not, without the prior written consent of the Underwriter, directly or indirectly,</w:t>
      </w:r>
    </w:p>
    <w:p>
      <w:pPr>
        <w:spacing w:after="0" w:line="2" w:lineRule="exact"/>
        <w:rPr>
          <w:sz w:val="20"/>
          <w:szCs w:val="20"/>
          <w:color w:val="auto"/>
        </w:rPr>
      </w:pPr>
    </w:p>
    <w:p>
      <w:pPr>
        <w:jc w:val="both"/>
        <w:ind w:firstLine="8"/>
        <w:spacing w:after="0" w:line="252" w:lineRule="auto"/>
        <w:tabs>
          <w:tab w:leader="none" w:pos="2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or otherwise dispose of or transfer any Shares or any securities convertible into or exchangeable or exercisable for Shares, whether now owned or hereafter acquired by the undersigned or with respect to which the undersigned has or hereafter acquires the power of disposition (collectively, the “Lock-Up Shares”), or exercise any right with respect to the registration of any of the Lock-up Shares,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Shares, whether any such swap or transaction is to be settled by delivery of Lock-Up Shares, in cash or otherwise.</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undersigned is an officer or director of the Company, (1) the Underwriter agrees that, at least three business days before the effective date of any release or waiver of the foregoing restrictions in connection with a transfer of Lock-Up Shares, the Underwriter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the Underwriter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letter to the extent and for the duration that such terms remain in effect at the time of the transfer.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both"/>
        <w:ind w:firstLine="648"/>
        <w:spacing w:after="0" w:line="269" w:lineRule="auto"/>
        <w:rPr>
          <w:sz w:val="20"/>
          <w:szCs w:val="20"/>
          <w:color w:val="auto"/>
        </w:rPr>
      </w:pPr>
      <w:r>
        <w:rPr>
          <w:rFonts w:ascii="Arial" w:cs="Arial" w:eastAsia="Arial" w:hAnsi="Arial"/>
          <w:sz w:val="17"/>
          <w:szCs w:val="17"/>
          <w:color w:val="auto"/>
        </w:rPr>
        <w:t>Notwithstanding the foregoing, and subject to the conditions below, the undersigned may transfer the Lock-Up Shares without the prior written consent of the Underwriter, provided that, (1) with respect to (i), (ii), (iii) and (iv) (irrespective of whether such transfer involves a disposition of value, to the extent permitted by this Agreement), the Underwriter receives a signed lock-up agreement for the balance of the lockup period from each donee, trustee, distributee, or transferee, as the case may be, (2) any transfer described under (i), (ii) or (iii) below shall not involve a disposition for value, (3) the transfers described in (i), (ii), (iii) and (iv) (irrespective of whether such transfer involves a disposition of value, to the extent permitted by this Agreement) are not required to be reported with the Securities and Exchange Commission on Form 4 in accordance with Section 16 of the Securities Exchange Act of 1934, as amended (the “Exchange Act”), (4) in the case of (i), (ii), (iii) and (iv), the undersigned does not otherwise voluntarily effect any public filing or report regarding such transfers (other than a filing on Form 5 made after the expiration of the 45-day period referred to above) and (5) in the case of a transfer described in (v), (a) any securities received upon such exercise shall be subject to this agreement, (b) no filing under Section 16 of the Exchange Act, or other public announcement, shall be voluntarily made during the Lock-Up Period and (c) any filing required to be made pursuant to Section 16 of the Exchange Act shall clearly indicate that the filing relates to the circumstances described in clause (v), irrespective of whether such transfer involves a disposition of value, to the extent permitted by this Agreement:</w:t>
      </w:r>
    </w:p>
    <w:p>
      <w:pPr>
        <w:spacing w:after="0" w:line="206"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bona fide gift or gifts;</w:t>
      </w:r>
    </w:p>
    <w:p>
      <w:pPr>
        <w:spacing w:after="0" w:line="252"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undersigned or the immediate family of the undersigned (for purposes of this agreement, “immediate family” shall mean any relationship by blood, marriage or adoption, not more remote than first cousin);</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distribution to limited partners, members or stockholders of the undersigned;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undersigned’s affiliates or to any investment fund or other entity controlled or managed by the undersigned; or</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Company in connection with the net exercise or net settlement of an award granted under a compensatory plan of the Company adopted prior to the Public Offering.</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 undersigned may establish a trading plan pursuant to Rule 10b5-1 under the Exchange Act for the transfer of Lock-Up Shares during the Lock-Up Period, provided that (i) such plan does not provide for the transfer of Lock-Up Shares during the Lock-Up Period and (ii) to the extent a public announcement or filing under the Exchange Act, if any, is required of or voluntarily made by the Company regarding the establishment of such plan, such announcement or filing shall include a statement to the effect that no transfer of Lock-Up Shares may be made under such plan during the Lock-Up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both"/>
        <w:ind w:firstLine="648"/>
        <w:spacing w:after="0" w:line="263" w:lineRule="auto"/>
        <w:rPr>
          <w:sz w:val="20"/>
          <w:szCs w:val="20"/>
          <w:color w:val="auto"/>
        </w:rPr>
      </w:pPr>
      <w:r>
        <w:rPr>
          <w:rFonts w:ascii="Arial" w:cs="Arial" w:eastAsia="Arial" w:hAnsi="Arial"/>
          <w:sz w:val="18"/>
          <w:szCs w:val="18"/>
          <w:color w:val="auto"/>
        </w:rPr>
        <w:t>Furthermore, the undersigned may sell Lock-Up Shares of the Company purchased by the undersigned on the open market following the Public Offering if and only if (i) such sales are not required to be reported in any public report or filing with the Securities and Exchange Commission, or otherwise and (ii) the undersigned does not otherwise voluntarily effect any public filing or report regarding such sales.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Shares except in compliance with the foregoing restrictions.</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agreement shall lapse and become null and void if (i) prior to entering the Underwriting Agreement, the Company notifies the Underwriter in writing that the Company does not intend to proceed with the offering of the Lock-Up Shares through the Underwriter and files an application to withdraw the registration statement related to the offering, (ii) the Company and the Underwriter have not entered into the Underwriting Agreement on or before December 30, 2020, or (iii) for any reason the Underwriting Agreement is terminated prior to the Closing Time (as defined therein).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LEFT INTENTIONALLY BLANK]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ind w:left="4520"/>
        <w:spacing w:after="0"/>
        <w:rPr>
          <w:sz w:val="20"/>
          <w:szCs w:val="20"/>
          <w:color w:val="auto"/>
        </w:rPr>
      </w:pPr>
      <w:r>
        <w:rPr>
          <w:rFonts w:ascii="Arial" w:cs="Arial" w:eastAsia="Arial" w:hAnsi="Arial"/>
          <w:sz w:val="16"/>
          <w:szCs w:val="16"/>
          <w:color w:val="auto"/>
        </w:rPr>
        <w:t>Very truly yours,</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90805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45" w:name="page46"/>
    <w:bookmarkEnd w:id="45"/>
    <w:p>
      <w:pPr>
        <w:ind w:left="10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52" w:lineRule="exact"/>
        <w:rPr>
          <w:sz w:val="20"/>
          <w:szCs w:val="20"/>
          <w:color w:val="auto"/>
        </w:rPr>
      </w:pPr>
    </w:p>
    <w:p>
      <w:pPr>
        <w:ind w:right="300" w:firstLine="1296"/>
        <w:spacing w:after="0" w:line="286" w:lineRule="auto"/>
        <w:rPr>
          <w:sz w:val="20"/>
          <w:szCs w:val="20"/>
          <w:color w:val="auto"/>
        </w:rPr>
      </w:pPr>
      <w:r>
        <w:rPr>
          <w:rFonts w:ascii="Arial" w:cs="Arial" w:eastAsia="Arial" w:hAnsi="Arial"/>
          <w:sz w:val="17"/>
          <w:szCs w:val="17"/>
          <w:color w:val="auto"/>
        </w:rPr>
        <w:t>FIRST SUPPLEMENTAL INDENTURE (this “</w:t>
      </w:r>
      <w:r>
        <w:rPr>
          <w:rFonts w:ascii="Arial" w:cs="Arial" w:eastAsia="Arial" w:hAnsi="Arial"/>
          <w:sz w:val="17"/>
          <w:szCs w:val="17"/>
          <w:u w:val="single" w:color="auto"/>
          <w:color w:val="auto"/>
        </w:rPr>
        <w:t>First Supplemental Indenture</w:t>
      </w:r>
      <w:r>
        <w:rPr>
          <w:rFonts w:ascii="Arial" w:cs="Arial" w:eastAsia="Arial" w:hAnsi="Arial"/>
          <w:sz w:val="17"/>
          <w:szCs w:val="17"/>
          <w:color w:val="auto"/>
        </w:rPr>
        <w:t>”), dated as of December 17, 2020, among New Fortress Energy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the Guarantors from time to time parties hereto and U.S. Bank, National Association, a national banking association, as Trustee (in such capacity, the “</w:t>
      </w:r>
      <w:r>
        <w:rPr>
          <w:rFonts w:ascii="Arial" w:cs="Arial" w:eastAsia="Arial" w:hAnsi="Arial"/>
          <w:sz w:val="17"/>
          <w:szCs w:val="17"/>
          <w:u w:val="single" w:color="auto"/>
          <w:color w:val="auto"/>
        </w:rPr>
        <w:t>Trustee</w:t>
      </w:r>
      <w:r>
        <w:rPr>
          <w:rFonts w:ascii="Arial" w:cs="Arial" w:eastAsia="Arial" w:hAnsi="Arial"/>
          <w:sz w:val="17"/>
          <w:szCs w:val="17"/>
          <w:color w:val="auto"/>
        </w:rPr>
        <w:t>”) and Collateral Agent (in such capacity, the “</w:t>
      </w:r>
      <w:r>
        <w:rPr>
          <w:rFonts w:ascii="Arial" w:cs="Arial" w:eastAsia="Arial" w:hAnsi="Arial"/>
          <w:sz w:val="17"/>
          <w:szCs w:val="17"/>
          <w:u w:val="single" w:color="auto"/>
          <w:color w:val="auto"/>
        </w:rPr>
        <w:t>Notes Collateral Agent</w:t>
      </w:r>
      <w:r>
        <w:rPr>
          <w:rFonts w:ascii="Arial" w:cs="Arial" w:eastAsia="Arial" w:hAnsi="Arial"/>
          <w:sz w:val="17"/>
          <w:szCs w:val="17"/>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52" w:lineRule="exact"/>
        <w:rPr>
          <w:sz w:val="20"/>
          <w:szCs w:val="20"/>
          <w:color w:val="auto"/>
        </w:rPr>
      </w:pPr>
    </w:p>
    <w:p>
      <w:pPr>
        <w:jc w:val="both"/>
        <w:ind w:right="140" w:firstLine="1296"/>
        <w:spacing w:after="0" w:line="263" w:lineRule="auto"/>
        <w:rPr>
          <w:sz w:val="20"/>
          <w:szCs w:val="20"/>
          <w:color w:val="auto"/>
        </w:rPr>
      </w:pPr>
      <w:r>
        <w:rPr>
          <w:rFonts w:ascii="Arial" w:cs="Arial" w:eastAsia="Arial" w:hAnsi="Arial"/>
          <w:sz w:val="18"/>
          <w:szCs w:val="18"/>
          <w:color w:val="auto"/>
        </w:rPr>
        <w:t>WHEREAS, the Issuer, the Guarantors party thereto, the Trustee and the Notes Collateral Agent have heretofore executed and delivered an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as of September 2, 2020 (the “</w:t>
      </w:r>
      <w:r>
        <w:rPr>
          <w:rFonts w:ascii="Arial" w:cs="Arial" w:eastAsia="Arial" w:hAnsi="Arial"/>
          <w:sz w:val="18"/>
          <w:szCs w:val="18"/>
          <w:u w:val="single" w:color="auto"/>
          <w:color w:val="auto"/>
        </w:rPr>
        <w:t>Issue Date</w:t>
      </w:r>
      <w:r>
        <w:rPr>
          <w:rFonts w:ascii="Arial" w:cs="Arial" w:eastAsia="Arial" w:hAnsi="Arial"/>
          <w:sz w:val="18"/>
          <w:szCs w:val="18"/>
          <w:color w:val="auto"/>
        </w:rPr>
        <w:t>”), providing for the issuance on such date by the Issuer of $1,000,000,000 aggregate principal amount of 6.750% Senior Secured Notes due 2025 (the “</w:t>
      </w:r>
      <w:r>
        <w:rPr>
          <w:rFonts w:ascii="Arial" w:cs="Arial" w:eastAsia="Arial" w:hAnsi="Arial"/>
          <w:sz w:val="18"/>
          <w:szCs w:val="18"/>
          <w:u w:val="single" w:color="auto"/>
          <w:color w:val="auto"/>
        </w:rPr>
        <w:t>Initial Notes</w:t>
      </w:r>
      <w:r>
        <w:rPr>
          <w:rFonts w:ascii="Arial" w:cs="Arial" w:eastAsia="Arial" w:hAnsi="Arial"/>
          <w:sz w:val="18"/>
          <w:szCs w:val="18"/>
          <w:color w:val="auto"/>
        </w:rPr>
        <w:t>”);</w:t>
      </w:r>
    </w:p>
    <w:p>
      <w:pPr>
        <w:spacing w:after="0" w:line="211"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WHEREAS, Section 2.01 of the Indenture provides, among other things, that the Issuer may issue Additional Notes from time to time after the Issue Date under the Indenture;</w:t>
      </w:r>
    </w:p>
    <w:p>
      <w:pPr>
        <w:spacing w:after="0" w:line="197" w:lineRule="exact"/>
        <w:rPr>
          <w:sz w:val="20"/>
          <w:szCs w:val="20"/>
          <w:color w:val="auto"/>
        </w:rPr>
      </w:pPr>
    </w:p>
    <w:p>
      <w:pPr>
        <w:ind w:left="120" w:right="620" w:firstLine="1189"/>
        <w:spacing w:after="0" w:line="277" w:lineRule="auto"/>
        <w:rPr>
          <w:sz w:val="20"/>
          <w:szCs w:val="20"/>
          <w:color w:val="auto"/>
        </w:rPr>
      </w:pPr>
      <w:r>
        <w:rPr>
          <w:rFonts w:ascii="Arial" w:cs="Arial" w:eastAsia="Arial" w:hAnsi="Arial"/>
          <w:sz w:val="18"/>
          <w:szCs w:val="18"/>
          <w:color w:val="auto"/>
        </w:rPr>
        <w:t>WHEREAS, the Issuer wishes to issue $250,000,000 in aggregate principal amount of 6.750% Senior Secured Notes due 2025 as Additional Notes under the Indenture (the “</w:t>
      </w:r>
      <w:r>
        <w:rPr>
          <w:rFonts w:ascii="Arial" w:cs="Arial" w:eastAsia="Arial" w:hAnsi="Arial"/>
          <w:sz w:val="18"/>
          <w:szCs w:val="18"/>
          <w:u w:val="single" w:color="auto"/>
          <w:color w:val="auto"/>
        </w:rPr>
        <w:t>December 2020 Additional Notes</w:t>
      </w:r>
      <w:r>
        <w:rPr>
          <w:rFonts w:ascii="Arial" w:cs="Arial" w:eastAsia="Arial" w:hAnsi="Arial"/>
          <w:sz w:val="18"/>
          <w:szCs w:val="18"/>
          <w:color w:val="auto"/>
        </w:rPr>
        <w:t>”);</w:t>
      </w:r>
    </w:p>
    <w:p>
      <w:pPr>
        <w:spacing w:after="0" w:line="197" w:lineRule="exact"/>
        <w:rPr>
          <w:sz w:val="20"/>
          <w:szCs w:val="20"/>
          <w:color w:val="auto"/>
        </w:rPr>
      </w:pPr>
    </w:p>
    <w:p>
      <w:pPr>
        <w:jc w:val="both"/>
        <w:ind w:right="100" w:firstLine="1296"/>
        <w:spacing w:after="0" w:line="263" w:lineRule="auto"/>
        <w:rPr>
          <w:sz w:val="20"/>
          <w:szCs w:val="20"/>
          <w:color w:val="auto"/>
        </w:rPr>
      </w:pPr>
      <w:r>
        <w:rPr>
          <w:rFonts w:ascii="Arial" w:cs="Arial" w:eastAsia="Arial" w:hAnsi="Arial"/>
          <w:sz w:val="18"/>
          <w:szCs w:val="18"/>
          <w:color w:val="auto"/>
        </w:rPr>
        <w:t>WHEREAS, in accordance with Section 9.01(7) of the Indenture, the Issuer, the Guarantors, the Trustee and the Notes Collateral Agent may execute and deliver this First Supplemental Indenture to provide for the issuance of the December 2020 Additional Notes without notice to or consent of any Holders; and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Issuer and each of the Guarantors has duly authorized the execution and delivery of this First Supplemental Indenture.</w:t>
      </w:r>
    </w:p>
    <w:p>
      <w:pPr>
        <w:spacing w:after="0" w:line="27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NOW, THEREFORE, the Issuer, the Guarantors, the Trustee and the Notes Collateral Agent agree as follows for the benefit of each other and for the equal and ratable benefit of the Holders:</w:t>
      </w:r>
    </w:p>
    <w:p>
      <w:pPr>
        <w:spacing w:after="0" w:line="197" w:lineRule="exact"/>
        <w:rPr>
          <w:sz w:val="20"/>
          <w:szCs w:val="20"/>
          <w:color w:val="auto"/>
        </w:rPr>
      </w:pPr>
    </w:p>
    <w:p>
      <w:pPr>
        <w:ind w:right="320" w:firstLine="1304"/>
        <w:spacing w:after="0" w:line="277" w:lineRule="auto"/>
        <w:tabs>
          <w:tab w:leader="none" w:pos="147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but not defined in this First Supplemental Indenture shall have the meanings assigned to them in the Indenture.</w:t>
      </w:r>
    </w:p>
    <w:p>
      <w:pPr>
        <w:spacing w:after="0" w:line="197" w:lineRule="exact"/>
        <w:rPr>
          <w:rFonts w:ascii="Arial" w:cs="Arial" w:eastAsia="Arial" w:hAnsi="Arial"/>
          <w:sz w:val="18"/>
          <w:szCs w:val="18"/>
          <w:color w:val="auto"/>
        </w:rPr>
      </w:pPr>
    </w:p>
    <w:p>
      <w:pPr>
        <w:ind w:right="120" w:firstLine="1304"/>
        <w:spacing w:after="0" w:line="273" w:lineRule="auto"/>
        <w:tabs>
          <w:tab w:leader="none" w:pos="147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Additional Notes</w:t>
      </w:r>
      <w:r>
        <w:rPr>
          <w:rFonts w:ascii="Arial" w:cs="Arial" w:eastAsia="Arial" w:hAnsi="Arial"/>
          <w:sz w:val="17"/>
          <w:szCs w:val="17"/>
          <w:color w:val="auto"/>
        </w:rPr>
        <w:t>. In accordance with Section 2.01 of the Indenture, the Issuer hereby provides for the issuance of the December 2020 Additional Notes as Additional Notes under the Indenture. The December 2020 Additional Notes shall be substantially in the form of Exhibit A to the Indenture and shall have identical terms as the Initial Notes, other than with respect to the date of issuance and issue price thereof. Interest on the December 2020 Additional Notes will accrue from September 2, 2020. The December 2020 Additional Notes shall be issued as Restricted Global Notes. The Initial Notes and the Additional Notes will be treated as a single class for all purposes under the Indenture, including waivers, amendments, redemptions and offers to purchase, and will be fungible for U.S. federal income tax purposes.</w:t>
      </w:r>
    </w:p>
    <w:p>
      <w:pPr>
        <w:spacing w:after="0" w:line="204" w:lineRule="exact"/>
        <w:rPr>
          <w:rFonts w:ascii="Arial" w:cs="Arial" w:eastAsia="Arial" w:hAnsi="Arial"/>
          <w:sz w:val="17"/>
          <w:szCs w:val="17"/>
          <w:color w:val="auto"/>
        </w:rPr>
      </w:pPr>
    </w:p>
    <w:p>
      <w:pPr>
        <w:jc w:val="both"/>
        <w:ind w:right="160" w:firstLine="1304"/>
        <w:spacing w:after="0" w:line="279" w:lineRule="auto"/>
        <w:tabs>
          <w:tab w:leader="none" w:pos="147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Collateral</w:t>
      </w:r>
      <w:r>
        <w:rPr>
          <w:rFonts w:ascii="Arial" w:cs="Arial" w:eastAsia="Arial" w:hAnsi="Arial"/>
          <w:sz w:val="17"/>
          <w:szCs w:val="17"/>
          <w:color w:val="auto"/>
        </w:rPr>
        <w:t>. Subject to the limitations set forth in the Indenture (including Section 12.07 thereof) and the Security Documents, to the extent that the Lien on any Collateral is not created and/or perfected for the December 2020 Additional Notes on the date hereof after the Issuer’s use of commercially reasonable efforts to do so or without undue burden or expense, the Issuer shall take all necessary actions to create and/or perfect such Lien pursuant to arrangements to be mutually agreed between the Issuer and the Notes Collateral Agent acting reasonably.</w:t>
      </w:r>
    </w:p>
    <w:p>
      <w:pPr>
        <w:spacing w:after="0" w:line="198" w:lineRule="exact"/>
        <w:rPr>
          <w:rFonts w:ascii="Arial" w:cs="Arial" w:eastAsia="Arial" w:hAnsi="Arial"/>
          <w:sz w:val="17"/>
          <w:szCs w:val="17"/>
          <w:color w:val="auto"/>
        </w:rPr>
      </w:pPr>
    </w:p>
    <w:p>
      <w:pPr>
        <w:jc w:val="both"/>
        <w:ind w:right="140" w:firstLine="1304"/>
        <w:spacing w:after="0" w:line="311" w:lineRule="auto"/>
        <w:tabs>
          <w:tab w:leader="none" w:pos="147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First Supplemental Indenture Part of Indenture.</w:t>
      </w:r>
      <w:r>
        <w:rPr>
          <w:rFonts w:ascii="Arial" w:cs="Arial" w:eastAsia="Arial" w:hAnsi="Arial"/>
          <w:sz w:val="16"/>
          <w:szCs w:val="16"/>
          <w:color w:val="auto"/>
        </w:rPr>
        <w:t xml:space="preserve"> Except as expressly amended hereby, the Indenture is in all respects ratified and confirmed and all the terms, conditions and provisions thereof shall remain in full force and effect. This First Supplemental Indenture shall form a part of the Indenture for all purposes, and every Holder of Notes heretofore or hereafter authenticated and delivered shall be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ind w:left="-40" w:right="80" w:firstLine="1304"/>
        <w:spacing w:after="0" w:line="296" w:lineRule="auto"/>
        <w:tabs>
          <w:tab w:leader="none" w:pos="143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 Personal Liability of Directors, Officers, Employees and Stockholders</w:t>
      </w:r>
      <w:r>
        <w:rPr>
          <w:rFonts w:ascii="Arial" w:cs="Arial" w:eastAsia="Arial" w:hAnsi="Arial"/>
          <w:sz w:val="16"/>
          <w:szCs w:val="16"/>
          <w:color w:val="auto"/>
        </w:rPr>
        <w:t>. No past, present or future director, manager, officer, employee, incorporator, member, partner or stockholder of the Issuer or any Guarantor or any of their parent companies or entities, as such, shall have any liability for any obligations of the Issuer or the Guarantors under the Notes, the Note Guarantees, the Security Documents, any Intercreditor Agreements, the Indenture or this First Supplemental Indenture or for any claim based on, in respect of, or by reason of such obligations or their creation. Each Holder by accepting a Note waives and releases all such liability. The waiver and release are part of the consideration for issuance of the Notes.</w:t>
      </w:r>
    </w:p>
    <w:p>
      <w:pPr>
        <w:spacing w:after="0" w:line="188" w:lineRule="exact"/>
        <w:rPr>
          <w:rFonts w:ascii="Arial" w:cs="Arial" w:eastAsia="Arial" w:hAnsi="Arial"/>
          <w:sz w:val="16"/>
          <w:szCs w:val="16"/>
          <w:color w:val="auto"/>
        </w:rPr>
      </w:pPr>
    </w:p>
    <w:p>
      <w:pPr>
        <w:ind w:left="-40" w:right="780" w:firstLine="1304"/>
        <w:spacing w:after="0" w:line="277" w:lineRule="auto"/>
        <w:tabs>
          <w:tab w:leader="none" w:pos="143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SUPPLEMENTAL INDENTURE WILL BE GOVERNED BY AND CONSTRUED IN ACCORDANCE WITH THE LAWS OF THE STATE OF NEW YORK.</w:t>
      </w:r>
    </w:p>
    <w:p>
      <w:pPr>
        <w:spacing w:after="0" w:line="197" w:lineRule="exact"/>
        <w:rPr>
          <w:rFonts w:ascii="Arial" w:cs="Arial" w:eastAsia="Arial" w:hAnsi="Arial"/>
          <w:sz w:val="18"/>
          <w:szCs w:val="18"/>
          <w:color w:val="auto"/>
        </w:rPr>
      </w:pPr>
    </w:p>
    <w:p>
      <w:pPr>
        <w:ind w:left="-40" w:right="220" w:firstLine="1304"/>
        <w:spacing w:after="0" w:line="277" w:lineRule="auto"/>
        <w:tabs>
          <w:tab w:leader="none" w:pos="143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this First Supplemental Indenture or in the Notes shall be invalid, illegal or unenforceable, the validity, legality and enforceability of the remaining provisions shall not in any way be affected or impaired thereby.</w:t>
      </w:r>
    </w:p>
    <w:p>
      <w:pPr>
        <w:spacing w:after="0" w:line="197" w:lineRule="exact"/>
        <w:rPr>
          <w:rFonts w:ascii="Arial" w:cs="Arial" w:eastAsia="Arial" w:hAnsi="Arial"/>
          <w:sz w:val="18"/>
          <w:szCs w:val="18"/>
          <w:color w:val="auto"/>
        </w:rPr>
      </w:pPr>
    </w:p>
    <w:p>
      <w:pPr>
        <w:ind w:left="-40" w:right="100" w:firstLine="1304"/>
        <w:spacing w:after="0" w:line="275" w:lineRule="auto"/>
        <w:tabs>
          <w:tab w:leader="none" w:pos="143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The parties may sign any number of copies of this First Supplemental Indenture. Each signed copy shall be an original, but all of them together represent the same agreement. The exchange of copies of this First Supplemental Indenture and of signature pages by facsimile, PDF or other electronic transmission shall constitute effective execution and delivery of this First Supplemental Indenture as to the parties hereto and may be used in lieu of the original First Supplemental Indenture and signature pages for all purposes. Signatures of the parties hereto transmitted by facsimile, PDF or other electronic transmission shall be deemed to be their original signatures for all purposes.</w:t>
      </w:r>
    </w:p>
    <w:p>
      <w:pPr>
        <w:spacing w:after="0" w:line="203" w:lineRule="exact"/>
        <w:rPr>
          <w:rFonts w:ascii="Arial" w:cs="Arial" w:eastAsia="Arial" w:hAnsi="Arial"/>
          <w:sz w:val="17"/>
          <w:szCs w:val="17"/>
          <w:color w:val="auto"/>
        </w:rPr>
      </w:pPr>
    </w:p>
    <w:p>
      <w:pPr>
        <w:ind w:left="1440" w:hanging="176"/>
        <w:spacing w:after="0"/>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52" w:lineRule="exact"/>
        <w:rPr>
          <w:rFonts w:ascii="Arial" w:cs="Arial" w:eastAsia="Arial" w:hAnsi="Arial"/>
          <w:sz w:val="18"/>
          <w:szCs w:val="18"/>
          <w:color w:val="auto"/>
        </w:rPr>
      </w:pPr>
    </w:p>
    <w:p>
      <w:pPr>
        <w:ind w:left="-40" w:firstLine="1304"/>
        <w:spacing w:after="0" w:line="263" w:lineRule="auto"/>
        <w:tabs>
          <w:tab w:leader="none" w:pos="152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The Trustee shall not be responsible in any manner whatsoever for or in respect of the validity, sufficiency or adequacy of this First Supplemental Indenture or for or in respect of the statements or recitals contained herein, all of which recitals are made solely by the Issuer and the Guarantors.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126365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5" w:right="379" w:bottom="1440" w:gutter="0" w:footer="0" w:header="0"/>
        </w:sectPr>
      </w:pPr>
    </w:p>
    <w:bookmarkStart w:id="47" w:name="page48"/>
    <w:bookmarkEnd w:id="47"/>
    <w:p>
      <w:pPr>
        <w:ind w:left="4520"/>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Stephen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jc w:val="right"/>
        <w:ind w:right="1379"/>
        <w:spacing w:after="0"/>
        <w:rPr>
          <w:sz w:val="20"/>
          <w:szCs w:val="20"/>
          <w:color w:val="auto"/>
        </w:rPr>
      </w:pPr>
      <w:r>
        <w:rPr>
          <w:rFonts w:ascii="Arial" w:cs="Arial" w:eastAsia="Arial" w:hAnsi="Arial"/>
          <w:sz w:val="18"/>
          <w:szCs w:val="18"/>
          <w:color w:val="auto"/>
        </w:rPr>
        <w:t>Name: Christopher Stephen Guinta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Supplement Indenture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500"/>
        <w:spacing w:after="0"/>
        <w:rPr>
          <w:sz w:val="20"/>
          <w:szCs w:val="20"/>
          <w:color w:val="auto"/>
        </w:rPr>
      </w:pPr>
      <w:r>
        <w:rPr>
          <w:rFonts w:ascii="Arial" w:cs="Arial" w:eastAsia="Arial" w:hAnsi="Arial"/>
          <w:sz w:val="18"/>
          <w:szCs w:val="18"/>
          <w:color w:val="auto"/>
        </w:rPr>
        <w:t>GUARANTORS: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Energy Logistics Solutions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LNG Marketing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Energy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Bradford County Development Holdings LLC</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GPF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GPF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Power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Transport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Transport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Island LNG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Real Estate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Real Estate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LNG Holdings (Florida)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Fortress Energy Marketing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Fortress Intermediate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Atlantic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BCS Holdings (A)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BCS Holdings (B)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Equipment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Equipment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Ghana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Ghana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Honduras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International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ISO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ISO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Jamaica GP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Logistics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Management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Mexico Holdings LLC</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Supplement Indenture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500"/>
        <w:spacing w:after="0"/>
        <w:rPr>
          <w:sz w:val="20"/>
          <w:szCs w:val="20"/>
          <w:color w:val="auto"/>
        </w:rPr>
      </w:pPr>
      <w:r>
        <w:rPr>
          <w:rFonts w:ascii="Arial" w:cs="Arial" w:eastAsia="Arial" w:hAnsi="Arial"/>
          <w:sz w:val="18"/>
          <w:szCs w:val="18"/>
          <w:color w:val="auto"/>
        </w:rPr>
        <w:t>NFE Nicaragua Development Partners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NFE Nicaragua Development Partners LLC, Sucursal Nicaragua</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Nicaragua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Plant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Sub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Transport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Transport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 Real Estate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 Real Estate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TICO Development Partners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TICO Development Partners LLC</w:t>
      </w:r>
    </w:p>
    <w:p>
      <w:pPr>
        <w:spacing w:after="0" w:line="23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1"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Supplement Indenture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60"/>
          </w:cols>
          <w:pgMar w:left="1440" w:top="125" w:right="1299" w:bottom="1440" w:gutter="0" w:footer="0" w:header="0"/>
        </w:sectPr>
      </w:pPr>
    </w:p>
    <w:bookmarkStart w:id="50" w:name="page51"/>
    <w:bookmarkEnd w:id="50"/>
    <w:p>
      <w:pPr>
        <w:ind w:left="4500"/>
        <w:spacing w:after="0"/>
        <w:rPr>
          <w:sz w:val="20"/>
          <w:szCs w:val="20"/>
          <w:color w:val="auto"/>
        </w:rPr>
      </w:pPr>
      <w:r>
        <w:rPr>
          <w:rFonts w:ascii="Arial" w:cs="Arial" w:eastAsia="Arial" w:hAnsi="Arial"/>
          <w:sz w:val="18"/>
          <w:szCs w:val="18"/>
          <w:color w:val="auto"/>
        </w:rPr>
        <w:t>Atlantic Energy Holdings Limited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Terminal Holdings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Power Holdings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International Holdings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Distribution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Holdings Limited [Bermuda]</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Holdings Limited [Jamaica]</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Infrastructure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Trading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North Transport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Shannon Holdings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Holdings Limited [Bermuda]</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Holdings Limited [Jamaica]</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NFE South Power Trading Limited [Bermuda]</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NFE South Power Trading Limited [Jamaica]</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Trading Limited</w:t>
      </w:r>
    </w:p>
    <w:p>
      <w:pPr>
        <w:spacing w:after="0" w:line="238" w:lineRule="exact"/>
        <w:rPr>
          <w:sz w:val="20"/>
          <w:szCs w:val="20"/>
          <w:color w:val="auto"/>
        </w:rPr>
      </w:pPr>
    </w:p>
    <w:p>
      <w:pPr>
        <w:ind w:left="4500"/>
        <w:spacing w:after="0"/>
        <w:tabs>
          <w:tab w:leader="none" w:pos="5020" w:val="left"/>
        </w:tabs>
        <w:rPr>
          <w:sz w:val="20"/>
          <w:szCs w:val="20"/>
          <w:color w:val="auto"/>
        </w:rPr>
      </w:pPr>
      <w:r>
        <w:rPr>
          <w:rFonts w:ascii="Arial" w:cs="Arial" w:eastAsia="Arial" w:hAnsi="Arial"/>
          <w:sz w:val="18"/>
          <w:szCs w:val="18"/>
          <w:color w:val="auto"/>
        </w:rPr>
        <w:t>By:</w:t>
        <w:tab/>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32232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2326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040"/>
        <w:spacing w:after="0"/>
        <w:tabs>
          <w:tab w:leader="none" w:pos="5600" w:val="left"/>
        </w:tabs>
        <w:rPr>
          <w:sz w:val="20"/>
          <w:szCs w:val="20"/>
          <w:color w:val="auto"/>
        </w:rPr>
      </w:pPr>
      <w:r>
        <w:rPr>
          <w:rFonts w:ascii="Arial" w:cs="Arial" w:eastAsia="Arial" w:hAnsi="Arial"/>
          <w:sz w:val="18"/>
          <w:szCs w:val="18"/>
          <w:color w:val="auto"/>
        </w:rPr>
        <w:t>Title:</w:t>
        <w:tab/>
        <w:t>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Supplement Indenture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500"/>
        <w:spacing w:after="0"/>
        <w:rPr>
          <w:sz w:val="20"/>
          <w:szCs w:val="20"/>
          <w:color w:val="auto"/>
        </w:rPr>
      </w:pPr>
      <w:r>
        <w:rPr>
          <w:rFonts w:ascii="Arial" w:cs="Arial" w:eastAsia="Arial" w:hAnsi="Arial"/>
          <w:sz w:val="17"/>
          <w:szCs w:val="17"/>
          <w:color w:val="auto"/>
        </w:rPr>
        <w:t>Atlantic Energy Infrastructure Holdings SRL</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Pipeline Holdings SRL</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Atlantic Terminal Infrastructure Holdings SRL</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Encanto East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Encanto Power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Encanto Power West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Encanto West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Fortress Energy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Angola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Mexico Holdings B.V.</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Mexico Holdings Parent B.V.</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Power PR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NFEnergia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Soluciones de Energia Limpia PR LLC</w:t>
      </w:r>
    </w:p>
    <w:p>
      <w:pPr>
        <w:spacing w:after="0" w:line="238" w:lineRule="exact"/>
        <w:rPr>
          <w:sz w:val="20"/>
          <w:szCs w:val="20"/>
          <w:color w:val="auto"/>
        </w:rPr>
      </w:pPr>
    </w:p>
    <w:p>
      <w:pPr>
        <w:ind w:left="4500"/>
        <w:spacing w:after="0"/>
        <w:tabs>
          <w:tab w:leader="none" w:pos="5020" w:val="left"/>
        </w:tabs>
        <w:rPr>
          <w:sz w:val="20"/>
          <w:szCs w:val="20"/>
          <w:color w:val="auto"/>
        </w:rPr>
      </w:pPr>
      <w:r>
        <w:rPr>
          <w:rFonts w:ascii="Arial" w:cs="Arial" w:eastAsia="Arial" w:hAnsi="Arial"/>
          <w:sz w:val="18"/>
          <w:szCs w:val="18"/>
          <w:color w:val="auto"/>
        </w:rPr>
        <w:t>By:</w:t>
        <w:tab/>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32232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2326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040"/>
        <w:spacing w:after="0"/>
        <w:tabs>
          <w:tab w:leader="none" w:pos="560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8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Distribution Holdings SRL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Power Holdings SRL</w:t>
      </w:r>
    </w:p>
    <w:p>
      <w:pPr>
        <w:spacing w:after="0" w:line="23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Supplement Indenture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500"/>
        <w:spacing w:after="0"/>
        <w:rPr>
          <w:sz w:val="20"/>
          <w:szCs w:val="20"/>
          <w:color w:val="auto"/>
        </w:rPr>
      </w:pPr>
      <w:r>
        <w:rPr>
          <w:rFonts w:ascii="Arial" w:cs="Arial" w:eastAsia="Arial" w:hAnsi="Arial"/>
          <w:sz w:val="18"/>
          <w:szCs w:val="18"/>
          <w:color w:val="auto"/>
        </w:rPr>
        <w:t>Amaunet, S. de R.L. de C.V.</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Pacifico LAP, S. de R.L. de C.V.</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NFEnergia GN de BCS, S. de R.L. de C.V.</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NFEnergia Mexico, S. de R.L. de C.V.</w:t>
      </w:r>
    </w:p>
    <w:p>
      <w:pPr>
        <w:spacing w:after="0" w:line="23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Legal Representative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Supplement Indenture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78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Trustee and Notes Collateral Agent</w:t>
      </w:r>
    </w:p>
    <w:p>
      <w:pPr>
        <w:spacing w:after="0" w:line="23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Joshua A. Hahn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Supplement Indenture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165100</wp:posOffset>
            </wp:positionV>
            <wp:extent cx="6917690" cy="2314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1769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18, 2020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New Fortress Energy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5,882,352 Shares of Class A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We have acted as counsel for New Fortress Energy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the Prospectus Supplement, dated December 15, 2020 (the “</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Supplement</w:t>
      </w:r>
      <w:r>
        <w:rPr>
          <w:rFonts w:ascii="Arial" w:cs="Arial" w:eastAsia="Arial" w:hAnsi="Arial"/>
          <w:sz w:val="18"/>
          <w:szCs w:val="18"/>
          <w:color w:val="auto"/>
        </w:rPr>
        <w:t>”), of the Company, filed with the Commission and relating to the issuance and sale by the Company of an aggregate of 5,882,352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Class A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Company.</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that connection, we have examined originals, or copies certified or otherwise identified to our satisfaction, of such documents,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corporate records and other instruments as we have deemed necessary or appropriate for the purposes of this opinion, including: (a) the Certificate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Incorporation of the Company; (b) the Bylaws of the Company; (c) resolutions adopted by unanimous written consent of the board of directors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of the Company on December 15, 2020, and by the pricing committee of the Board on December 15, 2020; (d) the Registration Statement on</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Form S</w:t>
      </w:r>
      <w:r>
        <w:rPr>
          <w:rFonts w:ascii="MS PGothic" w:cs="MS PGothic" w:eastAsia="MS PGothic" w:hAnsi="MS PGothic"/>
          <w:sz w:val="17"/>
          <w:szCs w:val="17"/>
          <w:color w:val="auto"/>
        </w:rPr>
        <w:t>‑</w:t>
      </w:r>
      <w:r>
        <w:rPr>
          <w:rFonts w:ascii="Arial" w:cs="Arial" w:eastAsia="Arial" w:hAnsi="Arial"/>
          <w:sz w:val="17"/>
          <w:szCs w:val="17"/>
          <w:color w:val="auto"/>
        </w:rPr>
        <w:t>3 (Registration No. 333</w:t>
      </w:r>
      <w:r>
        <w:rPr>
          <w:rFonts w:ascii="MS PGothic" w:cs="MS PGothic" w:eastAsia="MS PGothic" w:hAnsi="MS PGothic"/>
          <w:sz w:val="17"/>
          <w:szCs w:val="17"/>
          <w:color w:val="auto"/>
        </w:rPr>
        <w:t>‑</w:t>
      </w:r>
      <w:r>
        <w:rPr>
          <w:rFonts w:ascii="Arial" w:cs="Arial" w:eastAsia="Arial" w:hAnsi="Arial"/>
          <w:sz w:val="17"/>
          <w:szCs w:val="17"/>
          <w:color w:val="auto"/>
        </w:rPr>
        <w:t>236921) filed with the Commission on March 5, 2020, with respect to registration under the Securities Act of 1933,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amended (the “</w:t>
      </w:r>
      <w:r>
        <w:rPr>
          <w:rFonts w:ascii="Arial" w:cs="Arial" w:eastAsia="Arial" w:hAnsi="Arial"/>
          <w:sz w:val="17"/>
          <w:szCs w:val="17"/>
          <w:u w:val="single" w:color="auto"/>
          <w:color w:val="auto"/>
        </w:rPr>
        <w:t>Act</w:t>
      </w:r>
      <w:r>
        <w:rPr>
          <w:rFonts w:ascii="Arial" w:cs="Arial" w:eastAsia="Arial" w:hAnsi="Arial"/>
          <w:sz w:val="17"/>
          <w:szCs w:val="17"/>
          <w:color w:val="auto"/>
        </w:rPr>
        <w:t>”), of $250,000,000 aggregate amount of various securities of the Company, to be issued from time to time by the Company,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145,050,664 shares of Common Stock, to be sold from time to time by the selling stockholders identified therein, as amended by Amendment No. 1 thereto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on May 6, 2020, and Post-Effective Amendment No. 1 thereto filed with the Commission on August 7, 2020 (such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as amended by such amendments, the “</w:t>
      </w:r>
      <w:r>
        <w:rPr>
          <w:rFonts w:ascii="Arial" w:cs="Arial" w:eastAsia="Arial" w:hAnsi="Arial"/>
          <w:sz w:val="16"/>
          <w:szCs w:val="16"/>
          <w:u w:val="single" w:color="auto"/>
          <w:color w:val="auto"/>
        </w:rPr>
        <w:t>Initial Registration Statement</w:t>
      </w:r>
      <w:r>
        <w:rPr>
          <w:rFonts w:ascii="Arial" w:cs="Arial" w:eastAsia="Arial" w:hAnsi="Arial"/>
          <w:sz w:val="16"/>
          <w:szCs w:val="16"/>
          <w:color w:val="auto"/>
        </w:rPr>
        <w:t>”); and (e) the Registration Statement on Form S-3 (Registration No. 333-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251375) filed with the Commission pursuant to Rule 462(b) on December 15, 2020 (the “</w:t>
      </w:r>
      <w:r>
        <w:rPr>
          <w:rFonts w:ascii="Arial" w:cs="Arial" w:eastAsia="Arial" w:hAnsi="Arial"/>
          <w:sz w:val="17"/>
          <w:szCs w:val="17"/>
          <w:u w:val="single" w:color="auto"/>
          <w:color w:val="auto"/>
        </w:rPr>
        <w:t>462(b) Registration Statement</w:t>
      </w:r>
      <w:r>
        <w:rPr>
          <w:rFonts w:ascii="Arial" w:cs="Arial" w:eastAsia="Arial" w:hAnsi="Arial"/>
          <w:sz w:val="17"/>
          <w:szCs w:val="17"/>
          <w:color w:val="auto"/>
        </w:rPr>
        <w:t>” and, together with the Initial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Registration Statements</w:t>
      </w:r>
      <w:r>
        <w:rPr>
          <w:rFonts w:ascii="Arial" w:cs="Arial" w:eastAsia="Arial" w:hAnsi="Arial"/>
          <w:sz w:val="17"/>
          <w:szCs w:val="17"/>
          <w:color w:val="auto"/>
        </w:rPr>
        <w:t>”). As to various questions of fact material to this opinion, we have relied upon representations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officers or directors of the Company and documents furnished to us by the Company without independent verification of their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5" w:name="page56"/>
    <w:bookmarkEnd w:id="55"/>
    <w:p>
      <w:pPr>
        <w:ind w:right="60" w:firstLine="1296"/>
        <w:spacing w:after="0" w:line="259" w:lineRule="auto"/>
        <w:rPr>
          <w:sz w:val="20"/>
          <w:szCs w:val="20"/>
          <w:color w:val="auto"/>
        </w:rPr>
      </w:pPr>
      <w:r>
        <w:rPr>
          <w:rFonts w:ascii="Arial" w:cs="Arial" w:eastAsia="Arial" w:hAnsi="Arial"/>
          <w:sz w:val="18"/>
          <w:szCs w:val="18"/>
          <w:color w:val="auto"/>
        </w:rPr>
        <w:t>In rendering this opinion, we have assumed, with your consent and without independent investigation or verification, the genuineness of all signatures, the legal capacity and competency of all natural persons, the due authorization, execution and delivery of the agreements by all parties thereto (other than the Company), the authenticity of all documents submitted to us as originals and the conformity to authentic original documents of all documents submitted to us as duplicates or copies.</w:t>
      </w:r>
    </w:p>
    <w:p>
      <w:pPr>
        <w:spacing w:after="0" w:line="214" w:lineRule="exact"/>
        <w:rPr>
          <w:sz w:val="20"/>
          <w:szCs w:val="20"/>
          <w:color w:val="auto"/>
        </w:rPr>
      </w:pPr>
    </w:p>
    <w:p>
      <w:pPr>
        <w:ind w:right="100" w:firstLine="1296"/>
        <w:spacing w:after="0" w:line="308" w:lineRule="auto"/>
        <w:rPr>
          <w:sz w:val="20"/>
          <w:szCs w:val="20"/>
          <w:color w:val="auto"/>
        </w:rPr>
      </w:pPr>
      <w:r>
        <w:rPr>
          <w:rFonts w:ascii="Arial" w:cs="Arial" w:eastAsia="Arial" w:hAnsi="Arial"/>
          <w:sz w:val="17"/>
          <w:szCs w:val="17"/>
          <w:color w:val="auto"/>
        </w:rPr>
        <w:t>Based on the foregoing and subject to the qualifications set forth herein, we are of opinion that the Shares, when issued and delivered to and paid for by the Underwriter pursuant to the Underwriting Agreement, will be validly issued, fully paid and nonassessable.</w:t>
      </w:r>
    </w:p>
    <w:p>
      <w:pPr>
        <w:spacing w:after="0" w:line="173"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We are admitted to practice in the State of New York, and we express no opinion as to matters governed by any laws other than the laws of the State of New York and the General Corporation Law of the State of Delaware.</w:t>
      </w:r>
    </w:p>
    <w:p>
      <w:pPr>
        <w:spacing w:after="0" w:line="197" w:lineRule="exact"/>
        <w:rPr>
          <w:sz w:val="20"/>
          <w:szCs w:val="20"/>
          <w:color w:val="auto"/>
        </w:rPr>
      </w:pPr>
    </w:p>
    <w:p>
      <w:pPr>
        <w:ind w:firstLine="1296"/>
        <w:spacing w:after="0" w:line="301" w:lineRule="auto"/>
        <w:rPr>
          <w:sz w:val="20"/>
          <w:szCs w:val="20"/>
          <w:color w:val="auto"/>
        </w:rPr>
      </w:pPr>
      <w:r>
        <w:rPr>
          <w:rFonts w:ascii="Arial" w:cs="Arial" w:eastAsia="Arial" w:hAnsi="Arial"/>
          <w:sz w:val="16"/>
          <w:szCs w:val="16"/>
          <w:color w:val="auto"/>
        </w:rPr>
        <w:t>We are aware that we are referred to under the heading “Legal Matters” in the Prospectus Supplement. We hereby consent to such use of our name therein and to the filing of this opinion as Exhibit 5.1 to the Company’s Current Report on Form 8-K filed on December 18, 2020, and to the incorporation by reference of this opinion into the Registration Statements. In giving this consent, we do not hereby admit that we are within the category of persons whose consent is required under Section 7 of the Act or the rules and regulations of the Commission promulgated thereunder.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Cravath, Swaine &amp; Moore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6" w:name="page57"/>
    <w:bookmarkEnd w:id="56"/>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FORTRESS ENERGY ANNOUNCES PROPOSED OFFERING OF $250 MILLION OF SENIOR SECURED NOTES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YORK--(BUSINESS WIRE)—Dec. 15, 2020--New Fortress Energy Inc. (NASDAQ: NFE) (the “Company”) announced today that it intends to offer $250 million aggregate principal amount of additional 6.750% senior secured notes due 2025 (the “Additional Notes”) in a private offering, subject to market conditions. There are $1,000.0 million 6.750% senior secured notes due 2025 outstanding as of the date hereof. If consummated, the Company intends to use the net proceeds from the offering of the Additional Notes for general corporate purposes.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Additional Notes and the guarantees thereof will be offered in the United States to qualified institutional buyers under Rule 144A under the Securities Act of 1933, as amended (the “Securities Act”), and to persons outside of the United States under Regulation S under the Securities Act. The Additional Notes and the guarantees thereof will not be registered under the Securities Act or any state securities laws, and, unless so registered, may not be offered or sold in the United States absent registration or an applicable exemption from registration requirements.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 Fortress Energy Inc.</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Fortress Energy Inc.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including but not limited to statements regarding the consummation of the offering or the Company’s anticipated use of the net proceeds from the offering. All statements contained in this press release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Andreini</w:t>
      </w:r>
    </w:p>
    <w:p>
      <w:pPr>
        <w:spacing w:after="0" w:line="9" w:lineRule="exact"/>
        <w:rPr>
          <w:sz w:val="20"/>
          <w:szCs w:val="20"/>
          <w:color w:val="auto"/>
        </w:rPr>
      </w:pPr>
    </w:p>
    <w:p>
      <w:pPr>
        <w:ind w:right="9500" w:firstLine="8"/>
        <w:spacing w:after="0" w:line="323" w:lineRule="auto"/>
        <w:tabs>
          <w:tab w:leader="none" w:pos="4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798-6128 aandreini@fortress.com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23" w:lineRule="exact"/>
        <w:rPr>
          <w:sz w:val="20"/>
          <w:szCs w:val="20"/>
          <w:color w:val="auto"/>
        </w:rPr>
      </w:pPr>
    </w:p>
    <w:p>
      <w:pPr>
        <w:ind w:right="9000" w:firstLine="8"/>
        <w:spacing w:after="0" w:line="323" w:lineRule="auto"/>
        <w:tabs>
          <w:tab w:leader="none" w:pos="4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268-7455 jkane@newfortressenergy.com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ind w:right="8800" w:firstLine="8"/>
        <w:spacing w:after="0" w:line="302" w:lineRule="auto"/>
        <w:tabs>
          <w:tab w:leader="none" w:pos="4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268-7403 press@newfortressenergy.com Source: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FORTRESS ENERGY ANNOUNCES PRICING OF $250 MILLION OF SENIOR SECURED NOTES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NEW YORK--(BUSINESS WIRE)--Dec. 15, 2020--New Fortress Energy Inc. (NASDAQ: NFE) (the “Company”) announced today the pricing of its previously announced private offering of $250 million aggregate principal amount of additional 6.750% senior secured notes due 2025 (the “Additional Notes”). The Additional Notes will be issued at an issue price equal to 105.25% of principal, plus accrued interest from and including September 2, 2020. There are $1,000.0 million 6.750% senior secured notes due 2025 outstanding as of the date hereof. The Company intends to use the net proceeds from the offering for general corporate purposes. The closing of the offering is subject to certain limited conditions.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Additional Notes and the guarantees thereof were offered in the United States to qualified institutional buyers under Rule 144A under the Securities Act of 1933, as amended (the “Securities Act”), and to persons outside of the United States under Regulation S under the Securities Act. The Additional Notes and the guarantees thereof will not be registered under the Securities Act or any state securities laws, and, unless so registered, may not be offered or sold in the United States absent registration or an applicable exemption from registration requirements.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 Fortress Energy Inc.</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Fortress Energy Inc.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including but not limited to statements regarding the consummation of the offering or the Company’s anticipated use of the net proceeds from the offering. All statements contained in this press release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Andreini</w:t>
      </w:r>
    </w:p>
    <w:p>
      <w:pPr>
        <w:spacing w:after="0" w:line="9" w:lineRule="exact"/>
        <w:rPr>
          <w:sz w:val="20"/>
          <w:szCs w:val="20"/>
          <w:color w:val="auto"/>
        </w:rPr>
      </w:pPr>
    </w:p>
    <w:p>
      <w:pPr>
        <w:ind w:right="9500" w:firstLine="8"/>
        <w:spacing w:after="0" w:line="323" w:lineRule="auto"/>
        <w:tabs>
          <w:tab w:leader="none" w:pos="4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798-6128 aandreini@fortress.com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23" w:lineRule="exact"/>
        <w:rPr>
          <w:sz w:val="20"/>
          <w:szCs w:val="20"/>
          <w:color w:val="auto"/>
        </w:rPr>
      </w:pPr>
    </w:p>
    <w:p>
      <w:pPr>
        <w:ind w:right="9000" w:firstLine="8"/>
        <w:spacing w:after="0" w:line="323" w:lineRule="auto"/>
        <w:tabs>
          <w:tab w:leader="none" w:pos="4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268-7455 jkane@newfortressenergy.com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ind w:right="8800" w:firstLine="8"/>
        <w:spacing w:after="0" w:line="302" w:lineRule="auto"/>
        <w:tabs>
          <w:tab w:leader="none" w:pos="4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268-7403 press@newfortressenergy.com Source: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Letter"/>
      <w:start w:val="1"/>
    </w:lvl>
    <w:lvl w:ilvl="1">
      <w:lvlJc w:val="left"/>
      <w:lvlText w:val="(%2)"/>
      <w:numFmt w:val="lowerLetter"/>
      <w:start w:val="9"/>
    </w:lvl>
  </w:abstractNum>
  <w:abstractNum w:abstractNumId="3">
    <w:nsid w:val="B03E0C6"/>
    <w:multiLevelType w:val="hybridMultilevel"/>
    <w:lvl w:ilvl="0">
      <w:lvlJc w:val="left"/>
      <w:lvlText w:val="(%1)"/>
      <w:numFmt w:val="lowerRoman"/>
      <w:start w:val="2"/>
    </w:lvl>
  </w:abstractNum>
  <w:abstractNum w:abstractNumId="4">
    <w:nsid w:val="189A769B"/>
    <w:multiLevelType w:val="hybridMultilevel"/>
    <w:lvl w:ilvl="0">
      <w:lvlJc w:val="left"/>
      <w:lvlText w:val="(%1)"/>
      <w:numFmt w:val="lowerRoman"/>
      <w:start w:val="3"/>
    </w:lvl>
  </w:abstractNum>
  <w:abstractNum w:abstractNumId="5">
    <w:nsid w:val="54E49EB4"/>
    <w:multiLevelType w:val="hybridMultilevel"/>
    <w:lvl w:ilvl="0">
      <w:lvlJc w:val="left"/>
      <w:lvlText w:val="(%1)"/>
      <w:numFmt w:val="lowerRoman"/>
      <w:start w:val="4"/>
    </w:lvl>
  </w:abstractNum>
  <w:abstractNum w:abstractNumId="6">
    <w:nsid w:val="71F32454"/>
    <w:multiLevelType w:val="hybridMultilevel"/>
    <w:lvl w:ilvl="0">
      <w:lvlJc w:val="left"/>
      <w:lvlText w:val="(%1)"/>
      <w:numFmt w:val="lowerRoman"/>
      <w:start w:val="9"/>
    </w:lvl>
  </w:abstractNum>
  <w:abstractNum w:abstractNumId="7">
    <w:nsid w:val="2CA88611"/>
    <w:multiLevelType w:val="hybridMultilevel"/>
    <w:lvl w:ilvl="0">
      <w:lvlJc w:val="left"/>
      <w:lvlText w:val="%1"/>
      <w:numFmt w:val="upperLetter"/>
      <w:start w:val="1"/>
    </w:lvl>
    <w:lvl w:ilvl="1">
      <w:lvlJc w:val="left"/>
      <w:lvlText w:val="(%2)"/>
      <w:numFmt w:val="lowerRoman"/>
      <w:start w:val="13"/>
    </w:lvl>
  </w:abstractNum>
  <w:abstractNum w:abstractNumId="8">
    <w:nsid w:val="836C40E"/>
    <w:multiLevelType w:val="hybridMultilevel"/>
    <w:lvl w:ilvl="0">
      <w:lvlJc w:val="left"/>
      <w:lvlText w:val="(%1)"/>
      <w:numFmt w:val="upperLetter"/>
      <w:start w:val="3"/>
    </w:lvl>
    <w:lvl w:ilvl="1">
      <w:lvlJc w:val="left"/>
      <w:lvlText w:val="%2"/>
      <w:numFmt w:val="lowerRoman"/>
      <w:start w:val="1"/>
    </w:lvl>
  </w:abstractNum>
  <w:abstractNum w:abstractNumId="9">
    <w:nsid w:val="2901D82"/>
    <w:multiLevelType w:val="hybridMultilevel"/>
    <w:lvl w:ilvl="0">
      <w:lvlJc w:val="left"/>
      <w:lvlText w:val="(%1)"/>
      <w:numFmt w:val="lowerRoman"/>
      <w:start w:val="17"/>
    </w:lvl>
  </w:abstractNum>
  <w:abstractNum w:abstractNumId="10">
    <w:nsid w:val="3A95F874"/>
    <w:multiLevelType w:val="hybridMultilevel"/>
    <w:lvl w:ilvl="0">
      <w:lvlJc w:val="left"/>
      <w:lvlText w:val="(%1)"/>
      <w:numFmt w:val="lowerRoman"/>
      <w:start w:val="19"/>
    </w:lvl>
  </w:abstractNum>
  <w:abstractNum w:abstractNumId="11">
    <w:nsid w:val="8138641"/>
    <w:multiLevelType w:val="hybridMultilevel"/>
    <w:lvl w:ilvl="0">
      <w:lvlJc w:val="left"/>
      <w:lvlText w:val="(%1)"/>
      <w:numFmt w:val="lowerRoman"/>
      <w:start w:val="22"/>
    </w:lvl>
  </w:abstractNum>
  <w:abstractNum w:abstractNumId="12">
    <w:nsid w:val="1E7FF521"/>
    <w:multiLevelType w:val="hybridMultilevel"/>
    <w:lvl w:ilvl="0">
      <w:lvlJc w:val="left"/>
      <w:lvlText w:val="(%1)"/>
      <w:numFmt w:val="lowerRoman"/>
      <w:start w:val="26"/>
    </w:lvl>
  </w:abstractNum>
  <w:abstractNum w:abstractNumId="13">
    <w:nsid w:val="7C3DBD3D"/>
    <w:multiLevelType w:val="hybridMultilevel"/>
    <w:lvl w:ilvl="0">
      <w:lvlJc w:val="left"/>
      <w:lvlText w:val="(%1)"/>
      <w:numFmt w:val="upperLetter"/>
      <w:start w:val="1"/>
    </w:lvl>
  </w:abstractNum>
  <w:abstractNum w:abstractNumId="14">
    <w:nsid w:val="737B8DDC"/>
    <w:multiLevelType w:val="hybridMultilevel"/>
    <w:lvl w:ilvl="0">
      <w:lvlJc w:val="left"/>
      <w:lvlText w:val="(%1)"/>
      <w:numFmt w:val="upperLetter"/>
      <w:start w:val="3"/>
    </w:lvl>
  </w:abstractNum>
  <w:abstractNum w:abstractNumId="15">
    <w:nsid w:val="6CEAF087"/>
    <w:multiLevelType w:val="hybridMultilevel"/>
    <w:lvl w:ilvl="0">
      <w:lvlJc w:val="left"/>
      <w:lvlText w:val="(%1)"/>
      <w:numFmt w:val="lowerRoman"/>
      <w:start w:val="27"/>
    </w:lvl>
  </w:abstractNum>
  <w:abstractNum w:abstractNumId="16">
    <w:nsid w:val="22221A70"/>
    <w:multiLevelType w:val="hybridMultilevel"/>
    <w:lvl w:ilvl="0">
      <w:lvlJc w:val="left"/>
      <w:lvlText w:val="(%1)"/>
      <w:numFmt w:val="lowerRoman"/>
      <w:start w:val="30"/>
    </w:lvl>
  </w:abstractNum>
  <w:abstractNum w:abstractNumId="17">
    <w:nsid w:val="4516DDE9"/>
    <w:multiLevelType w:val="hybridMultilevel"/>
    <w:lvl w:ilvl="0">
      <w:lvlJc w:val="left"/>
      <w:lvlText w:val="(%1)"/>
      <w:numFmt w:val="lowerRoman"/>
      <w:start w:val="36"/>
    </w:lvl>
  </w:abstractNum>
  <w:abstractNum w:abstractNumId="18">
    <w:nsid w:val="3006C83E"/>
    <w:multiLevelType w:val="hybridMultilevel"/>
    <w:lvl w:ilvl="0">
      <w:lvlJc w:val="left"/>
      <w:lvlText w:val="(%1)"/>
      <w:numFmt w:val="lowerLetter"/>
      <w:start w:val="2"/>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1"/>
    </w:lvl>
    <w:lvl w:ilvl="1">
      <w:lvlJc w:val="left"/>
      <w:lvlText w:val="(%2)"/>
      <w:numFmt w:val="lowerLetter"/>
      <w:start w:val="1"/>
    </w:lvl>
  </w:abstractNum>
  <w:abstractNum w:abstractNumId="21">
    <w:nsid w:val="5577F8E1"/>
    <w:multiLevelType w:val="hybridMultilevel"/>
    <w:lvl w:ilvl="0">
      <w:lvlJc w:val="left"/>
      <w:lvlText w:val="(%1)"/>
      <w:numFmt w:val="lowerLetter"/>
      <w:start w:val="61"/>
    </w:lvl>
    <w:lvl w:ilvl="1">
      <w:lvlJc w:val="left"/>
      <w:lvlText w:val="(%2)"/>
      <w:numFmt w:val="lowerLetter"/>
      <w:start w:val="2"/>
    </w:lvl>
  </w:abstractNum>
  <w:abstractNum w:abstractNumId="22">
    <w:nsid w:val="440BADFC"/>
    <w:multiLevelType w:val="hybridMultilevel"/>
    <w:lvl w:ilvl="0">
      <w:lvlJc w:val="left"/>
      <w:lvlText w:val="(%1)"/>
      <w:numFmt w:val="lowerLetter"/>
      <w:start w:val="3"/>
    </w:lvl>
  </w:abstractNum>
  <w:abstractNum w:abstractNumId="23">
    <w:nsid w:val="5072367"/>
    <w:multiLevelType w:val="hybridMultilevel"/>
    <w:lvl w:ilvl="0">
      <w:lvlJc w:val="left"/>
      <w:lvlText w:val="(%1)"/>
      <w:numFmt w:val="lowerLetter"/>
      <w:start w:val="8"/>
    </w:lvl>
  </w:abstractNum>
  <w:abstractNum w:abstractNumId="24">
    <w:nsid w:val="3804823E"/>
    <w:multiLevelType w:val="hybridMultilevel"/>
    <w:lvl w:ilvl="0">
      <w:lvlJc w:val="left"/>
      <w:lvlText w:val="(%1)"/>
      <w:numFmt w:val="lowerLetter"/>
      <w:start w:val="10"/>
    </w:lvl>
  </w:abstractNum>
  <w:abstractNum w:abstractNumId="25">
    <w:nsid w:val="77465F01"/>
    <w:multiLevelType w:val="hybridMultilevel"/>
    <w:lvl w:ilvl="0">
      <w:lvlJc w:val="left"/>
      <w:lvlText w:val="%1"/>
      <w:numFmt w:val="lowerRoman"/>
      <w:start w:val="1"/>
    </w:lvl>
    <w:lvl w:ilvl="1">
      <w:lvlJc w:val="left"/>
      <w:lvlText w:val="(%2)"/>
      <w:numFmt w:val="lowerLetter"/>
      <w:start w:val="1"/>
    </w:lvl>
  </w:abstractNum>
  <w:abstractNum w:abstractNumId="26">
    <w:nsid w:val="7724C67E"/>
    <w:multiLevelType w:val="hybridMultilevel"/>
    <w:lvl w:ilvl="0">
      <w:lvlJc w:val="left"/>
      <w:lvlText w:val="(%1)"/>
      <w:numFmt w:val="lowerRoman"/>
      <w:start w:val="8"/>
    </w:lvl>
    <w:lvl w:ilvl="1">
      <w:lvlJc w:val="left"/>
      <w:lvlText w:val="(%2)"/>
      <w:numFmt w:val="lowerLetter"/>
      <w:start w:val="2"/>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2"/>
    </w:lvl>
  </w:abstractNum>
  <w:abstractNum w:abstractNumId="29">
    <w:nsid w:val="5E884ADC"/>
    <w:multiLevelType w:val="hybridMultilevel"/>
    <w:lvl w:ilvl="0">
      <w:lvlJc w:val="left"/>
      <w:lvlText w:val="(%1)"/>
      <w:numFmt w:val="lowerLetter"/>
      <w:start w:val="8"/>
    </w:lvl>
    <w:lvl w:ilvl="1">
      <w:lvlJc w:val="left"/>
      <w:lvlText w:val="(%2)"/>
      <w:numFmt w:val="lowerRoman"/>
      <w:start w:val="1"/>
    </w:lvl>
  </w:abstractNum>
  <w:abstractNum w:abstractNumId="30">
    <w:nsid w:val="51EAD36B"/>
    <w:multiLevelType w:val="hybridMultilevel"/>
    <w:lvl w:ilvl="0">
      <w:lvlJc w:val="left"/>
      <w:lvlText w:val="(%1)"/>
      <w:numFmt w:val="lowerLetter"/>
      <w:start w:val="13"/>
    </w:lvl>
  </w:abstractNum>
  <w:abstractNum w:abstractNumId="31">
    <w:nsid w:val="2D517796"/>
    <w:multiLevelType w:val="hybridMultilevel"/>
    <w:lvl w:ilvl="0">
      <w:lvlJc w:val="left"/>
      <w:lvlText w:val="(%1)"/>
      <w:numFmt w:val="lowerLetter"/>
      <w:start w:val="1"/>
    </w:lvl>
    <w:lvl w:ilvl="1">
      <w:lvlJc w:val="left"/>
      <w:lvlText w:val="(%2)"/>
      <w:numFmt w:val="lowerRoman"/>
      <w:start w:val="1"/>
    </w:lvl>
  </w:abstractNum>
  <w:abstractNum w:abstractNumId="32">
    <w:nsid w:val="580BD78F"/>
    <w:multiLevelType w:val="hybridMultilevel"/>
    <w:lvl w:ilvl="0">
      <w:lvlJc w:val="left"/>
      <w:lvlText w:val="(%1)"/>
      <w:numFmt w:val="lowerLetter"/>
      <w:start w:val="2"/>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2"/>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lowerRoman"/>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5"/>
    </w:lvl>
  </w:abstractNum>
  <w:abstractNum w:abstractNumId="42">
    <w:nsid w:val="7A6D8D3C"/>
    <w:multiLevelType w:val="hybridMultilevel"/>
    <w:lvl w:ilvl="0">
      <w:lvlJc w:val="left"/>
      <w:lvlText w:val="(%1)"/>
      <w:numFmt w:val="decimal"/>
      <w:start w:val="212"/>
    </w:lvl>
  </w:abstractNum>
  <w:abstractNum w:abstractNumId="43">
    <w:nsid w:val="4B588F54"/>
    <w:multiLevelType w:val="hybridMultilevel"/>
    <w:lvl w:ilvl="0">
      <w:lvlJc w:val="left"/>
      <w:lvlText w:val="(%1)"/>
      <w:numFmt w:val="decimal"/>
      <w:start w:val="516"/>
    </w:lvl>
  </w:abstractNum>
  <w:abstractNum w:abstractNumId="44">
    <w:nsid w:val="542289EC"/>
    <w:multiLevelType w:val="hybridMultilevel"/>
    <w:lvl w:ilvl="0">
      <w:lvlJc w:val="left"/>
      <w:lvlText w:val="(%1)"/>
      <w:numFmt w:val="decimal"/>
      <w:start w:val="516"/>
    </w:lvl>
  </w:abstractNum>
  <w:abstractNum w:abstractNumId="45">
    <w:nsid w:val="6DE91B18"/>
    <w:multiLevelType w:val="hybridMultilevel"/>
    <w:lvl w:ilvl="0">
      <w:lvlJc w:val="left"/>
      <w:lvlText w:val="(%1)"/>
      <w:numFmt w:val="decimal"/>
      <w:start w:val="212"/>
    </w:lvl>
  </w:abstractNum>
  <w:abstractNum w:abstractNumId="46">
    <w:nsid w:val="38437FDB"/>
    <w:multiLevelType w:val="hybridMultilevel"/>
    <w:lvl w:ilvl="0">
      <w:lvlJc w:val="left"/>
      <w:lvlText w:val="(%1)"/>
      <w:numFmt w:val="decimal"/>
      <w:start w:val="516"/>
    </w:lvl>
  </w:abstractNum>
  <w:abstractNum w:abstractNumId="47">
    <w:nsid w:val="7644A45C"/>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2020-12-18T15:50:20Z</dcterms:created>
  <dcterms:modified xsi:type="dcterms:W3CDTF">2020-12-18T15:50:20Z</dcterms:modified>
</cp:coreProperties>
</file>