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14, 2022</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001-38790</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80" w:space="720"/>
            <w:col w:w="3080"/>
          </w:cols>
          <w:pgMar w:left="320" w:top="529" w:right="339" w:bottom="1440" w:gutter="0" w:footer="0" w:header="0"/>
          <w:type w:val="continuous"/>
        </w:sectPr>
      </w:pPr>
    </w:p>
    <w:p>
      <w:pPr>
        <w:spacing w:after="0" w:line="4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111 W. 19th Street, 8th Floor</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10011</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52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268-7400</w:t>
      </w:r>
    </w:p>
    <w:p>
      <w:pPr>
        <w:spacing w:after="0" w:line="2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0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00" w:type="dxa"/>
            <w:vAlign w:val="bottom"/>
          </w:tcPr>
          <w:p>
            <w:pPr>
              <w:spacing w:after="0"/>
              <w:rPr>
                <w:sz w:val="20"/>
                <w:szCs w:val="20"/>
                <w:color w:val="auto"/>
              </w:rPr>
            </w:pPr>
          </w:p>
        </w:tc>
      </w:tr>
      <w:tr>
        <w:trPr>
          <w:trHeight w:val="466"/>
        </w:trPr>
        <w:tc>
          <w:tcPr>
            <w:tcW w:w="2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 of each class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6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5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14, 2022, New Fortress Energy Inc. (the “Company”) entered into an Underwriting Agreement (the “Underwriting Agreement”) with Energy Transition Holdings LLC, an entity managed by Great Mountain Partners LLC, in its capacity as selling stockholder (the “Selling Stockholder”), and J.P. Morgan Securities LLC, as underwriter (the “Underwriter”), in connection with the offer and sale by the Selling Stockholder of 6,900,000 shares (the “Shares”) of Class A Common Stock, par value $0.01 per share (the “Common Stock”), of the Company. The Company will not receive any proceeds from the sale of the shares by the Selling Stockholder. The offering is expected to close on December 19, 2022, subject to customary closing conditions.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and closing conditions. It also contains customary indemnification provisions whereby each of the Company and the Selling Stockholder have agreed to indemnify the Underwriter against certain liabilities and customary contribution provisions in respect of those liabilities. The Underwriting Agreement is attached hereto as Exhibit 1.1 and is incorporated herein by reference. The foregoing description of the terms of the Underwriting Agreement is qualified in its entirety by reference to such exhibit.</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offering and sale of the Shares were made pursuant to the Company’s effective automatic shelf registration statement (File No. 333-254469) and related prospectus supplement filed with the Securities and Exchange Commission.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437"/>
        </w:trPr>
        <w:tc>
          <w:tcPr>
            <w:tcW w:w="240" w:type="dxa"/>
            <w:vAlign w:val="bottom"/>
          </w:tcPr>
          <w:p>
            <w:pPr>
              <w:spacing w:after="0"/>
              <w:rPr>
                <w:sz w:val="24"/>
                <w:szCs w:val="24"/>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1"/>
                <w:szCs w:val="21"/>
                <w:color w:val="auto"/>
              </w:rPr>
            </w:pPr>
          </w:p>
        </w:tc>
        <w:tc>
          <w:tcPr>
            <w:tcW w:w="988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Underwriting Agreement, dated December 14, 2022, by and among New Fortress Energy Inc., Energy Transition Holdings LLC and J.P.</w:t>
            </w:r>
          </w:p>
        </w:tc>
      </w:tr>
      <w:tr>
        <w:trPr>
          <w:trHeight w:val="218"/>
        </w:trPr>
        <w:tc>
          <w:tcPr>
            <w:tcW w:w="240" w:type="dxa"/>
            <w:vAlign w:val="bottom"/>
            <w:tcBorders>
              <w:top w:val="single" w:sz="8" w:color="0000EE"/>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Morgan Securities LLC.</w:t>
            </w:r>
          </w:p>
        </w:tc>
      </w:t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68"/>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2022</w:t>
            </w:r>
          </w:p>
        </w:tc>
        <w:tc>
          <w:tcPr>
            <w:tcW w:w="24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198"/>
        </w:trPr>
        <w:tc>
          <w:tcPr>
            <w:tcW w:w="3740" w:type="dxa"/>
            <w:vAlign w:val="bottom"/>
          </w:tcPr>
          <w:p>
            <w:pPr>
              <w:spacing w:after="0"/>
              <w:rPr>
                <w:sz w:val="17"/>
                <w:szCs w:val="17"/>
                <w:color w:val="auto"/>
              </w:rPr>
            </w:pPr>
          </w:p>
        </w:tc>
        <w:tc>
          <w:tcPr>
            <w:tcW w:w="2400" w:type="dxa"/>
            <w:vAlign w:val="bottom"/>
          </w:tcPr>
          <w:p>
            <w:pPr>
              <w:ind w:left="18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506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Christopher S. Guinta</w:t>
            </w:r>
          </w:p>
        </w:tc>
      </w:tr>
      <w:tr>
        <w:trPr>
          <w:trHeight w:val="234"/>
        </w:trPr>
        <w:tc>
          <w:tcPr>
            <w:tcW w:w="3740" w:type="dxa"/>
            <w:vAlign w:val="bottom"/>
          </w:tcPr>
          <w:p>
            <w:pPr>
              <w:spacing w:after="0"/>
              <w:rPr>
                <w:sz w:val="20"/>
                <w:szCs w:val="20"/>
                <w:color w:val="auto"/>
              </w:rPr>
            </w:pPr>
          </w:p>
        </w:tc>
        <w:tc>
          <w:tcPr>
            <w:tcW w:w="24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1"/>
        </w:trPr>
        <w:tc>
          <w:tcPr>
            <w:tcW w:w="3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6,900,000 Shares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2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Energy Transition Holdings LLC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a stockholder of New Fortress Energy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sell to J.P. Morgan Securities LLC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 aggregate of 6,900,000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Class A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Company and the Selling Stockholder hereby confirm their agreement with the Underwriter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concerning the purchase and sale of the Shares, as follows:</w:t>
      </w:r>
    </w:p>
    <w:p>
      <w:pPr>
        <w:spacing w:after="0" w:line="15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S-3ASR (No. 333-254469), including a prospectus, relating to various securities of the Company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offered from time to time by the Company or the Selling Stockholder and other stockholders of the Company, which automatic shelf registration statement became effective under Rule 462(e)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registration statement as amended to the date of this Agreement, including the information (if any) deemed to be part of the registration statement at the time of effectiveness (the “</w:t>
      </w:r>
      <w:r>
        <w:rPr>
          <w:rFonts w:ascii="Times New Roman" w:cs="Times New Roman" w:eastAsia="Times New Roman" w:hAnsi="Times New Roman"/>
          <w:sz w:val="18"/>
          <w:szCs w:val="18"/>
          <w:b w:val="1"/>
          <w:bCs w:val="1"/>
          <w:color w:val="auto"/>
        </w:rPr>
        <w:t>Rule 430B Information</w:t>
      </w:r>
      <w:r>
        <w:rPr>
          <w:rFonts w:ascii="Times New Roman" w:cs="Times New Roman" w:eastAsia="Times New Roman" w:hAnsi="Times New Roman"/>
          <w:sz w:val="18"/>
          <w:szCs w:val="18"/>
          <w:color w:val="auto"/>
        </w:rPr>
        <w:t>”) pursuant to Rule 430B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of the rules and regulations of the Commission under the Securities Act (the Securities Act, together with such rules and regulations of the Commission thereunder, the “</w:t>
      </w:r>
      <w:r>
        <w:rPr>
          <w:rFonts w:ascii="Times New Roman" w:cs="Times New Roman" w:eastAsia="Times New Roman" w:hAnsi="Times New Roman"/>
          <w:sz w:val="18"/>
          <w:szCs w:val="18"/>
          <w:b w:val="1"/>
          <w:bCs w:val="1"/>
          <w:color w:val="auto"/>
        </w:rPr>
        <w:t>Securities Act Regulations</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dated March 18, 2021 in the form first used to confirm sales of the Shares (or in the form first made available to the Underwriter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 supplement specifically relating to the Shares in the form first used to confirm sales of the Shares (or in the form first made available to the Underwriter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For purposes of this Agreement, an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Securities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including without limitation any “free writing prospectus” (as defined in Rule 405 of the Securities Act Regulations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relating to the Shares that is (i) required to be filed with the Commission by the Company, or (ii) a “road show that is a written communication” within the meaning of Rule 433(d)(8)(i), whether or not required to be filed with the Commission, or (iii) exempt from filing with the Commission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6:30 pm, New York City time, on December 14, 2022, or such other time as agreed by the Company, the Selling Stockholder and the Underwriter.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any Issuer Free Writing Prospectuses that is intended for general distribution to prospective investors (other than a broadly available roadshow), as evidenced by its being specified in Schedule B-2 and that is issued at or prior to the Applicable Time, the most recent preliminary prospectus that is distributed to investors prior to the Applicable Time and the information included on Schedule B-1 hereto, all considered together,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b w:val="1"/>
          <w:bCs w:val="1"/>
          <w:color w:val="auto"/>
        </w:rPr>
        <w:t>bona fide electronic road show</w:t>
      </w:r>
      <w:r>
        <w:rPr>
          <w:rFonts w:ascii="Times New Roman" w:cs="Times New Roman" w:eastAsia="Times New Roman" w:hAnsi="Times New Roman"/>
          <w:sz w:val="18"/>
          <w:szCs w:val="18"/>
          <w:color w:val="auto"/>
        </w:rPr>
        <w:t>”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such rules and regulations of the Commission thereunder, the “</w:t>
      </w:r>
      <w:r>
        <w:rPr>
          <w:rFonts w:ascii="Times New Roman" w:cs="Times New Roman" w:eastAsia="Times New Roman" w:hAnsi="Times New Roman"/>
          <w:sz w:val="18"/>
          <w:szCs w:val="18"/>
          <w:b w:val="1"/>
          <w:bCs w:val="1"/>
          <w:color w:val="auto"/>
        </w:rPr>
        <w:t>Exchange Act Regulations</w:t>
      </w:r>
      <w:r>
        <w:rPr>
          <w:rFonts w:ascii="Times New Roman" w:cs="Times New Roman" w:eastAsia="Times New Roman" w:hAnsi="Times New Roman"/>
          <w:sz w:val="18"/>
          <w:szCs w:val="18"/>
          <w:color w:val="auto"/>
        </w:rPr>
        <w:t>”), that are deemed to be incorporated by reference therein.</w:t>
      </w: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 xml:space="preserve">Representations and Warranties </w:t>
      </w:r>
      <w:r>
        <w:rPr>
          <w:rFonts w:ascii="Times New Roman" w:cs="Times New Roman" w:eastAsia="Times New Roman" w:hAnsi="Times New Roman"/>
          <w:sz w:val="17"/>
          <w:szCs w:val="17"/>
          <w:color w:val="auto"/>
        </w:rPr>
        <w:t>of the Company.</w:t>
      </w:r>
    </w:p>
    <w:p>
      <w:pPr>
        <w:spacing w:after="0" w:line="223" w:lineRule="exact"/>
        <w:rPr>
          <w:sz w:val="20"/>
          <w:szCs w:val="20"/>
          <w:color w:val="auto"/>
        </w:rPr>
      </w:pPr>
    </w:p>
    <w:p>
      <w:pPr>
        <w:ind w:firstLine="656"/>
        <w:spacing w:after="0" w:line="284" w:lineRule="auto"/>
        <w:tabs>
          <w:tab w:leader="none" w:pos="1308"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the Underwriter as of the date hereof, the Applicable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Time, and agrees with the Underwriter, as follows:</w:t>
      </w:r>
    </w:p>
    <w:p>
      <w:pPr>
        <w:spacing w:after="0" w:line="160" w:lineRule="exact"/>
        <w:rPr>
          <w:rFonts w:ascii="Times New Roman" w:cs="Times New Roman" w:eastAsia="Times New Roman" w:hAnsi="Times New Roman"/>
          <w:sz w:val="18"/>
          <w:szCs w:val="18"/>
          <w:i w:val="1"/>
          <w:iCs w:val="1"/>
          <w:color w:val="auto"/>
        </w:rPr>
      </w:pPr>
    </w:p>
    <w:p>
      <w:pPr>
        <w:jc w:val="both"/>
        <w:ind w:left="660" w:firstLine="644"/>
        <w:spacing w:after="0" w:line="258" w:lineRule="auto"/>
        <w:tabs>
          <w:tab w:leader="none" w:pos="223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Registration Statement has become effective. No stop order suspending the effectiveness of the Registration Statement has been issued under the Securities Act, and no order preventing or suspending the use of any preliminary prospectus or the Prospectus has been issued and no proceedings for any of those purposes have been instituted or are pending or, to the knowledge of the Company, threatened by the Commission. The Company has complied with each request (if any) from the Commission for additional information.</w:t>
      </w:r>
    </w:p>
    <w:p>
      <w:pPr>
        <w:spacing w:after="0" w:line="183"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complied in all material respects with the requirements of the Securities Act and the Securities Act Regulations. Each preliminary prospectus, the Prospectus and any amendment or supplement thereto, at the time each was filed with the Commission, complied in all material respects with the requirements of the Securities Act and the Securities Act Regulations. Each preliminary prospectus delivered by the Company to the Underwriter for use in connection with this offering and the Prospectus was or will be identical to the electronically transmitted copies thereof filed with the Commission pursuant to EDGAR, except to the extent permitted by Regulation S-T.</w:t>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4"/>
        <w:spacing w:after="0" w:line="252" w:lineRule="auto"/>
        <w:tabs>
          <w:tab w:leader="none" w:pos="13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necessary to make the statements therein not misleading, (iii) the Registration Statement as of the date hereof does not contain any untrue statement of a material fact or omit to state a material fact necessary in order to make the statements therein not misleading, (iv) the Time of Sale Prospectus does not, and at the time of each sale of the Shares in connection with the offering when the Prospectus is not yet available to prospective purchasers and at the Closing Time (as defined in Section 3), the Time of Sale Prospectus, as then amended or supplemented by the Company, if applicable, will not, contain any untrue statement of a material fact or omit to state a material fact necessary in order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in order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in order to make the statements therein, in the light of the circumstances under which they were made, not misleading.</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Time of Sale Prospectus, any Issuer Free Writing Prospectus or the Prospectus (or any amendment or supplement thereto) made in reliance upon and in conformity with (i) written information furnished to the Company by the Underwriter expressly for use therein (for purposes of this Agreement, the only information so furnished shall be the information describing underwriting compensation contained in the third paragraph and the information describing stabilization activities contained in the seventh and eighth paragraphs under the heading “Underwriting” in each case contained in the Prospectus (collectively,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 or (ii) written information furnished to the Company by the Selling Stockholder expressly for use therein (for purposes of this Agreement, the only information so furnished shall be the name, address and the number of shares of Common Stock owned by such Selling Stockholder before and after the offering contemplated hereby and the other information with respect to such Selling Stockholder (other than percentages) that appears in the table and corresponding footnotes under the caption “Selling Stockholders” in the Time of Sale Prospectus (collectively,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4"/>
        <w:spacing w:after="0" w:line="266" w:lineRule="auto"/>
        <w:tabs>
          <w:tab w:leader="none" w:pos="13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3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 w:name="page8"/>
    <w:bookmarkEnd w:id="7"/>
    <w:p>
      <w:pPr>
        <w:jc w:val="both"/>
        <w:ind w:left="-460" w:firstLine="644"/>
        <w:spacing w:after="0" w:line="258" w:lineRule="auto"/>
        <w:tabs>
          <w:tab w:leader="none" w:pos="9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Securities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 of the Company</w:t>
      </w:r>
      <w:r>
        <w:rPr>
          <w:rFonts w:ascii="Times New Roman" w:cs="Times New Roman" w:eastAsia="Times New Roman" w:hAnsi="Times New Roman"/>
          <w:sz w:val="18"/>
          <w:szCs w:val="18"/>
          <w:color w:val="auto"/>
        </w:rPr>
        <w:t>. The Company and each of its subsidiaries has been duly organized, is validly existing and in good standing as a corporation, limited liability company, limited partnership or other business entity under the laws of its jurisdiction of organization and is duly qualified to do business and in good standing as a foreign corporation, limited liability company, limited partnership or other business entity in each jurisdiction in which its ownership or lease of property or the conduct of its businesses requires such qualification, except where the failure to be so qualified or in good standing would not, in the aggregate, reasonably be expected to have a material adverse effect on the condition (financial or otherwise), results of operations, members’ or stockholders’ equity, properties or business of the Company and its subsidiaries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or, material adverse effect on the performance by the Company of its obligations under this Agreement. The Company and its subsidiaries have all power and authority necessary to own or hold its properties and to conduct the businesses in which it is engaged.</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Company has all requisite limited liability company, limited partnership, corporate or other power, as applicable, and authority to perform its obligations under this Agreement. All action required to be taken for the due and proper authorization, execution and delivery of this Agreement by the Company has, as of the Closing Time, been duly and validly taken.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in each of the Registration Statement, the Time of Sale Prospectus and the Prospectus and all of the authorized, issued and outstanding shares of capital stock (including the Shares) have been duly authorized and validly issued and are fully paid and non-assessable and conform to the description thereof in the Registration Statement, the Time of Sale Prospectus and the Prospectus. The Shares are not subject to any preemptive or other similar rights of any securityholder of the Company. All of the issued and outstanding shares of capital stock or other equity interests of each subsidiary of the Company have been duly authorized and validly issued, are fully paid and non-assessable and, except as described in each of the Registration Statement, Time of Sale Prospectus and Prospectus, are owned directly or indirectly by the Company, free and clear of all liens, encumbrances, equities or claims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except for Liens as would not, in the aggregate, reasonably be expected to have a Material Adverse Effect.</w:t>
      </w:r>
    </w:p>
    <w:p>
      <w:pPr>
        <w:spacing w:after="0" w:line="3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8" w:name="page9"/>
    <w:bookmarkEnd w:id="8"/>
    <w:p>
      <w:pPr>
        <w:jc w:val="both"/>
        <w:ind w:left="4" w:firstLine="644"/>
        <w:spacing w:after="0" w:line="253" w:lineRule="auto"/>
        <w:tabs>
          <w:tab w:leader="none" w:pos="16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of this Agreement and the consummation of the transactions contemplated herein and in each of the Registration Statement, Time of Sale Prospectus and the Prospectus will not (i) conflict with or result in a breach or violation of any of the terms or provisions of, impose any Lien upon any property or assets of the Company or any of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or violations that would not reasonably be expected to have a Material Adverse Effect.</w:t>
      </w:r>
    </w:p>
    <w:p>
      <w:pPr>
        <w:spacing w:after="0" w:line="194" w:lineRule="exact"/>
        <w:rPr>
          <w:sz w:val="20"/>
          <w:szCs w:val="20"/>
          <w:color w:val="auto"/>
        </w:rPr>
      </w:pPr>
    </w:p>
    <w:p>
      <w:pPr>
        <w:jc w:val="both"/>
        <w:ind w:left="4" w:firstLine="644"/>
        <w:spacing w:after="0" w:line="254" w:lineRule="auto"/>
        <w:tabs>
          <w:tab w:leader="none" w:pos="13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by the Company of this Agreement and the consummation by the Company of the transactions contemplated hereby, except (A) such as have been already obtained or as may be required under the Securities Act, the Securities Act Regulations, the rules of the Nasdaq Global Select Market, state securities or Blue Sky laws or the rules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consents, approvals, authorizations or orders that would not, in the aggregate, reasonably be expected to have a Material Adverse Effect.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Time of Sale Prospectus or the Prospectus or to be filed as exhibits to the Registration Statement which have not been so described and/ or filed as required.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related person as defined under Item 404 of Regulation S-K required to be described in the Registration Statement, the Time of Sale Prospectus or the Prospectus that have not been described as required.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5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historical financial statements (including the related notes and supporting schedules) included or incorporated by reference in the Registration Statement, Time of Sale Prospectus and Prospectus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for any annual year-end adjustment, the adoption of new accounting principles, and except as otherwise noted therein. The supporting schedules, if any, present fairly in accordance with GAAP the information required to be stated therein. The selected financial data and the summary financial information included in each of the Registration Statement, the Time of Sale Prospectus and the Prospectus present fairly the information shown therein and have been compiled on a basis consistent with that of the audited financial statements included therein. Any disclosures contained in the Registration Statement, the Time of Sale Prospectus or the Prospectus, regarding “non-GAAP financial measures” (as such term is defined by the rules and regulations of the Commission) comply with Regulation G of the Exchange Act and Item 10 of Regulation S-K of the Securities Act, to the extent applicable.</w:t>
      </w:r>
    </w:p>
    <w:p>
      <w:pPr>
        <w:spacing w:after="0" w:line="394"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9" w:name="page10"/>
    <w:bookmarkEnd w:id="9"/>
    <w:p>
      <w:pPr>
        <w:jc w:val="both"/>
        <w:ind w:left="-460" w:firstLine="644"/>
        <w:spacing w:after="0" w:line="254"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No subsidiary of the Company is prohibited or restricted, directly or indirectly, from paying distributions or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 of the Company, except (i) as described in or contemplated in each of the Registration Statement, Time of Sale Prospectus and Prospectus (including any amendment or supplement thereto), (ii) such prohibitions mandated by the laws of each such subsidiary’s jurisdiction of formation and the organizational documents of such subsidiaries, as applicable, (iii) for such prohibitions arising under the debt agreements of such subsidiaries and (iv) where such prohibition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Auditors</w:t>
      </w:r>
      <w:r>
        <w:rPr>
          <w:rFonts w:ascii="Times New Roman" w:cs="Times New Roman" w:eastAsia="Times New Roman" w:hAnsi="Times New Roman"/>
          <w:sz w:val="18"/>
          <w:szCs w:val="18"/>
          <w:color w:val="auto"/>
        </w:rPr>
        <w:t>. Ernst &amp; Young LLP, which have audited certain financial statements of the Company and its subsidiaries (including certain separate financial statements of Golar LNG Partners LP and Hygo Energy Transition Ltd.), the reports of which are incorporated by reference into the Registration Statement, Time of Sale Prospectus and Prospectus, and which have delivered the initial letter referred to in Section 7(g) hereof, are independent auditors with respect to the Company and its subsidiaries within the applicable rules and regulations adopted by the Commission and the Public Company Accounting Oversight Board (United States) as required by the Securities Act.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and its subsidiaries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interactive data in eXtensible Business Reporting Language included or incorporated by reference in each of the Registration Statement, Time of Sale Prospectus and Prospectus is prepared in accordance with the Commission’s rules and guidelines applicable thereto. Except as described in the Registration Statement, Time of Sale Prospectus and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spacing w:after="0" w:line="3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jc w:val="both"/>
        <w:ind w:firstLine="644"/>
        <w:spacing w:after="0" w:line="253" w:lineRule="auto"/>
        <w:tabs>
          <w:tab w:leader="none" w:pos="15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Changes</w:t>
      </w:r>
      <w:r>
        <w:rPr>
          <w:rFonts w:ascii="Times New Roman" w:cs="Times New Roman" w:eastAsia="Times New Roman" w:hAnsi="Times New Roman"/>
          <w:sz w:val="18"/>
          <w:szCs w:val="18"/>
          <w:color w:val="auto"/>
        </w:rPr>
        <w:t>. Except as described in each of the Registration Statement, Time of Sale Prospectus and Prospectus, since the date of the latest audited financial statements included or incorporated by reference in each of the Registration Statement, the Time of Sale Prospectus and the Prospectus, neither the Company nor any of its subsidiaries has (A) sustained any material loss or interference with its business from fire, explosion, flood or other calamity, whether or not covered by insurance, or from any labor disturbance or dispute or court or governmental action, order or decree, (B) issued or granted any equity securities, (C) incurred any material liability or obligation, direct or contingent, other than liabilities and obligations that were incurred in the ordinary course of business, (D) entered into any material transaction not in the ordinary course of business, (E) declared or paid any dividend on its limited liability company interests, capital stock or other equity interests, and (F) since such date, there has not been any change in the capital stock, limited partnership or membership interests, as applicable, or short- or long-term debt of the Company or its subsidiaries or any adverse change in or affecting the condition (financial or otherwise), results of operations, members’ or stockholders’ equity, properties, management or business of the Company or its subsidiaries, taken as a whole, in each case except as would not,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644"/>
        <w:spacing w:after="0" w:line="254" w:lineRule="auto"/>
        <w:tabs>
          <w:tab w:leader="none" w:pos="14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and Personal Property</w:t>
      </w:r>
      <w:r>
        <w:rPr>
          <w:rFonts w:ascii="Times New Roman" w:cs="Times New Roman" w:eastAsia="Times New Roman" w:hAnsi="Times New Roman"/>
          <w:sz w:val="18"/>
          <w:szCs w:val="18"/>
          <w:color w:val="auto"/>
        </w:rPr>
        <w:t>. The Company and its subsidiaries have (i) good and marketable title in fee simple to all real property and (ii) good and marketable title to all personal property owned by them, in each case free and clear of all Liens, except such Liens as are described in each of the Registration Statement, the Time of Sale Prospectus and the Prospectus or which would not reasonably be expected to have a Material Adverse Effect, and do not interfere with the use made and proposed to be made of any property by the Company or its subsidiaries; and any real property and buildings held under lease by the Company or any of its subsidiaries are held by them under valid, subsisting and enforceable leases with such exceptions as are not material and do not interfere with the use made and proposed to be made of such property and buildings by the Company or such subsidiary, in each case except as described in each of the Registration Statement, the Time of Sale Prospectus and the Prospectus.</w:t>
      </w:r>
    </w:p>
    <w:p>
      <w:pPr>
        <w:spacing w:after="0" w:line="191" w:lineRule="exact"/>
        <w:rPr>
          <w:rFonts w:ascii="Times New Roman" w:cs="Times New Roman" w:eastAsia="Times New Roman" w:hAnsi="Times New Roman"/>
          <w:sz w:val="18"/>
          <w:szCs w:val="18"/>
          <w:color w:val="auto"/>
        </w:rPr>
      </w:pPr>
    </w:p>
    <w:p>
      <w:pPr>
        <w:jc w:val="both"/>
        <w:ind w:firstLine="644"/>
        <w:spacing w:after="0" w:line="253" w:lineRule="auto"/>
        <w:tabs>
          <w:tab w:leader="none" w:pos="14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Rights-of-way</w:t>
      </w:r>
      <w:r>
        <w:rPr>
          <w:rFonts w:ascii="Times New Roman" w:cs="Times New Roman" w:eastAsia="Times New Roman" w:hAnsi="Times New Roman"/>
          <w:sz w:val="18"/>
          <w:szCs w:val="18"/>
          <w:color w:val="auto"/>
        </w:rPr>
        <w:t>. The Company and its subsidiaries have such consents, easements, rights-of-way or licenses from any person (“</w:t>
      </w:r>
      <w:r>
        <w:rPr>
          <w:rFonts w:ascii="Times New Roman" w:cs="Times New Roman" w:eastAsia="Times New Roman" w:hAnsi="Times New Roman"/>
          <w:sz w:val="18"/>
          <w:szCs w:val="18"/>
          <w:b w:val="1"/>
          <w:bCs w:val="1"/>
          <w:color w:val="auto"/>
        </w:rPr>
        <w:t>rights-of-way</w:t>
      </w:r>
      <w:r>
        <w:rPr>
          <w:rFonts w:ascii="Times New Roman" w:cs="Times New Roman" w:eastAsia="Times New Roman" w:hAnsi="Times New Roman"/>
          <w:sz w:val="18"/>
          <w:szCs w:val="18"/>
          <w:color w:val="auto"/>
        </w:rPr>
        <w:t>”) as are necessary to conduct their businesses in the manner described in each of the Registration Statement, the Time of Sale Prospectus and the Prospectus, subject to such qualifications as may be set forth in the Registration Statement, Time of Sale Prospectus and Prospectus and except for such rights-of-way the failure of which to have obtained would not have, individually or in the aggregate, a Material Adverse Effect; the Company and its subsidiaries have fulfilled and performed all their material obligations with respect to such rights-of-way and no event has occurred which allows, or after notice or lapse of time would allow, revocation or termination thereof or would result in any impairment of the rights of the holder of any such rights-of-way, except for such revocations, termination and impairments that will not have a Material Adverse Effect, subject in each case to such qualification as may be set forth in each of the Registration Statement, the Time of Sale Prospectus and the Prospectus; and, except as described in each of the Registration Statement, the Time of Sale Prospectus and the Prospectus, none of such rights-of-way contains any restriction that is materially burdensome to the Company and its subsidiaries, taken as a whole.</w:t>
      </w:r>
    </w:p>
    <w:p>
      <w:pPr>
        <w:spacing w:after="0" w:line="39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 w:name="page12"/>
    <w:bookmarkEnd w:id="11"/>
    <w:p>
      <w:pPr>
        <w:jc w:val="both"/>
        <w:ind w:left="-460" w:firstLine="644"/>
        <w:spacing w:after="0" w:line="253" w:lineRule="auto"/>
        <w:tabs>
          <w:tab w:leader="none" w:pos="9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and each of its subsidiaries have such permits, licenses, patents, franchises, certificates of need and other approvals or authorizations of governmental or regulatory authorities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as are necessary under applicable law to own their properties and conduct their businesses in the manner described in each of the Registration Statement, the Time of Sale Prospectus and the Prospectus, except for any of the foregoing that would not, singly or in the aggregate, reasonably be expected to have a Material Adverse Effect. The Company and each of its subsidiaries have fulfilled and performed all of their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or except as described in each of the Registration Statement, the Time of Sale Prospectus and the Prospectus. Neither the Company nor any of its subsidiaries has received notice of any revocation or modification of any such Permits or has reason to believe that any such Permits will not be renewed in the ordinary course, except for any of the foregoing that would not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9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possess, or can acquire on reasonable terms, all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described in each of the Registration Statement, Time of Sale Prospectus and Prospectus, there are no legal or governmental proceedings pending to which the Company or any of its subsidiaries is a party or of which any property or assets of the Company or any of its subsidiaries is the subject that would, singly or in the aggregate, reasonably be expected to have a Material Adverse Effect or would, singly or in the aggregate, reasonably be expected to have a material adverse effect on the performance by the Company of its obligations under this Agreement or the consummation of any of the transactions contemplated hereby. To the knowledge of the Company, no such proceedings are threatened by governmental authorities or others.</w:t>
      </w:r>
    </w:p>
    <w:p>
      <w:pPr>
        <w:spacing w:after="0" w:line="3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 w:name="page13"/>
    <w:bookmarkEnd w:id="12"/>
    <w:p>
      <w:pPr>
        <w:jc w:val="both"/>
        <w:ind w:left="-460" w:firstLine="644"/>
        <w:spacing w:after="0" w:line="256" w:lineRule="auto"/>
        <w:tabs>
          <w:tab w:leader="none" w:pos="9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are insured by insurers of recognized financial responsibility against such losses and risks and in such amounts as are prudent and customary in the businesses in which they are engaged; none of the Company or any of its subsidiaries have been refused any insurance coverage sought or applied for; and none of the Company or any of its subsidiaries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described in each of the Registration Statement, the Time of Sale Prospectus and the Prospectus.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0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is imminent that could have a Material Adverse Effect; and the Company is not aware of any existing, threatened or imminent labor disturbance by the employees of any of their principal suppliers, manufacturers or contractors that would have a Material Adverse Effect.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xml:space="preserve"> None of Company or any of its subsidiaries (A) is in violation of its charter, certificate of formation, bylaws, limited partnership agreement or limited liability company agreement (or similar organizational documents), (B) is in default, and no event has occurred that, with notice or lapse of time or both, would constitute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(C)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(B) and (C), to the extent any such conflict, breach, violation or default would not, singly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Except as described in the Registration Statement, the Time of Sale Prospectus and the Prospectus:</w:t>
      </w:r>
    </w:p>
    <w:p>
      <w:pPr>
        <w:spacing w:after="0" w:line="225" w:lineRule="exact"/>
        <w:rPr>
          <w:sz w:val="20"/>
          <w:szCs w:val="20"/>
          <w:color w:val="auto"/>
        </w:rPr>
      </w:pPr>
    </w:p>
    <w:p>
      <w:pPr>
        <w:jc w:val="both"/>
        <w:ind w:left="-460" w:firstLine="644"/>
        <w:spacing w:after="0" w:line="252" w:lineRule="auto"/>
        <w:tabs>
          <w:tab w:leader="none" w:pos="4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legally binding foreign, federal, state and local laws, rules, regulations, requirements, decisions, judgments, decrees, orders and the common law relating to the protection of the environment, natural resources, wildlife or human health or safety, including, without limitation, those relating to the Release (as defined below) or threat of Release of Hazardous Materials (as defined below)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applied for or received and are in compliance with all permits, licenses, certificates or other authorizations or approvals required of them under applicable Environmental Laws to conduct their respective businesses, (iii) have not received written notice of any actual or potential liability of the Company and its subsidiaries under or relating to, or actual or potential violation by the Company and its subsidiaries of, any Environmental Laws, including for the investigation or remediation of any Release or threat of Release of Hazardous Materials, and, to the knowledge of the Company, there is no environmental incident or condition that would reasonably be expected to result in any such notice, (iv) are not subject to any written or, to the knowledge of the Company, threatened adverse claim by any governmental agency or government body or other person relating to Environmental Laws or Hazardous Materials and (v) to the knowledge of the Company, does not have any liability in connection with the Release into the environment of any Hazardous Material, except where such failure to comply with Environmental Laws in clause (i) above, such failure to receive required permits or such failure to comply with the terms and conditions of such permits in clause (ii) above, such notices in clause (iii) above, such claims in clause (iv) above, or such liability in clause (v) above would not have a Material Adverse Effect on the Company and its subsidiaries, taken as a whole.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39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 w:name="page14"/>
    <w:bookmarkEnd w:id="13"/>
    <w:p>
      <w:pPr>
        <w:jc w:val="both"/>
        <w:ind w:left="-460" w:firstLine="644"/>
        <w:spacing w:after="0" w:line="261"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proceedings that are pending, or that are known by the Company to be contemplated, against the Company or any of its subsidiaries under any Environmental Laws and the Company is not aware of any facts or issues which form the basis of any violation of Environmental Laws, or liabilities or other obligations under Environmental Laws, including the Release or threat of Release of Hazardous Materials, that would, singly or in the aggregate, have a Material Adverse Effect on the Company and its subsidiaries, taken as a whole.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costs or liabilities of the Company and its subsidiaries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under Environmental Laws) which would, singly or in the aggregate, have a Material Adverse Effect on the Company and its subsidiaries, taken as a whole.</w:t>
      </w:r>
    </w:p>
    <w:p>
      <w:pPr>
        <w:spacing w:after="0" w:line="183" w:lineRule="exact"/>
        <w:rPr>
          <w:sz w:val="20"/>
          <w:szCs w:val="20"/>
          <w:color w:val="auto"/>
        </w:rPr>
      </w:pPr>
    </w:p>
    <w:p>
      <w:pPr>
        <w:jc w:val="both"/>
        <w:ind w:left="-460" w:firstLine="644"/>
        <w:spacing w:after="0" w:line="254" w:lineRule="auto"/>
        <w:tabs>
          <w:tab w:leader="none" w:pos="9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by them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or any of its subsidiaries have any notice or knowledge of any tax deficiency which would reasonably be expected to be determined adversely to the Company or its subsidiaries and which would reasonably be expected to have) a Material Adverse Effect.</w:t>
      </w:r>
    </w:p>
    <w:p>
      <w:pPr>
        <w:spacing w:after="0" w:line="3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4" w:name="page15"/>
    <w:bookmarkEnd w:id="14"/>
    <w:p>
      <w:pPr>
        <w:jc w:val="both"/>
        <w:ind w:left="-460" w:firstLine="644"/>
        <w:spacing w:after="0" w:line="252" w:lineRule="auto"/>
        <w:tabs>
          <w:tab w:leader="none" w:pos="9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Except as would not reasonably be expected to result in a Material Adverse Effect on the Company and its subsidiaries, taken as a whole, (i) each “employee benefit plan” (within the meaning of Section 3(3) of the Employee Retirement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of its Subsidiaries would have, directly or indirectly (including as a result of being in a “controlled group” for purposes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and all required contributions to each Plan have been made, in compliance with its terms and with the requirements of applicable statutes, rules and regulations including ERISA and the Code; (ii) no prohibited transaction, within the meaning of Section 406 of ERISA or Section 4975 of the Code, or violation of fiduciary obligations,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Sections 412 and 430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of its Subsidiaries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that would reasonably be expected to cause the loss of such qualification.</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 Data</w:t>
      </w:r>
      <w:r>
        <w:rPr>
          <w:rFonts w:ascii="Times New Roman" w:cs="Times New Roman" w:eastAsia="Times New Roman" w:hAnsi="Times New Roman"/>
          <w:sz w:val="18"/>
          <w:szCs w:val="18"/>
          <w:color w:val="auto"/>
        </w:rPr>
        <w:t>. The statistical and market-related data included in each of the Registration Statement, the Time of Sale Prospectus and the Prospectus and the consolidated financial statements included in each of the Registration Statement, the Time of Sale Prospectus and the Prospectus are based on or derived from sources that the Company believes to be reliable in all material respects and, to the extent required, the Company has obtained the written consent to the use of such data from such sources.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giving effect to the offering and sale of the Shares, will not be, an “investment company” or a company “controlled” by an “investment company” within the meaning of the Investment Company Act of 1940, as amended, and the rules and regulations of the Commission thereunder.</w:t>
      </w: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5" w:name="page16"/>
    <w:bookmarkEnd w:id="15"/>
    <w:p>
      <w:pPr>
        <w:jc w:val="both"/>
        <w:ind w:left="-460" w:firstLine="644"/>
        <w:spacing w:after="0" w:line="261" w:lineRule="auto"/>
        <w:tabs>
          <w:tab w:leader="none" w:pos="9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Description of Laws and Documents</w:t>
      </w:r>
      <w:r>
        <w:rPr>
          <w:rFonts w:ascii="Times New Roman" w:cs="Times New Roman" w:eastAsia="Times New Roman" w:hAnsi="Times New Roman"/>
          <w:sz w:val="18"/>
          <w:szCs w:val="18"/>
          <w:color w:val="auto"/>
        </w:rPr>
        <w:t>. The statements set forth in each of the Registration Statement, Time of Sale Prospectus and Prospectus under the caption “</w:t>
      </w:r>
      <w:r>
        <w:rPr>
          <w:rFonts w:ascii="Times New Roman" w:cs="Times New Roman" w:eastAsia="Times New Roman" w:hAnsi="Times New Roman"/>
          <w:sz w:val="18"/>
          <w:szCs w:val="18"/>
          <w:b w:val="1"/>
          <w:bCs w:val="1"/>
          <w:color w:val="auto"/>
        </w:rPr>
        <w:t>U.S. Federal Income Tax Considerations for Non-U.S. Holders of 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insofar as they purport to summarize provisions of the laws and documents referred to therein, are accurate summaries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described in each of the Registration Statement,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Stabilization</w:t>
      </w:r>
      <w:r>
        <w:rPr>
          <w:rFonts w:ascii="Times New Roman" w:cs="Times New Roman" w:eastAsia="Times New Roman" w:hAnsi="Times New Roman"/>
          <w:sz w:val="18"/>
          <w:szCs w:val="18"/>
          <w:color w:val="auto"/>
        </w:rPr>
        <w:t>. The Company and its affiliates have not taken, and will not take, directly or indirectly, any action designed to or that has constituted or that would reasonably be expected to cause or result in the stabilization or manipulation of the price of any security of the Company in connection with the offering of the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Safe Harbor</w:t>
      </w:r>
      <w:r>
        <w:rPr>
          <w:rFonts w:ascii="Times New Roman" w:cs="Times New Roman" w:eastAsia="Times New Roman" w:hAnsi="Times New Roman"/>
          <w:sz w:val="18"/>
          <w:szCs w:val="18"/>
          <w:color w:val="auto"/>
        </w:rPr>
        <w:t>. The Company has not taken any action or omitted to take, nor will take or omit to take, any action (such as issuing any press release relating to any Shares without an appropriate legend) which may result in the loss by the Underwriter of the ability to rely on any stabilization safe harbor provided by the Financial Services Authority under the Financial Services Markets Act of 2000.</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0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(A) None of the Company or any of its subsidiaries, nor, to the knowledge of the Company after reasonable inquiry, any director, officer, or employee, agent, or representative of the Company or of any of its subsidiaries,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and (B) the Company and its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w:t>
      </w:r>
    </w:p>
    <w:p>
      <w:pPr>
        <w:spacing w:after="0" w:line="39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6" w:name="page17"/>
    <w:bookmarkEnd w:id="16"/>
    <w:p>
      <w:pPr>
        <w:jc w:val="both"/>
        <w:ind w:left="660" w:firstLine="644"/>
        <w:spacing w:after="0" w:line="254" w:lineRule="auto"/>
        <w:tabs>
          <w:tab w:leader="none" w:pos="20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1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(A) None of the Company or any of its subsidiaries, nor, to the knowledge of the Company after reasonable inquiry, any director, officer, employee or agent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 (1) the subject of any sanctions administered or enforced by the U.S. Department of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His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(2) located, organized or resident in a country or territory that is the subject of Sanctions (including, without limitation, the so-called Donetsk People’s Republic, the so-called Luhansk People’s Republic or any other Covered Region of Ukraine identified pursuant to U.S. Executive Order 14065, the Crimea region, Cuba, Iran, North Korea and Syria); and (B) for the past five years, the Company and its subsidiaries have not knowingly engaged in, and are not now knowingly engaged in, any dealings or transactions with any Person, or in any country or territory, that at the time of the dealing or transaction is or was the subject of Sanctions.</w:t>
      </w:r>
    </w:p>
    <w:p>
      <w:pPr>
        <w:spacing w:after="0" w:line="192" w:lineRule="exact"/>
        <w:rPr>
          <w:sz w:val="20"/>
          <w:szCs w:val="20"/>
          <w:color w:val="auto"/>
        </w:rPr>
      </w:pPr>
    </w:p>
    <w:p>
      <w:pPr>
        <w:ind w:firstLine="656"/>
        <w:spacing w:after="0" w:line="284" w:lineRule="auto"/>
        <w:tabs>
          <w:tab w:leader="none" w:pos="14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Certificates. </w:t>
      </w:r>
      <w:r>
        <w:rPr>
          <w:rFonts w:ascii="Times New Roman" w:cs="Times New Roman" w:eastAsia="Times New Roman" w:hAnsi="Times New Roman"/>
          <w:sz w:val="18"/>
          <w:szCs w:val="18"/>
          <w:color w:val="auto"/>
        </w:rPr>
        <w:t>Any certificate signed by any officer of the Company or any of its subsidiaries delivered to the Underwriter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Underwriter shall be deemed a representation and warranty by the Company to the Underwriter as to the matters covered thereby.</w:t>
      </w:r>
    </w:p>
    <w:p>
      <w:pPr>
        <w:spacing w:after="0" w:line="160"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Selling Stockholder</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0" w:firstLine="656"/>
        <w:spacing w:after="0" w:line="284" w:lineRule="auto"/>
        <w:tabs>
          <w:tab w:leader="none" w:pos="1431"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Selling Stockholder represents and warrants to the Underwriter and the Company as of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the Applicable Time and the Closing Time, and agrees with the Underwriter and the Company, as follows:</w:t>
      </w:r>
    </w:p>
    <w:p>
      <w:pPr>
        <w:spacing w:after="0" w:line="160" w:lineRule="exact"/>
        <w:rPr>
          <w:rFonts w:ascii="Times New Roman" w:cs="Times New Roman" w:eastAsia="Times New Roman" w:hAnsi="Times New Roman"/>
          <w:sz w:val="18"/>
          <w:szCs w:val="18"/>
          <w:i w:val="1"/>
          <w:iCs w:val="1"/>
          <w:color w:val="auto"/>
        </w:rPr>
      </w:pPr>
    </w:p>
    <w:p>
      <w:pPr>
        <w:jc w:val="both"/>
        <w:ind w:left="660" w:firstLine="644"/>
        <w:spacing w:after="0" w:line="266" w:lineRule="auto"/>
        <w:tabs>
          <w:tab w:leader="none" w:pos="208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 Authority.</w:t>
      </w:r>
      <w:r>
        <w:rPr>
          <w:rFonts w:ascii="Times New Roman" w:cs="Times New Roman" w:eastAsia="Times New Roman" w:hAnsi="Times New Roman"/>
          <w:sz w:val="18"/>
          <w:szCs w:val="18"/>
          <w:color w:val="auto"/>
        </w:rPr>
        <w:t xml:space="preserve"> The Selling Stockholder has full right, power and authority to enter into this Agreement and to sell, assign, transfer and deliver the Shares to be sold by the Selling Stockholder hereunder; this Agreement has been duly authorized, executed and delivered by the Selling Stockholder.</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left="-460" w:firstLine="644"/>
        <w:spacing w:after="0" w:line="253" w:lineRule="auto"/>
        <w:tabs>
          <w:tab w:leader="none" w:pos="9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by the Selling Stockholder of this Agreement, the sale of the Shares to be sold by the Selling Stockholder and the consummation by the Selling Stockholder of the transactions contemplated herein will not (i) conflict with or result in a breach or violation of any of the terms or provisions of, or constitute a default under, or result in the creation or imposition of any Lien upon any property or assets of the Selling Stockholder pursuant to, any indenture, mortgage, deed of trust, loan agreement or other agreement or instrument to which the Selling Stockholder is a party or by which the Selling Stockholder is bound or to which any of the property or assets of the Selling Stockholder is subject, (ii) result in any violation of the provisions of the charter or bylaws or similar organizational documents of the Selling Stockholder or (iii) result in the violation of any law or statute or any judgment, order, rule or regulation of any court or arbitrator or governmental or regulatory agency, except, in the case of clauses (i) and (iii) of this Section 2(a)(ii), for such conflicts, breaches or violations that would not reasonably be expected to have a material adverse effect on the ability of the Selling Stockholder to consummate the transactions contemplated by this Agreement (a “Selling Stockholder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Shares.</w:t>
      </w:r>
      <w:r>
        <w:rPr>
          <w:rFonts w:ascii="Times New Roman" w:cs="Times New Roman" w:eastAsia="Times New Roman" w:hAnsi="Times New Roman"/>
          <w:sz w:val="18"/>
          <w:szCs w:val="18"/>
          <w:color w:val="auto"/>
        </w:rPr>
        <w:t xml:space="preserve"> The Selling Stockholder has and will have, immediately prior to the Closing Time, good and valid title to the Shares to be sold at the Closing Time by the Selling Stockholder hereunder, free and clear of all Liens; and, upon delivery of the certificates representing such Shares and payment therefor pursuant hereto, good and valid title to such Shares, free and clear of all Liens, will pass to the Underwriter.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Stabilization.</w:t>
      </w:r>
      <w:r>
        <w:rPr>
          <w:rFonts w:ascii="Times New Roman" w:cs="Times New Roman" w:eastAsia="Times New Roman" w:hAnsi="Times New Roman"/>
          <w:sz w:val="18"/>
          <w:szCs w:val="18"/>
          <w:color w:val="auto"/>
        </w:rPr>
        <w:t xml:space="preserve"> The Selling Stockholder has not taken, and will not take, directly or indirectly, any action designed to or that has constituted or that would reasonably be expected to cause or result in the stabilization or manipulation of the price of any security of the Company in connection with the offering of the Shares.</w:t>
      </w:r>
    </w:p>
    <w:p>
      <w:pPr>
        <w:spacing w:after="0" w:line="175" w:lineRule="exact"/>
        <w:rPr>
          <w:rFonts w:ascii="Times New Roman" w:cs="Times New Roman" w:eastAsia="Times New Roman" w:hAnsi="Times New Roman"/>
          <w:sz w:val="18"/>
          <w:szCs w:val="18"/>
          <w:color w:val="auto"/>
        </w:rPr>
      </w:pPr>
    </w:p>
    <w:p>
      <w:pPr>
        <w:jc w:val="both"/>
        <w:ind w:left="-460" w:right="20" w:firstLine="644"/>
        <w:spacing w:after="0" w:line="289" w:lineRule="auto"/>
        <w:tabs>
          <w:tab w:leader="none" w:pos="89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Stabilization Safe Harbor</w:t>
      </w:r>
      <w:r>
        <w:rPr>
          <w:rFonts w:ascii="Times New Roman" w:cs="Times New Roman" w:eastAsia="Times New Roman" w:hAnsi="Times New Roman"/>
          <w:sz w:val="17"/>
          <w:szCs w:val="17"/>
          <w:color w:val="auto"/>
        </w:rPr>
        <w:t>. The Selling Stockholder has not taken any action or omitted to take, nor will take or omit to take, any action (such as issuing any press release relating to any Shares without an appropriate legend) which may result in the loss by the Underwriter of the ability to rely on any stabilization safe harbor provided by the Financial Services Authority under the Financial Services Markets Act of 2000.</w:t>
      </w:r>
    </w:p>
    <w:p>
      <w:pPr>
        <w:spacing w:after="0" w:line="157" w:lineRule="exact"/>
        <w:rPr>
          <w:rFonts w:ascii="Times New Roman" w:cs="Times New Roman" w:eastAsia="Times New Roman" w:hAnsi="Times New Roman"/>
          <w:sz w:val="17"/>
          <w:szCs w:val="17"/>
          <w:color w:val="auto"/>
        </w:rPr>
      </w:pPr>
    </w:p>
    <w:p>
      <w:pPr>
        <w:jc w:val="both"/>
        <w:ind w:left="-460" w:firstLine="644"/>
        <w:spacing w:after="0" w:line="261" w:lineRule="auto"/>
        <w:tabs>
          <w:tab w:leader="none" w:pos="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Sale Prospectus.</w:t>
      </w:r>
      <w:r>
        <w:rPr>
          <w:rFonts w:ascii="Times New Roman" w:cs="Times New Roman" w:eastAsia="Times New Roman" w:hAnsi="Times New Roman"/>
          <w:sz w:val="18"/>
          <w:szCs w:val="18"/>
          <w:color w:val="auto"/>
        </w:rPr>
        <w:t xml:space="preserve"> The Time of Sale Prospectus, as of the Applicable Time did not, and as of the Closing Time will not, contain any untrue statement of a material fact or omit to state a material fact necessary in order to make the statements therein, in the light of the circumstances under which they were made, not misleading; provided that the representations and warranties set forth in this paragraph are limited to statements or omissions made in reliance upon or in conformity with the Selling Stockholder Information.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Other than the Registration Statement, the Preliminary Prospectus and the Prospectus, the Selling Stockholder (including its agents and representatives, other than the Underwriter in its capacity as such) has not prepared, used, authorized, approved or referred to and will not prepare, use, authorize, approve or refer to any Issuer Free Writing Prospectus, other than (i) any document not constituting a prospectus pursuant to Section 2(a)(10)(a) of the Securities Act or Rule 134 under the Securities Act or (ii) the documents listed on Schedule B-2 hereto, each electronic road show and any other written communications approved in writing in advance by the Company and the Underwriter.</w:t>
      </w:r>
    </w:p>
    <w:p>
      <w:pPr>
        <w:spacing w:after="0" w:line="3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8" w:name="page19"/>
    <w:bookmarkEnd w:id="18"/>
    <w:p>
      <w:pPr>
        <w:jc w:val="both"/>
        <w:ind w:left="-460" w:firstLine="644"/>
        <w:spacing w:after="0" w:line="255" w:lineRule="auto"/>
        <w:tabs>
          <w:tab w:leader="none" w:pos="9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xml:space="preserve"> As of the applicable effective date of the Registration Statement and any post-effective amendment 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Time, the Prospectus will not contain any untrue statement of a material fact or omit to state a material fact required to be stated therein or necessary in order to make the statements therein, in the light of the circumstances under which they were made, not misleading; provided that the representations and warranties set forth in this paragraph are limited to the Selling Stockholder Information.</w:t>
      </w:r>
    </w:p>
    <w:p>
      <w:pPr>
        <w:spacing w:after="0" w:line="188" w:lineRule="exact"/>
        <w:rPr>
          <w:rFonts w:ascii="Times New Roman" w:cs="Times New Roman" w:eastAsia="Times New Roman" w:hAnsi="Times New Roman"/>
          <w:sz w:val="18"/>
          <w:szCs w:val="18"/>
          <w:color w:val="auto"/>
        </w:rPr>
      </w:pPr>
    </w:p>
    <w:p>
      <w:pPr>
        <w:ind w:left="-460" w:firstLine="644"/>
        <w:spacing w:after="0" w:line="282" w:lineRule="auto"/>
        <w:tabs>
          <w:tab w:leader="none" w:pos="12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xml:space="preserve"> The sale of Shares by the Selling Stockholder pursuant hereto is not prompted by any material information concerning the Company or its subsidiaries which is not set forth in the Time of Sale Prospectus or the Prospectus.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0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(A) None of the Selling Stockholder or any of its subsidiaries, nor, to the knowledge of the Selling Stockholder after reasonable inquiry, any director, officer or employee of the Selling Stockholder or of any of its subsidiaries,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(B) the Selling Stockholder and its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the Selling Stockholder will not use the proceeds of the offering in furtherance of an offer, payment, promise to pay, or authorization of the payment or giving of money, or anything else of value, to any person in violation of any applicable anti-corruption laws.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0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Money Laundering Laws</w:t>
      </w:r>
      <w:r>
        <w:rPr>
          <w:rFonts w:ascii="Times New Roman" w:cs="Times New Roman" w:eastAsia="Times New Roman" w:hAnsi="Times New Roman"/>
          <w:sz w:val="18"/>
          <w:szCs w:val="18"/>
          <w:color w:val="auto"/>
        </w:rPr>
        <w:t>. The operations of the Selling Stockholder and its subsidiaries are and have been conducted at all times in material compliance with the requirements of applicable anti-money laundering laws, including those of the Bank Secrecy Act, as amended by Title III of the Uniting and Strengthening America by Providing Appropriate Tools Required to Intercept and Obstruct Terrorism Act of 2001 (USA PATRIOT Act), and the applicable Anti-Money Laundering Laws of jurisdictions where the Selling Stockholder and its subsidiaries conduct business, and no action, suit or proceeding by or before any court or governmental agency, authority or body or any arbitrator involving the Selling Stockholder or any of its subsidiaries with respect to the Anti-Money Laundering Laws is pending or, to the knowledge of the Selling Stockholder, threatened.</w:t>
      </w:r>
    </w:p>
    <w:p>
      <w:pPr>
        <w:spacing w:after="0" w:line="39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9" w:name="page20"/>
    <w:bookmarkEnd w:id="19"/>
    <w:p>
      <w:pPr>
        <w:jc w:val="both"/>
        <w:ind w:left="660" w:firstLine="644"/>
        <w:spacing w:after="0" w:line="253" w:lineRule="auto"/>
        <w:tabs>
          <w:tab w:leader="none" w:pos="21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(A) None of the Selling Stockholder or any of its subsidiaries, nor, to the knowledge of the Selling Stockholder after reasonable inquiry, any director, officer or employee of the Selling Stockholder or any of its subsidiaries, is a Person that is, or is owned or controlled by one or more Persons that are: (1) the subject of any Sanctions administered or enforced by OFAC, the UNSC, the EU, HMT, or other relevant sanctions authority, or (2) located, organized or resident in a country or territory that is the subject of Sanctions (including, without limitation, the so-called Donetsk People’s Republic, the so-called Luhansk People’s Republic or any other Covered Region of Ukraine identified pursuant to U.S. Executive Order 14065, the Crimea region, Cuba, Iran, North Korea and Syria); (B) The Selling Stockholder will not use the proceeds of the offering, or lend, contribute or otherwise make available such proceeds to any subsidiary, joint venture partner or other Person: (1) to fund or facilitate any activities or business of or with any Person or in any country or territory that, at the time of such funding or facilitation, is the subject of Sanctions; or (2) in any other manner that will result in a violation of Sanctions by the Underwriter; and (C) For the past five years, the Selling Stockholder and its subsidiaries have not knowingly engaged in, and are not now knowingly engaged in, any dealings or transactions with any Person, or in any country or territory, that at the time of the dealing or transaction is or was the subject of Sanctions.</w:t>
      </w:r>
    </w:p>
    <w:p>
      <w:pPr>
        <w:spacing w:after="0" w:line="192" w:lineRule="exact"/>
        <w:rPr>
          <w:sz w:val="20"/>
          <w:szCs w:val="20"/>
          <w:color w:val="auto"/>
        </w:rPr>
      </w:pPr>
    </w:p>
    <w:p>
      <w:pPr>
        <w:jc w:val="both"/>
        <w:ind w:left="660" w:firstLine="644"/>
        <w:spacing w:after="0" w:line="258" w:lineRule="auto"/>
        <w:tabs>
          <w:tab w:leader="none" w:pos="20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xml:space="preserve"> The Selling Stockholder has been duly organized and is validly existing and in good standing under the laws of its jurisdiction of organization,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Selling Stockholder Material Adverse Effect.</w:t>
      </w:r>
    </w:p>
    <w:p>
      <w:pPr>
        <w:spacing w:after="0" w:line="181" w:lineRule="exact"/>
        <w:rPr>
          <w:rFonts w:ascii="Times New Roman" w:cs="Times New Roman" w:eastAsia="Times New Roman" w:hAnsi="Times New Roman"/>
          <w:sz w:val="18"/>
          <w:szCs w:val="18"/>
          <w:color w:val="auto"/>
        </w:rPr>
      </w:pPr>
    </w:p>
    <w:p>
      <w:pPr>
        <w:ind w:firstLine="656"/>
        <w:spacing w:after="0" w:line="284" w:lineRule="auto"/>
        <w:tabs>
          <w:tab w:leader="none" w:pos="1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Any certificate signed by any officer of the Selling Stockholder delivered to the Underwriter or to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shall be deemed a representation and warranty by the Selling Stockholder to the Underwriter as to the matters covered thereby.</w:t>
      </w:r>
    </w:p>
    <w:p>
      <w:pPr>
        <w:spacing w:after="0" w:line="160"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Sale and Delivery to Underwriter; Closing</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67" w:lineRule="auto"/>
        <w:tabs>
          <w:tab w:leader="none" w:pos="13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agrees to sell to the Underwriter and the Underwriter agrees to purchase from the Selling Stockholder, at $45.56 per Share, the number of Shares set forth in Schedule A opposite the name of the Underwriter.</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for, the Shares shall be made at the offices of Hogan Lovells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or at such other place as shall be agreed upon by the Underwriter, the Company and the Selling Stockholder, at 10:00 A.M. (New York City time) on the second (third, if the pricing occurs after 4:30 P.M. (New York City time) on any given day) business day after the date hereof, or such other time not later than ten business days after such date as shall be agreed upon by the Underwriter, the Company and the Selling Stockholder (such time and date of payment and delivery being herein called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Payment shall be made by wire transfer in immediately available funds to the account specified by the Selling Stockholder to the Underwriter, against delivery to the Underwriter of the Shares to be purchased by the Underwriter.</w:t>
      </w:r>
    </w:p>
    <w:p>
      <w:pPr>
        <w:spacing w:after="0" w:line="16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Underwriter as follows:</w:t>
      </w:r>
    </w:p>
    <w:p>
      <w:pPr>
        <w:spacing w:after="0" w:line="223" w:lineRule="exact"/>
        <w:rPr>
          <w:sz w:val="20"/>
          <w:szCs w:val="20"/>
          <w:color w:val="auto"/>
        </w:rPr>
      </w:pPr>
    </w:p>
    <w:p>
      <w:pPr>
        <w:jc w:val="both"/>
        <w:ind w:firstLine="656"/>
        <w:spacing w:after="0" w:line="258" w:lineRule="auto"/>
        <w:tabs>
          <w:tab w:leader="none" w:pos="15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4(b),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Rule 430B, and will notify the Underwriter as soon as practicable (i) when any post-effective amendment to the Registration Statement shall become effective or any amendment or supplement to the Prospectus shall have been filed, (ii) of the receipt of any comments from the Commission,</w:t>
      </w:r>
    </w:p>
    <w:p>
      <w:pPr>
        <w:jc w:val="both"/>
        <w:ind w:firstLine="8"/>
        <w:spacing w:after="0" w:line="251" w:lineRule="auto"/>
        <w:tabs>
          <w:tab w:leader="none" w:pos="3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any amendment to the Registration Statement or any amendment or supplement to the Time of Sale Prospectus or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Shares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Shares. The Company will effect all filings required under Rule 424(b) in the manner and within the time period required by Rule 424(b) (without reliance on Rule 424(b)(8)). The Company will make every commercially reasonable effort to prevent the issuance of any stop order, prevention or suspension and, if any such order is issued, to obtain the lifting thereof as soon as practicable.</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33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Securities Act and the Securities Act Regulations so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permit the completion of the distribution of the Shares as contemplated in this Agreement and in the Registration Statement, Time of Sale Prospectus and Prospectus. If at any time when a prospectus relating to the Shares is (or, but for the exception afforded by Rule 172 of the Securities Act Regulations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xml:space="preserve">”), would be) required by the Securities Act to be delivered in connection with sales of the Securities, any event shall occur or condition shall exist as a result of which it is necessary, in the opinion of counsel for the Underwriter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Time of Sale Prospectus or the Prospectus in order that the Time of Sale Prospectus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Time of Sale Prospectus or the Prospectus, as the case may be, in order to comply with the requirements of the Securities Act or the Securities Act Regulations, the Company will promptly (A) give the Underwriter notice of such event, (B) prepare any amendment or supplement as may be necessary to correct such statement or omission or to make the Registration Statement, the Time of Sale Prospectus or the Prospectus comply with such requirements and, a reasonable amount of time prior to any proposed filing or use, furnish the Underwriter with copies of any such amendment or supplement and (C) file with the Commission any such amendment or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file or use any such amendment or supplement to which the Underwriter or counsel for the Underwriter shall reasonably object. The Company will furnish to the Underwriter such number of copies of such amendment or supplement as the Underwriter may reasonably request.</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56"/>
        <w:spacing w:after="0" w:line="256" w:lineRule="auto"/>
        <w:tabs>
          <w:tab w:leader="none" w:pos="14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upon request to the Underwriter and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without charge, conformed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Underwriter, without charge, upon request, a conformed copy of the Registration Statement as originally filed and each amendment thereto (without exhibits) for the Underwriter. The copies of the Registration Statement and each amendment thereto furnished to the Underwriter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3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the Underwriter, without charge, as many copies of each preliminary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Underwriter reasonably requested, and the Company hereby consents to the use of such copies for purposes permitted by the Securities Act. The Company will furnish to the Underwriter, without charge, during the period when a prospectus relating to the Securities is (or, but for the exception afforded by Rule 172, would be) required to be delivered under the Securities Act, such number of copies of the Prospectus (as amended or supplemented) as the Underwriter may reasonably request. The Prospectus and any amendments or supplements thereto furnished to the Underwriter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14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cooperate with the Underwriter, to qualify the Securities for offering and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securities laws of such states and other jurisdictions (domestic or foreign) as the Underwriter may designate and to maintain such qualifications in effect so long as required to complete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or otherwise subject itself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Exchange Act as are necessary in order to make generally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securityholders as soon as practicable an earnings statement for the purposes of, and to provide to the Underwriter the benefits contemplated by, the last paragraph of Section 11(a) of the Securities Act.</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 w:name="page23"/>
    <w:bookmarkEnd w:id="22"/>
    <w:p>
      <w:pPr>
        <w:jc w:val="both"/>
        <w:ind w:firstLine="656"/>
        <w:spacing w:after="0" w:line="267" w:lineRule="auto"/>
        <w:tabs>
          <w:tab w:leader="none" w:pos="1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the Prospectus is (or, but for the exception afforded by Rule 172,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required to be delivered under the Securities Act, will file all documents required to be filed with the Commission pursuant to the Exchange Act within the time periods required by the Exchange Act and Exchange Act Regulations.</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Underwriter,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 any offer relating to the Shares that would constitute an Issuer Free Writing Prospectus or that would otherwise constitute a “free writing prospectus,” or a portion thereof, required to be filed by the Company with the Commission or retained by the Company under Rule 433;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Underwriter will be deemed to have consented to the Issuer Free Writing Prospectuses listed on Schedule B-2 hereto and any “road show that is a written communication” within the meaning of Rule 433(d)(8)(i) that has been reviewed by the Underwriter. The Company represents that it has treated or agrees that it will treat each such free writing prospectus consented to, or deemed consented to, by the Underwriter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 and will promptly amend or supplement, at its own expense, such Issuer Free Writing Prospectus to eliminate or correct such conflict, untrue statement or omission. The Underwriter represents that it has not made, and agrees that, without the prior consent of the Company, it will not make any offer relating to the Shares that would constitute a “free writing prospectus” required to be filed by the Company with the Commission or retained by the Company under Rule 433.</w:t>
      </w:r>
    </w:p>
    <w:p>
      <w:pPr>
        <w:spacing w:after="0" w:line="198"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Covenants of the Selling Stockholder</w:t>
      </w:r>
      <w:r>
        <w:rPr>
          <w:rFonts w:ascii="Times New Roman" w:cs="Times New Roman" w:eastAsia="Times New Roman" w:hAnsi="Times New Roman"/>
          <w:sz w:val="18"/>
          <w:szCs w:val="18"/>
          <w:color w:val="auto"/>
        </w:rPr>
        <w:t>. The Selling Stockholder covenants with the Underwriter as follows:</w:t>
      </w:r>
    </w:p>
    <w:p>
      <w:pPr>
        <w:spacing w:after="0" w:line="223" w:lineRule="exact"/>
        <w:rPr>
          <w:sz w:val="20"/>
          <w:szCs w:val="20"/>
          <w:color w:val="auto"/>
        </w:rPr>
      </w:pPr>
    </w:p>
    <w:p>
      <w:pPr>
        <w:jc w:val="both"/>
        <w:ind w:firstLine="656"/>
        <w:spacing w:after="0" w:line="261" w:lineRule="auto"/>
        <w:tabs>
          <w:tab w:leader="none" w:pos="143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Form. </w:t>
      </w:r>
      <w:r>
        <w:rPr>
          <w:rFonts w:ascii="Times New Roman" w:cs="Times New Roman" w:eastAsia="Times New Roman" w:hAnsi="Times New Roman"/>
          <w:sz w:val="18"/>
          <w:szCs w:val="18"/>
          <w:color w:val="auto"/>
        </w:rPr>
        <w:t>The Selling Stockholder will deliver to the Underwriter prior to or at the Closing Time a properly completed and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Treasury Department Form W-9 (or other applicable form or statement specified by the Treasury Department regulations in lieu thereof) in order to facilitate the Underwriter’s documentation of its compliance with the reporting and withholding provisions of the Tax Equity and Fiscal Responsibility Act of 1982 with respect to the transactions herein contemplated.</w:t>
      </w:r>
    </w:p>
    <w:p>
      <w:pPr>
        <w:spacing w:after="0" w:line="18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2" w:lineRule="auto"/>
        <w:tabs>
          <w:tab w:leader="none" w:pos="13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than to the extent described in Section 6(b) below, including without limitation (i) the preparation, printing and filing of the Registration Statement (including financial statements and exhibits) as originally filed and of each amendment thereto, (ii) the preparation, printing and delivery to the Underwriter of copies of each preliminary prospectus, each Issuer Free Writing Prospectus and the Prospectus and any amendments or supplements thereto and any costs associated with electronic delivery of any of the foregoing by the Underwriter to investors, (iii) the preparation, issuance and delivery of the certificates for the Shares to the Underwriter, if any, including any stock or other transfer taxes and any stamp or other duties payable upon the sale or delivery of the Shares to the Underwriter, (iv) the fees and disbursements of the counsel, accountants and other advisors of the Company, (v) the qualification of the Shares under securities laws in accordance with the provisions of Section 4(e) hereof, including filing fees and the reasonable and documented fees and disbursements of counsel for the Underwriter in connection therewith and in connection with the preparation of the Blue Sky Survey and any supplement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such fees and disbursements of counsel shall not exceed $10,000, (vi) the fees and expenses of any transfer agent or registrar for the Shares, (vii) the costs and expenses of the Company relating to investor presentations on any “road show” undertaken in connection with the marketing of the Shares, including without limitation, expenses associated with the production of road show slides and graphics, reasonable and documented fees and expenses of any consultants engaged with the consent of the Company in connection with the road show presentations, travel and lodging expenses of the representatives of the Company (which, for the avoidance of doubt, does not include the Underwriter for purposes of this Section 6(a)(vii)) and officers of the Company and any such consultants, (viii) the filing fees incident to, and the reasonable fees and disbursements of counsel to the Underwriter in connection with, the review by FINRA of the terms of the sale of the Shares (such counsel fees not to exceed $35,000) and (ix) the fees and expenses incurred in connection with the listing of the Shares on the Nasdaq Global Select Market. It is understood that, except as provided in clause (a) of this Section 6, the Underwriter will pay all of its own costs and expenses, including the fees of its counsel, stock transfer taxes on resale of any of the Shares by it, and any advertising expenses connected with any offers it may make. For the avoidance of doubt, the Selling Stockholder shall bear all commissions and discounts, if any, from the sale of the Shares.</w:t>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3" w:name="page24"/>
    <w:bookmarkEnd w:id="23"/>
    <w:p>
      <w:pPr>
        <w:jc w:val="both"/>
        <w:ind w:firstLine="656"/>
        <w:spacing w:after="0" w:line="267" w:lineRule="auto"/>
        <w:tabs>
          <w:tab w:leader="none" w:pos="14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Underwriter in accordance with the provisions of Section 7,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11(a)(i) or (iii), or Section 12 hereof, the Company shall reimburse the Underwriter for all of its reasonable and documented out of pocket expenses that were actually incurred, including the reasonable fees and disbursements of counsel for the Underwriter.</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Underwriter hereunder are subject to the accuracy of the representations and warranties of the Company and of the Selling Stockholder contained herein or in certificates of any officer of the Company and of the Selling Stockholder delivered pursuant to the provisions hereof, to the performance by each of the Company and the Selling Stockholder of its respective covenants and other obligations hereunder, and to the following further conditions:</w:t>
      </w:r>
    </w:p>
    <w:p>
      <w:pPr>
        <w:spacing w:after="0" w:line="178" w:lineRule="exact"/>
        <w:rPr>
          <w:sz w:val="20"/>
          <w:szCs w:val="20"/>
          <w:color w:val="auto"/>
        </w:rPr>
      </w:pPr>
    </w:p>
    <w:p>
      <w:pPr>
        <w:jc w:val="both"/>
        <w:ind w:firstLine="656"/>
        <w:spacing w:after="0" w:line="256" w:lineRule="auto"/>
        <w:tabs>
          <w:tab w:leader="none" w:pos="14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 Rule 430B Information</w:t>
      </w:r>
      <w:r>
        <w:rPr>
          <w:rFonts w:ascii="Times New Roman" w:cs="Times New Roman" w:eastAsia="Times New Roman" w:hAnsi="Times New Roman"/>
          <w:sz w:val="18"/>
          <w:szCs w:val="18"/>
          <w:color w:val="auto"/>
        </w:rPr>
        <w:t>. The Registration Statement has become effective and, at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knowledge of the Company, threatened by the Commission; and the Company has complied with each request (if any) from the Commission for additional information. A prospectus containing the Rule 430B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430B.</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jc w:val="both"/>
        <w:ind w:firstLine="656"/>
        <w:spacing w:after="0" w:line="257" w:lineRule="auto"/>
        <w:tabs>
          <w:tab w:leader="none" w:pos="14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At the Closing Time, the Underwriter shall have received the opinion, dated the Closing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Skadden, Arps, Slate, Meagher &amp; Flom LLP, counsel for the Company, in form and substance satisfactory to counsel for the Underwriter.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Underwriter.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3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w:t>
      </w:r>
      <w:r>
        <w:rPr>
          <w:rFonts w:ascii="Times New Roman" w:cs="Times New Roman" w:eastAsia="Times New Roman" w:hAnsi="Times New Roman"/>
          <w:sz w:val="18"/>
          <w:szCs w:val="18"/>
          <w:color w:val="auto"/>
        </w:rPr>
        <w:t>. At the Closing Time, the Underwriter shall have received the opinion, dated the Closing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Hogan Lovells US LLP, counsel for the Underwriter, in form and substance satisfactory to the Underwriter.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Underwriter.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4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Selling Stockholder. </w:t>
      </w:r>
      <w:r>
        <w:rPr>
          <w:rFonts w:ascii="Times New Roman" w:cs="Times New Roman" w:eastAsia="Times New Roman" w:hAnsi="Times New Roman"/>
          <w:sz w:val="18"/>
          <w:szCs w:val="18"/>
          <w:color w:val="auto"/>
        </w:rPr>
        <w:t>At the Closing Time, the Underwriter shall have received the opinion, dated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Latham &amp; Watkins LLP, counsel for the Selling Stockholder, in form and substance satisfactory to the Underwriter. In giving such opinion such counsel may rely, as to all matters governed by the laws of jurisdictions other than the law of the State of New York, the Limited Liability Company Act of the State of Delaware and the federal securities laws of the United States, upon the opinions of counsel satisfactory to the Underwriter.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3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 of the Company</w:t>
      </w:r>
      <w:r>
        <w:rPr>
          <w:rFonts w:ascii="Times New Roman" w:cs="Times New Roman" w:eastAsia="Times New Roman" w:hAnsi="Times New Roman"/>
          <w:sz w:val="18"/>
          <w:szCs w:val="18"/>
          <w:color w:val="auto"/>
        </w:rPr>
        <w:t>. At the Closing Time, there shall not have been, since the date hereof or since the respective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which information is given in the Registration Statement, the Time of Sale Prospectus or the Prospectus, any material adverse change in the condition, financial or otherwise, or in the earnings or business affairs or business prospects of the Company and its subsidiaries considered as one enterprise, whether or not arising in the ordinary course of business, and the Underwriter shall have received a certificate of the Chief Executive Officer of the Company, in his capacity as such officer only, or of the chief financial or chief accounting officer of the Company, in their respective capacities as such officers only, in form and substance satisfactory to the Underwriter and dated the Closing Time, to the effect that (i) the representations and warranties of the Company in this Agreement are true and correct with the same force and effect as though expressly made at and as of the Closing Time, (ii) the Company has complied with all agreements and satisfied all conditions on their part to be performed or satisfied at or prior to the Closing Time, and (iii) no stop order suspending the effectiveness of the Registration Statement under the Securities Act has been issued, no order preventing or suspending the use of any preliminary prospectus or the Prospectus has been issued and no proceedings for any of those purposes have been instituted or are pending or, to their knowledge, threatened by the Commission.</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5" w:name="page26"/>
    <w:bookmarkEnd w:id="25"/>
    <w:p>
      <w:pPr>
        <w:jc w:val="both"/>
        <w:ind w:firstLine="656"/>
        <w:spacing w:after="0" w:line="258" w:lineRule="auto"/>
        <w:tabs>
          <w:tab w:leader="none" w:pos="13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of the Selling Stockholder </w:t>
      </w:r>
      <w:r>
        <w:rPr>
          <w:rFonts w:ascii="Times New Roman" w:cs="Times New Roman" w:eastAsia="Times New Roman" w:hAnsi="Times New Roman"/>
          <w:sz w:val="18"/>
          <w:szCs w:val="18"/>
          <w:color w:val="auto"/>
        </w:rPr>
        <w:t>At the Closing Time, the Underwriter shall have received a certificate of an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in form and substance satisfactory to the Underwriter and dated the Closing Time, to the effect that (i) the representations and warranties of the Selling Stockholder in this Agreement are true and correct with the same force and effect as though expressly made at and as of the Closing Time, and (ii) the Selling Stockholder has complied with all agreements and satisfied all conditions on its part to be performed or satisfied at or prior to the Closing Time.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Underwriter shall have received from Ernst &amp;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a letter, dated such date, in form and substance satisfactory to the Underwriter, containing statements and information of the type ordinarily included in accountants’ “comfort letters” to underwriters with respect to the financial statements and certain financial information contained in and incorporated by reference into the Registration Statement, Time of Sale Prospectus and Prospectus.</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3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Underwriter shall have received from Ernst &amp; Young LLP a letter,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17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Shares are listed on the Nasdaq Global Select Market.</w:t>
      </w:r>
    </w:p>
    <w:p>
      <w:pPr>
        <w:spacing w:after="0" w:line="223" w:lineRule="exact"/>
        <w:rPr>
          <w:rFonts w:ascii="Times New Roman" w:cs="Times New Roman" w:eastAsia="Times New Roman" w:hAnsi="Times New Roman"/>
          <w:sz w:val="18"/>
          <w:szCs w:val="18"/>
          <w:color w:val="auto"/>
        </w:rPr>
      </w:pPr>
    </w:p>
    <w:p>
      <w:pPr>
        <w:ind w:firstLine="656"/>
        <w:spacing w:after="0" w:line="286" w:lineRule="auto"/>
        <w:tabs>
          <w:tab w:leader="none" w:pos="16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Underwriter shall have received an agreement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in the form of Exhibit A hereto signed by the persons listed on Schedule C hereto.</w:t>
      </w:r>
    </w:p>
    <w:p>
      <w:pPr>
        <w:spacing w:after="0" w:line="156"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counsel for the Underwriter shall have been furnished with such documents and opinions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may require for the purpose of enabling them to pass upon the sale of the Shares as herein contemplated, or in order to evidence the accuracy of any of the representations or warranties, or the fulfillment of any of the conditions, herein contained; and all proceedings taken by the Company and the Selling Stockholder, as the case may be, in connection with the sale of the Shares as herein contemplated shall be satisfactory in form and substance to the Underwriter and counsel for the Underwriter.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may be terminated by the Underwriter by notice to the Company at any time at or prior to Closing Time, and such termination shall be without liability of any party to any other party except as provided in Section 6 and except that Sections 1, 8, 9, 10, 16, 17 and 18 shall survive any such termination and remain in full force and effect.</w:t>
      </w:r>
    </w:p>
    <w:p>
      <w:pPr>
        <w:spacing w:after="0" w:line="3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6" w:name="page27"/>
    <w:bookmarkEnd w:id="26"/>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7" w:lineRule="auto"/>
        <w:tabs>
          <w:tab w:leader="none" w:pos="13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 by the Company</w:t>
      </w:r>
      <w:r>
        <w:rPr>
          <w:rFonts w:ascii="Times New Roman" w:cs="Times New Roman" w:eastAsia="Times New Roman" w:hAnsi="Times New Roman"/>
          <w:sz w:val="18"/>
          <w:szCs w:val="18"/>
          <w:color w:val="auto"/>
        </w:rPr>
        <w:t>. The Company agrees to indemnify and hold harmless the Underwriter, its affiliates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 is defined in Rule 405 under the Securities Act (each, an “Affiliate”)), its selling agents, officers, directors, employees and each person, if any, who controls the Underwriter within the meaning of Section 15 of the Securities Act or Section 20 of the Exchange Act as follows: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1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the Rule 430B Information,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the Time of Sale Prospectus, any road show as defined in Rule 433(h) under the Securities Act (a “road show”) or the Prospectus (or any amendment or supplement thereto), or the omission or alleged omission of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4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settlement is effected with the written consent of the Company, which consent shall not be unreasonably withheld, conditioned or delayed;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6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fees and disbursements of counsel chosen by the Underwriter),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indemnity provision shall not apply to any loss, liability, claim, damage or expense to the extent arising out of any untrue statement or omission or alleged untrue statement or omission made in the Registration Statement (or any amendment thereto), including the Rule 430B Information, any Issuer Free Writing Prospectus, any preliminary prospectus, Time of Sale Prospectus, roadshow or the Prospectus (or any amendment or supplement thereto) in reliance upon and in conformity with the Selling Stockholder Information or the Underwriter Information.</w:t>
      </w:r>
    </w:p>
    <w:p>
      <w:pPr>
        <w:spacing w:after="0" w:line="3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firstLine="656"/>
        <w:spacing w:after="0" w:line="256" w:lineRule="auto"/>
        <w:tabs>
          <w:tab w:leader="none" w:pos="16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Underwriter by the Selling Stockholder. </w:t>
      </w:r>
      <w:r>
        <w:rPr>
          <w:rFonts w:ascii="Times New Roman" w:cs="Times New Roman" w:eastAsia="Times New Roman" w:hAnsi="Times New Roman"/>
          <w:sz w:val="18"/>
          <w:szCs w:val="18"/>
          <w:color w:val="auto"/>
        </w:rPr>
        <w:t>The Selling Stockholder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its Affiliates, its selling agents, officers, directors, employees and each person, if any, who controls the Underwriter within the meaning of Section 15 of the Securities Act or Section 20 of the Exchange Act to the same extent as the indemnity set forth in paragraph (a) above, in each case only insofar as such loss, liability, claim, damage or expense arises out of, or is based upon, any untrue statement or omission or alleged untrue statement or omission made in reliance upon and in conformity with the Selling Stockholder Information. Notwithstanding anything to the contrary in this Section 8, the liability of the Selling Stockholder under this Section 8 shall be limited to an amount equal to the aggregate gross proceeds (after deducting underwriting discounts and commissions) received by the Selling Stockholder from the sale of the Shares hereunder.</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14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Selling Stockholder and Directors and Officers</w:t>
      </w:r>
      <w:r>
        <w:rPr>
          <w:rFonts w:ascii="Times New Roman" w:cs="Times New Roman" w:eastAsia="Times New Roman" w:hAnsi="Times New Roman"/>
          <w:sz w:val="18"/>
          <w:szCs w:val="18"/>
          <w:color w:val="auto"/>
        </w:rPr>
        <w:t>. The Underwriter agrees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each director of the Company and each of its officers who signed the Registration Statement, and each person, if any, who controls the Company within the meaning of Section 15 of the Securities Act or Section 20 of the Exchange Act and the Selling Stockholder, each director of the Selling Stockholder and each of its officers, and each person, if any, who controls the Selling Stockholder within the meaning of Section 15 of the Securities Act or Section 20 of the Exchange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any preliminary prospectus, the Time of Sale Prospectus or the Prospectus (or any amendment or supplement thereto) or any Issuer Free Writing Prospectus or roadshow in reliance upon and in conformity with the Underwriter Information.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1" w:lineRule="auto"/>
        <w:tabs>
          <w:tab w:leader="none" w:pos="13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in writing as promptly as reasonably practicable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expenses of more than one separate counsel (other than local counsel), reasonably approved by the indemnifying party,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8 or Section 9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8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indemnifying party, on the one hand, and the indemnified party,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indemnifying party, on the one hand, and of the indemnified party, on the other hand, in connection with the losses, liabilities, claims, damages or expenses referred to in Section 8 hereof, as well as any other relevant equitable considerations.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and the Selling Stockholder on the one hand and the Underwriter on the other hand in connection with the offering of the Shares pursuant to this Agreement shall be deemed to be in the same respective proportions as (i) the total net proceeds from the offering of the Shares (before deducting expenses) received by the Selling Stockholder, and (ii) the difference between (a) the aggregate price to the public received by the Underwriter and (b) the aggregate price paid by the Underwriter to the Selling Stockholder for the Shares, bear to the aggregate price to public received for the Shares by the Underwriter.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and the Selling Stockholder, on the one hand, and the Underwriter, on the other hand, shall be determined by reference to, among other things, whether any such untrue or alleged untrue statement of a material fact or omission or alleged omission to state a material fact relates to information supplied by the Company, by the Selling Stockholder or by the Underwriter and the parties’ relative intent, knowledge, access to information and opportunity to correct or prevent such statement or omission of the nature referred to in Section 8 hereof.</w:t>
      </w:r>
    </w:p>
    <w:p>
      <w:pPr>
        <w:spacing w:after="0" w:line="3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the Selling Stockholder and the Underwriter agree that it would not be just and equitable if contribution pursuant to this Section 9 were determined by pro rata allocation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9, the Underwriter shall not be required to contribute any amount in excess of the underwriting discounts received by the Underwriter in connection with the Shares underwritten by it and distributed to the public.</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Section 9, (i) each person, if any, who controls the Underwriter within the meaning of Section 15 of the Securities Act or Section 20 of the Exchange Act and the Underwriter’s Affiliates, officers, directors, employees and selling agents shall have the same rights to contribution as the Underwriter, (ii)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and (iii) each director of the Selling Stockholder, each officer of the Selling Stockholder, and each person, if any, who controls the Selling Stockholder within the meaning of Section 15 of the Securities Act or Section 20 of the Exchange Act shall have the same rights to contribution as the Selling Stockholder.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and the Selling Stockholder submitted pursuant hereto, shall remain operative and in full force and effect regardless of (i) any investigation made by or on behalf of the Underwriter or its Affiliates or selling agents, any person controlling the Underwriter, its officers or directors, any person controlling the Company, its officers or directors, or any person controlling the Selling Stockholder, its officers or directors and (ii) delivery of and payment for the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9" w:lineRule="auto"/>
        <w:tabs>
          <w:tab w:leader="none" w:pos="139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Underwriter may terminate this Agreement, by notice to the Company and the Selling Stockholder, at any time at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the Closing Time (i) if there has been, in the judgment of the Underwriter, since the time of execution of this Agreement or since the respective dates as of which information is given in the Registration Statement, the Time of Sale Prospectus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Underwriter, impracticable or inadvisable to proceed with the completion of the offering or to enforce contracts for the sale of the Shares, or (iii) if trading in any securities of the Company has been suspended or materially limited by the Commission or the Nasdaq Global Select Market, or (iv) if trading generally on the NYSE Amex Equities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(vi) if a banking moratorium has been declared by either Federal or New York authorities.</w:t>
      </w: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656"/>
        <w:spacing w:after="0" w:line="267" w:lineRule="auto"/>
        <w:tabs>
          <w:tab w:leader="none" w:pos="13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except as provided in Section 6 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Sections 1, 8, 9, 10, 16, 17 and 18 shall survive such termination and remain in full force and effect.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Default by Selling Stockholder</w:t>
      </w:r>
      <w:r>
        <w:rPr>
          <w:rFonts w:ascii="Times New Roman" w:cs="Times New Roman" w:eastAsia="Times New Roman" w:hAnsi="Times New Roman"/>
          <w:sz w:val="18"/>
          <w:szCs w:val="18"/>
          <w:color w:val="auto"/>
        </w:rPr>
        <w:t xml:space="preserve">. If the Selling Stockholder shall fail at the Closing Time to sell the number of Shares that it is obligated to sell hereunder, then this Agreement shall terminate without any liability on the part of any non-defaulting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Sections 1, 6, 8, 9, 10, 16, 17 and 18 shall remain in full force and effect. No action taken pursuant to this Section shall relieve the Selling Stockholder from liability, if any, in respect of such default.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Notices to the Underwriter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Floor 28, 383 Madison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10179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390 Madison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Richard Aftanas</w:t>
      </w: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1" w:name="page32"/>
    <w:bookmarkEnd w:id="31"/>
    <w:p>
      <w:pPr>
        <w:jc w:val="center"/>
        <w:ind w:right="5440"/>
        <w:spacing w:after="0"/>
        <w:rPr>
          <w:sz w:val="20"/>
          <w:szCs w:val="20"/>
          <w:color w:val="auto"/>
        </w:rPr>
      </w:pPr>
      <w:r>
        <w:rPr>
          <w:rFonts w:ascii="Times New Roman" w:cs="Times New Roman" w:eastAsia="Times New Roman" w:hAnsi="Times New Roman"/>
          <w:sz w:val="18"/>
          <w:szCs w:val="18"/>
          <w:color w:val="auto"/>
        </w:rPr>
        <w:t>Notices to the Company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Fortress Energy Inc.</w:t>
      </w:r>
    </w:p>
    <w:p>
      <w:pPr>
        <w:ind w:left="1960"/>
        <w:spacing w:after="0" w:line="182" w:lineRule="auto"/>
        <w:rPr>
          <w:sz w:val="20"/>
          <w:szCs w:val="20"/>
          <w:color w:val="auto"/>
        </w:rPr>
      </w:pPr>
      <w:r>
        <w:rPr>
          <w:rFonts w:ascii="Times New Roman" w:cs="Times New Roman" w:eastAsia="Times New Roman" w:hAnsi="Times New Roman"/>
          <w:sz w:val="17"/>
          <w:szCs w:val="17"/>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10011</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Cameron D. MacDougall, Esq.</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Michael J. Zeidel; Michael J. Schwartz</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Notices to the Selling Stockholder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Energy Transition Holdings LLC</w:t>
      </w:r>
    </w:p>
    <w:p>
      <w:pPr>
        <w:ind w:left="1960"/>
        <w:spacing w:after="0" w:line="182" w:lineRule="auto"/>
        <w:rPr>
          <w:sz w:val="20"/>
          <w:szCs w:val="20"/>
          <w:color w:val="auto"/>
        </w:rPr>
      </w:pPr>
      <w:r>
        <w:rPr>
          <w:rFonts w:ascii="Times New Roman" w:cs="Times New Roman" w:eastAsia="Times New Roman" w:hAnsi="Times New Roman"/>
          <w:sz w:val="17"/>
          <w:szCs w:val="17"/>
          <w:color w:val="auto"/>
        </w:rPr>
        <w:t>157 Church Street,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Haven, Connecticut 06510</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Craig Garner; Kevin Reyes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Each of the Company and the Selling Stockholder agrees that (a) the purchase and sale of the Shares pursuant to this Agreement is an arm’s length commercial transaction between the Company and the Selling Stockholder, on the one hand, and the Underwriter, on the other hand, (b) in connection with the offering of the Shares and the process leading thereto, the Underwriter is and has been acting solely as a principal and is not the agent or fiduciary of the Company, the Selling Stockholder, any of their subsidiaries, or their respective stockholders, creditors, employees or any other party, (c) the Underwriter has not assumed nor will it assume an advisory or fiduciary responsibility in favor of the Company or the Selling Stockholder with respect to the offering of the Shares or the process leading thereto (irrespective of whether the Underwriter has advised or is currently advising either of the Company or the Selling Stockholder or any of their subsidiaries on other matters) and the Underwriter has no obligation to the Company or the Selling Stockholder with respect to the offering of the Shares except the obligations expressly set forth in this Agreement,</w:t>
      </w:r>
    </w:p>
    <w:p>
      <w:pPr>
        <w:spacing w:after="0" w:line="1" w:lineRule="exact"/>
        <w:rPr>
          <w:sz w:val="20"/>
          <w:szCs w:val="20"/>
          <w:color w:val="auto"/>
        </w:rPr>
      </w:pPr>
    </w:p>
    <w:p>
      <w:pPr>
        <w:jc w:val="both"/>
        <w:ind w:right="20" w:firstLine="8"/>
        <w:spacing w:after="0" w:line="253" w:lineRule="auto"/>
        <w:tabs>
          <w:tab w:leader="none" w:pos="2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and its affiliates may be engaged in a broad range of transactions that involve interests that differ from those of the Company or the Selling Stockholder, and (e) the Underwriter has not provided any legal, accounting, regulatory or tax advice with respect to the offering of the Shares, and each of the Company and the Selling Stockholder has consulted its own legal, accounting, regulatory and tax advisors to the extent it deemed appropriate. Each of the Company and the Selling Stockholder hereby waives any claims that it may have against the Underwriter with respect to any breach of fiduciary duty in connection with the Shares.</w:t>
      </w:r>
    </w:p>
    <w:p>
      <w:pPr>
        <w:spacing w:after="0" w:line="3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 the Company, the Selling Stockholder and their respective successors. Nothing expressed or mentioned in this Agreement is intended or shall be construed to give any person, firm or corporation, other than the Underwriter, the Company, the Selling Stockholder and their respective successors and the controlling persons and officers and directors and other persons referred to in Sections 8 and 9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 the Company and the Selling Stockholder and their respective successors, and said controlling persons and officers and directors and their heirs and legal representatives, and for the benefit of no other person, firm or corporation. No purchaser of Shares from the Underwriter shall be deemed to be a successor by reason merely of such purchase.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EACH OF THE COMPANY (ON ITS BEHALF AND, TO THE EXTENT PERMITTED BY APPLICABLE LAW, ON BEHALF OF ITS STOCKHOLDERS AND AFFILIATES), THE SELLING STOCKHOLDER (ON ITS BEHALF AND, TO THE EXTENT PERMITTED BY APPLICABLE LAW, ON BEHALF OF ITS STOCKHOLDERS AND AFFILIATES) AND THE UNDERWRITER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Recognition of the U.S. Special Resolutions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15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Underwriter is a Covered Entity (as defined below) and becomes subject to a proceeding under (i) the Federal Deposit Insurance Act and the regulations promulgated thereunder or (ii) Title II of the Dodd-Frank Wall Street Reform and Consumer Protection Act and the regulations promulgated thereunder (each, a “U.S. Special Resolution Regime”), the transfer from the Underwriter of this Agreement, and any interest and obligation in or under this Agreement, will be effective to the same extent as the transfer would be effective under the applicable U.S. Special Resolution Regime if this Agreement, and any such interest and obligation, were governed by the laws of the United States or a state of the United States.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Underwriter is a Covered Entity or a BHC Act Affiliate (as defined below) of the Underwriter becomes subject to a proceeding under a U.S. Special Resolution Regime, Default Rights (as defined below)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Section 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“BHC Act Affiliate”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1460" w:hanging="642"/>
        <w:spacing w:after="0"/>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3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Christopher S. Guinta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TRANSITION HOLDINGS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Great Mountain Partners LLC, 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Jonathan P.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Jonathan P. Rotolo</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Manager</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137160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Lucy Brash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Lucy Brash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5"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40" w:type="dxa"/>
            <w:vAlign w:val="bottom"/>
            <w:gridSpan w:val="3"/>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Name of Underwriter</w:t>
            </w:r>
          </w:p>
        </w:tc>
        <w:tc>
          <w:tcPr>
            <w:tcW w:w="452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5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40" w:type="dxa"/>
            <w:vAlign w:val="bottom"/>
            <w:gridSpan w:val="3"/>
          </w:tcPr>
          <w:p>
            <w:pPr>
              <w:jc w:val="center"/>
              <w:ind w:right="2960"/>
              <w:spacing w:after="0"/>
              <w:rPr>
                <w:sz w:val="20"/>
                <w:szCs w:val="20"/>
                <w:color w:val="auto"/>
              </w:rPr>
            </w:pPr>
            <w:r>
              <w:rPr>
                <w:rFonts w:ascii="Times New Roman" w:cs="Times New Roman" w:eastAsia="Times New Roman" w:hAnsi="Times New Roman"/>
                <w:sz w:val="18"/>
                <w:szCs w:val="18"/>
                <w:color w:val="auto"/>
                <w:w w:val="99"/>
              </w:rPr>
              <w:t>Sch. A-1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7" w:name="page38"/>
    <w:bookmarkEnd w:id="37"/>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SCHEDULE B-1</w:t>
      </w:r>
    </w:p>
    <w:p>
      <w:pPr>
        <w:spacing w:after="0" w:line="24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Share: $46.00</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Sch.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8" w:name="page39"/>
    <w:bookmarkEnd w:id="3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B-2</w:t>
      </w:r>
    </w:p>
    <w:p>
      <w:pPr>
        <w:spacing w:after="0" w:line="229"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18"/>
          <w:szCs w:val="18"/>
          <w:u w:val="single" w:color="auto"/>
          <w:color w:val="auto"/>
        </w:rPr>
        <w:t>Issuer Free Writing Prospectuses</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Sch.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9" w:name="page40"/>
    <w:bookmarkEnd w:id="3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9"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u w:val="single" w:color="auto"/>
          <w:color w:val="auto"/>
        </w:rPr>
        <w:t>List of Persons and Entities Subject to Lock-up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Transition Holdings LLC</w:t>
      </w:r>
    </w:p>
    <w:p>
      <w:pPr>
        <w:spacing w:after="0" w:line="1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lock-up pursuant to Section 7(j)]</w:t>
      </w:r>
    </w:p>
    <w:p>
      <w:pPr>
        <w:spacing w:after="0" w:line="22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December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New Fortress Energy Inc. Class A Common Stock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or Madames: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a stockholder of New Fortress Energy Inc., a Delaware corporation (the “Company”), understands that J.P. Morgan Securities LLC (the “Underwriter”) proposes to enter into an Underwriting Agreement (the “Underwriting Agreement”) with the Company and Energy Transition Holdings LLC (the “Selling Stockholder”), providing for the public offering (the “Public Offering”) of Class A common stock, par value $0.01 per share of the Company (the “Shares”).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Shares, and for other good and valuable consideration, the receipt and sufficiency of which are hereby acknowledged, the undersigned agrees with the Underwriter to be named in the Underwriting Agreement that, during the period beginning on the date hereof and ending on the date that is 60 days from the date of the Underwriting Agreement (subject to extensions as discussed below), the undersigned will not, without the prior written consent of the Underwriter, directly or indirectly, (i) offer, pledge, sell, contract to sell, sell any option or contract to purchase, purchase any option or contract to sell, grant any option, right or warrant for the sale of, or otherwise dispose of or transfer any Shares or any securities convertible into or exchangeable or exercisable for Shares, whether now owned or hereafter acquired by the undersigned or with respect to which the undersigned has or hereafter acquires the power of disposition (collectively, the “Lock-Up Shares”), or exercise any right with respect to the registration of any of the Lock-up Shares,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Shares, whether any such swap or transaction is to be settled by delivery of Lock-Up Shares, in cash or otherwise.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conditions below, the undersigned may transfer the Lock-Up Shares without the prior written consent of the Underwriter, provided that, (1) with respect to any transfer described under (i) and (ii) (irrespective of whether such transfer involves a disposition of value, to the extent permitted by this Agreement), the Underwriter receives a signed lock-up agreement for the balance of the lock-up period from each donee, trustee, distributee, or transferee, as the case may be, (2) any transfer described under (i), (ii) or (iii) below shall not involve a disposition for value, (3) the transfers described under (i) and (ii) (irrespective of whether such transfer involves a disposition of value, to the extent permitted by this Agreement) are not required to be reported with the Securities and Exchange Commission (the “Commission”) on Form 4 in accordance with Section 16 of the Securities Exchange Act of 1934, as amended (the “Exchange Act”), (4) in the case of a transfer described under (iii) and (iv), any filing required to be made pursuant to Section 16 of the Exchange Act shall clearly indicate that the filing relates to the circumstances described in clause (iii) or (iv) (as applicable), (5) in the case of a transfer under (i), (ii), (iii) and (iv), the undersigned does not otherwise voluntarily effect any public filing or report regarding such transfers (other than a filing on Form 5 made after the expiration of the 60-day period referred to above) and (6) in the case of a transfer described in (v), (a) any securities received upon such exercise shall be subject to this agreement, (b) no filing under Section 16 of the Exchange Act, or other public announcement, shall be voluntarily made during the Lock-Up Period and (c) any filing required to be made pursuant to Section 16 of the Exchange Act shall clearly indicate that the filing relates to the circumstances described in (v), irrespective of whether such transfer involves a disposition of value, to the extent permitted by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agreement, “immediate family” shall mean any relationship by blood, marriage or adoption, not more remote than first cousin);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limited partners, members or stockholders of the undersigned;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controlling, controlled by, under common control with, managing or managed by the undersigned;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net exercise or net settlement of an award granted under a compensatory plan of the Company adopted prior to the Public Offering.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undersigned may establish a trading plan pursuant to Rule 10b5-1 under the Exchange Act for the transfer of Lock-Up Shares during the Lock-Up Period, provided that (i) such plan does not provide for the transfer of Lock-Up Shares during the Lock-Up Period and (ii) to the extent a public announcement or filing under the Exchange Act, if any, is required of or voluntarily made by the Company regarding the establishment of such plan, such announcement or filing shall include a statement to the effect that no transfer of Lock-Up Shares may be made under such plan during the Lock-Up Period.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the undersigned may sell Lock-Up Shares of the Company purchased by the undersigned on the open market following the Public Offering if and only if (i) such sales are not required to be reported in any public report or filing with the Commission, or otherwise and (ii) the undersigned does not otherwise voluntarily effect any public filing or report regarding such sales.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Shares except in compliance with the foregoing restrictions.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shall lapse and become null and void if (i) prior to entering the Underwriting Agreement, the Company or the Selling Stockholder notifies the Underwriter in writing that the Company or the Selling Stockholder does not intend to proceed with the offering of the Lock-Up Shares through the Underwriter and files an application to withdraw the registration statement related to the offering, (ii) the Company, the Underwriter and the Selling Stockholder have not entered into the Underwriting Agreement on or before December 14, 2022, or (iii) for any reason the Underwriting Agreement is terminated prior to the Closing Time (as defined therein).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LEFT INTENTIONALLY BLANK]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TRANSITIONS HOLDINGS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Great Mountain Partners LLC, its Manager</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Signature:_________</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Print Name:________</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Form of Lock-up</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lvl w:ilvl="1">
      <w:lvlJc w:val="left"/>
      <w:lvlText w:val="(%2)"/>
      <w:numFmt w:val="lowerLetter"/>
      <w:start w:val="9"/>
    </w:lvl>
  </w:abstractNum>
  <w:abstractNum w:abstractNumId="3">
    <w:nsid w:val="79838CB2"/>
    <w:multiLevelType w:val="hybridMultilevel"/>
    <w:lvl w:ilvl="0">
      <w:lvlJc w:val="left"/>
      <w:lvlText w:val="(%1)"/>
      <w:numFmt w:val="lowerRoman"/>
      <w:start w:val="2"/>
    </w:lvl>
  </w:abstractNum>
  <w:abstractNum w:abstractNumId="4">
    <w:nsid w:val="4353D0CD"/>
    <w:multiLevelType w:val="hybridMultilevel"/>
    <w:lvl w:ilvl="0">
      <w:lvlJc w:val="left"/>
      <w:lvlText w:val="(%1)"/>
      <w:numFmt w:val="lowerRoman"/>
      <w:start w:val="3"/>
    </w:lvl>
  </w:abstractNum>
  <w:abstractNum w:abstractNumId="5">
    <w:nsid w:val="B03E0C6"/>
    <w:multiLevelType w:val="hybridMultilevel"/>
    <w:lvl w:ilvl="0">
      <w:lvlJc w:val="left"/>
      <w:lvlText w:val="(%1)"/>
      <w:numFmt w:val="lowerRoman"/>
      <w:start w:val="4"/>
    </w:lvl>
  </w:abstractNum>
  <w:abstractNum w:abstractNumId="6">
    <w:nsid w:val="189A769B"/>
    <w:multiLevelType w:val="hybridMultilevel"/>
    <w:lvl w:ilvl="0">
      <w:lvlJc w:val="left"/>
      <w:lvlText w:val="(%1)"/>
      <w:numFmt w:val="lowerRoman"/>
      <w:start w:val="8"/>
    </w:lvl>
  </w:abstractNum>
  <w:abstractNum w:abstractNumId="7">
    <w:nsid w:val="54E49EB4"/>
    <w:multiLevelType w:val="hybridMultilevel"/>
    <w:lvl w:ilvl="0">
      <w:lvlJc w:val="left"/>
      <w:lvlText w:val="%1"/>
      <w:numFmt w:val="upperLetter"/>
      <w:start w:val="1"/>
    </w:lvl>
    <w:lvl w:ilvl="1">
      <w:lvlJc w:val="left"/>
      <w:lvlText w:val="(%2)"/>
      <w:numFmt w:val="lowerRoman"/>
      <w:start w:val="10"/>
    </w:lvl>
  </w:abstractNum>
  <w:abstractNum w:abstractNumId="8">
    <w:nsid w:val="71F32454"/>
    <w:multiLevelType w:val="hybridMultilevel"/>
    <w:lvl w:ilvl="0">
      <w:lvlJc w:val="left"/>
      <w:lvlText w:val="(%1)"/>
      <w:numFmt w:val="upperLetter"/>
      <w:start w:val="2"/>
    </w:lvl>
    <w:lvl w:ilvl="1">
      <w:lvlJc w:val="left"/>
      <w:lvlText w:val="(%2)"/>
      <w:numFmt w:val="lowerRoman"/>
      <w:start w:val="11"/>
    </w:lvl>
  </w:abstractNum>
  <w:abstractNum w:abstractNumId="9">
    <w:nsid w:val="2CA88611"/>
    <w:multiLevelType w:val="hybridMultilevel"/>
    <w:lvl w:ilvl="0">
      <w:lvlJc w:val="left"/>
      <w:lvlText w:val="(%1)"/>
      <w:numFmt w:val="lowerRoman"/>
      <w:start w:val="14"/>
    </w:lvl>
  </w:abstractNum>
  <w:abstractNum w:abstractNumId="10">
    <w:nsid w:val="836C40E"/>
    <w:multiLevelType w:val="hybridMultilevel"/>
    <w:lvl w:ilvl="0">
      <w:lvlJc w:val="left"/>
      <w:lvlText w:val="(%1)"/>
      <w:numFmt w:val="lowerRoman"/>
      <w:start w:val="17"/>
    </w:lvl>
  </w:abstractNum>
  <w:abstractNum w:abstractNumId="11">
    <w:nsid w:val="2901D82"/>
    <w:multiLevelType w:val="hybridMultilevel"/>
    <w:lvl w:ilvl="0">
      <w:lvlJc w:val="left"/>
      <w:lvlText w:val="(%1)"/>
      <w:numFmt w:val="lowerRoman"/>
      <w:start w:val="20"/>
    </w:lvl>
  </w:abstractNum>
  <w:abstractNum w:abstractNumId="12">
    <w:nsid w:val="3A95F874"/>
    <w:multiLevelType w:val="hybridMultilevel"/>
    <w:lvl w:ilvl="0">
      <w:lvlJc w:val="left"/>
      <w:lvlText w:val="(%1)"/>
      <w:numFmt w:val="lowerRoman"/>
      <w:start w:val="23"/>
    </w:lvl>
  </w:abstractNum>
  <w:abstractNum w:abstractNumId="13">
    <w:nsid w:val="8138641"/>
    <w:multiLevelType w:val="hybridMultilevel"/>
    <w:lvl w:ilvl="0">
      <w:lvlJc w:val="left"/>
      <w:lvlText w:val="(%1)"/>
      <w:numFmt w:val="upperLetter"/>
      <w:start w:val="1"/>
    </w:lvl>
  </w:abstractNum>
  <w:abstractNum w:abstractNumId="14">
    <w:nsid w:val="1E7FF521"/>
    <w:multiLevelType w:val="hybridMultilevel"/>
    <w:lvl w:ilvl="0">
      <w:lvlJc w:val="left"/>
      <w:lvlText w:val="(%1)"/>
      <w:numFmt w:val="upperLetter"/>
      <w:start w:val="2"/>
    </w:lvl>
  </w:abstractNum>
  <w:abstractNum w:abstractNumId="15">
    <w:nsid w:val="7C3DBD3D"/>
    <w:multiLevelType w:val="hybridMultilevel"/>
    <w:lvl w:ilvl="0">
      <w:lvlJc w:val="left"/>
      <w:lvlText w:val="(%1)"/>
      <w:numFmt w:val="lowerRoman"/>
      <w:start w:val="27"/>
    </w:lvl>
  </w:abstractNum>
  <w:abstractNum w:abstractNumId="16">
    <w:nsid w:val="737B8DDC"/>
    <w:multiLevelType w:val="hybridMultilevel"/>
    <w:lvl w:ilvl="0">
      <w:lvlJc w:val="left"/>
      <w:lvlText w:val="(%1)"/>
      <w:numFmt w:val="lowerRoman"/>
      <w:start w:val="28"/>
    </w:lvl>
  </w:abstractNum>
  <w:abstractNum w:abstractNumId="17">
    <w:nsid w:val="6CEAF087"/>
    <w:multiLevelType w:val="hybridMultilevel"/>
    <w:lvl w:ilvl="0">
      <w:lvlJc w:val="left"/>
      <w:lvlText w:val="(%1)"/>
      <w:numFmt w:val="lowerRoman"/>
      <w:start w:val="31"/>
    </w:lvl>
  </w:abstractNum>
  <w:abstractNum w:abstractNumId="18">
    <w:nsid w:val="22221A70"/>
    <w:multiLevelType w:val="hybridMultilevel"/>
    <w:lvl w:ilvl="0">
      <w:lvlJc w:val="left"/>
      <w:lvlText w:val="(%1)"/>
      <w:numFmt w:val="lowerRoman"/>
      <w:start w:val="37"/>
    </w:lvl>
  </w:abstractNum>
  <w:abstractNum w:abstractNumId="19">
    <w:nsid w:val="4516DDE9"/>
    <w:multiLevelType w:val="hybridMultilevel"/>
    <w:lvl w:ilvl="0">
      <w:lvlJc w:val="left"/>
      <w:lvlText w:val="(%1)"/>
      <w:numFmt w:val="lowerLetter"/>
      <w:start w:val="2"/>
    </w:lvl>
  </w:abstractNum>
  <w:abstractNum w:abstractNumId="20">
    <w:nsid w:val="3006C83E"/>
    <w:multiLevelType w:val="hybridMultilevel"/>
    <w:lvl w:ilvl="0">
      <w:lvlJc w:val="left"/>
      <w:lvlText w:val="(%1)"/>
      <w:numFmt w:val="lowerLetter"/>
      <w:start w:val="1"/>
    </w:lvl>
    <w:lvl w:ilvl="1">
      <w:lvlJc w:val="left"/>
      <w:lvlText w:val="(%2)"/>
      <w:numFmt w:val="lowerLetter"/>
      <w:start w:val="9"/>
    </w:lvl>
  </w:abstractNum>
  <w:abstractNum w:abstractNumId="21">
    <w:nsid w:val="614FD4A1"/>
    <w:multiLevelType w:val="hybridMultilevel"/>
    <w:lvl w:ilvl="0">
      <w:lvlJc w:val="left"/>
      <w:lvlText w:val="(%1)"/>
      <w:numFmt w:val="lowerRoman"/>
      <w:start w:val="2"/>
    </w:lvl>
  </w:abstractNum>
  <w:abstractNum w:abstractNumId="22">
    <w:nsid w:val="419AC241"/>
    <w:multiLevelType w:val="hybridMultilevel"/>
    <w:lvl w:ilvl="0">
      <w:lvlJc w:val="left"/>
      <w:lvlText w:val="(%1)"/>
      <w:numFmt w:val="lowerRoman"/>
      <w:start w:val="8"/>
    </w:lvl>
  </w:abstractNum>
  <w:abstractNum w:abstractNumId="23">
    <w:nsid w:val="5577F8E1"/>
    <w:multiLevelType w:val="hybridMultilevel"/>
    <w:lvl w:ilvl="0">
      <w:lvlJc w:val="left"/>
      <w:lvlText w:val="(%1)"/>
      <w:numFmt w:val="lowerRoman"/>
      <w:start w:val="12"/>
    </w:lvl>
  </w:abstractNum>
  <w:abstractNum w:abstractNumId="24">
    <w:nsid w:val="440BADFC"/>
    <w:multiLevelType w:val="hybridMultilevel"/>
    <w:lvl w:ilvl="0">
      <w:lvlJc w:val="left"/>
      <w:lvlText w:val="%1"/>
      <w:numFmt w:val="lowerLetter"/>
      <w:start w:val="1"/>
    </w:lvl>
    <w:lvl w:ilvl="1">
      <w:lvlJc w:val="left"/>
      <w:lvlText w:val="(%2)"/>
      <w:numFmt w:val="lowerRoman"/>
      <w:start w:val="14"/>
    </w:lvl>
  </w:abstractNum>
  <w:abstractNum w:abstractNumId="25">
    <w:nsid w:val="5072367"/>
    <w:multiLevelType w:val="hybridMultilevel"/>
    <w:lvl w:ilvl="0">
      <w:lvlJc w:val="left"/>
      <w:lvlText w:val="(%1)"/>
      <w:numFmt w:val="lowerLetter"/>
      <w:start w:val="2"/>
    </w:lvl>
    <w:lvl w:ilvl="1">
      <w:lvlJc w:val="left"/>
      <w:lvlText w:val="%2"/>
      <w:numFmt w:val="lowerRoman"/>
      <w:start w:val="1"/>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1"/>
    </w:lvl>
    <w:lvl w:ilvl="1">
      <w:lvlJc w:val="left"/>
      <w:lvlText w:val="(%2)"/>
      <w:numFmt w:val="lowerLetter"/>
      <w:start w:val="1"/>
    </w:lvl>
  </w:abstractNum>
  <w:abstractNum w:abstractNumId="28">
    <w:nsid w:val="7724C67E"/>
    <w:multiLevelType w:val="hybridMultilevel"/>
    <w:lvl w:ilvl="0">
      <w:lvlJc w:val="left"/>
      <w:lvlText w:val="(%1)"/>
      <w:numFmt w:val="lowerLetter"/>
      <w:start w:val="61"/>
    </w:lvl>
    <w:lvl w:ilvl="1">
      <w:lvlJc w:val="left"/>
      <w:lvlText w:val="(%2)"/>
      <w:numFmt w:val="lowerLetter"/>
      <w:start w:val="2"/>
    </w:lvl>
  </w:abstractNum>
  <w:abstractNum w:abstractNumId="29">
    <w:nsid w:val="5C482A97"/>
    <w:multiLevelType w:val="hybridMultilevel"/>
    <w:lvl w:ilvl="0">
      <w:lvlJc w:val="left"/>
      <w:lvlText w:val="(%1)"/>
      <w:numFmt w:val="lowerLetter"/>
      <w:start w:val="3"/>
    </w:lvl>
  </w:abstractNum>
  <w:abstractNum w:abstractNumId="30">
    <w:nsid w:val="2463B9EA"/>
    <w:multiLevelType w:val="hybridMultilevel"/>
    <w:lvl w:ilvl="0">
      <w:lvlJc w:val="left"/>
      <w:lvlText w:val="(%1)"/>
      <w:numFmt w:val="lowerLetter"/>
      <w:start w:val="7"/>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2"/>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2"/>
    </w:lvl>
  </w:abstractNum>
  <w:abstractNum w:abstractNumId="36">
    <w:nsid w:val="3855585C"/>
    <w:multiLevelType w:val="hybridMultilevel"/>
    <w:lvl w:ilvl="0">
      <w:lvlJc w:val="left"/>
      <w:lvlText w:val="(%1)"/>
      <w:numFmt w:val="lowerLetter"/>
      <w:start w:val="6"/>
    </w:lvl>
  </w:abstractNum>
  <w:abstractNum w:abstractNumId="37">
    <w:nsid w:val="70A64E2A"/>
    <w:multiLevelType w:val="hybridMultilevel"/>
    <w:lvl w:ilvl="0">
      <w:lvlJc w:val="left"/>
      <w:lvlText w:val="(%1)"/>
      <w:numFmt w:val="lowerLetter"/>
      <w:start w:val="1"/>
    </w:lvl>
    <w:lvl w:ilvl="1">
      <w:lvlJc w:val="left"/>
      <w:lvlText w:val="(%2)"/>
      <w:numFmt w:val="lowerRoman"/>
      <w:start w:val="1"/>
    </w:lvl>
  </w:abstractNum>
  <w:abstractNum w:abstractNumId="38">
    <w:nsid w:val="6A2342EC"/>
    <w:multiLevelType w:val="hybridMultilevel"/>
    <w:lvl w:ilvl="0">
      <w:lvlJc w:val="left"/>
      <w:lvlText w:val="(%1)"/>
      <w:numFmt w:val="lowerLetter"/>
      <w:start w:val="2"/>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lowerLetter"/>
      <w:start w:val="4"/>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2022-12-16T16:42:02Z</dcterms:created>
  <dcterms:modified xsi:type="dcterms:W3CDTF">2022-12-16T16:42:02Z</dcterms:modified>
</cp:coreProperties>
</file>