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76"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76"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CURRENT REPORT</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13 OR 15(D)</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ans-serif" w:hAnsi="Times New Roman;sans-serif"/>
          <w:b/>
          <w:color w:val="000000"/>
          <w:sz w:val="20"/>
          <w:shd w:fill="FFFFFF" w:val="clear"/>
        </w:rPr>
        <w:t xml:space="preserve">Date of Report (Date of earliest event reported): </w:t>
      </w:r>
      <w:r>
        <w:rPr>
          <w:rFonts w:ascii="Times New Roman;sans-serif" w:hAnsi="Times New Roman;sans-serif"/>
          <w:b w:val="false"/>
          <w:color w:val="000000"/>
          <w:sz w:val="20"/>
          <w:shd w:fill="FFFFFF" w:val="clear"/>
        </w:rPr>
        <w:t>November 8, 2023</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New Fortress Energy Inc.</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76" w:before="0" w:after="0"/>
        <w:jc w:val="center"/>
        <w:rPr/>
      </w:pPr>
      <w:r>
        <w:rPr>
          <w:rFonts w:ascii="Times New Roman;sans-serif" w:hAnsi="Times New Roman;sans-serif"/>
          <w:b w:val="false"/>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7334" w:type="dxa"/>
        <w:jc w:val="left"/>
        <w:tblInd w:w="0" w:type="dxa"/>
        <w:tblLayout w:type="fixed"/>
        <w:tblCellMar>
          <w:top w:w="28" w:type="dxa"/>
          <w:left w:w="28" w:type="dxa"/>
          <w:bottom w:w="28" w:type="dxa"/>
          <w:right w:w="28" w:type="dxa"/>
        </w:tblCellMar>
      </w:tblPr>
      <w:tblGrid>
        <w:gridCol w:w="728"/>
        <w:gridCol w:w="637"/>
        <w:gridCol w:w="645"/>
        <w:gridCol w:w="539"/>
        <w:gridCol w:w="539"/>
        <w:gridCol w:w="541"/>
        <w:gridCol w:w="1085"/>
        <w:gridCol w:w="1085"/>
        <w:gridCol w:w="1535"/>
      </w:tblGrid>
      <w:tr>
        <w:trPr/>
        <w:tc>
          <w:tcPr>
            <w:tcW w:w="7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01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p>
            <w:pPr>
              <w:pStyle w:val="TableContents"/>
              <w:bidi w:val="0"/>
              <w:spacing w:before="0" w:after="0"/>
              <w:jc w:val="center"/>
              <w:rPr/>
            </w:pPr>
            <w:r>
              <w:rPr/>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ans-serif" w:hAnsi="Times New Roman;sans-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Emerging growth company</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8, 2023, New Fortress Energy Inc. (“NFE” or the “Company”) issued a press release announcing the Company’s financial and operating results for its fiscal quarter ended September 30, 2023. A copy of the Company’s press release is attached to this Current Report on Form 8-K (the “Current Report”) as Exhibit 99.1 and is incorporated herein solely for purposes of this Item 2.02 disclosure.</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bidi w:val="0"/>
        <w:spacing w:before="0" w:after="0"/>
        <w:jc w:val="left"/>
        <w:rPr/>
      </w:pPr>
      <w:r>
        <w:rPr/>
      </w:r>
    </w:p>
    <w:p>
      <w:pPr>
        <w:pStyle w:val="TextBody"/>
        <w:bidi w:val="0"/>
        <w:spacing w:before="0" w:after="0"/>
        <w:jc w:val="left"/>
        <w:rPr/>
      </w:pPr>
      <w:r>
        <w:rPr/>
      </w:r>
    </w:p>
    <w:tbl>
      <w:tblPr>
        <w:tblW w:w="1016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52"/>
        <w:gridCol w:w="2652"/>
        <w:gridCol w:w="378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0"/>
              <w:jc w:val="center"/>
              <w:rPr/>
            </w:pPr>
            <w:hyperlink w:anchor="nfe-09302023x8xkex991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November 8, 2023, issued by New Fortress Energy Inc.</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5157" w:type="dxa"/>
        <w:jc w:val="left"/>
        <w:tblInd w:w="0" w:type="dxa"/>
        <w:tblLayout w:type="fixed"/>
        <w:tblCellMar>
          <w:top w:w="28" w:type="dxa"/>
          <w:left w:w="28" w:type="dxa"/>
          <w:bottom w:w="28" w:type="dxa"/>
          <w:right w:w="28" w:type="dxa"/>
        </w:tblCellMar>
      </w:tblPr>
      <w:tblGrid>
        <w:gridCol w:w="587"/>
        <w:gridCol w:w="516"/>
        <w:gridCol w:w="517"/>
        <w:gridCol w:w="464"/>
        <w:gridCol w:w="464"/>
        <w:gridCol w:w="464"/>
        <w:gridCol w:w="625"/>
        <w:gridCol w:w="625"/>
        <w:gridCol w:w="895"/>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4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tbl>
      <w:tblPr>
        <w:tblW w:w="4376" w:type="dxa"/>
        <w:jc w:val="left"/>
        <w:tblInd w:w="0" w:type="dxa"/>
        <w:tblLayout w:type="fixed"/>
        <w:tblCellMar>
          <w:top w:w="28" w:type="dxa"/>
          <w:left w:w="28" w:type="dxa"/>
          <w:bottom w:w="28" w:type="dxa"/>
          <w:right w:w="28" w:type="dxa"/>
        </w:tblCellMar>
      </w:tblPr>
      <w:tblGrid>
        <w:gridCol w:w="716"/>
        <w:gridCol w:w="629"/>
        <w:gridCol w:w="631"/>
        <w:gridCol w:w="703"/>
        <w:gridCol w:w="703"/>
        <w:gridCol w:w="99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295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90625" cy="295275"/>
                          </a:xfrm>
                          <a:prstGeom prst="rect">
                            <a:avLst/>
                          </a:prstGeom>
                        </pic:spPr>
                      </pic:pic>
                    </a:graphicData>
                  </a:graphic>
                </wp:inline>
              </w:drawing>
            </w:r>
          </w:p>
        </w:tc>
        <w:tc>
          <w:tcPr>
            <w:tcW w:w="240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111 W 19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Street, 8</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Floor</w:t>
            </w:r>
          </w:p>
          <w:p>
            <w:pPr>
              <w:pStyle w:val="TableContents"/>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New York, NY 10011</w:t>
            </w:r>
          </w:p>
        </w:tc>
      </w:tr>
    </w:tbl>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New Fortress Energy Announces Third Quarter 2023 Results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November 8, 2023</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 New Fortress Energy Inc. (Nasdaq: NFE) (“NFE” or the “Company”) today reported its financial results for the third quarter of 2023.</w:t>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Summary Highlights</w:t>
      </w:r>
    </w:p>
    <w:p>
      <w:pPr>
        <w:pStyle w:val="TextBody"/>
        <w:bidi w:val="0"/>
        <w:spacing w:before="60" w:after="283"/>
        <w:jc w:val="both"/>
        <w:rPr/>
      </w:pPr>
      <w:r>
        <w:rPr/>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of $208 million in the third quarter of 2023 and $895 million in the first nine months of 2023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 xml:space="preserve">Net income of $62 million in the third quarter of 2023 and $334 million in the first nine months of 2023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Adjusted EPS</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$0.30 on a fully diluted basis in the third quarter of 2023 and $1.78</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in the first nine months of 2023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 xml:space="preserve">Achieved several milestones since the second quarter of 2023 </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transitioned earnings from predominantly open cargos to nearly 100% contracted downstream assets</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operated 150 MW in Palo Seco, Puerto Rico at 98% utilization, and placed another 200+ MW into service in San Juan, Puerto Rico in September at near full utilization</w:t>
      </w: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 </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completed sailaway, installation, and First Gas</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for our first FLNG asset located offshore Altamira, Mexico;</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signed FSRU charter to start operations in Santa Catarina in January 2024</w:t>
      </w:r>
      <w:r>
        <w:rPr>
          <w:rFonts w:ascii="Times New Roman;sans-serif" w:hAnsi="Times New Roman;sans-serif"/>
          <w:b w:val="false"/>
          <w:color w:val="000000"/>
          <w:sz w:val="13"/>
        </w:rPr>
        <w:t>(6)</w:t>
      </w:r>
      <w:r>
        <w:rPr>
          <w:rFonts w:ascii="Times New Roman;sans-serif" w:hAnsi="Times New Roman;sans-serif"/>
          <w:b w:val="false"/>
          <w:color w:val="000000"/>
          <w:sz w:val="20"/>
        </w:rPr>
        <w:t>;</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achieved COD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at our 135 MW power plant in La Paz;</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signed definitive documents for up to $575 million in asset-based financing to fully fund remaining construction</w:t>
      </w: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for our 630 MW Barcarena power plant, which is currently 37% completed and on-schedule for COD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 the third quarter of 2025</w:t>
      </w:r>
      <w:r>
        <w:rPr>
          <w:rFonts w:ascii="Times New Roman;sans-serif" w:hAnsi="Times New Roman;sans-serif"/>
          <w:b w:val="false"/>
          <w:color w:val="000000"/>
          <w:sz w:val="13"/>
        </w:rPr>
        <w:t>(6)</w:t>
      </w:r>
      <w:r>
        <w:rPr>
          <w:rFonts w:ascii="Times New Roman;sans-serif" w:hAnsi="Times New Roman;sans-serif"/>
          <w:b w:val="false"/>
          <w:color w:val="000000"/>
          <w:sz w:val="20"/>
        </w:rPr>
        <w:t>;</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Expecting an increase in earnings and decrease in capex beginning in the fourth quarter of 2023 as we place approximately $3.0 billion of invested capital</w:t>
      </w: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projects online</w:t>
      </w:r>
      <w:r>
        <w:rPr>
          <w:rFonts w:ascii="Times New Roman;sans-serif" w:hAnsi="Times New Roman;sans-serif"/>
          <w:b w:val="false"/>
          <w:color w:val="000000"/>
          <w:sz w:val="13"/>
        </w:rPr>
        <w:t>(4)</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Identified approximately $1 billion of non-core asset sales</w:t>
      </w: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to support deleveraging</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Illustrative Adjusted EBITDA Goals</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for 2023 and 2024 reiterated at $1.6 billion and $2.4 billion, respectively</w:t>
      </w:r>
      <w:r>
        <w:rPr>
          <w:rFonts w:ascii="Times New Roman;sans-serif" w:hAnsi="Times New Roman;sans-serif"/>
          <w:b w:val="false"/>
          <w:color w:val="000000"/>
          <w:sz w:val="13"/>
        </w:rPr>
        <w:t>(10)</w:t>
      </w:r>
      <w:r>
        <w:rPr>
          <w:rFonts w:ascii="Times New Roman;sans-serif" w:hAnsi="Times New Roman;sans-serif"/>
          <w:b w:val="false"/>
          <w:color w:val="000000"/>
          <w:sz w:val="20"/>
        </w:rPr>
        <w:t>, with more than 85% of 2024 Illustrative Adjusted EBITDA Goals</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generated from core downstream infrastructure</w:t>
      </w:r>
      <w:r>
        <w:rPr>
          <w:rFonts w:ascii="Times New Roman;sans-serif" w:hAnsi="Times New Roman;sans-serif"/>
          <w:b w:val="false"/>
          <w:color w:val="000000"/>
          <w:sz w:val="13"/>
        </w:rPr>
        <w:t>(3)</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Corporate strategy continues to focus on operations, cash generation, and deleveraging</w:t>
      </w:r>
    </w:p>
    <w:p>
      <w:pPr>
        <w:pStyle w:val="TextBody"/>
        <w:bidi w:val="0"/>
        <w:spacing w:before="60" w:after="283"/>
        <w:ind w:left="0" w:right="0" w:hanging="90"/>
        <w:jc w:val="both"/>
        <w:rPr/>
      </w:pPr>
      <w:r>
        <w:rPr/>
      </w:r>
    </w:p>
    <w:p>
      <w:pPr>
        <w:pStyle w:val="TextBody"/>
        <w:bidi w:val="0"/>
        <w:spacing w:lineRule="auto" w:line="288" w:before="60" w:after="283"/>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transition to core infrastructure has begun as nearly 100% of third quarter earnings came from contracted downstream assets. We have visibility into downstream earnings growth given the recent commencement of operations at our second power plant in Puerto Rico combined with the start-up of our first FLNG unit and Brazilian terminal and power plant. With lower capital expenditures and an estimated $1 billion in non-core asset sales, we are in an incredible position to deleverage and focus on high return organic growth opportunities," said Wes Edens, NFE president and chief executive officer. </w:t>
      </w:r>
    </w:p>
    <w:p>
      <w:pPr>
        <w:pStyle w:val="TextBody"/>
        <w:bidi w:val="0"/>
        <w:spacing w:before="60" w:after="283"/>
        <w:ind w:left="0" w:right="0" w:hanging="90"/>
        <w:jc w:val="both"/>
        <w:rPr/>
      </w:pPr>
      <w:r>
        <w:rPr/>
      </w:r>
    </w:p>
    <w:p>
      <w:pPr>
        <w:pStyle w:val="TextBody"/>
        <w:bidi w:val="0"/>
        <w:spacing w:lineRule="auto" w:line="288" w:before="60" w:after="283"/>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Composition</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Composition of earnings is transitioning as nearly 100% of third quarter Adjusted EBITDA was generated by contracted downstream assets; we expect more than 85% of 2024 Illustrative Adjusted EBITDA Goals</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will be generated from core infrastructure</w:t>
      </w:r>
      <w:r>
        <w:rPr>
          <w:rFonts w:ascii="Times New Roman;sans-serif" w:hAnsi="Times New Roman;sans-serif"/>
          <w:b w:val="false"/>
          <w:color w:val="000000"/>
          <w:sz w:val="13"/>
        </w:rPr>
        <w:t>(3)</w:t>
      </w:r>
    </w:p>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Puerto Rico</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Operated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150 MW of power at our Palo Seco, Puerto Rico location at approximately 98% utilization since May 2023 COD, and placed another 200+ MW into service in San Juan, Puerto Rico in September at near full utilization within first week of COD</w:t>
      </w:r>
      <w:r>
        <w:rPr>
          <w:rFonts w:ascii="Times New Roman;sans-serif" w:hAnsi="Times New Roman;sans-serif"/>
          <w:b w:val="false"/>
          <w:color w:val="000000"/>
          <w:sz w:val="13"/>
        </w:rPr>
        <w:t>(6)</w: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Fast LNG</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Completed sailaway, installation, and First Gas</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for our first FLNG asset in offshore Altamira, Mexico; First LNG</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and COD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expected by the end of the fourth quarter 2023 </w: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Terminals and Power</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Signed FSRU charter with Petrobras to start operations in Santa Catarina in January 2024</w:t>
      </w:r>
      <w:r>
        <w:rPr>
          <w:rFonts w:ascii="Times New Roman;sans-serif" w:hAnsi="Times New Roman;sans-serif"/>
          <w:b w:val="false"/>
          <w:color w:val="000000"/>
          <w:sz w:val="13"/>
        </w:rPr>
        <w:t>(6)</w:t>
      </w:r>
      <w:r>
        <w:rPr>
          <w:rFonts w:ascii="Times New Roman;sans-serif" w:hAnsi="Times New Roman;sans-serif"/>
          <w:b w:val="false"/>
          <w:color w:val="000000"/>
          <w:sz w:val="20"/>
        </w:rPr>
        <w:t xml:space="preserve">; Santa Catarina is expected to serve a significantly undersupplied gas power market in southern Brazil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La Paz power plant achieved COD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 the third quarter of 2023</w:t>
      </w:r>
      <w:r>
        <w:rPr>
          <w:rFonts w:ascii="Times New Roman;sans-serif" w:hAnsi="Times New Roman;sans-serif"/>
          <w:b w:val="false"/>
          <w:color w:val="000000"/>
          <w:sz w:val="13"/>
        </w:rPr>
        <w:t>(6)</w:t>
      </w:r>
      <w:r>
        <w:rPr>
          <w:color w:val="000000"/>
        </w:rPr>
        <w:t xml:space="preserve">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Barcarena terminal is complete with First Gas</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to Norsk Hydro</w:t>
      </w:r>
      <w:r>
        <w:rPr>
          <w:rFonts w:ascii="Times New Roman;sans-serif" w:hAnsi="Times New Roman;sans-serif"/>
          <w:b w:val="false"/>
          <w:color w:val="000000"/>
          <w:sz w:val="13"/>
        </w:rPr>
        <w:t>(12)</w:t>
      </w:r>
      <w:r>
        <w:rPr>
          <w:color w:val="000000"/>
        </w:rPr>
        <w:t xml:space="preserve"> </w:t>
      </w:r>
      <w:r>
        <w:rPr>
          <w:rFonts w:ascii="Times New Roman;sans-serif" w:hAnsi="Times New Roman;sans-serif"/>
          <w:b w:val="false"/>
          <w:color w:val="000000"/>
          <w:sz w:val="20"/>
        </w:rPr>
        <w:t>on schedule for end of year 2023</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 xml:space="preserve">upon the arrival of our FSRU, which is currently being converted from an LNG carrier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Construction</w:t>
      </w: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of our 630 MW power plant at Barcarena is 37% completed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pursuant to a fixed-price, date-certain EPC contract with Mitsubishi and Toyo Setal; Operations</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are expected to commence in the third quarter of 2025</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pursuant to 25-year PPAs with Brazilian distribution companies</w: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Hydrogen (ZeroParks)</w:t>
      </w:r>
    </w:p>
    <w:p>
      <w:pPr>
        <w:pStyle w:val="TextBody"/>
        <w:bidi w:val="0"/>
        <w:spacing w:lineRule="auto" w:line="268" w:before="60" w:after="283"/>
        <w:ind w:left="0" w:right="0" w:hanging="450"/>
        <w:jc w:val="both"/>
        <w:rPr/>
      </w:pPr>
      <w:r>
        <w:rPr>
          <w:color w:val="000000"/>
        </w:rPr>
        <w:t>▪</w:t>
      </w:r>
      <w:r>
        <w:rPr>
          <w:rFonts w:ascii="Times New Roman;sans-serif" w:hAnsi="Times New Roman;sans-serif"/>
          <w:b w:val="false"/>
          <w:color w:val="000000"/>
          <w:sz w:val="20"/>
        </w:rPr>
        <w:t>Entered into a definitive hydrogen supply agreement with OCI Global in September for 100% of our first project's output; this agreement allows us to expand the scope of our first project from 100 MW to 200 MW, with first bubbles</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expected in the fourth quarter of 2024</w:t>
      </w:r>
      <w:r>
        <w:rPr>
          <w:rFonts w:ascii="Times New Roman;sans-serif" w:hAnsi="Times New Roman;sans-serif"/>
          <w:b w:val="false"/>
          <w:color w:val="000000"/>
          <w:sz w:val="13"/>
        </w:rPr>
        <w:t>(6)</w:t>
      </w:r>
      <w:r>
        <w:rPr>
          <w:rFonts w:ascii="Times New Roman;sans-serif" w:hAnsi="Times New Roman;sans-serif"/>
          <w:b w:val="false"/>
          <w:color w:val="000000"/>
          <w:sz w:val="20"/>
        </w:rPr>
        <w:t>, phase 1 COD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of 100 MW in the first quarter of 2025</w:t>
      </w:r>
      <w:r>
        <w:rPr>
          <w:rFonts w:ascii="Times New Roman;sans-serif" w:hAnsi="Times New Roman;sans-serif"/>
          <w:b w:val="false"/>
          <w:color w:val="000000"/>
          <w:sz w:val="13"/>
        </w:rPr>
        <w:t>(6)</w:t>
      </w:r>
      <w:r>
        <w:rPr>
          <w:rFonts w:ascii="Times New Roman;sans-serif" w:hAnsi="Times New Roman;sans-serif"/>
          <w:b w:val="false"/>
          <w:color w:val="000000"/>
          <w:sz w:val="20"/>
        </w:rPr>
        <w:t>, and phase 2 COD</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of another 100 MW by year end 2025</w:t>
      </w:r>
      <w:r>
        <w:rPr>
          <w:rFonts w:ascii="Times New Roman;sans-serif" w:hAnsi="Times New Roman;sans-serif"/>
          <w:b w:val="false"/>
          <w:color w:val="000000"/>
          <w:sz w:val="13"/>
        </w:rPr>
        <w:t>(6)</w:t>
      </w:r>
      <w:r>
        <w:rPr>
          <w:color w:val="000000"/>
        </w:rPr>
        <w:t xml:space="preserve">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 xml:space="preserve">Signed a definitive agreement with Electric Hydrogen Co. (EH2) for the supply of EH2’s flagship PEM electrolysis technology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We have several other U.S. green hydrogen projects in various stages of Development</w:t>
      </w:r>
      <w:r>
        <w:rPr>
          <w:rFonts w:ascii="Times New Roman;sans-serif" w:hAnsi="Times New Roman;sans-serif"/>
          <w:b w:val="false"/>
          <w:color w:val="000000"/>
          <w:sz w:val="13"/>
        </w:rPr>
        <w:t xml:space="preserve">(13) </w:t>
      </w:r>
      <w:r>
        <w:rPr>
          <w:rFonts w:ascii="Times New Roman;sans-serif" w:hAnsi="Times New Roman;sans-serif"/>
          <w:b w:val="false"/>
          <w:color w:val="000000"/>
          <w:sz w:val="20"/>
        </w:rPr>
        <w:t>with a focus on sites with strategic logistics, low-cost power, and strong regional hydrogen demand</w:t>
      </w:r>
    </w:p>
    <w:p>
      <w:pPr>
        <w:pStyle w:val="TextBody"/>
        <w:bidi w:val="0"/>
        <w:spacing w:lineRule="auto" w:line="288" w:before="60" w:after="283"/>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w:t>
      </w:r>
    </w:p>
    <w:p>
      <w:pPr>
        <w:pStyle w:val="TextBody"/>
        <w:bidi w:val="0"/>
        <w:spacing w:lineRule="auto" w:line="288" w:before="60" w:after="283"/>
        <w:ind w:left="0" w:right="0" w:hanging="450"/>
        <w:jc w:val="both"/>
        <w:rPr/>
      </w:pPr>
      <w:r>
        <w:rPr>
          <w:color w:val="000000"/>
          <w:shd w:fill="FFFFFF" w:val="clear"/>
        </w:rPr>
        <w:t>•</w:t>
      </w:r>
      <w:r>
        <w:rPr>
          <w:rFonts w:ascii="Times New Roman;sans-serif" w:hAnsi="Times New Roman;sans-serif"/>
          <w:b w:val="false"/>
          <w:color w:val="000000"/>
          <w:sz w:val="20"/>
        </w:rPr>
        <w:t>In October, we closed a $856 million term loan at an interest rate of SOFR + 5.00%, which was used to repay the $400 million term loan with Morgan Stanley and for general corporate purposes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In November, we closed $575 million of asset level debt for the construction of our Barcarena power plant</w:t>
      </w:r>
    </w:p>
    <w:p>
      <w:pPr>
        <w:pStyle w:val="TextBody"/>
        <w:bidi w:val="0"/>
        <w:spacing w:lineRule="auto" w:line="288" w:before="60" w:after="283"/>
        <w:ind w:left="0" w:right="0" w:hanging="9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Common dividend</w:t>
      </w:r>
      <w:r>
        <w:rPr>
          <w:rFonts w:ascii="Times New Roman;sans-serif" w:hAnsi="Times New Roman;sans-serif"/>
          <w:b w:val="false"/>
          <w:color w:val="000000"/>
          <w:sz w:val="13"/>
        </w:rPr>
        <w:t>(14)</w:t>
      </w:r>
      <w:r>
        <w:rPr>
          <w:color w:val="000000"/>
        </w:rPr>
        <w:t xml:space="preserve"> </w:t>
      </w:r>
      <w:r>
        <w:rPr>
          <w:rFonts w:ascii="Times New Roman;sans-serif" w:hAnsi="Times New Roman;sans-serif"/>
          <w:b w:val="false"/>
          <w:color w:val="000000"/>
          <w:sz w:val="20"/>
        </w:rPr>
        <w:t>of $0.10 per share expected to be maintained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On November 7, 2023, NFE’s Board of Directors approved a dividend of $0.10 per share, with a record date of December 13, 2023 and a payment date of December 27, 2023</w:t>
      </w:r>
    </w:p>
    <w:p>
      <w:pPr>
        <w:pStyle w:val="TextBody"/>
        <w:bidi w:val="0"/>
        <w:spacing w:before="0" w:after="0"/>
        <w:ind w:left="0" w:right="0" w:firstLine="9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 Highlights</w:t>
      </w:r>
    </w:p>
    <w:tbl>
      <w:tblPr>
        <w:tblW w:w="8305" w:type="dxa"/>
        <w:jc w:val="left"/>
        <w:tblInd w:w="0" w:type="dxa"/>
        <w:tblLayout w:type="fixed"/>
        <w:tblCellMar>
          <w:top w:w="28" w:type="dxa"/>
          <w:left w:w="28" w:type="dxa"/>
          <w:bottom w:w="28" w:type="dxa"/>
          <w:right w:w="28" w:type="dxa"/>
        </w:tblCellMar>
      </w:tblPr>
      <w:tblGrid>
        <w:gridCol w:w="1772"/>
        <w:gridCol w:w="1551"/>
        <w:gridCol w:w="1566"/>
        <w:gridCol w:w="283"/>
        <w:gridCol w:w="846"/>
        <w:gridCol w:w="146"/>
        <w:gridCol w:w="109"/>
        <w:gridCol w:w="109"/>
        <w:gridCol w:w="109"/>
        <w:gridCol w:w="384"/>
        <w:gridCol w:w="1150"/>
        <w:gridCol w:w="280"/>
      </w:tblGrid>
      <w:tr>
        <w:trPr/>
        <w:tc>
          <w:tcPr>
            <w:tcW w:w="177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4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Adjusted net income</w:t>
            </w:r>
            <w:r>
              <w:rPr>
                <w:rFonts w:ascii="Times New Roman;sans-serif" w:hAnsi="Times New Roman;sans-serif"/>
                <w:b w:val="false"/>
                <w:color w:val="000000"/>
                <w:sz w:val="13"/>
              </w:rPr>
              <w:t>(15)</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pPr>
            <w:r>
              <w:rPr>
                <w:rFonts w:ascii="Times New Roman;sans-serif" w:hAnsi="Times New Roman;sans-serif"/>
                <w:b w:val="false"/>
                <w:color w:val="000000"/>
                <w:sz w:val="20"/>
              </w:rPr>
              <w:t>Adjusted EPS</w:t>
            </w:r>
            <w:r>
              <w:rPr>
                <w:rFonts w:ascii="Times New Roman;sans-serif" w:hAnsi="Times New Roman;sans-serif"/>
                <w:b w:val="false"/>
                <w:color w:val="000000"/>
                <w:sz w:val="13"/>
              </w:rPr>
              <w:t>(2)</w:t>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Terminals and Infrastructure Segment Operating Margin</w:t>
            </w:r>
            <w:r>
              <w:rPr>
                <w:rFonts w:ascii="Times New Roman;sans-serif" w:hAnsi="Times New Roman;sans-serif"/>
                <w:b w:val="false"/>
                <w:color w:val="000000"/>
                <w:sz w:val="13"/>
              </w:rPr>
              <w:t>(16)</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val="false"/>
                <w:color w:val="000000"/>
                <w:sz w:val="20"/>
              </w:rPr>
              <w:t>Ships Segment Operating Margin</w:t>
            </w:r>
            <w:r>
              <w:rPr>
                <w:rFonts w:ascii="Times New Roman;sans-serif" w:hAnsi="Times New Roman;sans-serif"/>
                <w:b w:val="false"/>
                <w:color w:val="000000"/>
                <w:sz w:val="13"/>
              </w:rPr>
              <w:t>(16)</w:t>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pPr>
            <w:r>
              <w:rPr>
                <w:rFonts w:ascii="Times New Roman;sans-serif" w:hAnsi="Times New Roman;sans-serif"/>
                <w:b w:val="false"/>
                <w:color w:val="000000"/>
                <w:sz w:val="20"/>
              </w:rPr>
              <w:t>Total Segment Operating Margin</w:t>
            </w:r>
            <w:r>
              <w:rPr>
                <w:rFonts w:ascii="Times New Roman;sans-serif" w:hAnsi="Times New Roman;sans-serif"/>
                <w:b w:val="false"/>
                <w:color w:val="000000"/>
                <w:sz w:val="13"/>
              </w:rPr>
              <w:t>(16)</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color w:val="000000"/>
                <w:sz w:val="20"/>
              </w:rPr>
              <w:t>Adjusted EBITDA</w:t>
            </w:r>
            <w:r>
              <w:rPr>
                <w:rFonts w:ascii="Times New Roman;sans-serif" w:hAnsi="Times New Roman;sans-serif"/>
                <w:b/>
                <w:color w:val="000000"/>
                <w:sz w:val="13"/>
              </w:rPr>
              <w:t>(1)</w:t>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246.5</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208.4</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Please refer to our Q3 2023 Investor Presentation (the “Presentation”) for further information about the following terms:</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1)“Adjusted EBITDA,” see definition and reconciliation of this non-GAAP measure in the exhibits to this press release.</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 “Adjusted EPS” is not a measurement of financial performance under GAAP and should not be considered in isolation or as an alternative to any measure of performance or liquidity derived in accordance with GAAP. We calculate Adjusted EPS as Adjusted Net Income (Note 16 below) divided by the weighted average shares outstanding on a fully diluted basis for the period indicated. We believe this non-GAAP measure, as we have defined it, offers a useful supplemental view of the overall evaluation of the Company in a manner that is consistent with metrics used for management’s evaluation of the Company’s overall performance. Adjusted EPS does not have a standardized meaning, and different companies may use different definitions. Therefore, this term may not be necessarily comparable to similarly titled measures reported by other companies.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3) “Downstream assets” or “contracted downstream assets” or “contracted terminals” represents all our earnings, revenues and all other financial metrics related to our Ships Segment and Terminals and Infrastructure Segment, excluding cargo sales and certain derivative transactions that we believe are associated with cargo sales.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4) “Online”, “Operational”, "Operating", "Completion", "Completed", “COD” or “commercial operation date”, “Deployment” or similar statuses (either capitalized or lower case) with respect to a particular project means we expect gas to be made available in the near future,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have begun. We cannot assure you if or when such projects will reach full commercial operation. Our ability to export liquefied natural gas depends on our ability to obtain export and other permits from governmental and regulatory agencies. No assurance can be given that we will receive required permits, approvals and authorizations from governmental and regulatory agencies in connection with the exportation of liquefied natural gas on a timely basis or at all or that, once received, we will be able to maintain in full force and effect, renew or replace such permits, approvals and authorizations.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5) “First Gas” or “First LNG” refers to the date on which (or, for future dates, management's current estimate of the date on which) natural gas and/or LNG is expected for a project, including a facility in development. Full commercial operation of such project will occur later than, and may occur substantially later than, the date of first gas or first LNG. We cannot assure you if or when such projects will reach the date of delivery of first gas or LNG, or full commercial operations.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6) Lead times and expected development times used in this Presentation indicate our internal evaluations of a project’s expected timeline. They refer to us completing certain stages of projects within a timeframe and within a spectrum of budget parameters that, when taken as a whole, are substantially consistent with our business model. These timeframes include assumptions regarding items that are outside our control, including permitting, weather, supply of equipment and materials, and other potential sources of delay. To the extent that projects have not yet started or are currently under development, we can make no assurance that such projects are on track within the timeline parameters we establish. Additionally, the construction of facilities is inherently subject to the risks of cost overruns and delays. If we are unable to construct, commission, complete and operate any of our facilities as expected, or, when and if constructed, any of them do not accomplish our goals, estimates regarding timelines, budget and savings could be materially and adversely affected.</w:t>
      </w:r>
    </w:p>
    <w:p>
      <w:pPr>
        <w:pStyle w:val="TextBody"/>
        <w:bidi w:val="0"/>
        <w:spacing w:lineRule="auto" w:line="276"/>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7)“Under Construction”, “Development,” “In Development” or similar statuses means that we have taken steps and invested money to develop a facility, including execution of agreements for the development of the project (subject, in certain cases, to satisfaction of conditions precedent),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expect or that each development will be Completed or enter full commercial operations. There can be no assurance that we will be able to enter into the contracts required for the development of these facilities on commercially favorable terms or at all. If we are unable to enter into favorable contracts or to obtain the necessary regulatory and land use approvals on favorable terms, we may not be able to construct these assets as expected, or at all. Additionally, the construction of facilities is inherently subject to the risks of cost overruns and delays.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8) For future periods, Capex or net Capex reflects management’s estimate of total expected cash payments in such period less cash proceeds received by the Company for related asset sales or direct asset financings. Investors are encouraged to review the related GAAP financial measures, and not to rely on any single financial measure to evaluate our business. “Gross capex” includes all expected cash payments in such period without deducting related asset sales or direct asset financings.</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9) Represents management's current assumptions related to the ability to complete non-core asset sales of approximately $1.0 billion in the next 12 months. Actual circumstances could differ materially from the assumptions, and actual performance and results could differ materially from, and there can be no assurance that they will reflect, our corporate goal.</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10)“Illustrative Adjusted EBITDA Goal” means our forward-looking goal for Adjusted EBITDA for the relevant period and is based on the "Illustrative Total Segment Operating Margin Goal" less illustrative Core SGA assumed to be at $160mm for all periods 2024 onward including the pro rata share of Core SG&amp;A from unconsolidated entities. For the purpose of this presentation, we have assumed an average Total Segment Operating Margin between $8.79 and $12.58 per MMBtu for all downstream terminal economics, because we assume that (i) we purchase delivered gas at a weighted average of $7.41 in 2023 and $7.03 in 2024,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our Brazil assets we assume an average delivered cost of gas of $14.66 in 2023 based on industry averages in the region. Illustrative Adjusted EBITDA figures for the fiscal year ended 2023 assume that we generate at least $200 million on gain from Asset Sales in the fiscal year ended 2023 and Illustrative Adjusted EBITDA figures for the fiscal year ended 2024 assume that we generate at least $100 million on gain from Asset Sales in the fiscal year ended 2024. We cannot provide assurance that we will be able to achieve this result. We assume all Brazil terminals and power plants are Operational and earning revenue through fuel sales and capacity charges or other fixed fees. For Vessels chartered to third parties, this measure reflects the revenue from those charters,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$164k per day per vessel. For Fast LNG, this measure reflects the difference between the delivered cost of open LNG and the delivered cost of open market LNG less Fast LNG production cost.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is higher than the cost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Actual circumstances could differ materially from the assumptions, and actual performance and results could differ materially from, and there can be no assurance that they will reflect, our corporate goal.</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11) Reserved</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12) The contract is with a subsidiary of Norsk Hydro.</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13) Reserved</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14) The payment of dividends under the dividend policy will be made at the discretion of the Board and will be subject to the Board's final determination based on a number of factors, including, but not limited to, the Company's financial performance, its available cash resources, the terms of its indebtedness, its cash requirements, credit rating impacts, alternative uses of cash that the Board may conclude would represent an opportunity to generate a greater return on investment for the Company, and restrictions and other factors the Board deems relevant at the time it determines to declare such dividends. The dividend policy may be revised, suspended, or cancelled at the discretion of the Board at any time.</w:t>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15) “Adjusted Net Income” means Net Income attributable to stockholders as presented in the relevant Form 10-K or Form 10-Q for the relevant financial period as adjusted by non-cash impairment charges or losses on disposal of our assets.</w:t>
      </w:r>
    </w:p>
    <w:p>
      <w:pPr>
        <w:pStyle w:val="TextBody"/>
        <w:bidi w:val="0"/>
        <w:spacing w:lineRule="auto" w:line="256"/>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16) “Total Segment Operating Margin” is the total of our Terminals and Infrastructure Segment Operating Margin and Ships Segment Operating Margin. "Terminals and Infrastructure Segment Operating Margin" included our effective share of revenue, expenses and operating margin attributable to our 50% ownership of Centrais Elétricas de Sergipe Participações S.A. (“CELSEPAR”) prior to the Sergipe Sale. "Ships Segment Operating Margin" included our effective share of revenue, expenses and operating margin attributable to our ownership of 50% of the common units of Hilli LLC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prior to the completion of the Hilli Exchange. Hilli LLC owns Golar Hilli Corporation (“Hilli Corp”), the disponent owner of the Hilli.</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Additional Information</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Earnings Conference Call</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will host a conference call on Wednesday, November 8, 2023 at 8:00 A.M. Eastern Time. The conference call may be accessed by dialing (888) 204-4368 (toll free from within the U.S.) or +1-323-994-2093 (from outside of the U.S.) fifteen minutes prior to the scheduled start of the call; please reference “NFE Third Quarter 2023 Earnings Call” or conference code 2259665.</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 simultaneous webcast of the conference call will be available to the public on a listen-only basis at</w:t>
      </w:r>
      <w:r>
        <w:rPr>
          <w:color w:val="000000"/>
        </w:rPr>
        <w:t xml:space="preserve"> </w:t>
      </w:r>
      <w:r>
        <w:rPr>
          <w:rFonts w:ascii="Times New Roman;sans-serif" w:hAnsi="Times New Roman;sans-serif"/>
          <w:b w:val="false"/>
          <w:color w:val="000000"/>
          <w:sz w:val="20"/>
        </w:rPr>
        <w:t xml:space="preserve">www.newfortressenergy.com within the "Investors" tab under “Events &amp; Presentations.” Please allow extra time prior to the call to visit the website and download any necessary software required to listen to the internet broadcast. A replay of the conference call will be available at the same website location shortly after the conclusion of the live call.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About New Fortress Energy Inc.</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Cautionary Statement Concerning Forward-Looking Statements</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our expectation regarding raising external capital; our earnings transition from predominantly open cargos to nearly 100% contracted downstream; the successful development, construction, completion, operation and/or deployment of facilities and the timing of first gas or first LNG, including our FLNG, Brazil, Nicaragua and Puerto Rico projects, on time, within budget and within the expected specifications, capacity and design; our expectation regarding increases in earnings and decreases in capital expenditures beginning in the fourth quarter of 2023 and through 2024, our ability to sell more than $1 billion of non-core assets; our ability to achieve our Illustrative Adjusted EBITDA Goal including the percentage from core downstream infrastructure as well as our expectation regarding cargo sales; our ability to enter into an agreement to increase volumes at our San Juan terminal as well as complete the scheduled expansion; the status of construction of our Barcarena power plant as well as the timing of its expected completion; the status and timing for our expected sale of the La Paz power plant; the status of our hydrogen projects, including the construction of our first plant; our expectation regarding the common dividend; and future strategic plans.; and all the information in the exhibits to this press release.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the risk that proposed transactions may not be completed in a timely manner or at all, including related to the Company’s proposed Asset Sales, including whether a market will develop for such assets and whether the Company will be able to agree to acceptable pricing and other terms offered by potential buyers; inability to successfully develop and implement our technological solutions, including our Fast LNG technology, or that we do not receive the benefits we expect from the Fast LNG technology; cyclical or other changes in the LNG and natural gas industries; competition in the energy industry;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affect our ability to fund our projects; adverse regional, national, or international economic conditions, adverse capital market conditions and adverse political developments;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Investor Relations: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Chance Pipitone</w:t>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ir@newfortressenergy.com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Media Relations: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 Porritt</w:t>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press@newfortressenergy.com</w:t>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(516) 268-7403</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Source: New Fortress Energy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Exhibits – Financial Statements</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For the three months ended June 30, 2023 and September 30, 2023</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(Unaudited, in thousands of U.S. dollars,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6"/>
        <w:gridCol w:w="2141"/>
        <w:gridCol w:w="2169"/>
        <w:gridCol w:w="241"/>
        <w:gridCol w:w="945"/>
        <w:gridCol w:w="120"/>
        <w:gridCol w:w="109"/>
        <w:gridCol w:w="109"/>
        <w:gridCol w:w="109"/>
        <w:gridCol w:w="321"/>
        <w:gridCol w:w="1258"/>
        <w:gridCol w:w="237"/>
      </w:tblGrid>
      <w:tr>
        <w:trPr/>
        <w:tc>
          <w:tcPr>
            <w:tcW w:w="244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4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For the Three Months Ended</w:t>
            </w:r>
            <w:r>
              <w:rPr>
                <w:color w:val="000000"/>
              </w:rPr>
              <w:t xml:space="preserve"> </w:t>
            </w:r>
          </w:p>
        </w:tc>
      </w:tr>
      <w:tr>
        <w:trPr/>
        <w:tc>
          <w:tcPr>
            <w:tcW w:w="67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0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67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left"/>
              <w:rPr>
                <w:color w:val="000000"/>
              </w:rPr>
            </w:pPr>
            <w:r>
              <w:rPr>
                <w:color w:val="000000"/>
              </w:rPr>
              <w:t> </w:t>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420,868 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charter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26,307 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18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561,345 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514,462 </w:t>
            </w:r>
          </w:p>
        </w:tc>
        <w:tc>
          <w:tcPr>
            <w:tcW w:w="237"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191,920 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60,819 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370,380 </w:t>
            </w:r>
          </w:p>
        </w:tc>
        <w:tc>
          <w:tcPr>
            <w:tcW w:w="12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364,868 </w:t>
            </w:r>
          </w:p>
        </w:tc>
        <w:tc>
          <w:tcPr>
            <w:tcW w:w="23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8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190,965 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149,594 </w:t>
            </w:r>
          </w:p>
        </w:tc>
        <w:tc>
          <w:tcPr>
            <w:tcW w:w="237"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64,822 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from equity method investments and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62,338 </w:t>
            </w:r>
          </w:p>
        </w:tc>
        <w:tc>
          <w:tcPr>
            <w:tcW w:w="237"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stockholders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205,045,121 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205,032,928 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diluted</w:t>
            </w:r>
          </w:p>
        </w:tc>
        <w:tc>
          <w:tcPr>
            <w:tcW w:w="13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205,711,467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205,032,928</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three months ended September 30, 2023</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(Unaudited, in thousands of U.S. dollars)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pStyle w:val="TextBody"/>
        <w:bidi w:val="0"/>
        <w:spacing w:lineRule="auto" w:line="288" w:before="0" w:after="0"/>
        <w:jc w:val="both"/>
        <w:rPr/>
      </w:pPr>
      <w:r>
        <w:rPr>
          <w:rFonts w:ascii="Times New Roman;sans-serif" w:hAnsi="Times New Roman;sans-serif"/>
          <w:b w:val="false"/>
          <w:color w:val="000000"/>
          <w:sz w:val="20"/>
        </w:rPr>
        <w:t xml:space="preserve">We calculate Adjusted EBITDA as net income,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transaction and integration costs, contract termination charges and loss on mitigations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our pro rata share of Adjusted EBITDA from certain unconsolidated entities, </w:t>
      </w:r>
      <w:r>
        <w:rPr>
          <w:rFonts w:ascii="Times New Roman;sans-serif" w:hAnsi="Times New Roman;sans-serif"/>
          <w:b w:val="false"/>
          <w:i/>
          <w:color w:val="000000"/>
          <w:sz w:val="20"/>
        </w:rPr>
        <w:t>less</w:t>
      </w:r>
      <w:r>
        <w:rPr>
          <w:color w:val="000000"/>
        </w:rPr>
        <w:t xml:space="preserve"> </w:t>
      </w:r>
      <w:r>
        <w:rPr>
          <w:rFonts w:ascii="Times New Roman;sans-serif" w:hAnsi="Times New Roman;sans-serif"/>
          <w:b w:val="false"/>
          <w:color w:val="000000"/>
          <w:sz w:val="20"/>
        </w:rPr>
        <w:t xml:space="preserve">the impact of equity in earnings (losses) of certain unconsolidated entities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certain non-capitalizable contract acquisition costs.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mathematically equivalent to our Total Segment Operating Margin, as reported in the segment disclosures within our financial statements, minus Core SG&amp;A, including our pro rata share of such expenses of certain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of net income to Adjusted EBITDA for the three months ended September 30, 2022, March 31, 2023, June 30, 2023, and September 30, 2023:</w:t>
      </w:r>
    </w:p>
    <w:tbl>
      <w:tblPr>
        <w:tblW w:w="10205" w:type="dxa"/>
        <w:jc w:val="left"/>
        <w:tblInd w:w="0" w:type="dxa"/>
        <w:tblLayout w:type="fixed"/>
        <w:tblCellMar>
          <w:top w:w="28" w:type="dxa"/>
          <w:left w:w="28" w:type="dxa"/>
          <w:bottom w:w="28" w:type="dxa"/>
          <w:right w:w="28" w:type="dxa"/>
        </w:tblCellMar>
      </w:tblPr>
      <w:tblGrid>
        <w:gridCol w:w="1408"/>
        <w:gridCol w:w="1058"/>
        <w:gridCol w:w="1062"/>
        <w:gridCol w:w="109"/>
        <w:gridCol w:w="109"/>
        <w:gridCol w:w="109"/>
        <w:gridCol w:w="234"/>
        <w:gridCol w:w="901"/>
        <w:gridCol w:w="130"/>
        <w:gridCol w:w="109"/>
        <w:gridCol w:w="109"/>
        <w:gridCol w:w="109"/>
        <w:gridCol w:w="109"/>
        <w:gridCol w:w="109"/>
        <w:gridCol w:w="109"/>
        <w:gridCol w:w="109"/>
        <w:gridCol w:w="109"/>
        <w:gridCol w:w="212"/>
        <w:gridCol w:w="813"/>
        <w:gridCol w:w="118"/>
        <w:gridCol w:w="109"/>
        <w:gridCol w:w="109"/>
        <w:gridCol w:w="109"/>
        <w:gridCol w:w="203"/>
        <w:gridCol w:w="781"/>
        <w:gridCol w:w="113"/>
        <w:gridCol w:w="109"/>
        <w:gridCol w:w="109"/>
        <w:gridCol w:w="109"/>
        <w:gridCol w:w="233"/>
        <w:gridCol w:w="895"/>
        <w:gridCol w:w="191"/>
      </w:tblGrid>
      <w:tr>
        <w:trPr/>
        <w:tc>
          <w:tcPr>
            <w:tcW w:w="14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w:t>
              <w:br/>
              <w:t xml:space="preserve"> Ended </w:t>
              <w:b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w:t>
              <w:br/>
              <w:t xml:space="preserve"> Ended </w:t>
              <w:b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w:t>
              <w:br/>
              <w:t xml:space="preserve"> Ended </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w:t>
              <w:br/>
              <w:t xml:space="preserve"> Ended </w:t>
              <w:br/>
              <w:t>September 30, 2023</w:t>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339,330</w:t>
            </w:r>
            <w:r>
              <w:rPr>
                <w:color w:val="000000"/>
              </w:rPr>
              <w:t> </w:t>
            </w:r>
          </w:p>
        </w:tc>
        <w:tc>
          <w:tcPr>
            <w:tcW w:w="13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480,817</w:t>
            </w:r>
            <w:r>
              <w:rPr>
                <w:color w:val="000000"/>
              </w:rPr>
              <w:t> </w:t>
            </w:r>
          </w:p>
        </w:tc>
        <w:tc>
          <w:tcPr>
            <w:tcW w:w="11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293,834</w:t>
            </w:r>
            <w:r>
              <w:rPr>
                <w:color w:val="000000"/>
              </w:rPr>
              <w:t> </w:t>
            </w:r>
          </w:p>
        </w:tc>
        <w:tc>
          <w:tcPr>
            <w:tcW w:w="11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249,687</w:t>
            </w:r>
            <w:r>
              <w:rPr>
                <w:color w:val="000000"/>
              </w:rPr>
              <w:t> </w:t>
            </w:r>
          </w:p>
        </w:tc>
        <w:tc>
          <w:tcPr>
            <w:tcW w:w="1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Core SG&amp;A (see definition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41,289 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Pro rata share Core SG&amp;A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1"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290,747</w:t>
            </w:r>
            <w:r>
              <w:rPr>
                <w:color w:val="000000"/>
              </w:rPr>
              <w:t> </w:t>
            </w:r>
          </w:p>
        </w:tc>
        <w:tc>
          <w:tcPr>
            <w:tcW w:w="13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3"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439,736</w:t>
            </w:r>
            <w:r>
              <w:rPr>
                <w:color w:val="000000"/>
              </w:rPr>
              <w:t> </w:t>
            </w:r>
          </w:p>
        </w:tc>
        <w:tc>
          <w:tcPr>
            <w:tcW w:w="11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246,453</w:t>
            </w:r>
            <w:r>
              <w:rPr>
                <w:color w:val="000000"/>
              </w:rPr>
              <w:t> </w:t>
            </w:r>
          </w:p>
        </w:tc>
        <w:tc>
          <w:tcPr>
            <w:tcW w:w="11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208,398</w:t>
            </w:r>
            <w:r>
              <w:rPr>
                <w:color w:val="000000"/>
              </w:rPr>
              <w:t> </w:t>
            </w:r>
          </w:p>
        </w:tc>
        <w:tc>
          <w:tcPr>
            <w:tcW w:w="19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56,231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151,566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120,100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62,338</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64,822 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25,194 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48,670 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SG&amp;A items excluded from Core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Changes in fair value of non-hedge derivative instruments and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Loss on extinguishment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Pro rata share of Adjusted EBITDA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Loss (income)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Contract acquisition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290,747</w:t>
            </w:r>
            <w:r>
              <w:rPr>
                <w:color w:val="000000"/>
              </w:rPr>
              <w:t> </w:t>
            </w:r>
          </w:p>
        </w:tc>
        <w:tc>
          <w:tcPr>
            <w:tcW w:w="13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439,736</w:t>
            </w:r>
            <w:r>
              <w:rPr>
                <w:color w:val="000000"/>
              </w:rPr>
              <w:t> </w:t>
            </w:r>
          </w:p>
        </w:tc>
        <w:tc>
          <w:tcPr>
            <w:tcW w:w="11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246,453</w:t>
            </w:r>
            <w:r>
              <w:rPr>
                <w:color w:val="000000"/>
              </w:rPr>
              <w:t> </w:t>
            </w:r>
          </w:p>
        </w:tc>
        <w:tc>
          <w:tcPr>
            <w:tcW w:w="11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208,398</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(Unaudited, in thousands of U.S. dollars)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interest expense, other (income) expense, loss on extinguishment of debt, net, (income) loss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2"/>
        <w:gridCol w:w="599"/>
        <w:gridCol w:w="601"/>
        <w:gridCol w:w="336"/>
        <w:gridCol w:w="1343"/>
        <w:gridCol w:w="174"/>
        <w:gridCol w:w="109"/>
        <w:gridCol w:w="109"/>
        <w:gridCol w:w="109"/>
        <w:gridCol w:w="211"/>
        <w:gridCol w:w="736"/>
        <w:gridCol w:w="109"/>
        <w:gridCol w:w="109"/>
        <w:gridCol w:w="109"/>
        <w:gridCol w:w="109"/>
        <w:gridCol w:w="222"/>
        <w:gridCol w:w="886"/>
        <w:gridCol w:w="114"/>
        <w:gridCol w:w="109"/>
        <w:gridCol w:w="109"/>
        <w:gridCol w:w="109"/>
        <w:gridCol w:w="374"/>
        <w:gridCol w:w="853"/>
        <w:gridCol w:w="193"/>
        <w:gridCol w:w="109"/>
        <w:gridCol w:w="109"/>
        <w:gridCol w:w="109"/>
        <w:gridCol w:w="218"/>
        <w:gridCol w:w="869"/>
        <w:gridCol w:w="167"/>
      </w:tblGrid>
      <w:tr>
        <w:trPr/>
        <w:tc>
          <w:tcPr>
            <w:tcW w:w="89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09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85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xml:space="preserve">Terminals and Infrastructure </w:t>
            </w:r>
            <w:r>
              <w:rPr>
                <w:color w:val="000000"/>
              </w:rPr>
              <w:t>⁽</w:t>
            </w:r>
            <w:r>
              <w:rPr>
                <w:rFonts w:ascii="Times New Roman;sans-serif" w:hAnsi="Times New Roman;sans-serif"/>
                <w:b/>
                <w:color w:val="000000"/>
                <w:sz w:val="10"/>
              </w:rPr>
              <w:t>1</w:t>
            </w:r>
            <w:r>
              <w:rPr>
                <w:color w:val="000000"/>
              </w:rPr>
              <w: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 and</w:t>
            </w:r>
          </w:p>
          <w:p>
            <w:pPr>
              <w:pStyle w:val="TableContents"/>
              <w:bidi w:val="0"/>
              <w:spacing w:lineRule="auto" w:line="276" w:before="0" w:after="0"/>
              <w:jc w:val="center"/>
              <w:rPr/>
            </w:pPr>
            <w:r>
              <w:rPr>
                <w:color w:val="000000"/>
              </w:rPr>
              <w:t> </w:t>
            </w:r>
            <w:r>
              <w:rPr>
                <w:rFonts w:ascii="Times New Roman;sans-serif" w:hAnsi="Times New Roman;sans-serif"/>
                <w:b/>
                <w:color w:val="000000"/>
                <w:sz w:val="20"/>
              </w:rPr>
              <w:t xml:space="preserve">Other </w:t>
            </w:r>
            <w:r>
              <w:rPr>
                <w:color w:val="000000"/>
              </w:rPr>
              <w:t>⁽</w:t>
            </w:r>
            <w:r>
              <w:rPr>
                <w:rFonts w:ascii="Times New Roman;sans-serif" w:hAnsi="Times New Roman;sans-serif"/>
                <w:b/>
                <w:color w:val="000000"/>
                <w:sz w:val="10"/>
              </w:rPr>
              <w:t>1</w:t>
            </w:r>
            <w:r>
              <w:rPr>
                <w:color w:val="000000"/>
              </w:rPr>
              <w:t xml:space="preserve">⁾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ind w:left="0" w:right="0" w:hanging="144"/>
              <w:jc w:val="center"/>
              <w:rPr/>
            </w:pPr>
            <w:r>
              <w:rPr>
                <w:rFonts w:ascii="Times New Roman;sans-serif" w:hAnsi="Times New Roman;sans-serif"/>
                <w:b/>
                <w:color w:val="000000"/>
                <w:sz w:val="20"/>
              </w:rPr>
              <w:t>Consolidated</w:t>
            </w:r>
            <w:r>
              <w:rPr>
                <w:color w:val="000000"/>
              </w:rPr>
              <w:t xml:space="preserve"> </w:t>
            </w:r>
          </w:p>
        </w:tc>
      </w:tr>
      <w:tr>
        <w:trPr/>
        <w:tc>
          <w:tcPr>
            <w:tcW w:w="2092"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194,743</w:t>
            </w:r>
            <w:r>
              <w:rPr>
                <w:color w:val="000000"/>
              </w:rPr>
              <w:t> </w:t>
            </w:r>
          </w:p>
        </w:tc>
        <w:tc>
          <w:tcPr>
            <w:tcW w:w="17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54,944</w:t>
            </w: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249,687</w:t>
            </w:r>
            <w:r>
              <w:rPr>
                <w:color w:val="000000"/>
              </w:rPr>
              <w:t> </w:t>
            </w:r>
          </w:p>
        </w:tc>
        <w:tc>
          <w:tcPr>
            <w:tcW w:w="11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423</w:t>
            </w:r>
            <w:r>
              <w:rPr>
                <w:color w:val="000000"/>
              </w:rPr>
              <w:t> </w:t>
            </w:r>
          </w:p>
        </w:tc>
        <w:tc>
          <w:tcPr>
            <w:tcW w:w="19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250,110</w:t>
            </w:r>
            <w:r>
              <w:rPr>
                <w:color w:val="000000"/>
              </w:rPr>
              <w:t> </w:t>
            </w:r>
          </w:p>
        </w:tc>
        <w:tc>
          <w:tcPr>
            <w:tcW w:w="16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 xml:space="preserve">Consolidation and Other also adjusts for the exclusion of the unrealized mark-to-market gain or loss on derivative instruments in our segment measure.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92"/>
        <w:gridCol w:w="599"/>
        <w:gridCol w:w="602"/>
        <w:gridCol w:w="336"/>
        <w:gridCol w:w="1343"/>
        <w:gridCol w:w="174"/>
        <w:gridCol w:w="109"/>
        <w:gridCol w:w="109"/>
        <w:gridCol w:w="109"/>
        <w:gridCol w:w="211"/>
        <w:gridCol w:w="736"/>
        <w:gridCol w:w="109"/>
        <w:gridCol w:w="109"/>
        <w:gridCol w:w="109"/>
        <w:gridCol w:w="109"/>
        <w:gridCol w:w="222"/>
        <w:gridCol w:w="886"/>
        <w:gridCol w:w="114"/>
        <w:gridCol w:w="109"/>
        <w:gridCol w:w="109"/>
        <w:gridCol w:w="109"/>
        <w:gridCol w:w="314"/>
        <w:gridCol w:w="942"/>
        <w:gridCol w:w="163"/>
        <w:gridCol w:w="109"/>
        <w:gridCol w:w="109"/>
        <w:gridCol w:w="109"/>
        <w:gridCol w:w="218"/>
        <w:gridCol w:w="869"/>
        <w:gridCol w:w="167"/>
      </w:tblGrid>
      <w:tr>
        <w:trPr/>
        <w:tc>
          <w:tcPr>
            <w:tcW w:w="89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209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85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xml:space="preserve">Terminals and Infrastructure </w:t>
            </w:r>
            <w:r>
              <w:rPr>
                <w:color w:val="000000"/>
              </w:rPr>
              <w:t>⁽</w:t>
            </w:r>
            <w:r>
              <w:rPr>
                <w:rFonts w:ascii="Times New Roman;sans-serif" w:hAnsi="Times New Roman;sans-serif"/>
                <w:b/>
                <w:color w:val="000000"/>
                <w:sz w:val="10"/>
              </w:rPr>
              <w:t>1</w:t>
            </w:r>
            <w:r>
              <w:rPr>
                <w:color w:val="000000"/>
              </w:rPr>
              <w: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 and</w:t>
            </w:r>
          </w:p>
          <w:p>
            <w:pPr>
              <w:pStyle w:val="TableContents"/>
              <w:bidi w:val="0"/>
              <w:spacing w:lineRule="auto" w:line="276" w:before="0" w:after="0"/>
              <w:jc w:val="center"/>
              <w:rPr/>
            </w:pPr>
            <w:r>
              <w:rPr>
                <w:color w:val="000000"/>
              </w:rPr>
              <w:t> </w:t>
            </w:r>
            <w:r>
              <w:rPr>
                <w:rFonts w:ascii="Times New Roman;sans-serif" w:hAnsi="Times New Roman;sans-serif"/>
                <w:b/>
                <w:color w:val="000000"/>
                <w:sz w:val="20"/>
              </w:rPr>
              <w:t xml:space="preserve">Other </w:t>
            </w:r>
            <w:r>
              <w:rPr>
                <w:color w:val="000000"/>
              </w:rPr>
              <w:t>⁽</w:t>
            </w:r>
            <w:r>
              <w:rPr>
                <w:rFonts w:ascii="Times New Roman;sans-serif" w:hAnsi="Times New Roman;sans-serif"/>
                <w:b/>
                <w:color w:val="000000"/>
                <w:sz w:val="10"/>
              </w:rPr>
              <w:t>1</w:t>
            </w:r>
            <w:r>
              <w:rPr>
                <w:color w:val="000000"/>
              </w:rPr>
              <w:t xml:space="preserve">⁾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ind w:left="0" w:right="0" w:hanging="144"/>
              <w:jc w:val="center"/>
              <w:rPr/>
            </w:pPr>
            <w:r>
              <w:rPr>
                <w:rFonts w:ascii="Times New Roman;sans-serif" w:hAnsi="Times New Roman;sans-serif"/>
                <w:b/>
                <w:color w:val="000000"/>
                <w:sz w:val="20"/>
              </w:rPr>
              <w:t>Consolidated</w:t>
            </w:r>
            <w:r>
              <w:rPr>
                <w:color w:val="000000"/>
              </w:rPr>
              <w:t xml:space="preserve"> </w:t>
            </w:r>
          </w:p>
        </w:tc>
      </w:tr>
      <w:tr>
        <w:trPr/>
        <w:tc>
          <w:tcPr>
            <w:tcW w:w="2093"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239,436</w:t>
            </w:r>
            <w:r>
              <w:rPr>
                <w:color w:val="000000"/>
              </w:rPr>
              <w:t> </w:t>
            </w:r>
          </w:p>
        </w:tc>
        <w:tc>
          <w:tcPr>
            <w:tcW w:w="17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54,398</w:t>
            </w: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293,834</w:t>
            </w:r>
            <w:r>
              <w:rPr>
                <w:color w:val="000000"/>
              </w:rPr>
              <w:t> </w:t>
            </w:r>
          </w:p>
        </w:tc>
        <w:tc>
          <w:tcPr>
            <w:tcW w:w="11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(3,397)</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290,437</w:t>
            </w:r>
            <w:r>
              <w:rPr>
                <w:color w:val="000000"/>
              </w:rPr>
              <w:t> </w:t>
            </w:r>
          </w:p>
        </w:tc>
        <w:tc>
          <w:tcPr>
            <w:tcW w:w="16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85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 xml:space="preserve">The Company has excluded contract acquisition costs that do not meet the criteria for capitalization from the segment measure. Contract acquisition costs of $6,232 for the three months ended June 30, 2023 reconcile Cost of sales in the segment measure to Cost of sales in the condensed consolidated statements of operations and comprehensive income (loss). Consolidation and Other also adjusts for the exclusion of the unrealized mark-to-market gain or loss on derivative instruments in our segment measure.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04"/>
        <w:gridCol w:w="615"/>
        <w:gridCol w:w="617"/>
        <w:gridCol w:w="326"/>
        <w:gridCol w:w="1302"/>
        <w:gridCol w:w="169"/>
        <w:gridCol w:w="109"/>
        <w:gridCol w:w="109"/>
        <w:gridCol w:w="109"/>
        <w:gridCol w:w="211"/>
        <w:gridCol w:w="736"/>
        <w:gridCol w:w="109"/>
        <w:gridCol w:w="109"/>
        <w:gridCol w:w="109"/>
        <w:gridCol w:w="109"/>
        <w:gridCol w:w="222"/>
        <w:gridCol w:w="889"/>
        <w:gridCol w:w="115"/>
        <w:gridCol w:w="109"/>
        <w:gridCol w:w="109"/>
        <w:gridCol w:w="109"/>
        <w:gridCol w:w="258"/>
        <w:gridCol w:w="1034"/>
        <w:gridCol w:w="134"/>
        <w:gridCol w:w="109"/>
        <w:gridCol w:w="109"/>
        <w:gridCol w:w="109"/>
        <w:gridCol w:w="218"/>
        <w:gridCol w:w="871"/>
        <w:gridCol w:w="167"/>
      </w:tblGrid>
      <w:tr>
        <w:trPr/>
        <w:tc>
          <w:tcPr>
            <w:tcW w:w="90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13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79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 Infrastructure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20"/>
              </w:rPr>
              <w:t xml:space="preserve">Ships </w:t>
            </w:r>
            <w:r>
              <w:rPr>
                <w:color w:val="000000"/>
              </w:rPr>
              <w:t>⁽</w:t>
            </w:r>
            <w:r>
              <w:rPr>
                <w:rFonts w:ascii="Times New Roman;sans-serif" w:hAnsi="Times New Roman;sans-serif"/>
                <w:b/>
                <w:color w:val="000000"/>
                <w:sz w:val="10"/>
              </w:rPr>
              <w:t>1</w:t>
            </w:r>
            <w:r>
              <w:rPr>
                <w:color w:val="000000"/>
              </w:rPr>
              <w: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 and</w:t>
            </w:r>
          </w:p>
          <w:p>
            <w:pPr>
              <w:pStyle w:val="TableContents"/>
              <w:bidi w:val="0"/>
              <w:spacing w:lineRule="auto" w:line="276" w:before="0" w:after="0"/>
              <w:jc w:val="center"/>
              <w:rPr/>
            </w:pPr>
            <w:r>
              <w:rPr>
                <w:color w:val="000000"/>
              </w:rPr>
              <w:t> </w:t>
            </w:r>
            <w:r>
              <w:rPr>
                <w:rFonts w:ascii="Times New Roman;sans-serif" w:hAnsi="Times New Roman;sans-serif"/>
                <w:b/>
                <w:color w:val="000000"/>
                <w:sz w:val="20"/>
              </w:rPr>
              <w:t xml:space="preserve">Other </w:t>
            </w:r>
            <w:r>
              <w:rPr>
                <w:color w:val="000000"/>
              </w:rPr>
              <w:t>⁽</w:t>
            </w:r>
            <w:r>
              <w:rPr>
                <w:rFonts w:ascii="Times New Roman;sans-serif" w:hAnsi="Times New Roman;sans-serif"/>
                <w:b/>
                <w:color w:val="000000"/>
                <w:sz w:val="10"/>
              </w:rPr>
              <w:t>2</w:t>
            </w:r>
            <w:r>
              <w:rPr>
                <w:color w:val="000000"/>
              </w:rPr>
              <w:t xml:space="preserve">⁾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ind w:left="0" w:right="0" w:hanging="144"/>
              <w:jc w:val="center"/>
              <w:rPr/>
            </w:pPr>
            <w:r>
              <w:rPr>
                <w:rFonts w:ascii="Times New Roman;sans-serif" w:hAnsi="Times New Roman;sans-serif"/>
                <w:b/>
                <w:color w:val="000000"/>
                <w:sz w:val="20"/>
              </w:rPr>
              <w:t>Consolidated</w:t>
            </w:r>
            <w:r>
              <w:rPr>
                <w:color w:val="000000"/>
              </w:rPr>
              <w:t xml:space="preserve"> </w:t>
            </w:r>
          </w:p>
        </w:tc>
      </w:tr>
      <w:tr>
        <w:trPr/>
        <w:tc>
          <w:tcPr>
            <w:tcW w:w="213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402,139</w:t>
            </w:r>
            <w:r>
              <w:rPr>
                <w:color w:val="000000"/>
              </w:rPr>
              <w:t> </w:t>
            </w:r>
          </w:p>
        </w:tc>
        <w:tc>
          <w:tcPr>
            <w:tcW w:w="16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78,678</w:t>
            </w: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480,817</w:t>
            </w:r>
            <w:r>
              <w:rPr>
                <w:color w:val="000000"/>
              </w:rPr>
              <w:t> </w:t>
            </w:r>
          </w:p>
        </w:tc>
        <w:tc>
          <w:tcPr>
            <w:tcW w:w="11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(126,586)</w:t>
            </w:r>
          </w:p>
        </w:tc>
        <w:tc>
          <w:tcPr>
            <w:tcW w:w="13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354,231</w:t>
            </w:r>
            <w:r>
              <w:rPr>
                <w:color w:val="000000"/>
              </w:rPr>
              <w:t> </w:t>
            </w:r>
          </w:p>
        </w:tc>
        <w:tc>
          <w:tcPr>
            <w:tcW w:w="16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Ships includes our effective share of revenues, expenses and operating margin attributable to our 50% ownership of Hilli LLC, prior to the disposition of this investment. The earnings attributable to the investment of $5,986 for the three months ended March 31, 2023 are reported in income from equity method investments in the condensed consolidated statements of operations and comprehensive income.</w:t>
      </w:r>
    </w:p>
    <w:p>
      <w:pPr>
        <w:pStyle w:val="TextBody"/>
        <w:bidi w:val="0"/>
        <w:spacing w:lineRule="auto" w:line="276"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rPr>
        <w:t>Consolidation and Other adjusts for the inclusion of the effective share of revenues, expenses and operating margin attributable to 50% ownership of Hilli LLC in our segment measure and exclusion of the unrealized mark-to-market gain or loss on derivative instruments.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51"/>
        <w:gridCol w:w="586"/>
        <w:gridCol w:w="588"/>
        <w:gridCol w:w="330"/>
        <w:gridCol w:w="1321"/>
        <w:gridCol w:w="171"/>
        <w:gridCol w:w="109"/>
        <w:gridCol w:w="109"/>
        <w:gridCol w:w="109"/>
        <w:gridCol w:w="211"/>
        <w:gridCol w:w="736"/>
        <w:gridCol w:w="109"/>
        <w:gridCol w:w="109"/>
        <w:gridCol w:w="109"/>
        <w:gridCol w:w="109"/>
        <w:gridCol w:w="221"/>
        <w:gridCol w:w="884"/>
        <w:gridCol w:w="114"/>
        <w:gridCol w:w="109"/>
        <w:gridCol w:w="109"/>
        <w:gridCol w:w="109"/>
        <w:gridCol w:w="284"/>
        <w:gridCol w:w="996"/>
        <w:gridCol w:w="149"/>
        <w:gridCol w:w="109"/>
        <w:gridCol w:w="109"/>
        <w:gridCol w:w="109"/>
        <w:gridCol w:w="216"/>
        <w:gridCol w:w="864"/>
        <w:gridCol w:w="166"/>
      </w:tblGrid>
      <w:tr>
        <w:trPr/>
        <w:tc>
          <w:tcPr>
            <w:tcW w:w="9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r>
      <w:tr>
        <w:trPr/>
        <w:tc>
          <w:tcPr>
            <w:tcW w:w="212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82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Terminals and Infrastructure </w:t>
            </w:r>
            <w:r>
              <w:rPr>
                <w:rFonts w:ascii="Times New Roman;sans-serif" w:hAnsi="Times New Roman;sans-serif"/>
                <w:b/>
                <w:color w:val="000000"/>
                <w:sz w:val="13"/>
              </w:rPr>
              <w:t>(1)</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20"/>
              </w:rPr>
              <w:t>Ships ⁽</w:t>
            </w:r>
            <w:r>
              <w:rPr>
                <w:rFonts w:ascii="Times New Roman;sans-serif" w:hAnsi="Times New Roman;sans-serif"/>
                <w:b/>
                <w:color w:val="000000"/>
                <w:sz w:val="10"/>
              </w:rPr>
              <w:t>2</w:t>
            </w:r>
            <w:r>
              <w:rPr>
                <w:color w:val="000000"/>
              </w:rPr>
              <w: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Consolidation and </w:t>
              <w:br/>
              <w:t xml:space="preserve">Other ⁽3⁾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w:t>
            </w:r>
          </w:p>
        </w:tc>
      </w:tr>
      <w:tr>
        <w:trPr/>
        <w:tc>
          <w:tcPr>
            <w:tcW w:w="21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3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251,469</w:t>
            </w:r>
            <w:r>
              <w:rPr>
                <w:color w:val="000000"/>
              </w:rPr>
              <w:t>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87,861</w:t>
            </w: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339,330</w:t>
            </w:r>
            <w:r>
              <w:rPr>
                <w:color w:val="000000"/>
              </w:rPr>
              <w:t> </w:t>
            </w:r>
          </w:p>
        </w:tc>
        <w:tc>
          <w:tcPr>
            <w:tcW w:w="11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(43,581)</w:t>
            </w:r>
          </w:p>
        </w:tc>
        <w:tc>
          <w:tcPr>
            <w:tcW w:w="14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295,749</w:t>
            </w:r>
            <w:r>
              <w:rPr>
                <w:color w:val="000000"/>
              </w:rPr>
              <w:t> </w:t>
            </w:r>
          </w:p>
        </w:tc>
        <w:tc>
          <w:tcPr>
            <w:tcW w:w="16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67,601 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35,793 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extinguishment of debt</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82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 xml:space="preserve">Terminals and Infrastructure includes the Company's effective share of revenues, expenses and operating margin attributable to 50% ownership of CELSEPAR. The losses attributable to the investment of $44,559 for the three months ended September 30, 2022 are reported in (loss) income from equity method investments in the consolidated statements of operations and comprehensive income (loss). </w:t>
      </w:r>
    </w:p>
    <w:p>
      <w:pPr>
        <w:pStyle w:val="TextBody"/>
        <w:bidi w:val="0"/>
        <w:spacing w:lineRule="auto" w:line="276" w:before="0" w:after="0"/>
        <w:ind w:left="0" w:right="0" w:hanging="360"/>
        <w:jc w:val="left"/>
        <w:rPr/>
      </w:pPr>
      <w:r>
        <w:rPr>
          <w:rFonts w:ascii="Times New Roman;sans-serif" w:hAnsi="Times New Roman;sans-serif"/>
          <w:b w:val="false"/>
          <w:color w:val="000000"/>
          <w:sz w:val="16"/>
        </w:rPr>
        <w:t>(2)</w:t>
      </w:r>
      <w:r>
        <w:rPr>
          <w:rFonts w:ascii="Times New Roman;sans-serif" w:hAnsi="Times New Roman;sans-serif"/>
          <w:b w:val="false"/>
          <w:color w:val="000000"/>
          <w:sz w:val="20"/>
        </w:rPr>
        <w:t>Ships includes the Company's effective share of revenues, expenses and operating margin attributable to 50% ownership of the Hilli Common Units. The earnings attributable to the investment of $12,825 for the three months ended September 30, 2022 are reported in (loss) income from equity method investments in the condensed consolidated statements of operations and comprehensive income (loss).</w:t>
      </w:r>
    </w:p>
    <w:p>
      <w:pPr>
        <w:pStyle w:val="TextBody"/>
        <w:bidi w:val="0"/>
        <w:spacing w:lineRule="auto" w:line="276" w:before="0" w:after="0"/>
        <w:ind w:left="0" w:right="0" w:hanging="360"/>
        <w:jc w:val="left"/>
        <w:rPr/>
      </w:pPr>
      <w:r>
        <w:rPr>
          <w:rFonts w:ascii="Times New Roman;sans-serif" w:hAnsi="Times New Roman;sans-serif"/>
          <w:b w:val="false"/>
          <w:color w:val="000000"/>
          <w:sz w:val="16"/>
        </w:rPr>
        <w:t>(3)</w:t>
      </w:r>
      <w:r>
        <w:rPr>
          <w:rFonts w:ascii="Times New Roman;sans-serif" w:hAnsi="Times New Roman;sans-serif"/>
          <w:b w:val="false"/>
          <w:color w:val="000000"/>
          <w:sz w:val="20"/>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Adjusted Net Income and Adjusted Earnings per Share</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(Unaudited, in thousands of U.S. dollars)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between net income attributable to stockholders and earnings per share adjusted for non-cash impairment charges and losses on disposals of assets.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8"/>
        <w:gridCol w:w="543"/>
        <w:gridCol w:w="545"/>
        <w:gridCol w:w="109"/>
        <w:gridCol w:w="109"/>
        <w:gridCol w:w="109"/>
        <w:gridCol w:w="109"/>
        <w:gridCol w:w="109"/>
        <w:gridCol w:w="109"/>
        <w:gridCol w:w="405"/>
        <w:gridCol w:w="1123"/>
        <w:gridCol w:w="148"/>
        <w:gridCol w:w="109"/>
        <w:gridCol w:w="109"/>
        <w:gridCol w:w="109"/>
        <w:gridCol w:w="399"/>
        <w:gridCol w:w="1099"/>
        <w:gridCol w:w="145"/>
        <w:gridCol w:w="109"/>
        <w:gridCol w:w="109"/>
        <w:gridCol w:w="109"/>
        <w:gridCol w:w="515"/>
        <w:gridCol w:w="1067"/>
        <w:gridCol w:w="161"/>
        <w:gridCol w:w="410"/>
        <w:gridCol w:w="1141"/>
        <w:gridCol w:w="218"/>
      </w:tblGrid>
      <w:tr>
        <w:trPr/>
        <w:tc>
          <w:tcPr>
            <w:tcW w:w="97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330,675 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 charges, net of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investment in Hilli LLC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187,607 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368,076 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209,325,619 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205,711,467 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205,032,928 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206,804,833 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As of September 30, 2023 and December 31, 2022</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(Unaudited, in thousands of U.S. dollars, except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55"/>
        <w:gridCol w:w="2196"/>
        <w:gridCol w:w="2207"/>
        <w:gridCol w:w="224"/>
        <w:gridCol w:w="998"/>
        <w:gridCol w:w="124"/>
        <w:gridCol w:w="109"/>
        <w:gridCol w:w="109"/>
        <w:gridCol w:w="109"/>
        <w:gridCol w:w="220"/>
        <w:gridCol w:w="978"/>
        <w:gridCol w:w="176"/>
      </w:tblGrid>
      <w:tr>
        <w:trPr/>
        <w:tc>
          <w:tcPr>
            <w:tcW w:w="275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34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left"/>
              <w:rPr>
                <w:color w:val="000000"/>
              </w:rPr>
            </w:pPr>
            <w:r>
              <w:rPr>
                <w:color w:val="000000"/>
              </w:rPr>
              <w:t> </w:t>
            </w:r>
          </w:p>
        </w:tc>
      </w:tr>
      <w:tr>
        <w:trPr/>
        <w:tc>
          <w:tcPr>
            <w:tcW w:w="71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3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left"/>
              <w:rPr>
                <w:color w:val="000000"/>
              </w:rPr>
            </w:pPr>
            <w:r>
              <w:rPr>
                <w:color w:val="000000"/>
              </w:rPr>
              <w:t> </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675,492 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165,396</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 of allowances of $1,133 and $884, respectively</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280,313</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39,070</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net</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226,883</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122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866,201 </w:t>
            </w:r>
          </w:p>
        </w:tc>
        <w:tc>
          <w:tcPr>
            <w:tcW w:w="12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1,387,154</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in progress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2,418,608</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2,563,871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2,116,727</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392,306</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377,877</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85,897</w:t>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776,760</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8,074</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 net</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141,679</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24"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8"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9,796,370 </w:t>
            </w:r>
          </w:p>
        </w:tc>
        <w:tc>
          <w:tcPr>
            <w:tcW w:w="12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8" w:type="dxa"/>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7,705,082 </w:t>
            </w:r>
          </w:p>
        </w:tc>
        <w:tc>
          <w:tcPr>
            <w:tcW w:w="176"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 and short-term borrowings</w:t>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64,820 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80,387</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1,162,412</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lease liabilities</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48,741</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52,878</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134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1,409,238</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5,897,528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4,476,865</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lease liabilities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302,121</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25,989</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49,010</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34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6,263,223</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4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750 million shares authorized, 205.0 million issued and outstanding as of September 30, 2023; 208.8 million issued and outstanding as of December 31, 2022</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2,088</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1,170,254</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62,080</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other comprehensive income </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55,398</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 attributable to NFE</w:t>
            </w:r>
          </w:p>
        </w:tc>
        <w:tc>
          <w:tcPr>
            <w:tcW w:w="134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1,289,820</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152,039</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34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6"/>
              </w:rPr>
            </w:pPr>
            <w:r>
              <w:rPr>
                <w:rFonts w:ascii="Times New Roman;sans-serif" w:hAnsi="Times New Roman;sans-serif"/>
                <w:b w:val="false"/>
                <w:color w:val="000000"/>
                <w:sz w:val="16"/>
              </w:rPr>
              <w:t>1,441,859</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24"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8"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9,796,370 </w:t>
            </w:r>
          </w:p>
        </w:tc>
        <w:tc>
          <w:tcPr>
            <w:tcW w:w="124"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8"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7,705,082 </w:t>
            </w:r>
          </w:p>
        </w:tc>
        <w:tc>
          <w:tcPr>
            <w:tcW w:w="17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2023 and 2022</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(Unaudited, in thousands of U.S. dollars,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9"/>
        <w:gridCol w:w="1368"/>
        <w:gridCol w:w="1391"/>
        <w:gridCol w:w="223"/>
        <w:gridCol w:w="835"/>
        <w:gridCol w:w="119"/>
        <w:gridCol w:w="119"/>
        <w:gridCol w:w="119"/>
        <w:gridCol w:w="119"/>
        <w:gridCol w:w="223"/>
        <w:gridCol w:w="835"/>
        <w:gridCol w:w="119"/>
        <w:gridCol w:w="109"/>
        <w:gridCol w:w="109"/>
        <w:gridCol w:w="109"/>
        <w:gridCol w:w="196"/>
        <w:gridCol w:w="871"/>
        <w:gridCol w:w="109"/>
        <w:gridCol w:w="109"/>
        <w:gridCol w:w="109"/>
        <w:gridCol w:w="109"/>
        <w:gridCol w:w="196"/>
        <w:gridCol w:w="871"/>
        <w:gridCol w:w="159"/>
      </w:tblGrid>
      <w:tr>
        <w:trPr/>
        <w:tc>
          <w:tcPr>
            <w:tcW w:w="167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1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Three Months Ended September 30,</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Nine Months Ended September 30,</w:t>
            </w:r>
            <w:r>
              <w:rPr>
                <w:color w:val="000000"/>
              </w:rPr>
              <w:t xml:space="preserve"> </w:t>
            </w:r>
          </w:p>
        </w:tc>
      </w:tr>
      <w:tr>
        <w:trPr/>
        <w:tc>
          <w:tcPr>
            <w:tcW w:w="443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7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632,684 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1,529,999 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Vessel charter revenue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260,414 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31,490 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revenues</w:t>
            </w:r>
          </w:p>
        </w:tc>
        <w:tc>
          <w:tcPr>
            <w:tcW w:w="1058"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514,462 </w:t>
            </w:r>
          </w:p>
        </w:tc>
        <w:tc>
          <w:tcPr>
            <w:tcW w:w="11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731,930 </w:t>
            </w:r>
          </w:p>
        </w:tc>
        <w:tc>
          <w:tcPr>
            <w:tcW w:w="11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1,654,938 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1,821,903 </w:t>
            </w:r>
          </w:p>
        </w:tc>
        <w:tc>
          <w:tcPr>
            <w:tcW w:w="15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(exclusive of depreciation and amortization shown separately below)</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393,830 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874,529 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Vessel operating expenses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maintenance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165,952 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integration costs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106,439 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impairment expense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expenses</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364,868 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545,195 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1,335,017 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486,886 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156,344 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(31,613)</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Income before income from equity method investments and income taxes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347,158 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equity method investments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(354,426)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provision (benefit)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(126,249)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62,338 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118,981 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non-controlling interest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income attributable to stockholders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61,848 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share – 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share – diluted</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0.62 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shares outstanding – basic</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205,032,928 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209,629,936 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206,249,474 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209,749,139 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shares outstanding – diluted</w:t>
            </w:r>
          </w:p>
        </w:tc>
        <w:tc>
          <w:tcPr>
            <w:tcW w:w="10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205,032,928 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209,800,427 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206,804,833 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209,869,058 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For the nine months ended September 30, 2023 and 2022</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(Unaudited, in thousands of U.S. dollars)</w:t>
      </w:r>
    </w:p>
    <w:tbl>
      <w:tblPr>
        <w:tblW w:w="8631" w:type="dxa"/>
        <w:jc w:val="left"/>
        <w:tblInd w:w="0" w:type="dxa"/>
        <w:tblLayout w:type="fixed"/>
        <w:tblCellMar>
          <w:top w:w="28" w:type="dxa"/>
          <w:left w:w="28" w:type="dxa"/>
          <w:bottom w:w="28" w:type="dxa"/>
          <w:right w:w="28" w:type="dxa"/>
        </w:tblCellMar>
      </w:tblPr>
      <w:tblGrid>
        <w:gridCol w:w="2091"/>
        <w:gridCol w:w="1838"/>
        <w:gridCol w:w="1846"/>
        <w:gridCol w:w="211"/>
        <w:gridCol w:w="793"/>
        <w:gridCol w:w="117"/>
        <w:gridCol w:w="117"/>
        <w:gridCol w:w="117"/>
        <w:gridCol w:w="117"/>
        <w:gridCol w:w="211"/>
        <w:gridCol w:w="793"/>
        <w:gridCol w:w="117"/>
        <w:gridCol w:w="109"/>
        <w:gridCol w:w="154"/>
      </w:tblGrid>
      <w:tr>
        <w:trPr/>
        <w:tc>
          <w:tcPr>
            <w:tcW w:w="209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9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720"/>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for:</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losses of equity method investees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received from equity method investees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market value of derivatives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(203,026)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impairment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recognized from vessels chartered to third parties transferred to Energos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the disposal of equity method investment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sale of net investment in lease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receivables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(86,743)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inventories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other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(93,329)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right-of-use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accounts payable/accrued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amounts due to affiliates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lease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other liabilities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537,184 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(2,191,605)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(787,166)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equity method investment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net investment in lease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(2,065,562)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(195,960)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 of debt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1,768,715 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1,932,020 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financing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debt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(104,530)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(1,518,471)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withholdings for share-based compensation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(700,440)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financing activities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924,072 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changes in foreign exchange rates on cash and cash equivalents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increase in cash, cash equivalents and restricted cash</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 beginning of period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855,083 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 end of period</w:t>
            </w:r>
            <w:r>
              <w:rPr>
                <w:rFonts w:ascii="Times New Roman;sans-serif" w:hAnsi="Times New Roman;sans-serif"/>
                <w:b/>
                <w:color w:val="000000"/>
                <w:sz w:val="10"/>
              </w:rPr>
              <w:t>1</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251,700 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403,989 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jc w:val="left"/>
        <w:rPr/>
      </w:pPr>
      <w:r>
        <w:rPr>
          <w:rFonts w:ascii="Arial;sans-serif" w:hAnsi="Arial;sans-serif"/>
          <w:b w:val="false"/>
          <w:color w:val="000000"/>
          <w:sz w:val="16"/>
        </w:rPr>
        <w:t>1</w:t>
      </w:r>
      <w:r>
        <w:rPr>
          <w:color w:val="000000"/>
        </w:rPr>
        <w:t xml:space="preserve"> </w:t>
      </w:r>
      <w:r>
        <w:rPr>
          <w:rFonts w:ascii="Times New Roman;sans-serif" w:hAnsi="Times New Roman;sans-serif"/>
          <w:b w:val="false"/>
          <w:color w:val="000000"/>
          <w:sz w:val="20"/>
        </w:rPr>
        <w:t xml:space="preserve">Cash and cash equivalents includes </w:t>
      </w:r>
      <w:r>
        <w:rPr>
          <w:rFonts w:ascii="Times New Roman;sans-serif" w:hAnsi="Times New Roman;sans-serif"/>
          <w:b w:val="false"/>
          <w:color w:val="000000"/>
          <w:sz w:val="20"/>
          <w:shd w:fill="FFFFFF" w:val="clear"/>
        </w:rPr>
        <w:t>$14,209</w:t>
      </w:r>
      <w:r>
        <w:rPr>
          <w:rFonts w:ascii="Times New Roman;sans-serif" w:hAnsi="Times New Roman;sans-serif"/>
          <w:b w:val="false"/>
          <w:color w:val="000000"/>
          <w:sz w:val="20"/>
        </w:rPr>
        <w:t>, which has been classified as assets held for sale and included in the Other non-current assets on the condensed consolidated balance sheets.</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7137</Words>
  <Characters>40815</Characters>
  <CharactersWithSpaces>47492</CharactersWithSpaces>
  <Paragraphs>1120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