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auto"/>
        <w:framePr w:w="3100" w:h="152" w:wrap="auto" w:vAnchor="page" w:hAnchor="page" w:x="6800" w:y="7902"/>
        <w:rPr>
          <w:rFonts w:ascii="Arial" w:cs="Arial" w:eastAsia="Arial" w:hAnsi="Arial"/>
          <w:sz w:val="15"/>
          <w:szCs w:val="15"/>
          <w:u w:val="single" w:color="auto"/>
          <w:color w:val="auto"/>
        </w:rPr>
      </w:pPr>
      <w:r>
        <w:rPr>
          <w:rFonts w:ascii="Arial" w:cs="Arial" w:eastAsia="Arial" w:hAnsi="Arial"/>
          <w:sz w:val="15"/>
          <w:szCs w:val="15"/>
          <w:u w:val="single" w:color="auto"/>
          <w:color w:val="auto"/>
        </w:rPr>
        <w:t>Name of each exchange on which registered</w:t>
      </w:r>
    </w:p>
    <w:p>
      <w:pPr>
        <w:spacing w:after="0" w:line="212" w:lineRule="auto"/>
        <w:framePr w:w="1420" w:h="152" w:wrap="auto" w:vAnchor="page" w:hAnchor="page" w:x="7640" w:y="8104"/>
        <w:rPr>
          <w:rFonts w:ascii="Arial" w:cs="Arial" w:eastAsia="Arial" w:hAnsi="Arial"/>
          <w:sz w:val="15"/>
          <w:szCs w:val="15"/>
          <w:u w:val="single" w:color="auto"/>
          <w:color w:val="auto"/>
        </w:rPr>
      </w:pPr>
      <w:r>
        <w:rPr>
          <w:rFonts w:ascii="Arial" w:cs="Arial" w:eastAsia="Arial" w:hAnsi="Arial"/>
          <w:sz w:val="15"/>
          <w:szCs w:val="15"/>
          <w:u w:val="single" w:color="auto"/>
          <w:color w:val="auto"/>
        </w:rPr>
        <w:t>on which registered</w:t>
      </w:r>
    </w:p>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rFonts w:ascii="Arial" w:cs="Arial" w:eastAsia="Arial" w:hAnsi="Arial"/>
          <w:sz w:val="15"/>
          <w:szCs w:val="15"/>
          <w:u w:val="single" w:color="auto"/>
          <w:color w:val="auto"/>
        </w:rPr>
      </w:pPr>
    </w:p>
    <w:p>
      <w:pPr>
        <w:spacing w:after="0" w:line="209"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22"/>
          <w:szCs w:val="22"/>
          <w:b w:val="1"/>
          <w:bCs w:val="1"/>
          <w:color w:val="auto"/>
        </w:rPr>
        <w:t>UNITED STATES</w:t>
      </w:r>
    </w:p>
    <w:p>
      <w:pPr>
        <w:jc w:val="center"/>
        <w:ind w:right="-26"/>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2517140</wp:posOffset>
            </wp:positionH>
            <wp:positionV relativeFrom="paragraph">
              <wp:posOffset>107950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02"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25"/>
          <w:szCs w:val="25"/>
          <w:b w:val="1"/>
          <w:bCs w:val="1"/>
          <w:color w:val="auto"/>
        </w:rPr>
        <w:t>FORM 10-K</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2517140</wp:posOffset>
            </wp:positionH>
            <wp:positionV relativeFrom="paragraph">
              <wp:posOffset>106680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05" w:lineRule="exact"/>
        <w:rPr>
          <w:rFonts w:ascii="Arial" w:cs="Arial" w:eastAsia="Arial" w:hAnsi="Arial"/>
          <w:sz w:val="15"/>
          <w:szCs w:val="15"/>
          <w:u w:val="single" w:color="auto"/>
          <w:color w:val="auto"/>
        </w:rPr>
      </w:pPr>
    </w:p>
    <w:p>
      <w:pPr>
        <w:ind w:left="347" w:hanging="347"/>
        <w:spacing w:after="0"/>
        <w:tabs>
          <w:tab w:leader="none" w:pos="34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rFonts w:ascii="MS PGothic" w:cs="MS PGothic" w:eastAsia="MS PGothic" w:hAnsi="MS PGothic"/>
          <w:sz w:val="18"/>
          <w:szCs w:val="18"/>
          <w:color w:val="auto"/>
          <w:highlight w:val="black"/>
        </w:rPr>
      </w:pPr>
    </w:p>
    <w:p>
      <w:pPr>
        <w:ind w:left="3307"/>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year ended December 31, 2018</w:t>
      </w:r>
    </w:p>
    <w:p>
      <w:pPr>
        <w:spacing w:after="0" w:line="38" w:lineRule="exact"/>
        <w:rPr>
          <w:rFonts w:ascii="MS PGothic" w:cs="MS PGothic" w:eastAsia="MS PGothic" w:hAnsi="MS PGothic"/>
          <w:sz w:val="18"/>
          <w:szCs w:val="18"/>
          <w:color w:val="auto"/>
          <w:highlight w:val="black"/>
        </w:rPr>
      </w:pPr>
    </w:p>
    <w:p>
      <w:pPr>
        <w:ind w:left="4647"/>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17" w:lineRule="exact"/>
        <w:rPr>
          <w:rFonts w:ascii="Arial" w:cs="Arial" w:eastAsia="Arial" w:hAnsi="Arial"/>
          <w:sz w:val="15"/>
          <w:szCs w:val="15"/>
          <w:u w:val="single" w:color="auto"/>
          <w:color w:val="auto"/>
        </w:rPr>
      </w:pPr>
    </w:p>
    <w:p>
      <w:pPr>
        <w:ind w:left="347" w:hanging="343"/>
        <w:spacing w:after="0"/>
        <w:tabs>
          <w:tab w:leader="none" w:pos="347"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61" w:lineRule="exact"/>
        <w:rPr>
          <w:rFonts w:ascii="Arial" w:cs="Arial" w:eastAsia="Arial" w:hAnsi="Arial"/>
          <w:sz w:val="15"/>
          <w:szCs w:val="15"/>
          <w:u w:val="single" w:color="auto"/>
          <w:color w:val="auto"/>
        </w:rPr>
      </w:pPr>
    </w:p>
    <w:p>
      <w:pPr>
        <w:ind w:left="2807"/>
        <w:spacing w:after="0"/>
        <w:tabs>
          <w:tab w:leader="none" w:pos="5866"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3284220</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16"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18"/>
          <w:szCs w:val="18"/>
          <w:b w:val="1"/>
          <w:bCs w:val="1"/>
          <w:color w:val="auto"/>
        </w:rPr>
        <w:t>Commission File Number: 001-38790</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2517140</wp:posOffset>
            </wp:positionH>
            <wp:positionV relativeFrom="paragraph">
              <wp:posOffset>146050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54"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29"/>
          <w:szCs w:val="29"/>
          <w:b w:val="1"/>
          <w:bCs w:val="1"/>
          <w:color w:val="auto"/>
        </w:rPr>
        <w:t>New Fortress Energy LLC</w:t>
      </w:r>
    </w:p>
    <w:p>
      <w:pPr>
        <w:spacing w:after="0" w:line="58"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2517140</wp:posOffset>
            </wp:positionH>
            <wp:positionV relativeFrom="paragraph">
              <wp:posOffset>137795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62" w:lineRule="exact"/>
        <w:rPr>
          <w:rFonts w:ascii="Arial" w:cs="Arial" w:eastAsia="Arial" w:hAnsi="Arial"/>
          <w:sz w:val="15"/>
          <w:szCs w:val="15"/>
          <w:u w:val="single" w:color="auto"/>
          <w:color w:val="auto"/>
        </w:rPr>
      </w:pPr>
    </w:p>
    <w:tbl>
      <w:tblPr>
        <w:tblLayout w:type="fixed"/>
        <w:tblInd w:w="927" w:type="dxa"/>
        <w:tblCellMar>
          <w:top w:w="0" w:type="dxa"/>
          <w:left w:w="0" w:type="dxa"/>
          <w:bottom w:w="0" w:type="dxa"/>
          <w:right w:w="0" w:type="dxa"/>
        </w:tblCellMar>
      </w:tblPr>
      <w:tr>
        <w:trPr>
          <w:trHeight w:val="222"/>
        </w:trPr>
        <w:tc>
          <w:tcPr>
            <w:tcW w:w="4160" w:type="dxa"/>
            <w:vAlign w:val="bottom"/>
          </w:tcPr>
          <w:p>
            <w:pPr>
              <w:jc w:val="center"/>
              <w:ind w:right="1354"/>
              <w:spacing w:after="0"/>
              <w:rPr>
                <w:sz w:val="20"/>
                <w:szCs w:val="20"/>
                <w:color w:val="auto"/>
              </w:rPr>
            </w:pPr>
            <w:r>
              <w:rPr>
                <w:rFonts w:ascii="Arial" w:cs="Arial" w:eastAsia="Arial" w:hAnsi="Arial"/>
                <w:sz w:val="17"/>
                <w:szCs w:val="17"/>
                <w:b w:val="1"/>
                <w:bCs w:val="1"/>
                <w:color w:val="auto"/>
                <w:w w:val="91"/>
              </w:rPr>
              <w:t>Delaware</w:t>
            </w:r>
          </w:p>
        </w:tc>
        <w:tc>
          <w:tcPr>
            <w:tcW w:w="2720" w:type="dxa"/>
            <w:vAlign w:val="bottom"/>
          </w:tcPr>
          <w:p>
            <w:pPr>
              <w:jc w:val="right"/>
              <w:ind w:right="134"/>
              <w:spacing w:after="0"/>
              <w:rPr>
                <w:sz w:val="20"/>
                <w:szCs w:val="20"/>
                <w:color w:val="auto"/>
              </w:rPr>
            </w:pPr>
            <w:r>
              <w:rPr>
                <w:rFonts w:ascii="Arial" w:cs="Arial" w:eastAsia="Arial" w:hAnsi="Arial"/>
                <w:sz w:val="17"/>
                <w:szCs w:val="17"/>
                <w:b w:val="1"/>
                <w:bCs w:val="1"/>
                <w:color w:val="auto"/>
              </w:rPr>
              <w:t>83-1482060</w:t>
            </w:r>
          </w:p>
        </w:tc>
      </w:tr>
      <w:tr>
        <w:trPr>
          <w:trHeight w:val="216"/>
        </w:trPr>
        <w:tc>
          <w:tcPr>
            <w:tcW w:w="4160" w:type="dxa"/>
            <w:vAlign w:val="bottom"/>
          </w:tcPr>
          <w:p>
            <w:pPr>
              <w:jc w:val="center"/>
              <w:ind w:right="1334"/>
              <w:spacing w:after="0"/>
              <w:rPr>
                <w:sz w:val="20"/>
                <w:szCs w:val="20"/>
                <w:color w:val="auto"/>
              </w:rPr>
            </w:pPr>
            <w:r>
              <w:rPr>
                <w:rFonts w:ascii="Arial" w:cs="Arial" w:eastAsia="Arial" w:hAnsi="Arial"/>
                <w:sz w:val="17"/>
                <w:szCs w:val="17"/>
                <w:color w:val="auto"/>
                <w:w w:val="93"/>
              </w:rPr>
              <w:t>(State or other jurisdiction of</w:t>
            </w:r>
          </w:p>
        </w:tc>
        <w:tc>
          <w:tcPr>
            <w:tcW w:w="2720" w:type="dxa"/>
            <w:vAlign w:val="bottom"/>
          </w:tcPr>
          <w:p>
            <w:pPr>
              <w:jc w:val="center"/>
              <w:ind w:left="1374"/>
              <w:spacing w:after="0"/>
              <w:rPr>
                <w:sz w:val="20"/>
                <w:szCs w:val="20"/>
                <w:color w:val="auto"/>
              </w:rPr>
            </w:pPr>
            <w:r>
              <w:rPr>
                <w:rFonts w:ascii="Arial" w:cs="Arial" w:eastAsia="Arial" w:hAnsi="Arial"/>
                <w:sz w:val="17"/>
                <w:szCs w:val="17"/>
                <w:color w:val="auto"/>
                <w:w w:val="94"/>
              </w:rPr>
              <w:t>(I.R.S. Employer</w:t>
            </w:r>
          </w:p>
        </w:tc>
      </w:tr>
      <w:tr>
        <w:trPr>
          <w:trHeight w:val="216"/>
        </w:trPr>
        <w:tc>
          <w:tcPr>
            <w:tcW w:w="4160" w:type="dxa"/>
            <w:vAlign w:val="bottom"/>
          </w:tcPr>
          <w:p>
            <w:pPr>
              <w:jc w:val="center"/>
              <w:ind w:right="1334"/>
              <w:spacing w:after="0"/>
              <w:rPr>
                <w:sz w:val="20"/>
                <w:szCs w:val="20"/>
                <w:color w:val="auto"/>
              </w:rPr>
            </w:pPr>
            <w:r>
              <w:rPr>
                <w:rFonts w:ascii="Arial" w:cs="Arial" w:eastAsia="Arial" w:hAnsi="Arial"/>
                <w:sz w:val="17"/>
                <w:szCs w:val="17"/>
                <w:color w:val="auto"/>
                <w:w w:val="93"/>
              </w:rPr>
              <w:t>incorporation or organization)</w:t>
            </w:r>
          </w:p>
        </w:tc>
        <w:tc>
          <w:tcPr>
            <w:tcW w:w="2720" w:type="dxa"/>
            <w:vAlign w:val="bottom"/>
          </w:tcPr>
          <w:p>
            <w:pPr>
              <w:jc w:val="center"/>
              <w:ind w:left="1374"/>
              <w:spacing w:after="0"/>
              <w:rPr>
                <w:sz w:val="20"/>
                <w:szCs w:val="20"/>
                <w:color w:val="auto"/>
              </w:rPr>
            </w:pPr>
            <w:r>
              <w:rPr>
                <w:rFonts w:ascii="Arial" w:cs="Arial" w:eastAsia="Arial" w:hAnsi="Arial"/>
                <w:sz w:val="17"/>
                <w:szCs w:val="17"/>
                <w:color w:val="auto"/>
                <w:w w:val="95"/>
              </w:rPr>
              <w:t>Identification No.)</w:t>
            </w:r>
          </w:p>
        </w:tc>
      </w:tr>
      <w:tr>
        <w:trPr>
          <w:trHeight w:val="264"/>
        </w:trPr>
        <w:tc>
          <w:tcPr>
            <w:tcW w:w="4160" w:type="dxa"/>
            <w:vAlign w:val="bottom"/>
          </w:tcPr>
          <w:p>
            <w:pPr>
              <w:jc w:val="center"/>
              <w:ind w:right="1354"/>
              <w:spacing w:after="0" w:line="263" w:lineRule="exact"/>
              <w:rPr>
                <w:sz w:val="20"/>
                <w:szCs w:val="20"/>
                <w:color w:val="auto"/>
              </w:rPr>
            </w:pPr>
            <w:r>
              <w:rPr>
                <w:rFonts w:ascii="Arial" w:cs="Arial" w:eastAsia="Arial" w:hAnsi="Arial"/>
                <w:sz w:val="17"/>
                <w:szCs w:val="17"/>
                <w:b w:val="1"/>
                <w:bCs w:val="1"/>
                <w:color w:val="auto"/>
                <w:w w:val="87"/>
              </w:rPr>
              <w:t>111 W. 19</w:t>
            </w:r>
            <w:r>
              <w:rPr>
                <w:rFonts w:ascii="Arial" w:cs="Arial" w:eastAsia="Arial" w:hAnsi="Arial"/>
                <w:sz w:val="28"/>
                <w:szCs w:val="28"/>
                <w:b w:val="1"/>
                <w:bCs w:val="1"/>
                <w:color w:val="auto"/>
                <w:w w:val="87"/>
                <w:vertAlign w:val="superscript"/>
              </w:rPr>
              <w:t>th</w:t>
            </w:r>
            <w:r>
              <w:rPr>
                <w:rFonts w:ascii="Arial" w:cs="Arial" w:eastAsia="Arial" w:hAnsi="Arial"/>
                <w:sz w:val="17"/>
                <w:szCs w:val="17"/>
                <w:b w:val="1"/>
                <w:bCs w:val="1"/>
                <w:color w:val="auto"/>
                <w:w w:val="87"/>
              </w:rPr>
              <w:t xml:space="preserve"> Street, 8</w:t>
            </w:r>
            <w:r>
              <w:rPr>
                <w:rFonts w:ascii="Arial" w:cs="Arial" w:eastAsia="Arial" w:hAnsi="Arial"/>
                <w:sz w:val="28"/>
                <w:szCs w:val="28"/>
                <w:b w:val="1"/>
                <w:bCs w:val="1"/>
                <w:color w:val="auto"/>
                <w:w w:val="87"/>
                <w:vertAlign w:val="superscript"/>
              </w:rPr>
              <w:t>th</w:t>
            </w:r>
            <w:r>
              <w:rPr>
                <w:rFonts w:ascii="Arial" w:cs="Arial" w:eastAsia="Arial" w:hAnsi="Arial"/>
                <w:sz w:val="17"/>
                <w:szCs w:val="17"/>
                <w:b w:val="1"/>
                <w:bCs w:val="1"/>
                <w:color w:val="auto"/>
                <w:w w:val="87"/>
              </w:rPr>
              <w:t xml:space="preserve"> Floor</w:t>
            </w:r>
          </w:p>
        </w:tc>
        <w:tc>
          <w:tcPr>
            <w:tcW w:w="2720" w:type="dxa"/>
            <w:vAlign w:val="bottom"/>
          </w:tcPr>
          <w:p>
            <w:pPr>
              <w:spacing w:after="0"/>
              <w:rPr>
                <w:sz w:val="22"/>
                <w:szCs w:val="22"/>
                <w:color w:val="auto"/>
              </w:rPr>
            </w:pPr>
          </w:p>
        </w:tc>
      </w:tr>
      <w:tr>
        <w:trPr>
          <w:trHeight w:val="222"/>
        </w:trPr>
        <w:tc>
          <w:tcPr>
            <w:tcW w:w="4160" w:type="dxa"/>
            <w:vAlign w:val="bottom"/>
          </w:tcPr>
          <w:p>
            <w:pPr>
              <w:jc w:val="center"/>
              <w:ind w:right="1334"/>
              <w:spacing w:after="0"/>
              <w:rPr>
                <w:sz w:val="20"/>
                <w:szCs w:val="20"/>
                <w:color w:val="auto"/>
              </w:rPr>
            </w:pPr>
            <w:r>
              <w:rPr>
                <w:rFonts w:ascii="Arial" w:cs="Arial" w:eastAsia="Arial" w:hAnsi="Arial"/>
                <w:sz w:val="17"/>
                <w:szCs w:val="17"/>
                <w:b w:val="1"/>
                <w:bCs w:val="1"/>
                <w:color w:val="auto"/>
                <w:w w:val="95"/>
              </w:rPr>
              <w:t>New York, NY</w:t>
            </w:r>
          </w:p>
        </w:tc>
        <w:tc>
          <w:tcPr>
            <w:tcW w:w="2720" w:type="dxa"/>
            <w:vAlign w:val="bottom"/>
          </w:tcPr>
          <w:p>
            <w:pPr>
              <w:jc w:val="right"/>
              <w:ind w:right="334"/>
              <w:spacing w:after="0"/>
              <w:rPr>
                <w:sz w:val="20"/>
                <w:szCs w:val="20"/>
                <w:color w:val="auto"/>
              </w:rPr>
            </w:pPr>
            <w:r>
              <w:rPr>
                <w:rFonts w:ascii="Arial" w:cs="Arial" w:eastAsia="Arial" w:hAnsi="Arial"/>
                <w:sz w:val="17"/>
                <w:szCs w:val="17"/>
                <w:b w:val="1"/>
                <w:bCs w:val="1"/>
                <w:color w:val="auto"/>
              </w:rPr>
              <w:t>10011</w:t>
            </w:r>
          </w:p>
        </w:tc>
      </w:tr>
      <w:tr>
        <w:trPr>
          <w:trHeight w:val="230"/>
        </w:trPr>
        <w:tc>
          <w:tcPr>
            <w:tcW w:w="4160" w:type="dxa"/>
            <w:vAlign w:val="bottom"/>
          </w:tcPr>
          <w:p>
            <w:pPr>
              <w:jc w:val="center"/>
              <w:ind w:right="1354"/>
              <w:spacing w:after="0"/>
              <w:rPr>
                <w:sz w:val="20"/>
                <w:szCs w:val="20"/>
                <w:color w:val="auto"/>
              </w:rPr>
            </w:pPr>
            <w:r>
              <w:rPr>
                <w:rFonts w:ascii="Arial" w:cs="Arial" w:eastAsia="Arial" w:hAnsi="Arial"/>
                <w:sz w:val="17"/>
                <w:szCs w:val="17"/>
                <w:color w:val="auto"/>
                <w:w w:val="93"/>
              </w:rPr>
              <w:t>(Address of principal executive offices)</w:t>
            </w:r>
          </w:p>
        </w:tc>
        <w:tc>
          <w:tcPr>
            <w:tcW w:w="2720" w:type="dxa"/>
            <w:vAlign w:val="bottom"/>
          </w:tcPr>
          <w:p>
            <w:pPr>
              <w:jc w:val="center"/>
              <w:ind w:left="1374"/>
              <w:spacing w:after="0"/>
              <w:rPr>
                <w:sz w:val="20"/>
                <w:szCs w:val="20"/>
                <w:color w:val="auto"/>
              </w:rPr>
            </w:pPr>
            <w:r>
              <w:rPr>
                <w:rFonts w:ascii="Arial" w:cs="Arial" w:eastAsia="Arial" w:hAnsi="Arial"/>
                <w:sz w:val="17"/>
                <w:szCs w:val="17"/>
                <w:color w:val="auto"/>
                <w:w w:val="92"/>
              </w:rPr>
              <w:t>(Zip Code)</w:t>
            </w:r>
          </w:p>
        </w:tc>
      </w:tr>
    </w:tbl>
    <w:p>
      <w:pPr>
        <w:spacing w:after="0" w:line="21"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17"/>
          <w:szCs w:val="17"/>
          <w:b w:val="1"/>
          <w:bCs w:val="1"/>
          <w:color w:val="auto"/>
        </w:rPr>
        <w:t>Registrant’s telephone number, including area code: (516) 268-7400</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2517140</wp:posOffset>
            </wp:positionH>
            <wp:positionV relativeFrom="paragraph">
              <wp:posOffset>131445</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38" w:lineRule="exact"/>
        <w:rPr>
          <w:rFonts w:ascii="Arial" w:cs="Arial" w:eastAsia="Arial" w:hAnsi="Arial"/>
          <w:sz w:val="15"/>
          <w:szCs w:val="15"/>
          <w:u w:val="single" w:color="auto"/>
          <w:color w:val="auto"/>
        </w:rPr>
      </w:pPr>
    </w:p>
    <w:p>
      <w:pPr>
        <w:jc w:val="center"/>
        <w:ind w:right="-26"/>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2517140</wp:posOffset>
            </wp:positionH>
            <wp:positionV relativeFrom="paragraph">
              <wp:posOffset>148590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rFonts w:ascii="Arial" w:cs="Arial" w:eastAsia="Arial" w:hAnsi="Arial"/>
          <w:sz w:val="15"/>
          <w:szCs w:val="15"/>
          <w:u w:val="single" w:color="auto"/>
          <w:color w:val="auto"/>
        </w:rPr>
      </w:pPr>
    </w:p>
    <w:p>
      <w:pPr>
        <w:spacing w:after="0" w:line="387" w:lineRule="exact"/>
        <w:rPr>
          <w:rFonts w:ascii="Arial" w:cs="Arial" w:eastAsia="Arial" w:hAnsi="Arial"/>
          <w:sz w:val="15"/>
          <w:szCs w:val="15"/>
          <w:u w:val="single" w:color="auto"/>
          <w:color w:val="auto"/>
        </w:rPr>
      </w:pPr>
    </w:p>
    <w:p>
      <w:pPr>
        <w:jc w:val="center"/>
        <w:ind w:right="4933"/>
        <w:spacing w:after="0"/>
        <w:rPr>
          <w:sz w:val="20"/>
          <w:szCs w:val="20"/>
          <w:color w:val="auto"/>
        </w:rPr>
      </w:pPr>
      <w:r>
        <w:rPr>
          <w:rFonts w:ascii="Arial" w:cs="Arial" w:eastAsia="Arial" w:hAnsi="Arial"/>
          <w:sz w:val="17"/>
          <w:szCs w:val="17"/>
          <w:u w:val="single" w:color="auto"/>
          <w:color w:val="auto"/>
        </w:rPr>
        <w:t>Title of each class</w:t>
      </w:r>
    </w:p>
    <w:p>
      <w:pPr>
        <w:spacing w:after="0" w:line="28" w:lineRule="exact"/>
        <w:rPr>
          <w:rFonts w:ascii="Arial" w:cs="Arial" w:eastAsia="Arial" w:hAnsi="Arial"/>
          <w:sz w:val="15"/>
          <w:szCs w:val="15"/>
          <w:u w:val="single" w:color="auto"/>
          <w:color w:val="auto"/>
        </w:rPr>
      </w:pPr>
    </w:p>
    <w:p>
      <w:pPr>
        <w:jc w:val="center"/>
        <w:ind w:right="4933"/>
        <w:spacing w:after="0"/>
        <w:rPr>
          <w:sz w:val="20"/>
          <w:szCs w:val="20"/>
          <w:color w:val="auto"/>
        </w:rPr>
      </w:pPr>
      <w:r>
        <w:rPr>
          <w:rFonts w:ascii="Arial" w:cs="Arial" w:eastAsia="Arial" w:hAnsi="Arial"/>
          <w:sz w:val="17"/>
          <w:szCs w:val="17"/>
          <w:b w:val="1"/>
          <w:bCs w:val="1"/>
          <w:color w:val="auto"/>
        </w:rPr>
        <w:t>Class A shares, representing limited liability company</w:t>
      </w:r>
    </w:p>
    <w:p>
      <w:pPr>
        <w:spacing w:after="0" w:line="27" w:lineRule="exact"/>
        <w:rPr>
          <w:rFonts w:ascii="Arial" w:cs="Arial" w:eastAsia="Arial" w:hAnsi="Arial"/>
          <w:sz w:val="15"/>
          <w:szCs w:val="15"/>
          <w:u w:val="single" w:color="auto"/>
          <w:color w:val="auto"/>
        </w:rPr>
      </w:pPr>
    </w:p>
    <w:p>
      <w:pPr>
        <w:ind w:left="2487" w:right="1180" w:hanging="506"/>
        <w:spacing w:after="0" w:line="278" w:lineRule="auto"/>
        <w:rPr>
          <w:sz w:val="20"/>
          <w:szCs w:val="20"/>
          <w:color w:val="auto"/>
        </w:rPr>
      </w:pPr>
      <w:r>
        <w:rPr>
          <w:rFonts w:ascii="Arial" w:cs="Arial" w:eastAsia="Arial" w:hAnsi="Arial"/>
          <w:sz w:val="17"/>
          <w:szCs w:val="17"/>
          <w:b w:val="1"/>
          <w:bCs w:val="1"/>
          <w:color w:val="auto"/>
        </w:rPr>
        <w:t>interests</w:t>
      </w:r>
      <w:r>
        <w:rPr>
          <w:sz w:val="20"/>
          <w:szCs w:val="20"/>
          <w:color w:val="auto"/>
        </w:rPr>
        <w:t xml:space="preserve"> </w:t>
      </w:r>
      <w:r>
        <w:rPr>
          <w:rFonts w:ascii="Arial" w:cs="Arial" w:eastAsia="Arial" w:hAnsi="Arial"/>
          <w:sz w:val="17"/>
          <w:szCs w:val="17"/>
          <w:b w:val="1"/>
          <w:bCs w:val="1"/>
          <w:color w:val="auto"/>
        </w:rPr>
        <w:t xml:space="preserve">NASDAQ Global Select Market Securities registered pursuant to Section 12(g) of the Act: </w:t>
      </w:r>
      <w:r>
        <w:rPr>
          <w:rFonts w:ascii="Arial" w:cs="Arial" w:eastAsia="Arial" w:hAnsi="Arial"/>
          <w:sz w:val="17"/>
          <w:szCs w:val="17"/>
          <w:color w:val="auto"/>
        </w:rPr>
        <w:t>None</w:t>
      </w:r>
    </w:p>
    <w:p>
      <w:pPr>
        <w:spacing w:after="0" w:line="1" w:lineRule="exact"/>
        <w:rPr>
          <w:rFonts w:ascii="Arial" w:cs="Arial" w:eastAsia="Arial" w:hAnsi="Arial"/>
          <w:sz w:val="15"/>
          <w:szCs w:val="15"/>
          <w:u w:val="single" w:color="auto"/>
          <w:color w:val="auto"/>
        </w:rPr>
      </w:pPr>
    </w:p>
    <w:p>
      <w:pPr>
        <w:ind w:left="367" w:right="120"/>
        <w:spacing w:after="0" w:line="26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8" w:lineRule="exact"/>
        <w:rPr>
          <w:rFonts w:ascii="Arial" w:cs="Arial" w:eastAsia="Arial" w:hAnsi="Arial"/>
          <w:sz w:val="15"/>
          <w:szCs w:val="15"/>
          <w:u w:val="single" w:color="auto"/>
          <w:color w:val="auto"/>
        </w:rPr>
      </w:pPr>
    </w:p>
    <w:p>
      <w:pPr>
        <w:ind w:left="7" w:right="80" w:firstLine="360"/>
        <w:spacing w:after="0" w:line="23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rFonts w:ascii="Arial" w:cs="Arial" w:eastAsia="Arial" w:hAnsi="Arial"/>
          <w:sz w:val="15"/>
          <w:szCs w:val="15"/>
          <w:u w:val="single" w:color="auto"/>
          <w:color w:val="auto"/>
        </w:rPr>
      </w:pPr>
    </w:p>
    <w:p>
      <w:pPr>
        <w:ind w:left="7"/>
        <w:spacing w:after="0" w:line="196" w:lineRule="exact"/>
        <w:rPr>
          <w:sz w:val="20"/>
          <w:szCs w:val="20"/>
          <w:color w:val="auto"/>
        </w:rPr>
      </w:pPr>
      <w:r>
        <w:rPr>
          <w:rFonts w:ascii="Arial" w:cs="Arial" w:eastAsia="Arial" w:hAnsi="Arial"/>
          <w:sz w:val="17"/>
          <w:szCs w:val="17"/>
          <w:color w:val="auto"/>
        </w:rPr>
        <w:t xml:space="preserve">(2) has been subject to such filing requirements for the past 90 days. Yes o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67" w:lineRule="exact"/>
        <w:rPr>
          <w:rFonts w:ascii="Arial" w:cs="Arial" w:eastAsia="Arial" w:hAnsi="Arial"/>
          <w:sz w:val="15"/>
          <w:szCs w:val="15"/>
          <w:u w:val="single" w:color="auto"/>
          <w:color w:val="auto"/>
        </w:rPr>
      </w:pPr>
    </w:p>
    <w:p>
      <w:pPr>
        <w:ind w:left="7" w:right="500" w:firstLine="360"/>
        <w:spacing w:after="0" w:line="232" w:lineRule="auto"/>
        <w:rPr>
          <w:sz w:val="20"/>
          <w:szCs w:val="20"/>
          <w:color w:val="auto"/>
        </w:rPr>
      </w:pPr>
      <w:r>
        <w:rPr>
          <w:rFonts w:ascii="Arial" w:cs="Arial" w:eastAsia="Arial" w:hAnsi="Arial"/>
          <w:sz w:val="17"/>
          <w:szCs w:val="17"/>
          <w:color w:val="auto"/>
        </w:rPr>
        <w:t>*The registrant completed its initial public offering on February 4, 2019 and, accordingly, has not been subject to the reporting requirements under Section 13 or 15(d) of the Securities Exchange Act of 1934, as amended, for 90 days.</w:t>
      </w:r>
    </w:p>
    <w:p>
      <w:pPr>
        <w:spacing w:after="0" w:line="1" w:lineRule="exact"/>
        <w:rPr>
          <w:rFonts w:ascii="Arial" w:cs="Arial" w:eastAsia="Arial" w:hAnsi="Arial"/>
          <w:sz w:val="15"/>
          <w:szCs w:val="15"/>
          <w:u w:val="single" w:color="auto"/>
          <w:color w:val="auto"/>
        </w:rPr>
      </w:pPr>
    </w:p>
    <w:p>
      <w:pPr>
        <w:ind w:left="7" w:right="360" w:firstLine="360"/>
        <w:spacing w:after="0" w:line="18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34" w:lineRule="exact"/>
        <w:rPr>
          <w:rFonts w:ascii="Arial" w:cs="Arial" w:eastAsia="Arial" w:hAnsi="Arial"/>
          <w:sz w:val="15"/>
          <w:szCs w:val="15"/>
          <w:u w:val="single" w:color="auto"/>
          <w:color w:val="auto"/>
        </w:rPr>
      </w:pPr>
    </w:p>
    <w:p>
      <w:pPr>
        <w:ind w:left="7" w:right="300" w:firstLine="360"/>
        <w:spacing w:after="0" w:line="185"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2" w:lineRule="exact"/>
        <w:rPr>
          <w:rFonts w:ascii="Arial" w:cs="Arial" w:eastAsia="Arial" w:hAnsi="Arial"/>
          <w:sz w:val="15"/>
          <w:szCs w:val="15"/>
          <w:u w:val="single" w:color="auto"/>
          <w:color w:val="auto"/>
        </w:rPr>
      </w:pPr>
    </w:p>
    <w:p>
      <w:pPr>
        <w:jc w:val="both"/>
        <w:ind w:left="7" w:firstLine="360"/>
        <w:spacing w:after="0" w:line="21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527"/>
          </w:cols>
          <w:pgMar w:left="1173" w:top="238" w:right="1199" w:bottom="1440" w:gutter="0" w:footer="0" w:header="0"/>
        </w:sectPr>
      </w:pPr>
    </w:p>
    <w:p>
      <w:pPr>
        <w:spacing w:after="0" w:line="28" w:lineRule="exact"/>
        <w:rPr>
          <w:rFonts w:ascii="Arial" w:cs="Arial" w:eastAsia="Arial" w:hAnsi="Arial"/>
          <w:sz w:val="15"/>
          <w:szCs w:val="15"/>
          <w:u w:val="single" w:color="auto"/>
          <w:color w:val="auto"/>
        </w:rPr>
      </w:pPr>
    </w:p>
    <w:p>
      <w:pPr>
        <w:ind w:left="387"/>
        <w:spacing w:after="0"/>
        <w:rPr>
          <w:sz w:val="20"/>
          <w:szCs w:val="20"/>
          <w:color w:val="auto"/>
        </w:rPr>
      </w:pPr>
      <w:r>
        <w:rPr>
          <w:rFonts w:ascii="Arial" w:cs="Arial" w:eastAsia="Arial" w:hAnsi="Arial"/>
          <w:sz w:val="15"/>
          <w:szCs w:val="15"/>
          <w:color w:val="auto"/>
        </w:rPr>
        <w:t>Large accelerated filer o</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br w:type="column"/>
      </w:r>
    </w:p>
    <w:p>
      <w:pPr>
        <w:spacing w:after="0" w:line="8" w:lineRule="exact"/>
        <w:rPr>
          <w:rFonts w:ascii="Arial" w:cs="Arial" w:eastAsia="Arial" w:hAnsi="Arial"/>
          <w:sz w:val="15"/>
          <w:szCs w:val="15"/>
          <w:u w:val="single" w:color="auto"/>
          <w:color w:val="auto"/>
        </w:rPr>
      </w:pPr>
    </w:p>
    <w:p>
      <w:pPr>
        <w:spacing w:after="0"/>
        <w:rPr>
          <w:sz w:val="20"/>
          <w:szCs w:val="20"/>
          <w:color w:val="auto"/>
        </w:rPr>
      </w:pPr>
      <w:r>
        <w:rPr>
          <w:rFonts w:ascii="Arial" w:cs="Arial" w:eastAsia="Arial" w:hAnsi="Arial"/>
          <w:sz w:val="15"/>
          <w:szCs w:val="15"/>
          <w:color w:val="auto"/>
        </w:rPr>
        <w:t>Accelerated filer o</w:t>
      </w:r>
    </w:p>
    <w:p>
      <w:pPr>
        <w:spacing w:after="0" w:line="44" w:lineRule="exact"/>
        <w:rPr>
          <w:rFonts w:ascii="Arial" w:cs="Arial" w:eastAsia="Arial" w:hAnsi="Arial"/>
          <w:sz w:val="15"/>
          <w:szCs w:val="15"/>
          <w:u w:val="single" w:color="auto"/>
          <w:color w:val="auto"/>
        </w:rPr>
      </w:pPr>
    </w:p>
    <w:p>
      <w:pPr>
        <w:sectPr>
          <w:pgSz w:w="11900" w:h="16838" w:orient="portrait"/>
          <w:cols w:equalWidth="0" w:num="2">
            <w:col w:w="7087" w:space="720"/>
            <w:col w:w="1720"/>
          </w:cols>
          <w:pgMar w:left="1173" w:top="238" w:right="1199" w:bottom="1440" w:gutter="0" w:footer="0" w:header="0"/>
          <w:type w:val="continuous"/>
        </w:sectPr>
      </w:pPr>
    </w:p>
    <w:p>
      <w:pPr>
        <w:ind w:left="387"/>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br w:type="column"/>
      </w:r>
    </w:p>
    <w:p>
      <w:pPr>
        <w:spacing w:after="0" w:line="7" w:lineRule="exact"/>
        <w:rPr>
          <w:rFonts w:ascii="Arial" w:cs="Arial" w:eastAsia="Arial" w:hAnsi="Arial"/>
          <w:sz w:val="15"/>
          <w:szCs w:val="15"/>
          <w:u w:val="single" w:color="auto"/>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64" w:lineRule="exact"/>
        <w:rPr>
          <w:rFonts w:ascii="Arial" w:cs="Arial" w:eastAsia="Arial" w:hAnsi="Arial"/>
          <w:sz w:val="15"/>
          <w:szCs w:val="15"/>
          <w:u w:val="single" w:color="auto"/>
          <w:color w:val="auto"/>
        </w:rPr>
      </w:pPr>
    </w:p>
    <w:p>
      <w:pPr>
        <w:sectPr>
          <w:pgSz w:w="11900" w:h="16838" w:orient="portrait"/>
          <w:cols w:equalWidth="0" w:num="2">
            <w:col w:w="6367" w:space="720"/>
            <w:col w:w="2440"/>
          </w:cols>
          <w:pgMar w:left="1173" w:top="238" w:right="1199" w:bottom="1440" w:gutter="0" w:footer="0" w:header="0"/>
          <w:type w:val="continuous"/>
        </w:sectPr>
      </w:pPr>
    </w:p>
    <w:p>
      <w:pPr>
        <w:ind w:left="7007"/>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527"/>
          </w:cols>
          <w:pgMar w:left="1173" w:top="238" w:right="1199" w:bottom="1440" w:gutter="0" w:footer="0" w:header="0"/>
          <w:type w:val="continuous"/>
        </w:sectPr>
      </w:pPr>
    </w:p>
    <w:p>
      <w:pPr>
        <w:spacing w:after="0" w:line="91" w:lineRule="exact"/>
        <w:rPr>
          <w:rFonts w:ascii="Arial" w:cs="Arial" w:eastAsia="Arial" w:hAnsi="Arial"/>
          <w:sz w:val="15"/>
          <w:szCs w:val="15"/>
          <w:u w:val="single" w:color="auto"/>
          <w:color w:val="auto"/>
        </w:rPr>
      </w:pPr>
    </w:p>
    <w:p>
      <w:pPr>
        <w:ind w:left="7" w:right="400" w:firstLine="360"/>
        <w:spacing w:after="0" w:line="286"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rFonts w:ascii="Arial" w:cs="Arial" w:eastAsia="Arial" w:hAnsi="Arial"/>
          <w:sz w:val="15"/>
          <w:szCs w:val="15"/>
          <w:u w:val="single" w:color="auto"/>
          <w:color w:val="auto"/>
        </w:rPr>
      </w:pPr>
    </w:p>
    <w:p>
      <w:pPr>
        <w:ind w:left="367"/>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91" w:lineRule="exact"/>
        <w:rPr>
          <w:rFonts w:ascii="Arial" w:cs="Arial" w:eastAsia="Arial" w:hAnsi="Arial"/>
          <w:sz w:val="15"/>
          <w:szCs w:val="15"/>
          <w:u w:val="single" w:color="auto"/>
          <w:color w:val="auto"/>
        </w:rPr>
      </w:pPr>
    </w:p>
    <w:p>
      <w:pPr>
        <w:ind w:left="7" w:right="140" w:firstLine="360"/>
        <w:spacing w:after="0" w:line="272" w:lineRule="auto"/>
        <w:rPr>
          <w:sz w:val="20"/>
          <w:szCs w:val="20"/>
          <w:color w:val="auto"/>
        </w:rPr>
      </w:pPr>
      <w:r>
        <w:rPr>
          <w:rFonts w:ascii="Arial" w:cs="Arial" w:eastAsia="Arial" w:hAnsi="Arial"/>
          <w:sz w:val="15"/>
          <w:szCs w:val="15"/>
          <w:color w:val="auto"/>
        </w:rPr>
        <w:t>As of June 30, 2018, the last business day of the registrant’s most recently completed second quarter, there was no public market for the registrant’s Class A shares. The registrant’s Class A shares began trading on the Nasdaq Stock Market LLC on January 31, 2019.</w:t>
      </w:r>
    </w:p>
    <w:p>
      <w:pPr>
        <w:spacing w:after="0" w:line="1" w:lineRule="exact"/>
        <w:rPr>
          <w:rFonts w:ascii="Arial" w:cs="Arial" w:eastAsia="Arial" w:hAnsi="Arial"/>
          <w:sz w:val="15"/>
          <w:szCs w:val="15"/>
          <w:u w:val="single" w:color="auto"/>
          <w:color w:val="auto"/>
        </w:rPr>
      </w:pPr>
    </w:p>
    <w:p>
      <w:pPr>
        <w:ind w:left="367"/>
        <w:spacing w:after="0"/>
        <w:rPr>
          <w:sz w:val="20"/>
          <w:szCs w:val="20"/>
          <w:color w:val="auto"/>
        </w:rPr>
      </w:pPr>
      <w:r>
        <w:rPr>
          <w:rFonts w:ascii="Arial" w:cs="Arial" w:eastAsia="Arial" w:hAnsi="Arial"/>
          <w:sz w:val="17"/>
          <w:szCs w:val="17"/>
          <w:color w:val="auto"/>
        </w:rPr>
        <w:t>At March 20, 2019, the registrant had 20,837,272 Class A shares and 147,058,824 Class B shares outstanding.</w:t>
      </w:r>
    </w:p>
    <w:p>
      <w:pPr>
        <w:spacing w:after="0" w:line="61" w:lineRule="exact"/>
        <w:rPr>
          <w:rFonts w:ascii="Arial" w:cs="Arial" w:eastAsia="Arial" w:hAnsi="Arial"/>
          <w:sz w:val="15"/>
          <w:szCs w:val="15"/>
          <w:u w:val="single" w:color="auto"/>
          <w:color w:val="auto"/>
        </w:rPr>
      </w:pPr>
    </w:p>
    <w:p>
      <w:pPr>
        <w:ind w:left="3227"/>
        <w:spacing w:after="0"/>
        <w:rPr>
          <w:sz w:val="20"/>
          <w:szCs w:val="20"/>
          <w:color w:val="auto"/>
        </w:rPr>
      </w:pPr>
      <w:r>
        <w:rPr>
          <w:rFonts w:ascii="Arial" w:cs="Arial" w:eastAsia="Arial" w:hAnsi="Arial"/>
          <w:sz w:val="17"/>
          <w:szCs w:val="17"/>
          <w:u w:val="single" w:color="auto"/>
          <w:color w:val="auto"/>
        </w:rPr>
        <w:t>Documents Incorporated by Reference</w:t>
      </w:r>
      <w:r>
        <w:rPr>
          <w:rFonts w:ascii="Arial" w:cs="Arial" w:eastAsia="Arial" w:hAnsi="Arial"/>
          <w:sz w:val="17"/>
          <w:szCs w:val="17"/>
          <w:color w:val="auto"/>
        </w:rPr>
        <w:t>: None</w:t>
      </w:r>
    </w:p>
    <w:p>
      <w:pPr>
        <w:spacing w:after="0" w:line="20" w:lineRule="exact"/>
        <w:rPr>
          <w:rFonts w:ascii="Arial" w:cs="Arial" w:eastAsia="Arial" w:hAnsi="Arial"/>
          <w:sz w:val="15"/>
          <w:szCs w:val="15"/>
          <w:u w:val="single" w:color="auto"/>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6071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196215</wp:posOffset>
            </wp:positionV>
            <wp:extent cx="60718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504825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38" w:right="1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140" w:type="dxa"/>
            <w:vAlign w:val="bottom"/>
            <w:gridSpan w:val="35"/>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gridSpan w:val="1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40" w:type="dxa"/>
            <w:vAlign w:val="bottom"/>
            <w:gridSpan w:val="14"/>
            <w:shd w:val="clear" w:color="auto" w:fill="CCEEFF"/>
          </w:tcPr>
          <w:p>
            <w:pPr>
              <w:spacing w:after="0" w:line="189"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GLOSSARY OF TERMS</w:t>
              </w:r>
            </w:hyperlink>
          </w:p>
        </w:tc>
        <w:tc>
          <w:tcPr>
            <w:tcW w:w="7280" w:type="dxa"/>
            <w:vAlign w:val="bottom"/>
            <w:gridSpan w:val="20"/>
            <w:shd w:val="clear" w:color="auto" w:fill="CCEEFF"/>
          </w:tcPr>
          <w:p>
            <w:pPr>
              <w:spacing w:after="0"/>
              <w:rPr>
                <w:sz w:val="16"/>
                <w:szCs w:val="16"/>
                <w:color w:val="auto"/>
              </w:rPr>
            </w:pPr>
          </w:p>
        </w:tc>
        <w:tc>
          <w:tcPr>
            <w:tcW w:w="42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120" w:type="dxa"/>
            <w:vAlign w:val="bottom"/>
            <w:gridSpan w:val="34"/>
          </w:tcPr>
          <w:p>
            <w:pPr>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ON FORWARD-LOOKING STATEMENTS</w:t>
              </w:r>
            </w:hyperlink>
          </w:p>
        </w:tc>
        <w:tc>
          <w:tcPr>
            <w:tcW w:w="420" w:type="dxa"/>
            <w:vAlign w:val="bottom"/>
            <w:gridSpan w:val="4"/>
          </w:tcPr>
          <w:p>
            <w:pPr>
              <w:jc w:val="right"/>
              <w:ind w:right="120"/>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 w:type="dxa"/>
            <w:vAlign w:val="bottom"/>
            <w:gridSpan w:val="2"/>
            <w:shd w:val="clear" w:color="auto" w:fill="CCEEFF"/>
          </w:tcPr>
          <w:p>
            <w:pPr>
              <w:spacing w:after="0" w:line="189"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PART I</w:t>
              </w:r>
            </w:hyperlink>
          </w:p>
        </w:tc>
        <w:tc>
          <w:tcPr>
            <w:tcW w:w="800" w:type="dxa"/>
            <w:vAlign w:val="bottom"/>
            <w:gridSpan w:val="9"/>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10"/>
          </w:tcPr>
          <w:p>
            <w:pPr>
              <w:spacing w:after="0" w:line="189"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Items 1 and 2.</w:t>
              </w:r>
            </w:hyperlink>
          </w:p>
        </w:tc>
        <w:tc>
          <w:tcPr>
            <w:tcW w:w="7800" w:type="dxa"/>
            <w:vAlign w:val="bottom"/>
            <w:gridSpan w:val="23"/>
          </w:tcPr>
          <w:p>
            <w:pPr>
              <w:ind w:left="16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Business and Properties</w:t>
              </w:r>
            </w:hyperlink>
          </w:p>
        </w:tc>
        <w:tc>
          <w:tcPr>
            <w:tcW w:w="420" w:type="dxa"/>
            <w:vAlign w:val="bottom"/>
            <w:gridSpan w:val="4"/>
          </w:tcPr>
          <w:p>
            <w:pPr>
              <w:jc w:val="right"/>
              <w:ind w:right="12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7"/>
            <w:shd w:val="clear" w:color="auto" w:fill="CCEEFF"/>
          </w:tcPr>
          <w:p>
            <w:pPr>
              <w:spacing w:after="0" w:line="189"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1A.</w:t>
              </w:r>
            </w:hyperlink>
          </w:p>
        </w:tc>
        <w:tc>
          <w:tcPr>
            <w:tcW w:w="520" w:type="dxa"/>
            <w:vAlign w:val="bottom"/>
            <w:gridSpan w:val="3"/>
            <w:shd w:val="clear" w:color="auto" w:fill="CCEEFF"/>
          </w:tcPr>
          <w:p>
            <w:pPr>
              <w:spacing w:after="0"/>
              <w:rPr>
                <w:sz w:val="16"/>
                <w:szCs w:val="16"/>
                <w:color w:val="auto"/>
              </w:rPr>
            </w:pPr>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7"/>
          </w:tcPr>
          <w:p>
            <w:pPr>
              <w:spacing w:after="0" w:line="189"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Item 1B.</w:t>
              </w:r>
            </w:hyperlink>
          </w:p>
        </w:tc>
        <w:tc>
          <w:tcPr>
            <w:tcW w:w="520" w:type="dxa"/>
            <w:vAlign w:val="bottom"/>
            <w:gridSpan w:val="3"/>
          </w:tcPr>
          <w:p>
            <w:pPr>
              <w:spacing w:after="0"/>
              <w:rPr>
                <w:sz w:val="16"/>
                <w:szCs w:val="16"/>
                <w:color w:val="auto"/>
              </w:rPr>
            </w:pPr>
          </w:p>
        </w:tc>
        <w:tc>
          <w:tcPr>
            <w:tcW w:w="7800" w:type="dxa"/>
            <w:vAlign w:val="bottom"/>
            <w:gridSpan w:val="23"/>
          </w:tcPr>
          <w:p>
            <w:pPr>
              <w:ind w:left="160"/>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300" w:type="dxa"/>
            <w:vAlign w:val="bottom"/>
            <w:gridSpan w:val="3"/>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10"/>
            <w:shd w:val="clear" w:color="auto" w:fill="CCEEFF"/>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10"/>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7800" w:type="dxa"/>
            <w:vAlign w:val="bottom"/>
            <w:gridSpan w:val="23"/>
          </w:tcPr>
          <w:p>
            <w:pPr>
              <w:ind w:left="160"/>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300" w:type="dxa"/>
            <w:vAlign w:val="bottom"/>
            <w:gridSpan w:val="3"/>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580" w:type="dxa"/>
            <w:vAlign w:val="bottom"/>
            <w:tcBorders>
              <w:bottom w:val="single" w:sz="8" w:color="0000EE"/>
            </w:tcBorders>
            <w:gridSpan w:val="3"/>
            <w:shd w:val="clear" w:color="auto" w:fill="CCEEFF"/>
          </w:tcPr>
          <w:p>
            <w:pPr>
              <w:spacing w:after="0" w:line="189"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PART II</w:t>
              </w:r>
            </w:hyperlink>
          </w:p>
        </w:tc>
        <w:tc>
          <w:tcPr>
            <w:tcW w:w="740" w:type="dxa"/>
            <w:vAlign w:val="bottom"/>
            <w:tcBorders>
              <w:bottom w:val="single" w:sz="8" w:color="CCEEFF"/>
            </w:tcBorders>
            <w:gridSpan w:val="8"/>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10"/>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7800" w:type="dxa"/>
            <w:vAlign w:val="bottom"/>
            <w:gridSpan w:val="23"/>
          </w:tcPr>
          <w:p>
            <w:pPr>
              <w:ind w:left="160"/>
              <w:spacing w:after="0" w:line="189"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Market for the Registrant’s Common Equity, Related Shareholder Matters and Issuer Purchases of</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0" w:type="dxa"/>
            <w:vAlign w:val="bottom"/>
            <w:gridSpan w:val="23"/>
          </w:tcPr>
          <w:p>
            <w:pPr>
              <w:ind w:left="16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Equity Securities.</w:t>
              </w:r>
            </w:hyperlink>
          </w:p>
        </w:tc>
        <w:tc>
          <w:tcPr>
            <w:tcW w:w="30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10"/>
            <w:shd w:val="clear" w:color="auto" w:fill="CCEEFF"/>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Selected Financial Data.</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10"/>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Item 7.</w:t>
              </w:r>
            </w:hyperlink>
          </w:p>
        </w:tc>
        <w:tc>
          <w:tcPr>
            <w:tcW w:w="7800" w:type="dxa"/>
            <w:vAlign w:val="bottom"/>
            <w:gridSpan w:val="23"/>
          </w:tcPr>
          <w:p>
            <w:pPr>
              <w:ind w:left="160"/>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300" w:type="dxa"/>
            <w:vAlign w:val="bottom"/>
            <w:gridSpan w:val="3"/>
          </w:tcPr>
          <w:p>
            <w:pPr>
              <w:jc w:val="right"/>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7"/>
            <w:shd w:val="clear" w:color="auto" w:fill="CCEEFF"/>
          </w:tcPr>
          <w:p>
            <w:pPr>
              <w:spacing w:after="0" w:line="189"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Item 7A.</w:t>
              </w:r>
            </w:hyperlink>
          </w:p>
        </w:tc>
        <w:tc>
          <w:tcPr>
            <w:tcW w:w="520" w:type="dxa"/>
            <w:vAlign w:val="bottom"/>
            <w:gridSpan w:val="3"/>
            <w:shd w:val="clear" w:color="auto" w:fill="CCEEFF"/>
          </w:tcPr>
          <w:p>
            <w:pPr>
              <w:spacing w:after="0"/>
              <w:rPr>
                <w:sz w:val="16"/>
                <w:szCs w:val="16"/>
                <w:color w:val="auto"/>
              </w:rPr>
            </w:pPr>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7"/>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Item 8.</w:t>
              </w:r>
            </w:hyperlink>
          </w:p>
        </w:tc>
        <w:tc>
          <w:tcPr>
            <w:tcW w:w="520" w:type="dxa"/>
            <w:vAlign w:val="bottom"/>
            <w:gridSpan w:val="3"/>
          </w:tcPr>
          <w:p>
            <w:pPr>
              <w:spacing w:after="0"/>
              <w:rPr>
                <w:sz w:val="16"/>
                <w:szCs w:val="16"/>
                <w:color w:val="auto"/>
              </w:rPr>
            </w:pPr>
          </w:p>
        </w:tc>
        <w:tc>
          <w:tcPr>
            <w:tcW w:w="7800" w:type="dxa"/>
            <w:vAlign w:val="bottom"/>
            <w:gridSpan w:val="23"/>
          </w:tcPr>
          <w:p>
            <w:pPr>
              <w:ind w:left="160"/>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300" w:type="dxa"/>
            <w:vAlign w:val="bottom"/>
            <w:gridSpan w:val="3"/>
          </w:tcPr>
          <w:p>
            <w:pPr>
              <w:jc w:val="right"/>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10"/>
            <w:shd w:val="clear" w:color="auto" w:fill="CCEEFF"/>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Item 9.</w:t>
              </w:r>
            </w:hyperlink>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 Disclosure.</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10"/>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Item 9A.</w:t>
              </w:r>
            </w:hyperlink>
          </w:p>
        </w:tc>
        <w:tc>
          <w:tcPr>
            <w:tcW w:w="7800" w:type="dxa"/>
            <w:vAlign w:val="bottom"/>
            <w:gridSpan w:val="23"/>
          </w:tcPr>
          <w:p>
            <w:pPr>
              <w:ind w:left="160"/>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300" w:type="dxa"/>
            <w:vAlign w:val="bottom"/>
            <w:gridSpan w:val="3"/>
          </w:tcPr>
          <w:p>
            <w:pPr>
              <w:jc w:val="right"/>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10"/>
            <w:shd w:val="clear" w:color="auto" w:fill="CCEEFF"/>
          </w:tcPr>
          <w:p>
            <w:pPr>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Item 9B.</w:t>
              </w:r>
            </w:hyperlink>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20" w:type="dxa"/>
            <w:vAlign w:val="bottom"/>
            <w:gridSpan w:val="11"/>
          </w:tcPr>
          <w:p>
            <w:pPr>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PART III</w:t>
              </w:r>
            </w:hyperlink>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gridSpan w:val="3"/>
          </w:tcPr>
          <w:p>
            <w:pPr>
              <w:jc w:val="right"/>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Item 10.</w:t>
              </w:r>
            </w:hyperlink>
          </w:p>
        </w:tc>
        <w:tc>
          <w:tcPr>
            <w:tcW w:w="560" w:type="dxa"/>
            <w:vAlign w:val="bottom"/>
            <w:gridSpan w:val="5"/>
            <w:shd w:val="clear" w:color="auto" w:fill="CCEEFF"/>
          </w:tcPr>
          <w:p>
            <w:pPr>
              <w:spacing w:after="0"/>
              <w:rPr>
                <w:sz w:val="16"/>
                <w:szCs w:val="16"/>
                <w:color w:val="auto"/>
              </w:rPr>
            </w:pPr>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line="189"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Item 11.</w:t>
              </w:r>
            </w:hyperlink>
          </w:p>
        </w:tc>
        <w:tc>
          <w:tcPr>
            <w:tcW w:w="560" w:type="dxa"/>
            <w:vAlign w:val="bottom"/>
            <w:gridSpan w:val="5"/>
          </w:tcPr>
          <w:p>
            <w:pPr>
              <w:spacing w:after="0"/>
              <w:rPr>
                <w:sz w:val="16"/>
                <w:szCs w:val="16"/>
                <w:color w:val="auto"/>
              </w:rPr>
            </w:pPr>
          </w:p>
        </w:tc>
        <w:tc>
          <w:tcPr>
            <w:tcW w:w="7800" w:type="dxa"/>
            <w:vAlign w:val="bottom"/>
            <w:gridSpan w:val="23"/>
          </w:tcPr>
          <w:p>
            <w:pPr>
              <w:ind w:left="160"/>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300" w:type="dxa"/>
            <w:vAlign w:val="bottom"/>
            <w:gridSpan w:val="3"/>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Item 12.</w:t>
              </w:r>
            </w:hyperlink>
          </w:p>
        </w:tc>
        <w:tc>
          <w:tcPr>
            <w:tcW w:w="560" w:type="dxa"/>
            <w:vAlign w:val="bottom"/>
            <w:gridSpan w:val="5"/>
            <w:shd w:val="clear" w:color="auto" w:fill="CCEEFF"/>
          </w:tcPr>
          <w:p>
            <w:pPr>
              <w:spacing w:after="0"/>
              <w:rPr>
                <w:sz w:val="16"/>
                <w:szCs w:val="16"/>
                <w:color w:val="auto"/>
              </w:rPr>
            </w:pPr>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Security Ownership of Certain Beneficial Owners and Management and Related Stockholder Matters.</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line="189"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Item 13.</w:t>
              </w:r>
            </w:hyperlink>
          </w:p>
        </w:tc>
        <w:tc>
          <w:tcPr>
            <w:tcW w:w="560" w:type="dxa"/>
            <w:vAlign w:val="bottom"/>
            <w:gridSpan w:val="5"/>
          </w:tcPr>
          <w:p>
            <w:pPr>
              <w:spacing w:after="0"/>
              <w:rPr>
                <w:sz w:val="16"/>
                <w:szCs w:val="16"/>
                <w:color w:val="auto"/>
              </w:rPr>
            </w:pPr>
          </w:p>
        </w:tc>
        <w:tc>
          <w:tcPr>
            <w:tcW w:w="7800" w:type="dxa"/>
            <w:vAlign w:val="bottom"/>
            <w:gridSpan w:val="23"/>
          </w:tcPr>
          <w:p>
            <w:pPr>
              <w:ind w:left="160"/>
              <w:spacing w:after="0" w:line="189" w:lineRule="exact"/>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 and Director Independence.</w:t>
              </w:r>
            </w:hyperlink>
          </w:p>
        </w:tc>
        <w:tc>
          <w:tcPr>
            <w:tcW w:w="300" w:type="dxa"/>
            <w:vAlign w:val="bottom"/>
            <w:gridSpan w:val="3"/>
          </w:tcPr>
          <w:p>
            <w:pPr>
              <w:jc w:val="right"/>
              <w:spacing w:after="0" w:line="189"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Item 14.</w:t>
              </w:r>
            </w:hyperlink>
          </w:p>
        </w:tc>
        <w:tc>
          <w:tcPr>
            <w:tcW w:w="560" w:type="dxa"/>
            <w:vAlign w:val="bottom"/>
            <w:gridSpan w:val="5"/>
            <w:shd w:val="clear" w:color="auto" w:fill="CCEEFF"/>
          </w:tcPr>
          <w:p>
            <w:pPr>
              <w:spacing w:after="0"/>
              <w:rPr>
                <w:sz w:val="16"/>
                <w:szCs w:val="16"/>
                <w:color w:val="auto"/>
              </w:rPr>
            </w:pPr>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20" w:type="dxa"/>
            <w:vAlign w:val="bottom"/>
            <w:gridSpan w:val="11"/>
          </w:tcPr>
          <w:p>
            <w:pPr>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PART IV</w:t>
              </w:r>
            </w:hyperlink>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gridSpan w:val="3"/>
          </w:tcPr>
          <w:p>
            <w:pPr>
              <w:jc w:val="right"/>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Item 15.</w:t>
              </w:r>
            </w:hyperlink>
          </w:p>
        </w:tc>
        <w:tc>
          <w:tcPr>
            <w:tcW w:w="560" w:type="dxa"/>
            <w:vAlign w:val="bottom"/>
            <w:gridSpan w:val="5"/>
            <w:shd w:val="clear" w:color="auto" w:fill="CCEEFF"/>
          </w:tcPr>
          <w:p>
            <w:pPr>
              <w:spacing w:after="0"/>
              <w:rPr>
                <w:sz w:val="16"/>
                <w:szCs w:val="16"/>
                <w:color w:val="auto"/>
              </w:rPr>
            </w:pPr>
          </w:p>
        </w:tc>
        <w:tc>
          <w:tcPr>
            <w:tcW w:w="7800" w:type="dxa"/>
            <w:vAlign w:val="bottom"/>
            <w:gridSpan w:val="23"/>
            <w:shd w:val="clear" w:color="auto" w:fill="CCEEFF"/>
          </w:tcPr>
          <w:p>
            <w:pPr>
              <w:ind w:left="160"/>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Exhibits, Financial Statement Schedules.</w:t>
              </w:r>
            </w:hyperlink>
          </w:p>
        </w:tc>
        <w:tc>
          <w:tcPr>
            <w:tcW w:w="30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0000EE"/>
            </w:tcBorders>
            <w:vMerge w:val="continue"/>
          </w:tcPr>
          <w:p>
            <w:pPr>
              <w:spacing w:after="0"/>
              <w:rPr>
                <w:sz w:val="16"/>
                <w:szCs w:val="16"/>
                <w:color w:val="auto"/>
              </w:rPr>
            </w:pPr>
          </w:p>
        </w:tc>
        <w:tc>
          <w:tcPr>
            <w:tcW w:w="1080" w:type="dxa"/>
            <w:vAlign w:val="bottom"/>
            <w:tcBorders>
              <w:bottom w:val="single" w:sz="8" w:color="0000EE"/>
            </w:tcBorders>
            <w:gridSpan w:val="9"/>
          </w:tcPr>
          <w:p>
            <w:pPr>
              <w:spacing w:after="0" w:line="189"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SIGNATURES</w:t>
              </w:r>
            </w:hyperlink>
          </w:p>
        </w:tc>
        <w:tc>
          <w:tcPr>
            <w:tcW w:w="2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 OF TERMS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commonly used in the liquefied natural gas industry, to the extent applicable and as used in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 (“Annual Report”), the terms listed below have the following meanings:</w:t>
      </w:r>
    </w:p>
    <w:p>
      <w:pPr>
        <w:sectPr>
          <w:pgSz w:w="11900" w:h="16838" w:orient="portrait"/>
          <w:cols w:equalWidth="0" w:num="1">
            <w:col w:w="9520"/>
          </w:cols>
          <w:pgMar w:left="1180" w:top="279" w:right="1199" w:bottom="85"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ADO</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automotive diesel oil</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Bcf/yr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billion cubic feet per year</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Btu</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amount of heat required to raise the temperature of one avoirdupois pound of pure water from 59 degrees Fahrenheit to 60 degrees Fahrenheit at an absolute pressure of 14.696 pounds per square inch gage</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CAA</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Clean Air Act</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CERCLA</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Comprehensive Environmental Response, Compensation and Liability Act</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CWA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Clean Water Act</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DOE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U.S. Department of Energy</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DOT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U.S. Department of Transportation</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EPA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U.S. Environmental Protection Agency</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FERC</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Federal Energy Regulatory Commission</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FTA countries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countries with which the United States has a free trade agreement providing for national treatment for trade in natural gas</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GAAP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220"/>
        <w:spacing w:after="0"/>
        <w:rPr>
          <w:sz w:val="20"/>
          <w:szCs w:val="20"/>
          <w:color w:val="auto"/>
        </w:rPr>
      </w:pPr>
      <w:r>
        <w:rPr>
          <w:rFonts w:ascii="Arial" w:cs="Arial" w:eastAsia="Arial" w:hAnsi="Arial"/>
          <w:sz w:val="16"/>
          <w:szCs w:val="16"/>
          <w:color w:val="auto"/>
        </w:rPr>
        <w:t>generally accepted accounting principles in the United States</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GHG</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greenhouse gases</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GSA</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gas sales agreement</w:t>
      </w:r>
    </w:p>
    <w:p>
      <w:pPr>
        <w:spacing w:after="0" w:line="222"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Henry Hub</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natural gas pipeline located in Erath, Louisiana that serves as the official delivery location for futures contracts on the New York Mercantile Exchange</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ISO container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International Organization of Standardization, an intermodal container</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LNG</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natural gas in its liquid state at or below its boiling point at or near atmospheric pressure</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one million Btus, which corresponds to approximately 12.1 LNG gallons</w:t>
      </w:r>
    </w:p>
    <w:p>
      <w:pPr>
        <w:spacing w:after="0" w:line="222"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mtpa</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million tons per year</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megawatt. We estimate 2,500 LNG gallons would be required to produce one megawatt.</w:t>
      </w:r>
    </w:p>
    <w:p>
      <w:pPr>
        <w:spacing w:after="0" w:line="222"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NGA</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Natural Gas Act of 1938, as amended</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non-FTA countries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countries without a free trade agreement with the United States providing for national treatment for trade in natural gas and with which trade is permitted</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OPA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Oil Pollution Act</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OUR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Office of Utilities Regulation (Jamaica)</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PHMSA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Pipeline and Hazardous Materials Safety Administration</w:t>
      </w:r>
    </w:p>
    <w:p>
      <w:pPr>
        <w:spacing w:after="0" w:line="211"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power purchase agreement</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SSA</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steam supply agreement</w:t>
      </w:r>
    </w:p>
    <w:p>
      <w:pPr>
        <w:spacing w:after="0" w:line="200" w:lineRule="exact"/>
        <w:rPr>
          <w:sz w:val="20"/>
          <w:szCs w:val="20"/>
          <w:color w:val="auto"/>
        </w:rPr>
      </w:pPr>
    </w:p>
    <w:p>
      <w:pPr>
        <w:sectPr>
          <w:pgSz w:w="11900" w:h="16838" w:orient="portrait"/>
          <w:cols w:equalWidth="0" w:num="2">
            <w:col w:w="2180" w:space="720"/>
            <w:col w:w="6620"/>
          </w:cols>
          <w:pgMar w:left="1180" w:top="279" w:right="1199" w:bottom="85"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TBtu</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900" w:hanging="1827"/>
        <w:spacing w:after="0" w:line="293" w:lineRule="auto"/>
        <w:rPr>
          <w:sz w:val="20"/>
          <w:szCs w:val="20"/>
          <w:color w:val="auto"/>
        </w:rPr>
      </w:pPr>
      <w:r>
        <w:rPr>
          <w:rFonts w:ascii="Arial" w:cs="Arial" w:eastAsia="Arial" w:hAnsi="Arial"/>
          <w:sz w:val="18"/>
          <w:szCs w:val="18"/>
          <w:color w:val="auto"/>
        </w:rPr>
        <w:t>one trillion Btus, which corresponds to approximately 12,100,000 LNG gallons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254000</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4000" w:space="720"/>
            <w:col w:w="4800"/>
          </w:cols>
          <w:pgMar w:left="1180" w:top="279" w:right="1199" w:bottom="85"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59" w:lineRule="exact"/>
        <w:rPr>
          <w:sz w:val="20"/>
          <w:szCs w:val="20"/>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140" w:lineRule="exact"/>
        <w:rPr>
          <w:rFonts w:ascii="Arial" w:cs="Arial" w:eastAsia="Arial" w:hAnsi="Arial"/>
          <w:sz w:val="16"/>
          <w:szCs w:val="16"/>
          <w:color w:val="auto"/>
        </w:rPr>
      </w:pPr>
    </w:p>
    <w:p>
      <w:pPr>
        <w:ind w:left="700" w:right="22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produce or purchase sufficient amounts of LNG or natural gas at favorable prices to meet customer demand;</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of natural gas to be a competitive source of energy in the markets in which we operate, and seek to operate;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particularly Florida, Jamaica and the Caribbean.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5"/>
          <w:szCs w:val="15"/>
          <w:b w:val="1"/>
          <w:bCs w:val="1"/>
          <w:color w:val="auto"/>
        </w:rPr>
        <w:t>Business and Properties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References in this Annual Report to the “Company,” “NFE,” “we,” “our,” “us” or like terms refer to New Fortress Energy LLC and its subsidiaries. When used in a historical context, “our,” “us,” “we” or like terms refer to New Fortress Energy Holdings LLC, a Delaware limited liability company (“New Fortress Energy Holdings”), our predecessor for financial reporting purposes. References in this Annual Report to “NFI” refer to New Fortress Intermediate Holdings LLC, which following the closing of the initial public offering (the “Offering”), owns our operating subsidiaries, as well as limited assets or liabilities of New Fortress Energy Holdings held prior to the completion of the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20" w:firstLine="360"/>
        <w:spacing w:after="0" w:line="286" w:lineRule="auto"/>
        <w:rPr>
          <w:sz w:val="20"/>
          <w:szCs w:val="20"/>
          <w:color w:val="auto"/>
        </w:rPr>
      </w:pPr>
      <w:r>
        <w:rPr>
          <w:rFonts w:ascii="Arial" w:cs="Arial" w:eastAsia="Arial" w:hAnsi="Arial"/>
          <w:sz w:val="17"/>
          <w:szCs w:val="17"/>
          <w:color w:val="auto"/>
        </w:rPr>
        <w:t>We are an integrated gas-to-power company that seeks to use “stranded” natural gas to satisfy the world’s large and growing power needs. We aim to deliver targeted energy solutions to customers around the world, thereby reducing their energy costs and diversifying their energy resources, while also reducing pollution and generating compelling margins.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9"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i w:val="1"/>
          <w:iCs w:val="1"/>
          <w:color w:val="auto"/>
        </w:rPr>
        <w:t xml:space="preserve">Liquefaction </w:t>
      </w:r>
      <w:r>
        <w:rPr>
          <w:rFonts w:ascii="Arial" w:cs="Arial" w:eastAsia="Arial" w:hAnsi="Arial"/>
          <w:sz w:val="17"/>
          <w:szCs w:val="17"/>
          <w:color w:val="auto"/>
        </w:rPr>
        <w:t>– Our approach is to enter into long-term, largely fixed-price contracts for feedgas, then liquefy that gas at or</w:t>
      </w:r>
      <w:r>
        <w:rPr>
          <w:rFonts w:ascii="Arial" w:cs="Arial" w:eastAsia="Arial" w:hAnsi="Arial"/>
          <w:sz w:val="17"/>
          <w:szCs w:val="17"/>
          <w:i w:val="1"/>
          <w:iCs w:val="1"/>
          <w:color w:val="auto"/>
        </w:rPr>
        <w:t xml:space="preserve"> </w:t>
      </w:r>
      <w:r>
        <w:rPr>
          <w:rFonts w:ascii="Arial" w:cs="Arial" w:eastAsia="Arial" w:hAnsi="Arial"/>
          <w:sz w:val="17"/>
          <w:szCs w:val="17"/>
          <w:color w:val="auto"/>
        </w:rPr>
        <w:t>proximate to its site of extraction, minimizing transport and pipeline costs for the feedgas producers. We are currently developing a liquefier on land we have purchased in the Marcellus area of Pennsylvania, which is expected to have the capacity to produce on average approximately 3.6 million gallons of LNG (which is the equivalent of 298,000 MMBtu) per day.</w:t>
      </w:r>
    </w:p>
    <w:p>
      <w:pPr>
        <w:spacing w:after="0" w:line="63"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expect to own or control the logistics assets necessary to deliver LNG to our customers through our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Tanker trucks, rail, or other non-pipeline means will transport LNG from our liquefier to a port on the Delaware River, at which point LNG will be transloaded directly to large marine vessels.</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(“LNGCs”). These assets transport LNG from ports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downstream terminals for ultimate delivery to our customers. There is approximately a five day sail time from a Delaware River port to our downstream terminals and facilities in the Caribbean.</w:t>
      </w:r>
    </w:p>
    <w:p>
      <w:pPr>
        <w:spacing w:after="0" w:line="73"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and facilities, we will be positioned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power solutions to our customers seeking either to transition from environmentally dirtier distillate fuels such as ADO and heavy fuel oil (“HFO”) or to purchase natural gas to meet their current fuel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NFE was formed as a Delaware limited liability company by New Fortress Energy Holdings on August 6, 2018. NFE is a holding company whose only material asset consists of membership interests in NFI, which owns all of the outstanding membership interests in NFE Atlantic Holdings LLC. NFE is the sole managing member of NFI, is responsible for all operational, management and administrative decisions relating to NFI’s business and consolidates financial results of NFI and its subsidiaries.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the Offering, the following transactions occurred:</w:t>
      </w:r>
    </w:p>
    <w:p>
      <w:pPr>
        <w:spacing w:after="0" w:line="117" w:lineRule="exact"/>
        <w:rPr>
          <w:sz w:val="20"/>
          <w:szCs w:val="20"/>
          <w:color w:val="auto"/>
        </w:rPr>
      </w:pPr>
    </w:p>
    <w:p>
      <w:pPr>
        <w:jc w:val="both"/>
        <w:ind w:left="700" w:right="300" w:hanging="356"/>
        <w:spacing w:after="0" w:line="264"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Fortress Energy Holdings contributed all of its interests in NFE Atlantic Holdings LLC and its limited assets and liabilities, if any, to NFI in exchange for common units of NFI (“NFI LLC Units”), which are the only class of units of NFI;</w:t>
      </w:r>
    </w:p>
    <w:p>
      <w:pPr>
        <w:spacing w:after="0" w:line="73"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NFE issued 20,000,000 Class A shares in the Offering to the public, representing limited liability company interests with 100% of the economic rights in NFE, at an initial offering price of $14.00 per Class A share;</w:t>
      </w:r>
    </w:p>
    <w:p>
      <w:pPr>
        <w:spacing w:after="0" w:line="62" w:lineRule="exact"/>
        <w:rPr>
          <w:rFonts w:ascii="Arial" w:cs="Arial" w:eastAsia="Arial" w:hAnsi="Arial"/>
          <w:sz w:val="18"/>
          <w:szCs w:val="18"/>
          <w:color w:val="auto"/>
        </w:rPr>
      </w:pPr>
    </w:p>
    <w:p>
      <w:pPr>
        <w:ind w:left="700" w:right="46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NFE contributed the net proceeds from the Offering to NFI in exchange for 20,000,000 NFI LLC Units, equal to the number of Class A shares sold in the Offering; and</w:t>
      </w:r>
    </w:p>
    <w:p>
      <w:pPr>
        <w:spacing w:after="0" w:line="62" w:lineRule="exact"/>
        <w:rPr>
          <w:rFonts w:ascii="Arial" w:cs="Arial" w:eastAsia="Arial" w:hAnsi="Arial"/>
          <w:sz w:val="18"/>
          <w:szCs w:val="18"/>
          <w:color w:val="auto"/>
        </w:rPr>
      </w:pPr>
    </w:p>
    <w:p>
      <w:pPr>
        <w:ind w:left="700" w:right="38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Fortress Energy Holdings received a number of Class B shares equal to the number of NFI LLC Units held by it immediately following the completion of the Offering.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refer to the above transactions throughout this Annual Report as the “Transactions.”</w:t>
      </w:r>
    </w:p>
    <w:p>
      <w:pPr>
        <w:spacing w:after="0" w:line="117" w:lineRule="exact"/>
        <w:rPr>
          <w:sz w:val="20"/>
          <w:szCs w:val="20"/>
          <w:color w:val="auto"/>
        </w:rPr>
      </w:pPr>
    </w:p>
    <w:p>
      <w:pPr>
        <w:ind w:right="380" w:firstLine="360"/>
        <w:spacing w:after="0" w:line="312" w:lineRule="auto"/>
        <w:rPr>
          <w:sz w:val="20"/>
          <w:szCs w:val="20"/>
          <w:color w:val="auto"/>
        </w:rPr>
      </w:pPr>
      <w:r>
        <w:rPr>
          <w:rFonts w:ascii="Arial" w:cs="Arial" w:eastAsia="Arial" w:hAnsi="Arial"/>
          <w:sz w:val="16"/>
          <w:szCs w:val="16"/>
          <w:color w:val="auto"/>
        </w:rPr>
        <w:t>In addition, the underwriters of the Offering exercised their option to purchase an additional 837,272 Class A shares at the initial offering price of $14.00 per share, less underwriting discounts. Including the additional Class A shares, NFE issued 20,837,272 Class A shares, representing total proceeds of $268.6 million, net of underwriting discounts and offering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Class A shares and Class B shares</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first amended and restated limited liability company agreement (the “operating agreement”) provides for two classes of shares, Class A shares and Class B shares, representing limited liability company interests in us. Only the holders of our Class A shares are entitled to participate in any dividends our board of directors may declare. Each Class A share is also entitled to one vote on the limited matters to be voted on by our shareholders.</w:t>
      </w:r>
    </w:p>
    <w:p>
      <w:pPr>
        <w:spacing w:after="0" w:line="7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Class B shares are not entitled to receive dividends but are entitled to vote on the same basis as the Class A shares. Holders of Class A shares and Class B shares vote together as a single class on all matters presented to our shareholders for their vote or approval, except as otherwise required by applicable law. We do not intend to list the Class B shares on any stock exchange. All of our Class B shares are owned by New Fortress Energy Holdings.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Under the NFI limited liability company agreement (the “NFI LLC Agreement”), New Fortress Energy Holdings and any permitted transferees of New Fortress Energy Holdings’ NFI LLC Units,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As the sole managing member of NFI, our decision to make a cash payment upon the redemption of NFI LLC Units will be made by a committee of disinterested members of our board of directors. Alternatively, upon the exercise of the Redemption Right, NFE (instead of NFI) has the right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connection with any redemption of NFI LLC Units pursuant to the Redemption Right or our Call Right, the corresponding number of Class B shares will be automatically cancelled.</w:t>
      </w:r>
    </w:p>
    <w:p>
      <w:pPr>
        <w:spacing w:after="0" w:line="83"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For purposes of any transfer or exchange of NFI LLC Units initially owned by New Fortress Energy Holdings and our Class B shares, the NFI LLC Agreement and our operating agreement contain provisions effectively linking each NFI LLC Unit with one of our Class B shares. Class B shares cannot be transferred without transferring an equal number of NFI LLC Units and vice versa.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Our post-Offering organizational structure allows New Fortress Energy Holdings to retain a direct equity ownership in NFI, which is classified as a partnership for U.S. federal income tax purposes. Although we were formed as a limited liability company, we have elected to be taxed as a corporation for U.S. federal income tax purposes. Pursuant to our operating agreement and the NFI LLC Agreement, our capital structure and the capital structure of NFI generally replicate one another and provide for customary antidilution mechanisms in order to maintain the one-for-one exchange ratio between the NFI LLC Units and our Class A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Our operations are currently conducted at our LNG storage and regasification terminal at the Port of Montego Bay, Jamaica (the “Montego Bay Terminal”) and at our liquefaction, storage and production facility in Miami, Florida (the “Miami Facility”). See “Item 1A. Risk Factors—Risks Related to Our Business—Our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are in active discussions with additional customers who may have significant demand for additional LNG, although there can be no assurance that these discussions will result in additional contracts or the terms of such contracts or that we will be able to achieve our target pricing or margins. See “Item 1A. Risk Factors—Risks Related to Our Business—Our ability to implement our business strategy may be materially and adversely affected by many known and unknown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Terminals</w:t>
      </w:r>
    </w:p>
    <w:p>
      <w:pPr>
        <w:spacing w:after="0" w:line="12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Downstream, we have six terminals and fuel handling facilities operational or under development. Our Terminals (defined herein) will position us to access customers in a number of attractive markets around the world.</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We currently have two operational terminals and four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 xml:space="preserve">Montego Bay, Jamaica </w:t>
      </w:r>
      <w:r>
        <w:rPr>
          <w:rFonts w:ascii="Arial" w:cs="Arial" w:eastAsia="Arial" w:hAnsi="Arial"/>
          <w:sz w:val="17"/>
          <w:szCs w:val="17"/>
          <w:color w:val="auto"/>
        </w:rPr>
        <w:t>– Our Montego Bay Terminal commenced commercial operations in October 2016. The Montego Bay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Terminal is capable of processing up to 740,000 LNG gallons (61,000 MMBtu) per day and features approximately 7,000 cubic meters of onsite storage. It supplies natural gas to 145MW turbines at a power station operated by Jamaican Public Service Company Limited (“JPS”) pursuant to a long-term contract for natural gas equivalent to approximately 300,000 gallons of LNG (25,000 MMBtu) per day. The Montego Bay Terminal also supplies numerous on-island industrial users with natural gas or LNG pursuant to other long-term take-or-pay contracts. We have total aggregate contracted volumes of approximately 450,000 gallons of LNG (37,200 MMBtu) per day at our Montego Bay Terminal with a weighted average contract length of 18.5 years as of December 31, 2018. We have the ability to service other potential customers with the excess capacity of the Montego Bay Terminal, and we are seeking to enter into long-term contracts with new customers for such purposes. We deliver LNG to the Montego Bay Terminal via small LNGCs.</w:t>
      </w:r>
    </w:p>
    <w:p>
      <w:pPr>
        <w:spacing w:after="0" w:line="70"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 xml:space="preserve">Old Harbour, Jamaica </w:t>
      </w:r>
      <w:r>
        <w:rPr>
          <w:rFonts w:ascii="Arial" w:cs="Arial" w:eastAsia="Arial" w:hAnsi="Arial"/>
          <w:sz w:val="16"/>
          <w:szCs w:val="16"/>
          <w:color w:val="auto"/>
        </w:rPr>
        <w:t>– Our marine LNG storage and regasification terminal in Old Harbour, Jamaica (the “Old Harbour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and, together with the Montego Bay Terminal, the “Jamaica Terminals”) is complete. The Old Harbour Terminal has begun supplying natural gas for commissioning and testing, with full commercial operations expected to commence in the second quarter of 2019. It is capable of processing approximately 6 million gallons of LNG (500,000 MMBtu) per day. The Old Harbour Terminal is expected to supply gas to a new 190MW Old Harbour gas-fired power plant (the “Old Harbour Power Plant”) operated by South Jamaica Power Company Limited (“JPC”) pursuant to a long-term contract for natural gas equivalent to approximately 350,000 gallons of LNG (29,000 MMBtu) per day. We also expect the Old Harbour Terminal to supply gas to the dual-fired CHP facility in Clarendon, Jamaica (the “CHP Plant”) that we are constructing. See “—Our Current Customers—Jamalco CHP Plant.” We have total aggregate contracted volumes of approximately 619,000 gallons of LNG (51,200 MMBtu) per day at our Old Harbour Terminal with an average contract length of 20.0 years as of December 31, 2018.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provided via FSRU. The offshore design eliminates the need for expensive storage tanks and permanent, onshore infrastructure.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is currently under development and is expected to commence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mid-2019. It is designed as a landed multi-fuel handling facility located in the Port of San Juan, Puerto Rico (the “San Juan Facility”). The San Juan Facility is being constructed with multiple truck loading bays to provide LNG to on-island industrial users. In addition, the Puerto Rico Electric Power Authority (“PREPA”) selected our proposal to convert and supply natural gas to Units 5 and 6 of the San Juan Combined Cycle Power Plant (the “San Juan Power Plant”) – which together have a capacity of 440MW. We have leased the land under a long-term agreement and cleared the wharves near the San Juan Power Plant. The San Juan Power Plant is currently running on diesel, and we plan to convert the San Juan Power Plant to run on natural gas and provide up to approximately 25 TBtu of natural gas per year, which would equal approximately 829,000 gallons of LNG (68,500 MMBtu) per day. On March 5, 2019, after approval by the Puerto Rico Energy Bureau (the “PREB”) and the Financial Oversight and Management Board for Puerto Rico (the “FOMB”), our subsidiary, NFEnergía LLC (“NFEnergía”) entered into a Fuel Sale and Purchase Agreement with PREPA for the supply of natural gas and conversion of Units 5 and 6 of the San Juan Power Plant. The initial term of the contract is five years, with options for PREPA to extend for three additional five-year periods. The conversion of Units 5 and 6 of the San Juan Power Plant and the development of the micro fuel handling facility are anticipated to be completed by mid-2019. See “Item 1A. Risk Factors—Risks Related to Our Business—Our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67" w:lineRule="exact"/>
        <w:rPr>
          <w:sz w:val="20"/>
          <w:szCs w:val="20"/>
          <w:color w:val="auto"/>
        </w:rPr>
      </w:pPr>
    </w:p>
    <w:p>
      <w:pPr>
        <w:ind w:right="140" w:firstLine="360"/>
        <w:spacing w:after="0" w:line="288" w:lineRule="auto"/>
        <w:rPr>
          <w:sz w:val="20"/>
          <w:szCs w:val="20"/>
          <w:color w:val="auto"/>
        </w:rPr>
      </w:pPr>
      <w:r>
        <w:rPr>
          <w:rFonts w:ascii="Arial" w:cs="Arial" w:eastAsia="Arial" w:hAnsi="Arial"/>
          <w:sz w:val="16"/>
          <w:szCs w:val="16"/>
          <w:i w:val="1"/>
          <w:iCs w:val="1"/>
          <w:color w:val="auto"/>
        </w:rPr>
        <w:t xml:space="preserve">La Paz, Baja California Sur, Mexico </w:t>
      </w:r>
      <w:r>
        <w:rPr>
          <w:rFonts w:ascii="Arial" w:cs="Arial" w:eastAsia="Arial" w:hAnsi="Arial"/>
          <w:sz w:val="16"/>
          <w:szCs w:val="16"/>
          <w:color w:val="auto"/>
        </w:rPr>
        <w:t>– We were awarded a public tender to build, own and operate an LNG regasification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(the “La Paz Terminal”) on July 18, 2018. Our La Paz Terminal is currently under development is expected to commence commercial operations in the first quarter of 2020. It is being designed as an LNG receiving terminal located at the Port of Pichilingue in Baja California Sur, Mexico, where LNG will be delivered via a small LNGC vessel or barge from a mothership moored nearby. Initially, the La Paz Terminal is expected to supply approximately 225,000 gallons of LNG (18,600 MMBtu) per day under an intercompany GSA for up to 97MW of power supplied by two gas-fired mobile power units that we plan to develop, own and operate. Similarly, we expect that we will use the La Paz Terminal infrastructure, which includes truckloading bays, to facilitate the conversion of, and supply of approximately 180,000 gallons of LNG (15,000 MMBtu) per day to local power plants owned by Comisión Federal de Electridad, as well as regional industrial users and hotels. In August 2018, we obtained a power generation permit from Mexico’s energy regulatory commission, Comisión Reguladora de Energia.</w:t>
      </w:r>
    </w:p>
    <w:p>
      <w:pPr>
        <w:spacing w:after="0" w:line="6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 xml:space="preserve">Shannon, Ireland </w:t>
      </w:r>
      <w:r>
        <w:rPr>
          <w:rFonts w:ascii="Arial" w:cs="Arial" w:eastAsia="Arial" w:hAnsi="Arial"/>
          <w:sz w:val="17"/>
          <w:szCs w:val="17"/>
          <w:color w:val="auto"/>
        </w:rPr>
        <w:t>– We have entered into an agreement to purchase all of the ownership interests in a project company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owns the rights to develop and operate an LNG terminal and a combined heat and power (“CHP”) plant on the Shannon Estuary near Ballylongford, Ireland. We intend for this terminal to include a storage facility with onshore regasification equipment and pipeline connection into the distribution system of Gas Networks Ireland, Ireland’s national gas network (the “Ireland Terminal” and, together with the Jamaica Terminals, the San Juan Facility and the La Paz Terminal, our “Terminals”). We have obtained planning permission for the Ireland Terminal and pipeline, foreshore leases and certain approvals from the Commission for Regulation of Utilities in Ireland. We plan to deliver LNG to the Ireland Terminal via a traditional size LNGC. The equipment on site is expected to have the capacity to import and regasify more than 6 million gallons of LNG (500,000 MMBtu) per day, which is the equivalent of Ireland’s total foreign natural gas imports. Additionally, we have planning permission approval to build an integrated 500MW power plant on site with priority dispatch.</w:t>
      </w:r>
    </w:p>
    <w:p>
      <w:pPr>
        <w:spacing w:after="0" w:line="70"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September 2018, an Irish non-governmental organization filed a judicial challenge to the extension of a planning permission associated with our Ireland Terminal. In a February 2019 written decision arising out of this judicial challenge, Ireland’s High Court referred several questions relating to the extensions to the European Court of Justice. While this judicial review proceeds, we intend to file for a new planning permission that, if approved, would replace the permission whose extension is currently under challenge. We intend to begin construction of the Ireland Terminal after we have obtained a replacement planning permission (or, if earlier, received a favorable resolution to the challenge to the extension of our existing permission) and secured contracts with downstream customers for volumes that are sufficient to support the development.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 xml:space="preserve">Dominican Republic </w:t>
      </w:r>
      <w:r>
        <w:rPr>
          <w:rFonts w:ascii="Arial" w:cs="Arial" w:eastAsia="Arial" w:hAnsi="Arial"/>
          <w:sz w:val="16"/>
          <w:szCs w:val="16"/>
          <w:color w:val="auto"/>
        </w:rPr>
        <w:t>– We are in the advanced stages of negotiations to enter into a long-term contract for the supply of up to</w:t>
      </w:r>
      <w:r>
        <w:rPr>
          <w:rFonts w:ascii="Arial" w:cs="Arial" w:eastAsia="Arial" w:hAnsi="Arial"/>
          <w:sz w:val="16"/>
          <w:szCs w:val="16"/>
          <w:i w:val="1"/>
          <w:iCs w:val="1"/>
          <w:color w:val="auto"/>
        </w:rPr>
        <w:t xml:space="preserve"> </w:t>
      </w:r>
      <w:r>
        <w:rPr>
          <w:rFonts w:ascii="Arial" w:cs="Arial" w:eastAsia="Arial" w:hAnsi="Arial"/>
          <w:sz w:val="16"/>
          <w:szCs w:val="16"/>
          <w:color w:val="auto"/>
        </w:rPr>
        <w:t>1.7 million gallons of LNG (140,500 MMBtu) per day to supply power plants with natural gas in the Dominican Republic. We plan to develop an LNG import terminal off the Dominican Republic which will receive shipments of LNG via an LNGC and will transfer the LNG onshore. LNG will be transferred from an LNGC to an FSRU which will be semi-permanently moored at the terminal and will be transported via a subsea pipeline in the region. The LNG import terminal may also be utilized to transport natural gas to industrial users in the Dominican Republic. We anticipate commencing commercial operations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Liquefaction Assets</w:t>
      </w:r>
    </w:p>
    <w:p>
      <w:pPr>
        <w:spacing w:after="0" w:line="12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have one operational liquefaction facility in Miami, Florida and are currently developing another liquefaction facility in Pennsylvania (our “Pennsylvania Facility” and, together with the Miami Facility, the “Liquefaction Facilities”).</w:t>
      </w:r>
    </w:p>
    <w:p>
      <w:pPr>
        <w:spacing w:after="0" w:line="73"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We constructed the Miami Facility, which commenced full commercial operations in 2016, in under 12 months at a cost to build of approximately $70 million. The Miami Facility has one liquefaction train, with liquefaction production capacity of approximately 100,000 gallons of LNG (8,300 MMBtu) per day and was 96.6% dispatchable during 2018. The Miami Facility also has three LNG storage tanks, with total capacity of approximately 1,000 cubic meters. The Miami Facility also includes two separate LNG transfer areas capable of serving both truck and rail. We are currently delivering approximately 28,000 gallons of LNG (2,300 MMBtu) per day from the Miami Facility pursuant to long-term, take-or-pay contracts.</w:t>
      </w:r>
    </w:p>
    <w:p>
      <w:pPr>
        <w:spacing w:after="0" w:line="7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are in advanced stages of the design, development and permitting for our Pennsylvania Facility, and we are targeting completion in the first quarter of 2021. In January 2019, we entered into a definitive engineering, procurement and construction agreement (the “EPC Agreement”) with Black &amp; Veatch Construction, Inc. (the “Contractor”) for the construction of our Pennsylvania Facility. We expect our Pennsylvania Facility to have the capacity to liquefy on average approximately 3.6 million gallons of LNG (298,000 MMBtu) on average per day. We have already entered into a 15-year contract to acquire all of the feedgas needed to operate our Pennsylvania Facility at capacity, with pricing that is generally fixed at $2.50 per MMBtu. In January 2019, we entered into a fuel handling agreement with a company managed by an affiliate of Fortress Investment Group LLC (“Fortress”) for the provision of fuel handling services at a port approximately 195 miles away along the Delaware River. Under such agreement, we have the exclusive rights to deliver and transload LNG at such facility for the term of the agreement and LNG will be transferred directly from tanker truck, rail or other non-pipeline means to marine vessels through multiple transloading bays, allowing for simultaneous and continuous operations. From there, our dedicated fleet of marine vessels will be able to transport the LNG to our Terminals from which we will deliver natural gas or LNG to our customers.</w:t>
      </w:r>
    </w:p>
    <w:p>
      <w:pPr>
        <w:spacing w:after="0" w:line="72"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In addition to this port along the Delaware River, we are also in the advanced stages of negotiating a substantially similar long-term agreement with a company managed by an affiliate of Fortress for the use of a facility at a port on the Texas Gulf Coast.</w:t>
      </w:r>
    </w:p>
    <w:p>
      <w:pPr>
        <w:spacing w:after="0" w:line="16"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expect to fund these commitments through a combination of cash on hand, operating cash flows, additional borrowings and the proceeds from the Offering. Pending completion and commissioning of our liquefier in development, we expect to continue to supply our downstream customers with LNG and natural gas sourced from a combination of our Miami Facility, which operated at 26% capacity during the year ended December 31, 2018, purchases of LNG under a multi-cargo contract with Centrica LNG Company Limited (“Centrica”) and open market purchases as necessary. We are drawing on our experience from the construction and operation of our Miami Facility to optimize the development of our Pennsylvania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EPC Agreement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January 2019, we entered into the EPC Agreement with the Contractor for the construction of our Pennsylvania Facility.</w:t>
      </w:r>
    </w:p>
    <w:p>
      <w:pPr>
        <w:spacing w:after="0" w:line="12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expect the target completion date of the Pennsylvania Facility to be the first quarter 2021. The contract price under the EPC Agreement is approximately $672 million, excluding Pennsylvania sales and use taxes on materials and equipment. The contract price includes a provisional payment of $162 million, and the contract price may be reduced based on actual cost savings. We intend to fund these amounts from a combination of cash flows from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indebtedness or the opportunistic sale of one of our non-core assets. The Contractor will be entitled to receive a bonus for completion of the Pennsylvania Facility prior to the contract completion date, up to a maximum bonus amount of $30 million. The Contractor will be able to obtain change order relief, including increases to the contract price and extensions of guaranteed dates for substantial completion, in the event of specified occurrences.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Customers</w:t>
      </w:r>
    </w:p>
    <w:p>
      <w:pPr>
        <w:spacing w:after="0" w:line="121"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3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 In general, the better the credit and larger the size of the user, the lower the contract price of our fuel.</w:t>
      </w:r>
    </w:p>
    <w:p>
      <w:pPr>
        <w:spacing w:after="0" w:line="7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Because of our limited operating history and stage of development, a limited number of customers currently represent a large percentage of our income. For the year ended December 31, 2018, revenue from a significant customer constituted 87% of total revenues.</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have several contracts with government affiliated entities in Jamaica, including contracts with JPS, JPC and Jamalco (together, the “Jamaica GSAs”). The Jamaica GSAs represent 50% of Jamaica’s installed power capacity and sales of approximately 919,000 gallons of LNG (76,000 MMBtu) per day. The Jamaica GSAs have remaining terms of approximately 20 years, with mutual options to extend, subject to certain conditions.</w:t>
      </w:r>
    </w:p>
    <w:p>
      <w:pPr>
        <w:spacing w:after="0" w:line="79"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 aggregate minimum quantities we are required to deliver, and our counterparties are required to purchase, under the Jamaica GSAs initially total approximately 56,211 MMBtu per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Bogue Power Plant</w:t>
      </w:r>
    </w:p>
    <w:p>
      <w:pPr>
        <w:spacing w:after="0" w:line="117" w:lineRule="exact"/>
        <w:rPr>
          <w:sz w:val="20"/>
          <w:szCs w:val="20"/>
          <w:color w:val="auto"/>
        </w:rPr>
      </w:pPr>
    </w:p>
    <w:p>
      <w:pPr>
        <w:ind w:right="280" w:firstLine="360"/>
        <w:spacing w:after="0" w:line="342" w:lineRule="auto"/>
        <w:rPr>
          <w:sz w:val="20"/>
          <w:szCs w:val="20"/>
          <w:color w:val="auto"/>
        </w:rPr>
      </w:pPr>
      <w:r>
        <w:rPr>
          <w:rFonts w:ascii="Arial" w:cs="Arial" w:eastAsia="Arial" w:hAnsi="Arial"/>
          <w:sz w:val="16"/>
          <w:szCs w:val="16"/>
          <w:color w:val="auto"/>
        </w:rPr>
        <w:t>We have executed a 22-year agreement to supply JPS’s 145MW Bogue power plant (the “Bogue Power Plant”) in Montego Bay, Jamaica with natural gas. The Bogue Power Plant has been converted to run on natural gas as well as ADO.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Power Plant</w:t>
      </w:r>
    </w:p>
    <w:p>
      <w:pPr>
        <w:spacing w:after="0" w:line="117"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We have also executed an agreement to supply JPC’s Old Harbour Power Plant in Old Harbour, Jamaica with natural gas and back-up ADO for 20 years. The Old Harbour Power Plant will be an approximately 190MW capacity dual fuel plant owned by JPC.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Jamalco CHP Plant</w:t>
      </w:r>
    </w:p>
    <w:p>
      <w:pPr>
        <w:spacing w:after="0" w:line="11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We have also executed a suite of agreements, including a 20-year SSA to supply a joint venture between General Alumina Jamaica (“GAJ”), a subsidiary of Noble Group, and Clarendon Alumina Production Limited, an entity owned by the Government of Jamaica, with a focus on bauxite mining and alumina production in Jamaica (“Jamalco”) with steam for use in its alumina refinery operations and a 20-year PPA to supply electricity to JPS, to support our development of the CHP Plant. The CHP Plant will be a 150MW capacity combined heat and power plant and will be fueled by natural gas with the ability to run on diesel as a backup fuel source. We will ship LNG to Jamaica, regasify it at the Old Harbour Terminal and deliver it to the CHP Plant, which will be owned by our wholly owned subsidiary NFE South Power Holdings Limited. We have obtained a power generation license for, and have commenced the construction of, the CHP Plant and we expect construction to be completed by the first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End-User Sales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have entered into multiple long-term contracts to sell LNG and natural gas directly to industrial end-users in Jamaica. To fulfill the requirements of our end-user customers, we transport LNG through our Jamaica Terminals (either from our Liquefaction Facilities in the United States or from third parties in market purchases) and deliver such LNG directly to customers’ facilities where we regasify it and deliver natural gas.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For example, we have entered into a 10-year agreement to supply Red Stripe with natural gas to power its brewery operations through Red Stripe’s own CHP facility located on-site at its brewery in Kingston, Jamaica. We constructed the necessary LNG storage and regasification infrastructure “behind the fence” at Red Stripe’s factory in less than three months, and natural-gas powered operations commenced on October 6, 2017. Red Stripe estimates that its conversion to natural gas will save it at least $336,000 per year (not including conversion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Contracts</w:t>
      </w:r>
    </w:p>
    <w:p>
      <w:pPr>
        <w:spacing w:after="0" w:line="12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In September 2018, we amended and restated our GSA with an affiliate of Chesapeake Energy Corporation (“Chesapeake”) to provide for the delivery of natural gas, including commissioning gas, to our Pennsylvania Facility (the “Chesapeake GSA”). Deliveries during the term of the contract will commence once the Pennsylvania Facility has completed commissioning and testing and is capable of receiving the minimum volume of gas. The initial contract term is 15 years and we will purchase gas from Chesapeake at a price equal to a fixed fee plus a variable rate, subject to a minimum volume.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marketing LNG and natural gas, we compete for sales of LNG and natural gas with a variety of competitors, including: major integrated marketers who have large amounts of capital to support their marketing operations and offer a full-range of services and market numerous products other than natural gas; producer marketers who sell their own natural gas production or the production of an affiliated natural gas production company; small geographically focused marketers who focus on marketing natural gas for the geographic area in which their affiliated distributor operates; and aggregators who gather small volumes of natural gas from various sources, combine them and sell the larger volumes for more favorable prices and terms than would be possible selling the smaller volumes separately.</w:t>
      </w:r>
    </w:p>
    <w:p>
      <w:pPr>
        <w:spacing w:after="0" w:line="81"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However, we do not expect to experience significant competition for our LNG logistics services with respect to the Jamaica Terminals because we have entered into fixed GSAs with JPS and JPC for the Jamaica Terminals. If and when we have to replace our agreements with JPS or JPC, we may compete with other then-existing LNG logistics companies for these customers.</w:t>
      </w:r>
    </w:p>
    <w:p>
      <w:pPr>
        <w:spacing w:after="0" w:line="3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There are no other liquefaction terminals currently in operation in Southern Florida. However, a number of plants are currently under development in the region that could compete with our Miami Facility.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purchasing LNG as part of our logistics business, we will compete for supplies of LNG with:</w:t>
      </w:r>
    </w:p>
    <w:p>
      <w:pPr>
        <w:spacing w:after="0" w:line="117" w:lineRule="exact"/>
        <w:rPr>
          <w:sz w:val="20"/>
          <w:szCs w:val="20"/>
          <w:color w:val="auto"/>
        </w:rPr>
      </w:pPr>
    </w:p>
    <w:p>
      <w:pPr>
        <w:ind w:left="700" w:right="18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 multinational and national companies with longer operating histories, more development experience, greater name recognition, larger staffs and substantially greater financial, technical and marketing resources;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 and gas producers who sell or control LNG derived from their international oil and gas properties;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DOE Export</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DOE issued orders authorizing us, through our subsidiary, American LNG Marketing LLC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authorizations commenced on February 5, 2016, the date of first export from the Miami Facility. The DOE has also authorized American LNG Marketing LLC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57"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Exports of natural gas to FTA countries are “deemed to be consistent with the public interest” and authorization to export LNG to FTA countries shall be granted by the DOE without “modification or delay.” FTA countries which import LNG now or will do so in the near future include Chile, Mexico, Singapore, South Korea and the Dominican Republic. Exports of natural gas to non-FTA countries are considered by the DOE in the context of a comment period whereby interveners are provided the opportunity to assert that such authorization would not be consistent with the public interest.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Many LNG facilities are also subject to regulation by the DOT, through the PHMSA; PHMSA has established requirements relating to the design, installation, testing, construction, operation, replacement and management of “pipeline facilities,” which PHMSA has defined to include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recent years, PHMSA’s regulation of pipeline facilities has become more stringent. For example, in March 2016, the PHMSA released a comprehensive proposed rulemaking concerning gas pipeline safety that, if adopted, would, among other things, regulate many currently unregulated gathering lines in rural areas, expand the integrity management requirements beyond “High Consequence Areas” to apply to gas pipelines in newly defined “Moderate Consequence Areas,” and require pressure testing of many formerly grandfathered pipelines in place before 1970 to determine their maximum allowable operating pressures. In January 2017, PHMSA issued a pre-publication version of a final rule that amends its pipeline safety regulations for the design, construction, testing, operation and maintenance of hazardous liquids pipelines. Although the Trump Administration has not yet taken any action to finalize these proposed rules, they remain pending. Similar to these efforts, PHMSA’s regulation of LNG facilities could become more stringent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Our LNG infrastructure and operations are subject to various international, federal, state and local laws and regulations as well as foreign laws and regulations relating to the protection of the environment, natural resources and human health. These environmental laws and regulations may require the installation of controls on emissions and structures to prevent or mitigate any potential harm to human health and the environment.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Our LNG infrastructure is subject to the federal CAA and comparable state and local laws. We may be required to incur certain capital expenditures over the next several years for equipment to control air emissions as a condition to maintaining or obtaining permits and approvals. Alternatively, we may be required to restrict or limit the amount of LNG we produce or ship in order to obtain or maintain a permit. We do not believe, however, that our operations, or the construction and operations of our Liquefaction Facilities, will be materially and adversely affected by any such requirements.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In 2009, the EPA promulgated and finalized the Mandatory Greenhouse Gas Reporting Rule for multiple sections of the economy. This rule requires mandatory reporting of GHG emissions from stationary fuel combustion sources as well as all fugitive emissions throughout LNG infrastructure. From time to time, Congress has considered proposed legislation directed at reducing GHG emissions, and the EPA has defined GHG emissions thresholds for requiring certain permits for new and existing industrial sources. In addition, many states have already taken regulatory action to monitor and/or reduce emissions of GHGs, primarily through the development of GHG emission inventories or regional GHG cap and trade programs. It is not possible at this time to predict how future regulations or legislation may address GHG emissions and impact our business. However, future regulations and laws could result in increased compliance costs or additional operating restrictions and could have a material adverse effect on our business, financial position, operating results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Coastal Zone Management Act (“CZMA”)</w:t>
      </w:r>
    </w:p>
    <w:p>
      <w:pPr>
        <w:spacing w:after="0" w:line="117"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LNG infrastructure may be subject to the review and requirements of the CZMA when facilities are located within the coastal zone. The CZMA is administered by the states (in Florida, via the Florida Coastal Management Program, which is coordinated by the Florida Department of Environmental Protection). This program is implemented to ensure that impacts to coastal areas are consistent with the intent of the CZMA and each state’s respective CZMA-authorized program to manage the coastal areas.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Water Act</w:t>
      </w:r>
    </w:p>
    <w:p>
      <w:pPr>
        <w:spacing w:after="0" w:line="11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Our LNG infrastructure is also subject to the federal CWA and analogous state and local laws. The CWA imposes strict controls on the discharge of pollutants into the waters of the United States, including discharges of wastewater and storm water runoff and fill/discharges into waters of the United States. Permits must be obtained prior to discharging pollutants into state and federal waters and before constructing infrastructure that requires the dredging and filling of waters of the United States. The CWA is administered by the EPA, the U.S. Army Corps of Engineers (“USACE”) and by the states via the applicable state agency.</w:t>
      </w:r>
    </w:p>
    <w:p>
      <w:pPr>
        <w:spacing w:after="0" w:line="5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We are required to comply with numerous other federal, state and local environmental, health and safety laws and regulations in addition to those previously discussed. These additional laws include, for example, the Rivers and Harbors Act, the federal Resource Conservation and Recovery Act and comparable state statutes, the Endangered Species Act, the National Historic Preservation Act and the Emergency Planning and Community Right-to-Know Act.</w:t>
      </w:r>
    </w:p>
    <w:p>
      <w:pPr>
        <w:spacing w:after="0" w:line="7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Moreover, our current operations and future projects may be subject to additional federal permits, orders, approvals and consultations required by other federal agencies under these and other statutes, including the DOE, Advisory Council on Historic Preservation, the USACE, U.S. Department of Commerce, National Marine Fisheries Services, U.S. Department of the Interior, U.S. Fish and Wildlife Service, the EPA and U.S. Department of Homeland Security. In addition, federal permitting processes may trigger the requirements of the National Environmental Policy Act (“NEPA”), which requires federal agencies to evaluate major agency actions that have the potential to significantly impact the environment. State permitting regimes may require similar consultations with applicable state-level agencies and/or the preparation of a similar assessment of environmental impacts pursuant to state law.</w:t>
      </w:r>
    </w:p>
    <w:p>
      <w:pPr>
        <w:spacing w:after="0" w:line="84"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Additional federal permits that may be required to conduct our current operations or pursue future projects include, for example, a USACE Section 404 permit under the CWA and a Section 10 of the Rivers and Harbors Act Permit, a Title V Operating Permit under the CAA, a Prevention of Significant Deterioration Permit under the CAA and, where applicable, Federal Aviation Administration determinations or approvals relating to certain ground construction activities.</w:t>
      </w:r>
    </w:p>
    <w:p>
      <w:pPr>
        <w:spacing w:after="0" w:line="63"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Other local laws and regulations, including local zoning laws and fire protection codes, may also affect where and how we operate.</w:t>
      </w:r>
    </w:p>
    <w:p>
      <w:pPr>
        <w:spacing w:after="0" w:line="6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in Ireland</w:t>
      </w:r>
    </w:p>
    <w:p>
      <w:pPr>
        <w:spacing w:after="0" w:line="117"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the LNG facility must meet. We are in the process of applying for all necessary permits to build and complete the Ireland Terminal.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Terminal. In a February 2019 written decision arising out of this judicial challenge, Ireland’s High Court referred several questions relating to the extensions to the European Court of Justice. While this judicial review proceeds, we intend to file for a new planning permission that, if approved, would replace the permission whose extension is currently under challenge. We intend to begin construction of the Ireland Terminal after we have obtained a replacement planning permission (or, if earlier, received a favorable resolution to the challenge to the extension of our existing permission) and secured contracts with downstream customers for volumes that are sufficient to support the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in Mexico</w:t>
      </w:r>
    </w:p>
    <w:p>
      <w:pPr>
        <w:spacing w:after="0" w:line="117"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Mexican law comprehensively regulates all aspects of the receipt, delivery, storage and re-vaporization of LNG as well as the generation and transmission of electricity. Various federal agencies in Mexico regulate these activities, including the Environment, Natural Resources &amp; Fisheries Ministry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7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The completely revised and updated IGC Code entered into force on January 1, 2016, with an implementation/application date of July 1, 2016. The amendments were developed following a comprehensive five-year review and are intended to take into account the latest advances in science and technology. Compliance with the IGC Code must be evidenced by a Certificate of Fitness for the Carriage of Liquefied Gases in Bulk. The IMO International Convention for the Prevention of Pollution from Ships of 1973, as amended from time to time, and generally referred to as “MARPOL,” regulates air emissions through Annex VI regulations for the Prevention of Air Pollution from Ships (“Annex VI”), entered into force on May 19, 2005. Annex VI sets limits on sulfur oxide and nitrogen oxide emissions from ship exhausts, emissions of volatile compounds from cargo tanks and incineration of specific substances, and prohibits deliberate emissions of ozone depleting substances.</w:t>
      </w:r>
    </w:p>
    <w:p>
      <w:pPr>
        <w:spacing w:after="0" w:line="7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Additionally, more stringent emission standards apply in coastal areas designated as ECAs, such as the U.S. and Canadian coastal areas, which are designated by the Marine Environment Protection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Effective August 1, 2012, certain coastal areas of North America were designated Emission Control Areas (“ECAs”). Furthermore, as of January 1, 2014, portions of the U.S. Caribbean Sea were designated ECAs. Annex VI Regulation 14, which came into effect on January 1, 2015, set a 0.1% sulfur limit in areas of the Baltic Sea, North Sea, North America and U.S. Caribbean Sea that are ECAs.</w:t>
      </w:r>
    </w:p>
    <w:p>
      <w:pPr>
        <w:spacing w:after="0" w:line="79"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Amended Annex VI also establishes new tiers of stringent nitrogen oxide emissions standards for new marine engines, depending on their date of installation. The North Sea and Baltic Sea have been formally designated as ECAs for nitrogen oxides effective January 1, 2021. U.S. air emissions standards are now equivalent to these amended Annex VI requirements. Additional or new conventions, laws and regulations may be adopted that could require the installation of expensive emission control systems.</w:t>
      </w:r>
    </w:p>
    <w:p>
      <w:pPr>
        <w:spacing w:after="0" w:line="46"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We transact with leading vessel providers in the LNG industry and look to them to ensure that each of our chartered vessels is in compliance with applicable international and in-country requirements. Nevertheless, the IMO continues to review and introduce new regulations. It is impossible to predict what additional regulations, if any, may be passed by the IMO and what effect, if any, such regulation may have on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and Natural Gas Marketing Governmental Regulation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Futures Trading Commission</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Dodd-Frank Wall Street Reform and Consumer Protection Act (the “Dodd-Frank Act”) provides for federal regulation of the over-the-counter (“OTC”) derivatives market and entities, such as us, that participate in that market. The regulatory regime created by the Dodd-Frank Act is designed primarily to (1) regulate certain participants in the swaps markets, including entities falling within the categories of “Swap Dealer” and “Major Swap Participant,” (2) require clearing and exchange trading of certain classes of swaps as designated by the Commodity Futures Trading Commission (“CFTC”), (3) increase swap market transparency through robust reporting and recordkeeping requirements, (4) reduce financial risks in the derivatives market by imposing margin or collateral requirements on both cleared and, in certain cases, uncleared swaps, (5) provide the CFTC with expanded authority to establish position limits on certain swaps and future products as it finds necessary and appropriate, and (6) otherwise enhance the rulemaking and enforcement authority of the CFTC and the SEC regarding the derivatives markets. As required by the Dodd-Frank Act, the CFTC, the SEC and other regulators have been promulgating rules and regulations implementing the regulatory provisions of the Dodd-Frank Act, although neither the CFTC nor the SEC has yet adopted or implemented all of the rules required by the Dodd-Frank Act. In addition, the CFTC and its staff regularly issue rule amendments and guidance, policy statements and letters interpreting or taking no-action positions, including time-limited no action positions, regarding the derivatives provisions of the Dodd-Frank Act and the rules of the CFTC under these provisions.</w:t>
      </w:r>
    </w:p>
    <w:p>
      <w:pPr>
        <w:spacing w:after="0" w:line="7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A provision of the Dodd-Frank Act requires the CFTC, in order to diminish or prevent excessive speculation in commodity markets, to adopt rules, as it finds necessary and appropriate, imposing new position limits on certain futures contracts, options contracts and economically equivalent physical commodity swaps and on OTC swaps that perform a significant price discovery function with respect to certain markets. In that regard, the CFTC has proposed position limits rules that would modify and expand the applicability of position limits on the amounts of certain core futures contracts and economically equivalent futures contracts, options contracts and swaps for or linked to certain physical commodities, including Henry Hub natural gas, that market participants may hold, subject to limited exemptions for certain bona fide hedging and other types of transactions. It is uncertain at this time whether, when and in what form the CFTC’s proposed new position limits rules may become final and effective.</w:t>
      </w:r>
    </w:p>
    <w:p>
      <w:pPr>
        <w:spacing w:after="0" w:line="58"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Pursuant to rules adopted by the CFTC, six classes of OTC interest rate and credit default swaps must be cleared through a derivatives clearing organization and executed on an exchange or swap execution facility. The CFTC has not yet proposed to designate any other classes of swaps, including swaps relating to physical commodities, for mandatory clearing, but could do so in the future. Although we expect to qualify for the “end-user exception” from the mandatory clearing and exchange-trading requirements applicable to any swaps that we enter into to hedge our commercial risks, the mandatory clearing and exchange-trading requirements may apply to other market participants, including our counterparties (who may be registered as Swap Dealers), with respect to other swaps, and the application of such rules may change the cost and availability of the swaps that we use for hedging.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As required by provisions of the Dodd-Frank Act, the CFTC and federal banking regulators have adopted rules to require Swap Dealers and Major Swap Participants, including those that are regulated financial institutions, to collect initial and variation margin with respect to uncleared swaps from their counterparties that are financial end-users, registered Swap Dealers or Major Swap Participants. These rules do not require collection of margin from commercial end-users who qualify for the end-user exception from the mandatory clearing requirement or certain other counterparties. We expect to qualify as such a commercial end-user with respect to the swaps that we enter into to hedge our commercial risks. However, the Dodd-Frank Act’s swaps regulatory provisions and the related rules may also adversely affect our existing derivative contracts and restrict our ability to monetize such contracts, cause us to restructure certain contracts, reduce the availability of derivatives to protect against risks or to optimize assets, adversely affect our ability to execute our hedging strategies and impact the liquidity of certain swaps products, all of which could increase our business costs.</w:t>
      </w:r>
    </w:p>
    <w:p>
      <w:pPr>
        <w:spacing w:after="0" w:line="70"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Under the Commodity Exchange Act as amended by the Dodd-Frank Act, the CFTC is directed generally to prevent manipulation, including by fraudulent or deceptive practices, in two markets: (1) physical commodities traded in interstate commerce, including physical energy and other commodities, as well as (2) financial instruments, such as futures, options and swaps. Pursuant to the Dodd-Frank Act, the CFTC has adopted additional anti-manipulation and anti-disruptive trading practices regulations that prohibit, among other things, manipulative or deceptive schemes in the physical commodities, futures, options and swaps markets. Should we violate these laws and regulations, we could be subject to a CFTC enforcement action and material penalties, possibly resulting in changes in the rates we can charge.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European Market Infrastructure Regulation (“EMIR”)</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EMIR is a European Union (“EU”) regulation designed to increase the stability of the OTC derivative markets throughout the EU member states. EMIR regulates OTC derivatives, central counterparties and trade repositories and imposes requirements for certain market participants with respect to derivatives reporting, clearing and risk mitigation. In addition, certain market participants are subject to a central counterparty clearing obligation and collateral requirements. All non-cleared derivatives require risk management, including timely confirmations of transactions, portfolio reconciliation, portfolio compression (when there exist 500 or more OTC derivatives outstanding with a counterparty) and dispute resolution. In addition, standards for the imposition of margin requirements under EMIR were proposed in June 2015, under which the exchange of initial and variation margin in respect of certain non-cleared derivatives would be required, including from non-financial counterparties that are above the EMIR clearing threshold for the class of derivatives involved. Further, for non-cleared derivatives, outstanding contracts must be marked to market value daily or marked to model where conditions necessitate. Other EMIR risk management requirements for non-cleared derivatives are being considered, but those requirements have yet to be finalized.</w:t>
      </w:r>
    </w:p>
    <w:p>
      <w:pPr>
        <w:spacing w:after="0" w:line="6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Under EMIR, covered entities must report all derivatives concluded and any modification or termination of a derivative to a registered or recognized trade repository within one business day of the transaction. Records related to derivatives must be retained for at least five years following termination.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on Wholesale Energy Market Integrity and Transparency (“REMIT”)</w:t>
      </w:r>
    </w:p>
    <w:p>
      <w:pPr>
        <w:spacing w:after="0" w:line="117"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REMIT is an EU regulation that prohibits market manipulation and insider trading in European wholesale energy markets and imposes various obligations on participants in these markets. REMIT requires persons who enter into transactions, including the placing of orders to trade, in one or more wholesale energy markets in the EU to notify the applicable national regulatory authority (“NRA”) of suspected breaches and implement procedures to identify breaches. All market participants, such as us, must disclose inside information and cannot use inside information to buy or sell wholesale energy products for their own account or on behalf of a third party, directly or indirectly, induce others to buy or sell wholesale energy products based on inside information, or disclose such inside information to any other person except in the normal course of employment. Market participants must also register with the relevant NRA (the Office of Gas and Electricity Markets is the NRA in the United Kingdom) and provide a record of wholesale energy market transactions to the European Agency for the Cooperation of Energy Regulators (“ACER”) and information on capacity and utilization for production, storage, consumption or transmission.</w:t>
      </w:r>
    </w:p>
    <w:p>
      <w:pPr>
        <w:spacing w:after="0" w:line="6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Market participants and third parties acting on their behalf are required to report transactions in wholesale energy contracts admitted to trading at organized market places and fundamental data from the European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 w:name="page18"/>
    <w:bookmarkEnd w:id="17"/>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79" w:lineRule="auto"/>
        <w:rPr>
          <w:sz w:val="20"/>
          <w:szCs w:val="20"/>
          <w:color w:val="auto"/>
        </w:rPr>
      </w:pPr>
      <w:r>
        <w:rPr>
          <w:rFonts w:ascii="Arial" w:cs="Arial" w:eastAsia="Arial" w:hAnsi="Arial"/>
          <w:sz w:val="17"/>
          <w:szCs w:val="17"/>
          <w:color w:val="auto"/>
        </w:rPr>
        <w:t>Network of Transmission System Operators for Electricity central information transparency platforms to ACER. Additional records of transactions and fundamental data with respect to the remaining wholesale energy contracts (OTC standard and non-standard supply contracts and transportation contracts) and reportable fundamental data from transmission system operators, storage system operators and LNG system operators had to be provided to ACER as of April 7, 2016.</w:t>
      </w:r>
    </w:p>
    <w:p>
      <w:pPr>
        <w:spacing w:after="0" w:line="17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Markets in Financial Instruments Directive and Regulation (“MiFID II”)</w:t>
      </w:r>
    </w:p>
    <w:p>
      <w:pPr>
        <w:spacing w:after="0" w:line="117" w:lineRule="exact"/>
        <w:rPr>
          <w:sz w:val="20"/>
          <w:szCs w:val="20"/>
          <w:color w:val="auto"/>
        </w:rPr>
      </w:pPr>
    </w:p>
    <w:p>
      <w:pPr>
        <w:ind w:left="7" w:right="20" w:firstLine="360"/>
        <w:spacing w:after="0" w:line="255" w:lineRule="auto"/>
        <w:rPr>
          <w:sz w:val="20"/>
          <w:szCs w:val="20"/>
          <w:color w:val="auto"/>
        </w:rPr>
      </w:pPr>
      <w:r>
        <w:rPr>
          <w:rFonts w:ascii="Arial" w:cs="Arial" w:eastAsia="Arial" w:hAnsi="Arial"/>
          <w:sz w:val="18"/>
          <w:szCs w:val="18"/>
          <w:color w:val="auto"/>
        </w:rPr>
        <w:t>MiFID II refers to an EU directive and regulation (together with supplementary delegated acts) that came into effect on January 3, 2018. Under the current regulatory regime, set out in the Markets in Financial Instruments Directive (“MiFID”), we are exempt from needing authorization of any commodity derivative trading activities. MiFID II will narrow the scope of exemptions currently available under MiFID and broaden the directive’s application to the trading of MiFID commodity derivatives that can be physically settled and are traded on an organized trading facility, in addition to those that are traded on regulated markets or multilateral trading facilities.</w:t>
      </w:r>
    </w:p>
    <w:p>
      <w:pPr>
        <w:spacing w:after="0" w:line="85" w:lineRule="exact"/>
        <w:rPr>
          <w:sz w:val="20"/>
          <w:szCs w:val="20"/>
          <w:color w:val="auto"/>
        </w:rPr>
      </w:pPr>
    </w:p>
    <w:p>
      <w:pPr>
        <w:ind w:left="7" w:right="20" w:firstLine="360"/>
        <w:spacing w:after="0" w:line="268" w:lineRule="auto"/>
        <w:rPr>
          <w:sz w:val="20"/>
          <w:szCs w:val="20"/>
          <w:color w:val="auto"/>
        </w:rPr>
      </w:pPr>
      <w:r>
        <w:rPr>
          <w:rFonts w:ascii="Arial" w:cs="Arial" w:eastAsia="Arial" w:hAnsi="Arial"/>
          <w:sz w:val="17"/>
          <w:szCs w:val="17"/>
          <w:color w:val="auto"/>
        </w:rPr>
        <w:t>To the extent that we trade on our own account in MiFID commodity derivatives after MiFID II comes into force, we expect to be able to do so without requiring (i) authorization from any competent authority in the EU or (ii) (if and when available) registration with the European Securities and Markets Authority (“ESMA”) as a third country firm by relying, if needed by the relevant licensing laws of the EU jurisdictions in which our counterparties are based, on the “ancillary activity” exemption under MiFID II on the basis that (1) such activity is ancillary to our main business, when considered on a group basis, and that main business is not the provision of investment services or market making in relation to MiFID commodity derivatives; (2) we do not apply a high-frequency algorithmic trading technique; and (3) (if required to do so) we notify the relevant competent authority on an annual basis that we are relying on this exemption and, upon request, report the basis upon which we fall within the exemption. If, however, (x) no general exemption is available to us in the relevant EU jurisdiction in which any of our counterparties are based, (y) we are unable to meet the ancillary activity exemption, and (z) no other MiFID II exemption is available to us, we will need to become either authorized by the appropriate EU competent authority or (if applicable) register with ESMA as a third country firm in order to trade on our own account in MiFID commodity derivatives. Authorization by an EU competent authority would require our compliance with a variety of prudential and conduct of business rules.</w:t>
      </w:r>
    </w:p>
    <w:p>
      <w:pPr>
        <w:spacing w:after="0" w:line="80"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Further, if we were to become authorized under MiFID II, we would be deemed to be a financial counterparty (instead of a non-financial counterparty that is not subject to the EMIR clearing obligation) for the purpose of EMIR. This may require us to clear relevant OTC derivative contracts through a central counterparty and subject us to additional reporting obligations and risk mitigation requirements under EMIR, including collateral exchange and marking transactions either to market or to an approved model.</w:t>
      </w:r>
    </w:p>
    <w:p>
      <w:pPr>
        <w:spacing w:after="0" w:line="80"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Irrespective of whether we are required to be authorized or registered under MiFID II we will be directly and indirectly impacted by MiFID II’s commodity derivatives position limits and position reporting requirements which include powers given to EU competent authorities to require persons to reduce their commodity derivatives positions.</w:t>
      </w:r>
    </w:p>
    <w:p>
      <w:pPr>
        <w:spacing w:after="0" w:line="18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Market Abuse Regulation (“MAR”)</w:t>
      </w:r>
    </w:p>
    <w:p>
      <w:pPr>
        <w:spacing w:after="0" w:line="117" w:lineRule="exact"/>
        <w:rPr>
          <w:sz w:val="20"/>
          <w:szCs w:val="20"/>
          <w:color w:val="auto"/>
        </w:rPr>
      </w:pPr>
    </w:p>
    <w:p>
      <w:pPr>
        <w:ind w:left="7" w:right="120" w:firstLine="360"/>
        <w:spacing w:after="0" w:line="283" w:lineRule="auto"/>
        <w:rPr>
          <w:sz w:val="20"/>
          <w:szCs w:val="20"/>
          <w:color w:val="auto"/>
        </w:rPr>
      </w:pPr>
      <w:r>
        <w:rPr>
          <w:rFonts w:ascii="Arial" w:cs="Arial" w:eastAsia="Arial" w:hAnsi="Arial"/>
          <w:sz w:val="16"/>
          <w:szCs w:val="16"/>
          <w:color w:val="auto"/>
        </w:rPr>
        <w:t>MAR, which came into effect on July 3, 2016, updated and strengthened the previous EU market abuse framework by extending its scope to new markets and by introducing new requirements. MAR’s scope was extended to MiFID financial instruments traded on an EU multilateral trading facility and (with effect from MiFID II implementation on January 3, 2018) on an EU organized trading facility as well as other financial instruments the price or value of which depends on, or has an effect on the price or value of financial instruments. The previous EU market abuse framework applied only to financial instruments admitted to trading on formally designated EU regulated markets and their related financial instruments. Further, MAR extends the EU market abuse framework to include behavior in relation to certain EU emission allowances and to certain spot commodity contracts. MAR effectively prohibits market abuse concerning relevant EU securities, derivatives, emission allowance products and certain spot commodity markets. This includes (i) the prohibition of trading in MiFID financial instruments on the basis of inside information,</w:t>
      </w:r>
    </w:p>
    <w:p>
      <w:pPr>
        <w:spacing w:after="0" w:line="7" w:lineRule="exact"/>
        <w:rPr>
          <w:sz w:val="20"/>
          <w:szCs w:val="20"/>
          <w:color w:val="auto"/>
        </w:rPr>
      </w:pPr>
    </w:p>
    <w:p>
      <w:pPr>
        <w:ind w:left="7" w:right="420" w:hanging="7"/>
        <w:spacing w:after="0" w:line="277" w:lineRule="auto"/>
        <w:tabs>
          <w:tab w:leader="none" w:pos="27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improper disclosure of inside information relating to MiFID financial instruments, emission allowances or certain spot commodity contracts and (iii) the manipulation of prices of MiFID financial instruments, certain auctioned emission allowance products and certain spot commodity contracts using a number of prohibited behaviors or techniques.</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Partners</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One of our subsidiaries, Atlantic Distribution Holdings SRL, has entered into a partnership framework agreement, dated as of August 23, 2017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 Certain of our subsidiaries have entered into a suite of agreements pursuant to which DevTech became a part owner of our subsidiary NFE North Distribution Limited and received economic interests substantially equivalent to those set forth in the PFA.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Working Capital</w:t>
      </w:r>
    </w:p>
    <w:p>
      <w:pPr>
        <w:spacing w:after="0" w:line="12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Pending completion and commissioning of our Pennsylvania Facility, we expect to continue to supply our downstream customers with LNG and natural gas sourced from a combination of our Miami Facility, purchases of LNG under a multi-cargo contract with Centrica and open market purchases as necessary. We have entered into contracts with Centrica for the purchase of cargoes of up to 1.05 million gallons of LNG (86.7 million MMBtu). The cargoes are scheduled for delivery between June 2019 and December 2021. Our ambition is to continue to aggressively grow this customer portfolio. We are in active discussions with additional customers who may have significant demand for additional LNG.</w:t>
      </w:r>
    </w:p>
    <w:p>
      <w:pPr>
        <w:spacing w:after="0" w:line="7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Due to the nature of our business, we currently carry significant amounts of LNG inventory to meet delivery requirements of customers and assure ourselves of a continuous allotment of goods from suppliers. For more information, see “Item 1.A. “Risk Factors—Risk Related to Our Business—Failure to maintain sufficient working capital could limit our growth and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although following a hurricane, activity may decrease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 In addition, severe winter weather in the Northeast United States may also delay construction of our Pennsylvania Facility and affect the delivery of feedgas to the facility or LNG to and from ports in the region, among other things. Severe weather in Ireland may also delay construction of our Ireland LNG facility and related infrastructure.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general liability and the portion of workers’ compensation not covered under a governmental program and are in the process of obtaining environmental liability insurance.</w:t>
      </w:r>
    </w:p>
    <w:p>
      <w:pPr>
        <w:spacing w:after="0" w:line="6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maintain risk property insurance, including windstorm and flood, related to the operation of the Miami Facility and builders risk insurance at the Montego Bay Terminal. We also maintain pollution liability insurance in the U.S. and other policies in the U.S. and outside of the U.S. customary for our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140 full-time employees as of December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We lease space for our offices in New York, New York, Miami, Florida and in other regions in which we operate. The properties on which our Pennsylvania Facility will be located is owned in fee. Additionally, the properties on which our Terminals, the CHP Plant and Miami Facility are located are generally subject to long-term leases and rights-of-way. Our leased properties are subject to various lease terms and expirations. Please see “Item 1A. Risk Factors—Risks Related to Our Business— We may not be able to renew or obtain new or favorable charters or leases, which could adversely affect our business, prospects,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www.sec.gov.</w:t>
      </w:r>
    </w:p>
    <w:p>
      <w:pPr>
        <w:spacing w:after="0" w:line="4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also make available free of charge through our website, www.newfortressenergy.com, our Annual Report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i w:val="1"/>
          <w:iCs w:val="1"/>
          <w:color w:val="auto"/>
        </w:rPr>
        <w:t>You should carefully consider the following risk factors together with all of the other information included in this Annual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Annual Report includes forward-looking statements regarding, among other things, our plans, strategies, prospects and projections, both business and financial. As a result, you should not place undue reliance on any such statements included in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completed contracting, construction and commissioning of all of our Terminals and Liquefaction Facilities.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Terminals and Liquefaction Facilities will operate as expected, or at all.</w:t>
      </w:r>
    </w:p>
    <w:p>
      <w:pPr>
        <w:spacing w:after="0" w:line="88"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While the Old Harbour Terminal is substantially complete, it must still undergo extensive testing and commissioning. There can be no assurance that we will not need to make adjustments to these facilities as a result of such testing or commissioning, which could cause delays and be costly. Additionally, we have not yet entered into binding construction contracts or obtained all necessary environmental, regulatory, construction and zoning permissions for all of our Terminals and Liquefaction Facilities. In January 2019, we entered into the EPC Agreement providing for the construction of our Pennsylvania Facility. For additional information on the EPC Agreement for our Pennsylvania Facility, see “Items 1 and 2. Business and Properties—Pennsylvania EPC Agreement.”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expected, or, when and if constructed, they do not accomplish the goals described in this Annual Report,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implement our business strategy may be materially and adversely affected by many known and unknown factors.</w:t>
      </w:r>
    </w:p>
    <w:p>
      <w:pPr>
        <w:spacing w:after="0" w:line="138"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the Dominican Republic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46"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79" w:lineRule="exact"/>
        <w:rPr>
          <w:sz w:val="20"/>
          <w:szCs w:val="20"/>
          <w:color w:val="auto"/>
        </w:rPr>
      </w:pPr>
    </w:p>
    <w:p>
      <w:pPr>
        <w:ind w:left="700" w:right="40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Terminals and Liquefaction Facilities, as well as other future projects, in a timely and cost-effective manner;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source LNG and/or natural gas in sufficient quantities and/or at economically attractive prices;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and elsewhere;</w:t>
      </w:r>
    </w:p>
    <w:p>
      <w:pPr>
        <w:spacing w:after="0" w:line="62"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2"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and in the other geographic areas in which we intend to operate;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approvals from the Pennsylvania Department of Environmental Protection and relevant local authorities for the construction and operation of the Pennsylvania Facility and other relevant approvals;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win new bids or contracts on the terms, size and within the time frame we need to execute our business strategy;</w:t>
      </w:r>
    </w:p>
    <w:p>
      <w:pPr>
        <w:spacing w:after="0" w:line="140" w:lineRule="exact"/>
        <w:rPr>
          <w:rFonts w:ascii="Arial" w:cs="Arial" w:eastAsia="Arial" w:hAnsi="Arial"/>
          <w:sz w:val="16"/>
          <w:szCs w:val="16"/>
          <w:color w:val="auto"/>
        </w:rPr>
      </w:pPr>
    </w:p>
    <w:p>
      <w:pPr>
        <w:ind w:left="700" w:right="16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 or</w:t>
      </w:r>
    </w:p>
    <w:p>
      <w:pPr>
        <w:spacing w:after="0" w:line="117" w:lineRule="exact"/>
        <w:rPr>
          <w:rFonts w:ascii="Arial" w:cs="Arial" w:eastAsia="Arial" w:hAnsi="Arial"/>
          <w:sz w:val="18"/>
          <w:szCs w:val="18"/>
          <w:color w:val="auto"/>
        </w:rPr>
      </w:pPr>
    </w:p>
    <w:p>
      <w:pPr>
        <w:ind w:left="700" w:right="20" w:hanging="356"/>
        <w:spacing w:after="0" w:line="276"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or failure, of any customer or contract counterparty to perform their contractual obligations to us (for further discussion of counterparty risk, see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117"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$31.7 million in 2017 and $78.2 million in 2018.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data privacy and other matters. We will need to continue to build our team to implement our strategies.</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Jamaica Terminals, and we have not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8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61"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which are further described in “Items 1. and 2. Business and Properties.” In the future, we expect to incur additional indebtedness to assist us in developing our operations and we are considering alternative financing options, including in local markets, or the opportunistic sale of one of our non-core assets. See “Part II, Item 7. Management’s Discussion and Analysis of Financial Condition and Results of Operations” for more information on our Term Loan Facility. If we are unable to secure additional funding, or amendments to existing financing, or if additional funding is only available on terms that we determine are not acceptable to us, we may be unable to fully execute our business plan and our business, financial condition or results of operations may be adversely affected. Additionally, we may need to adjust the timing of our planned capital expenditures and facilities development depending on the availability of such additional funding. Our ability to raise additional capital will depend on financial, economic and market conditions,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these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7"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We have a limited operating history and did not commence revenue-generating activities until 2016, and therefore did not achieve profitability as of December 31, 2018. We will need to make a significant initial investment to complete construction and begin operations of all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and equity capital to achieve our goals.</w:t>
      </w:r>
    </w:p>
    <w:p>
      <w:pPr>
        <w:spacing w:after="0" w:line="5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6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and any disruption to those operations would adversely affect us.</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affordability and desirability of air travel and cruises. Additionally, unexpected factors could reduce tourism at any time, including, local or global economic recessions, terrorism,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6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75" w:lineRule="exact"/>
        <w:rPr>
          <w:sz w:val="20"/>
          <w:szCs w:val="20"/>
          <w:color w:val="auto"/>
        </w:rPr>
      </w:pPr>
    </w:p>
    <w:p>
      <w:pPr>
        <w:ind w:right="260" w:firstLine="360"/>
        <w:spacing w:after="0" w:line="291"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8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and JPC, which have each entered into long-term GSAs and, in the case of JPS, a PPA in relation to the power produced at the CHP Plant, with us, and Jamalco, which has entered into a long-term SSA with us. As of March 18, 2019, our GSAs, PPA and SSA have a weighted average of approximately 12 years remaining under such contracts, weighted based on contracted volumes. While certain of our long-term contracts contain minimum volume commitments, our expected sales to customers under existing contracts is substantially in excess of such minimum volume commitments. Our near term ability to generate cash is dependent on JPS’s, JPC’s and Jamalco’s continued willingness and ability to continue purchasing our products and services and to perform their obligations under their respective contracts. If any of JPS, JPC or Jamalco fails to perform its obligations under its contract, our operating results, cash flow and liquidity could be materially and adversely affected, even if we were ultimately successful in seeking damages from JPS, JPC or Jamalco for a breach of contract. Additionally, as many of our facilities are still in developmental stages, our entry into long-term contracts before such facilities are fully operational exposes us to extended counterparty credit risk.</w:t>
      </w:r>
    </w:p>
    <w:p>
      <w:pPr>
        <w:spacing w:after="0" w:line="72"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Risks of nonpayment and nonperformance by customers are a consideration in our business, and our credit procedures and policies may be inadequate to sufficiently eliminate customer credit risk. In assessing customer credit risk, we perform background checks on our potential customers before we enter into a long-term contract with them. As part of the background check, we assess a potential customer’s credit profile and financial position, including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GAJ, one of the lessors, is a subsidiary of Noble Group, which recently completed a financial restructuring.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On March 5, 2019, after review by PREB and FOMB, our subsidiary, NFEnergía entered into a Fuel Sale and Purchase Agreement with PREPA for the supply of natural gas and conversion of Units 5 and 6 of the San Juan Power Plant.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 Additionally, we may face difficulties in enforcing our contractual rights against contractual counterparties that have not submitted to the jurisdiction of U.S. courts.</w:t>
      </w:r>
    </w:p>
    <w:p>
      <w:pPr>
        <w:spacing w:after="0" w:line="6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PREPA has commenced a bidding process through which potential bidders could take control and ownership of PREPA’s transmission and distribution system. PREPA will solicit proposals from four selected bidders and expects to select a winner in the third quarter of 2019. We cannot predict how our relationship with PREPA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could change if PREPA’s transmission and distribution system were to become privatized. If such event were to occur, PREPA may seek to find alternative power sources or purchase substantially less natural gas from us than what we currently expect to sell to PREPA, which could have a material adverse effect on our financial condition, results of operations and cash flows.</w:t>
      </w:r>
    </w:p>
    <w:p>
      <w:pPr>
        <w:spacing w:after="0" w:line="39"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Further, adverse economic conditions in our industry increase the risk of nonpayment and nonperformance by customers, particularly customers that have sub-investment grade credit ratings.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JPC, Jamalco and PREPA, contain various termination rights allowing our customers to terminate the contract, including, without limitation:</w:t>
      </w:r>
    </w:p>
    <w:p>
      <w:pPr>
        <w:spacing w:after="0" w:line="73" w:lineRule="exact"/>
        <w:rPr>
          <w:sz w:val="20"/>
          <w:szCs w:val="20"/>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117"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33"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81"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39" w:lineRule="exact"/>
        <w:rPr>
          <w:sz w:val="20"/>
          <w:szCs w:val="20"/>
          <w:color w:val="auto"/>
        </w:rPr>
      </w:pPr>
    </w:p>
    <w:p>
      <w:pPr>
        <w:ind w:left="700" w:right="32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which may decrease the production of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Adverse trends or developments affecting any of these factors – in particular prior to our Pennsylvania Facility becoming operational – could result in decreases in the prices at which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There can be no assurance we will achieve our target cost or pricing goals. In particular, because we have not currently procured fixed-price, long-term LNG supply (our plan being to liquefy natural gas ourselves in our Liquefaction Facilities), increases in LNG prices and/or shortages of LNG supply could be material and adverse to our business.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69"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75"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December 31, 2018, we had $280 million of total indebtedness outstanding, excluding deferred financing costs. On March 21, 2019, the Company drew an additional $220 million on the Term Loan Facility. Total principal amounts outstanding after this draw are $500 million. See “Part II, Item 7. Management’s Discussion and Analysis of Financial Condition and Results of Operations” for more information on our Term Loan Facility.</w:t>
      </w:r>
    </w:p>
    <w:p>
      <w:pPr>
        <w:spacing w:after="0" w:line="71"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7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17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Failure to maintain sufficient working capital could limit our growth and harm our business, financial condition and results of operations.</w:t>
      </w:r>
    </w:p>
    <w:p>
      <w:pPr>
        <w:spacing w:after="0" w:line="75"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117"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As more fully discussed in this Annual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46"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CHP Plant will involve particular, significant risks.</w:t>
      </w:r>
    </w:p>
    <w:p>
      <w:pPr>
        <w:spacing w:after="0" w:line="117"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6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8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74" w:lineRule="exact"/>
        <w:rPr>
          <w:sz w:val="20"/>
          <w:szCs w:val="20"/>
          <w:color w:val="auto"/>
        </w:rPr>
      </w:pPr>
    </w:p>
    <w:p>
      <w:pPr>
        <w:ind w:right="200" w:firstLine="360"/>
        <w:spacing w:after="0" w:line="289" w:lineRule="auto"/>
        <w:rPr>
          <w:sz w:val="20"/>
          <w:szCs w:val="20"/>
          <w:color w:val="auto"/>
        </w:rPr>
      </w:pPr>
      <w:r>
        <w:rPr>
          <w:rFonts w:ascii="Arial" w:cs="Arial" w:eastAsia="Arial" w:hAnsi="Arial"/>
          <w:sz w:val="16"/>
          <w:szCs w:val="16"/>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We are unable to predict with certainty the impact of future storms on our customers, our infrastructure or our operations.</w:t>
      </w:r>
    </w:p>
    <w:p>
      <w:pPr>
        <w:spacing w:after="0" w:line="5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8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117"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6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85"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 consuming and expensive. Further, if any such proceedings were to result in an unfavorable outcome, it could have a material adverse effect on our business, financial position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key members of our management, the loss of any of whom could disrupt our business operations.</w:t>
      </w:r>
    </w:p>
    <w:p>
      <w:pPr>
        <w:spacing w:after="0" w:line="12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8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6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700" w:right="56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62" w:lineRule="exact"/>
        <w:rPr>
          <w:rFonts w:ascii="Arial" w:cs="Arial" w:eastAsia="Arial" w:hAnsi="Arial"/>
          <w:sz w:val="18"/>
          <w:szCs w:val="18"/>
          <w:color w:val="auto"/>
        </w:rPr>
      </w:pPr>
    </w:p>
    <w:p>
      <w:pPr>
        <w:ind w:left="700" w:right="360" w:hanging="356"/>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73"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2" w:lineRule="exact"/>
        <w:rPr>
          <w:rFonts w:ascii="Arial" w:cs="Arial" w:eastAsia="Arial" w:hAnsi="Arial"/>
          <w:sz w:val="18"/>
          <w:szCs w:val="18"/>
          <w:color w:val="auto"/>
        </w:rPr>
      </w:pPr>
    </w:p>
    <w:p>
      <w:pPr>
        <w:ind w:left="700" w:right="100" w:hanging="356"/>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spacing w:after="0" w:line="73" w:lineRule="exact"/>
        <w:rPr>
          <w:rFonts w:ascii="Arial" w:cs="Arial" w:eastAsia="Arial" w:hAnsi="Arial"/>
          <w:sz w:val="18"/>
          <w:szCs w:val="18"/>
          <w:color w:val="auto"/>
        </w:rPr>
      </w:pPr>
    </w:p>
    <w:p>
      <w:pPr>
        <w:jc w:val="both"/>
        <w:ind w:left="700" w:right="120" w:hanging="356"/>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Terminal is subject to a number of contingencies, many of which are beyond our control and could cause us to not complete the acquisition of the project company or delay construction of our Ireland Terminal;</w:t>
      </w:r>
    </w:p>
    <w:p>
      <w:pPr>
        <w:spacing w:after="0" w:line="73" w:lineRule="exact"/>
        <w:rPr>
          <w:rFonts w:ascii="Arial" w:cs="Arial" w:eastAsia="Arial" w:hAnsi="Arial"/>
          <w:sz w:val="18"/>
          <w:szCs w:val="18"/>
          <w:color w:val="auto"/>
        </w:rPr>
      </w:pPr>
    </w:p>
    <w:p>
      <w:pPr>
        <w:ind w:left="700" w:right="260" w:hanging="356"/>
        <w:spacing w:after="0" w:line="279"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63" w:lineRule="exact"/>
        <w:rPr>
          <w:rFonts w:ascii="Arial" w:cs="Arial" w:eastAsia="Arial" w:hAnsi="Arial"/>
          <w:sz w:val="17"/>
          <w:szCs w:val="17"/>
          <w:color w:val="auto"/>
        </w:rPr>
      </w:pPr>
    </w:p>
    <w:p>
      <w:pPr>
        <w:ind w:left="700" w:right="400" w:hanging="356"/>
        <w:spacing w:after="0" w:line="308"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(and have been in select circumstances) subject to local opposition, including the efforts by environmental groups, which may attract negative publicity or have an adverse impact on our reputation; and</w:t>
      </w:r>
    </w:p>
    <w:p>
      <w:pPr>
        <w:spacing w:after="0" w:line="38" w:lineRule="exact"/>
        <w:rPr>
          <w:rFonts w:ascii="Arial" w:cs="Arial" w:eastAsia="Arial" w:hAnsi="Arial"/>
          <w:sz w:val="17"/>
          <w:szCs w:val="17"/>
          <w:color w:val="auto"/>
        </w:rPr>
      </w:pPr>
    </w:p>
    <w:p>
      <w:pPr>
        <w:ind w:left="700" w:right="12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6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80" w:lineRule="exact"/>
        <w:rPr>
          <w:sz w:val="20"/>
          <w:szCs w:val="20"/>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7" w:lineRule="exact"/>
        <w:rPr>
          <w:rFonts w:ascii="Arial" w:cs="Arial" w:eastAsia="Arial" w:hAnsi="Arial"/>
          <w:sz w:val="18"/>
          <w:szCs w:val="18"/>
          <w:color w:val="auto"/>
        </w:rPr>
      </w:pPr>
    </w:p>
    <w:p>
      <w:pPr>
        <w:ind w:left="700" w:right="94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7"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We entered into an EPC contract for our Pennsylvania Facility in the first quarter of 2019. See “Items 1. and 2. Business and Properties—Pennsylvania EPC Agreement.”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6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6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81"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Under the GSAs with JPS and JPC, we are required to deliver to JPS and JPC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Jamalco with the right to terminate its GSA, PPA or SSA, as applicable. In addition, price fluctuations in natural gas and LNG may make it expensive or uneconomical for us to acquire adequate supply of these items.</w:t>
      </w:r>
    </w:p>
    <w:p>
      <w:pPr>
        <w:spacing w:after="0" w:line="7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the affiliate of Chesapeake that is party to our Chesapeake GSA, were to default on their obligations under our contracts or seek bankruptcy protection, we may not be able to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72"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While we have entered into contracts with Centrica to purchase a substantial portion of our expected LNG volumes for 2019 and 2020,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79"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85" w:lineRule="exact"/>
        <w:rPr>
          <w:sz w:val="20"/>
          <w:szCs w:val="20"/>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decreases in the cost of competing sources of natural gas, LNG or alternate fuels such as coal, HFO and diesel;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7"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Terminals and Liquefaction Facilities. There can be no assurance that our Terminals and Liquefaction Facilities will operate as expected,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 may render our processes obsolete.</w:t>
      </w:r>
    </w:p>
    <w:p>
      <w:pPr>
        <w:spacing w:after="0" w:line="11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5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117"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58"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9"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7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7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We have obtained long-term leases and corresponding rights-of-way agreements with respect to the land on which the Jamaica Terminals, the pipeline connecting the Montego Bay Terminal to the Bogue Power Plant,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59"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6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75"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5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We rely on the operation of tankers under our time charters and ship-to-ship kits to transfer LNG between ships. The operation of ocean-going tankers and kits carries inherent risks. These risks include the possibility of:</w:t>
      </w:r>
    </w:p>
    <w:p>
      <w:pPr>
        <w:spacing w:after="0" w:line="62" w:lineRule="exact"/>
        <w:rPr>
          <w:sz w:val="20"/>
          <w:szCs w:val="20"/>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do not currently maintain a redundant supply of ships, ship-to-ship kits or other equipment. As a result, if our current equipment fails, is unavailable or insufficient to service our LNG production, we may need to procure new equipment, which may not be available or be expensive to obtain. Any such occurrence could interrupt our operations and increase our operating costs. Any of these results could have a material adverse effect on our business, financial condition and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117" w:lineRule="exact"/>
        <w:rPr>
          <w:sz w:val="20"/>
          <w:szCs w:val="20"/>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7" w:lineRule="exact"/>
        <w:rPr>
          <w:sz w:val="20"/>
          <w:szCs w:val="20"/>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7"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5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6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ECAs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ISM Code, the IMO International Convention on Load Lines of 1966, as amended from time to time and the International Convention for the Control and Management of Ships’ Ballast Water and Sediments in February 2004.</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64"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5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7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85" w:lineRule="exact"/>
        <w:rPr>
          <w:sz w:val="20"/>
          <w:szCs w:val="20"/>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5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75"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73"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6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5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85"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5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OTC options and swaps with other natural gas merchants and financial institutions. Hedging arrangements would expose us to risk of financial loss in some circumstances, including when:</w:t>
      </w:r>
    </w:p>
    <w:p>
      <w:pPr>
        <w:spacing w:after="0" w:line="79"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2"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7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75"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7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75"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5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substantial majority of our anticipated revenue in 2019 will be dependent upon our assets and customers in Jamaica. Jamaica has historically experienced economic volatility and the general condition and performance of the Jamaican economy, over which we have no control, may affect our business, financial condition and results of operations. Due to our current lack of asset and geographic diversification, an adverse development at the Jamaica Terminals, in the energy industry or in the economic conditions in Jamaica, would have a significantly greater impact on our financial condition and operating results than if we maintained more diverse assets and operating areas.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11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8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6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70"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2019—from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6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9" w:name="page40"/>
    <w:bookmarkEnd w:id="39"/>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269" w:lineRule="auto"/>
        <w:rPr>
          <w:sz w:val="20"/>
          <w:szCs w:val="20"/>
          <w:color w:val="auto"/>
        </w:rPr>
      </w:pPr>
      <w:r>
        <w:rPr>
          <w:rFonts w:ascii="Arial" w:cs="Arial" w:eastAsia="Arial" w:hAnsi="Arial"/>
          <w:sz w:val="17"/>
          <w:szCs w:val="17"/>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72" w:lineRule="exact"/>
        <w:rPr>
          <w:sz w:val="20"/>
          <w:szCs w:val="20"/>
          <w:color w:val="auto"/>
        </w:rPr>
      </w:pPr>
    </w:p>
    <w:p>
      <w:pPr>
        <w:ind w:left="7" w:right="80" w:firstLine="360"/>
        <w:spacing w:after="0" w:line="288" w:lineRule="auto"/>
        <w:rPr>
          <w:sz w:val="20"/>
          <w:szCs w:val="20"/>
          <w:color w:val="auto"/>
        </w:rPr>
      </w:pPr>
      <w:r>
        <w:rPr>
          <w:rFonts w:ascii="Arial" w:cs="Arial" w:eastAsia="Arial" w:hAnsi="Arial"/>
          <w:sz w:val="16"/>
          <w:szCs w:val="16"/>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w:t>
      </w:r>
    </w:p>
    <w:p>
      <w:pPr>
        <w:ind w:left="7" w:hanging="7"/>
        <w:spacing w:after="0" w:line="290" w:lineRule="auto"/>
        <w:tabs>
          <w:tab w:leader="none" w:pos="2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56" w:lineRule="exact"/>
        <w:rPr>
          <w:sz w:val="20"/>
          <w:szCs w:val="20"/>
          <w:color w:val="auto"/>
        </w:rPr>
      </w:pPr>
    </w:p>
    <w:p>
      <w:pPr>
        <w:ind w:left="7" w:right="20" w:firstLine="360"/>
        <w:spacing w:after="0" w:line="290" w:lineRule="auto"/>
        <w:rPr>
          <w:sz w:val="20"/>
          <w:szCs w:val="20"/>
          <w:color w:val="auto"/>
        </w:rPr>
      </w:pPr>
      <w:r>
        <w:rPr>
          <w:rFonts w:ascii="Arial" w:cs="Arial" w:eastAsia="Arial" w:hAnsi="Arial"/>
          <w:sz w:val="16"/>
          <w:szCs w:val="16"/>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58"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75" w:lineRule="exact"/>
        <w:rPr>
          <w:sz w:val="20"/>
          <w:szCs w:val="20"/>
          <w:color w:val="auto"/>
        </w:rPr>
      </w:pPr>
    </w:p>
    <w:p>
      <w:pPr>
        <w:ind w:left="7" w:right="20"/>
        <w:spacing w:after="0" w:line="235" w:lineRule="auto"/>
        <w:rPr>
          <w:sz w:val="20"/>
          <w:szCs w:val="20"/>
          <w:color w:val="auto"/>
        </w:rPr>
      </w:pPr>
      <w:r>
        <w:rPr>
          <w:rFonts w:ascii="Arial" w:cs="Arial" w:eastAsia="Arial" w:hAnsi="Arial"/>
          <w:sz w:val="18"/>
          <w:szCs w:val="18"/>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81"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6"/>
          <w:szCs w:val="16"/>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FERC, DOE and other federal and state regulatory agencies also contain ongoing conditions, and additional requirements may be imposed. Certain federal permitting processes may trigger the requirements of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w:t>
      </w:r>
    </w:p>
    <w:p>
      <w:pPr>
        <w:spacing w:after="0" w:line="16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legal challenges to the adequacy of the NEPA analysis, which could result in delays that may adversely affect our business, contracts, financial condition, operating results, cash flow, liquidity and profitability. We may also be subject to yet additional requirements in Jamaica, Bermuda, Mexico, Ireland or other jurisdictions, including with respect to land use approvals needed to construct and operate our facilities.</w:t>
      </w:r>
    </w:p>
    <w:p>
      <w:pPr>
        <w:spacing w:after="0" w:line="79"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7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61"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w:t>
      </w:r>
    </w:p>
    <w:p>
      <w:pPr>
        <w:spacing w:after="0" w:line="5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7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70"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73"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i w:val="1"/>
          <w:iCs w:val="1"/>
          <w:color w:val="auto"/>
        </w:rPr>
        <w:t>Greenhouse Gases/Climate Change</w:t>
      </w:r>
      <w:r>
        <w:rPr>
          <w:rFonts w:ascii="Arial" w:cs="Arial" w:eastAsia="Arial" w:hAnsi="Arial"/>
          <w:sz w:val="17"/>
          <w:szCs w:val="17"/>
          <w:color w:val="auto"/>
        </w:rPr>
        <w:t>. From time to time, there may be federal and state regulatory and policy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GHG 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6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8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59"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21st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6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i w:val="1"/>
          <w:iCs w:val="1"/>
          <w:color w:val="auto"/>
        </w:rPr>
        <w:t>Fossil Fuels</w:t>
      </w:r>
      <w:r>
        <w:rPr>
          <w:rFonts w:ascii="Arial" w:cs="Arial" w:eastAsia="Arial" w:hAnsi="Arial"/>
          <w:sz w:val="16"/>
          <w:szCs w:val="16"/>
          <w:color w:val="auto"/>
        </w:rPr>
        <w:t>. Our business activities depend upon a sufficient and reliable supply of natural gas feedstock, and are therefore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of natural gas and LNG employ hydraulic fracturing techniques to stimulate</w:t>
      </w:r>
      <w:r>
        <w:rPr>
          <w:rFonts w:ascii="Arial" w:cs="Arial" w:eastAsia="Arial" w:hAnsi="Arial"/>
          <w:sz w:val="16"/>
          <w:szCs w:val="16"/>
          <w:i w:val="1"/>
          <w:iCs w:val="1"/>
          <w:color w:val="auto"/>
        </w:rPr>
        <w:t xml:space="preserve"> </w:t>
      </w:r>
      <w:r>
        <w:rPr>
          <w:rFonts w:ascii="Arial" w:cs="Arial" w:eastAsia="Arial" w:hAnsi="Arial"/>
          <w:sz w:val="16"/>
          <w:szCs w:val="16"/>
          <w:color w:val="auto"/>
        </w:rPr>
        <w:t>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64"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81"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w:t>
      </w:r>
    </w:p>
    <w:p>
      <w:pPr>
        <w:spacing w:after="0" w:line="58"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Although we have adopted policies and procedures that are designed to ensure that we, our employees and other intermediaries comply with the FCPA,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 If we are not in compliance with anti-corruption laws and regulations, including the FCPA, we may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subject to criminal and civil penalties and other remedial measures, including changes or enhancements to our procedures, policies and control, as well as potential personnel change and disciplinary actions, which could have an adverse impact on our business, results of operations and financial condition.</w:t>
      </w:r>
    </w:p>
    <w:p>
      <w:pPr>
        <w:spacing w:after="0" w:line="73"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Jurisdictions in Which We Operate</w:t>
      </w:r>
    </w:p>
    <w:p>
      <w:pPr>
        <w:spacing w:after="0" w:line="121"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the Caribbean, particularly Jamaica, and the other jurisdictions in which we operate.</w:t>
      </w:r>
    </w:p>
    <w:p>
      <w:pPr>
        <w:spacing w:after="0" w:line="6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73"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We currently have interests and operations in Jamaica and the United States and currently intend to expand into additional markets in the Caribbean (including Puerto Rico and the Dominican Republic), Mexico, Ireland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countries have experienced political, security and economic instability in the recent past and may experience instability in the future.</w:t>
      </w:r>
    </w:p>
    <w:p>
      <w:pPr>
        <w:spacing w:after="0" w:line="89" w:lineRule="exact"/>
        <w:rPr>
          <w:sz w:val="20"/>
          <w:szCs w:val="20"/>
          <w:color w:val="auto"/>
        </w:rPr>
      </w:pPr>
    </w:p>
    <w:p>
      <w:pPr>
        <w:jc w:val="both"/>
        <w:ind w:right="300" w:firstLine="360"/>
        <w:spacing w:after="0" w:line="286" w:lineRule="auto"/>
        <w:rPr>
          <w:sz w:val="20"/>
          <w:szCs w:val="20"/>
          <w:color w:val="auto"/>
        </w:rPr>
      </w:pPr>
      <w:r>
        <w:rPr>
          <w:rFonts w:ascii="Arial" w:cs="Arial" w:eastAsia="Arial" w:hAnsi="Arial"/>
          <w:sz w:val="17"/>
          <w:szCs w:val="17"/>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57" w:lineRule="exact"/>
        <w:rPr>
          <w:sz w:val="20"/>
          <w:szCs w:val="20"/>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economic activity;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adversely affect our business, financial condition, results of operations or prospects.</w:t>
      </w:r>
    </w:p>
    <w:p>
      <w:pPr>
        <w:spacing w:after="0" w:line="5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80"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5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8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after-tax profitability may also be affected by changes in the relevant tax laws and tax rates, regulations, administrative practices and principles, judicial decisions, and interpretations, in each case, possibly with retroactive effect. The United States recently enacted tax reform legislation in Public Law No. 115-97, commonly referred to as the Tax Cuts and Jobs Act. Additionally, the Multilateral Convention to Implement Tax Treaty Related Measures to Prevent Base Erosion and Profit Shifting recently entered into force among the jurisdictions that have ratified it. Both of these recent changes could result in further changes to our global taxation. These tax reforms provided for new and complex provisions that significantly change how the United States and other jurisdictions tax entities and operations, and those provisions are subject to further legislative change and administrative guidance and interpretation, all of which may differ from our interpretation. Other countries in which we operate may also undergo tax reforms that could adversely impact our after-tax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Owning Class A shares</w:t>
      </w:r>
    </w:p>
    <w:p>
      <w:pPr>
        <w:spacing w:after="0" w:line="108"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b w:val="1"/>
          <w:bCs w:val="1"/>
          <w:i w:val="1"/>
          <w:iCs w:val="1"/>
          <w:color w:val="auto"/>
        </w:rPr>
        <w:t>We are a “controlled company” within the meaning of NASDAQ Global Select Market (“NASDAQ”) rules and, as a result, qualify for and intend to rely on exemptions from certain corporate governance requirements.</w:t>
      </w:r>
    </w:p>
    <w:p>
      <w:pPr>
        <w:spacing w:after="0" w:line="52"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New Fortress Energy Holdings holds a majority of the voting power of our shares. As a result, we are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46"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shareholders may not have the same protections afforded to shareholders of companies that are subject to all of the corporate governance requirements of NASDAQ.</w:t>
      </w:r>
    </w:p>
    <w:p>
      <w:pPr>
        <w:spacing w:after="0" w:line="15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New Fortress Energy Holdings has the ability to direct the voting of a majority of our shares, and its interests may conflict with those of our other shareholders.</w:t>
      </w:r>
    </w:p>
    <w:p>
      <w:pPr>
        <w:spacing w:after="0" w:line="6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As of March 20, 2019, New Fortress Energy Holdings owns an aggregate of approximately 147,058,824 Class B shares representing 87.6% of our voting power. In addition, Wesley R. Edens and Randal A. Nardone, who are members of New Fortress Energy Holdings, each own 2.5 million Class A shares, representing 12.0% voting power each.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w:t>
      </w:r>
    </w:p>
    <w:p>
      <w:pPr>
        <w:spacing w:after="0" w:line="5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Furthermore, in connection with the Offering, we entered into a shareholders’ agreement (the “Shareholders’ Agreement”) with New Fortress Energy Holdings and its affiliates. The Shareholders’ Agreement provides New Fortress Energy Holdings with the right to designate a certain number of nominees to our board of directors so long as New Fortress Energy Holdings and its affiliates collectively beneficially own at least 5% of the outstanding Class A shares and Class B shares. In addition, our operating agreement provides certain entities controlled by Wesley R. Edens and Randal A. Nardone (the “Consenting Entities”) the right to approve certain material transactions so long as the Consenting Entities and their affiliates collectively, directly or indirectly, own at least 30% of the outstanding Class A shares and Class B shares. See “Part III, Item 13. Certain Relationships and Related Transactions, and Director Independence—Shareholders’ Agreement.”</w:t>
      </w:r>
    </w:p>
    <w:p>
      <w:pPr>
        <w:spacing w:after="0" w:line="7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85"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In addition, New Fortress Energy Holdings may have different tax positions from us that could influence its decisions regarding whether and when to support the disposition of assets and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 tax or other considerations, which may differ from the considerations of NFE or our other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Fortress Energy Holdings may compete with us.</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Our governing documents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Our operating agreement, as well as Delaware law, contains provisions that could discourage acquisition bids or merger proposals, which may adversely affect the market price of our Class A shares and could deprive our investors of the opportunity to receive a premium for their shares.</w:t>
      </w:r>
    </w:p>
    <w:p>
      <w:pPr>
        <w:spacing w:after="0" w:line="74"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Our operating agreement authorizes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70"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of directors, with each class serving staggered three-year terms;</w:t>
      </w:r>
    </w:p>
    <w:p>
      <w:pPr>
        <w:spacing w:after="0" w:line="128" w:lineRule="exact"/>
        <w:rPr>
          <w:rFonts w:ascii="Arial" w:cs="Arial" w:eastAsia="Arial" w:hAnsi="Arial"/>
          <w:sz w:val="17"/>
          <w:szCs w:val="17"/>
          <w:color w:val="auto"/>
        </w:rPr>
      </w:pPr>
    </w:p>
    <w:p>
      <w:pPr>
        <w:ind w:left="700" w:right="500" w:hanging="356"/>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73" w:lineRule="exact"/>
        <w:rPr>
          <w:rFonts w:ascii="Arial" w:cs="Arial" w:eastAsia="Arial" w:hAnsi="Arial"/>
          <w:sz w:val="18"/>
          <w:szCs w:val="18"/>
          <w:color w:val="auto"/>
        </w:rPr>
      </w:pPr>
    </w:p>
    <w:p>
      <w:pPr>
        <w:ind w:left="700" w:right="300" w:hanging="356"/>
        <w:spacing w:after="0" w:line="34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5"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advance notice provisions for shareholder proposals and nominations for elections to the board of directors to be acted upon at meetings of the shareholders;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providing that the board of directors is expressly authorized to adopt, or to alter or repeal our operating agreement.</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74"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7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do not currently plan to pay cash dividends on our Class A shares. Consequently, your only opportunity to achieve a return on your investment is if the price of our Class A shares appreciates.</w:t>
      </w:r>
    </w:p>
    <w:p>
      <w:pPr>
        <w:spacing w:after="0" w:line="6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do not currently plan to declare regular cash dividends on our Class A shares in the foreseeable future. Consequently, your only opportunity to achieve a return on your investment in us will be if you sell your Class A share at a price greater than you paid for it. There is no guarantee that the price of our Class A shares that will prevail in the market will ever exceed the price that you paid to purchase such Class A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issue preferred shares, the terms of which could adversely affect the voting power or value of our Class A shares.</w:t>
      </w:r>
    </w:p>
    <w:p>
      <w:pPr>
        <w:spacing w:after="0" w:line="127"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Our operating agreement authorizes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6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or other large holders.</w:t>
      </w:r>
    </w:p>
    <w:p>
      <w:pPr>
        <w:spacing w:after="0" w:line="7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As of March 20, 2019, we have 20,837,272 Class A shares and 147,058,824 Class B shares outstanding. The Class A shares sold in the Offering are freely tradable without restriction under the Securities Act except for any Class A shares that may be held or acquired by our directors, officers or affiliates, which will be restricted securities under the Securities Act of 1933 (the “Securities Act”). The NFI LLC Units held by New Fortress Energy Holdings and any Class A shares New Fortress Energy Holdings acquired through the exercise of the Redemption Right are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w:t>
      </w:r>
    </w:p>
    <w:p>
      <w:pPr>
        <w:spacing w:after="0" w:line="16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shares may not be maintained and the price of our Class A shares may fluctuate significantly.</w:t>
      </w:r>
    </w:p>
    <w:p>
      <w:pPr>
        <w:spacing w:after="0" w:line="7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Prior to January 2019, there was no public market for our Class A shares. An active, liquid and orderly trading market for our Class A shares may not be maintained. Active, liquid and orderly trading markets usually result in less price volatility and more efficiency in carrying out investors’ purchase and sale orders. The market price of our Class A shares could vary significantly as a result of a number of factors, some of which are beyond our control. In the event of a drop in the market price of our Class A shares, you could lose a substantial part or all of your investment in our Class A shares.</w:t>
      </w:r>
    </w:p>
    <w:p>
      <w:pPr>
        <w:spacing w:after="0" w:line="15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8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Jumpstart Our Business Startups Act, or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of 2002 (the “Sarbanes-Oxley Act”), (ii) comply with any new requirements adopted by the Public Company Accounting Oversight Board,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currently intend to take advantage of the exemptions described above. We have also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shareholders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7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7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7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In connection with the preparation of our financial statements for the year ended December 31, 2017, we concluded there was a significant deficiency in our internal controls over financial reporting. While we continue to implement measures to address this deficiency,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In connection with our efforts to maintain effective internal controls, we will need to hire additional accounting personnel as well as to make additional investments in software and systems.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54"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As a newly public company with shares listed on NASDAQ, we are and will be subject to an extensive body of regulations that did not apply to us previously, including certain provisions of the Sarbanes-Oxley Act, the Dodd-Frank’s Act, regulations of the SEC and NASDAQ requirements. Compliance with these rules and regulations will increase our legal, accounting, compliance and other expenses that we did not incur prior to the Offering and make some activities more time-consuming and costly. For example, as a result of becoming a public company, we added independent directors and created additional board committees. We entered into an administrative services agreement with FIG LLC, an affiliate of Fortress, in connection with the Offering, pursuant to which FIG LLC provides us with certain back-office services and charges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81" w:lineRule="exact"/>
        <w:rPr>
          <w:sz w:val="20"/>
          <w:szCs w:val="20"/>
          <w:color w:val="auto"/>
        </w:rPr>
      </w:pPr>
    </w:p>
    <w:p>
      <w:pPr>
        <w:jc w:val="both"/>
        <w:ind w:right="260" w:firstLine="360"/>
        <w:spacing w:after="0" w:line="312" w:lineRule="auto"/>
        <w:rPr>
          <w:sz w:val="20"/>
          <w:szCs w:val="20"/>
          <w:color w:val="auto"/>
        </w:rPr>
      </w:pPr>
      <w:r>
        <w:rPr>
          <w:rFonts w:ascii="Arial" w:cs="Arial" w:eastAsia="Arial" w:hAnsi="Arial"/>
          <w:sz w:val="16"/>
          <w:szCs w:val="16"/>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3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75"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R. Edens and Randal A.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56"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b w:val="1"/>
          <w:bCs w:val="1"/>
          <w:i w:val="1"/>
          <w:iCs w:val="1"/>
          <w:color w:val="auto"/>
        </w:rPr>
        <w:t>In certain circumstances, NFI is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35" w:lineRule="exact"/>
        <w:rPr>
          <w:sz w:val="20"/>
          <w:szCs w:val="20"/>
          <w:color w:val="auto"/>
        </w:rPr>
      </w:pPr>
    </w:p>
    <w:p>
      <w:pPr>
        <w:ind w:right="140" w:firstLine="360"/>
        <w:spacing w:after="0" w:line="290" w:lineRule="auto"/>
        <w:rPr>
          <w:sz w:val="20"/>
          <w:szCs w:val="20"/>
          <w:color w:val="auto"/>
        </w:rPr>
      </w:pPr>
      <w:r>
        <w:rPr>
          <w:rFonts w:ascii="Arial" w:cs="Arial" w:eastAsia="Arial" w:hAnsi="Arial"/>
          <w:sz w:val="16"/>
          <w:szCs w:val="16"/>
          <w:color w:val="auto"/>
        </w:rPr>
        <w:t>Pursuant to the NFI LLC Agreement, NFI must make generally pro rata distributions to the holders of NFI LLC Units, including NFE, in an amount sufficient to allow NFE to satisfy its actual tax liabilities. In addition, to the extent NFI has available cash, NFI is required to make additional pro rata tax distributions to all holders of NFI LLC Units in an amount generally intended to allow the holders of NFI LLC Units (other than NFE) to satisfy their assumed tax liabilities with respect to their allocable share of the income of NFI (based on certain assumptions and conventions and as determined by NFI Holdings). For this purpose, the determination of available cash takes into account, among other factors, (i) 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58"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amount of such additional tax distributions is determined based on certain assumptions, including assumed income tax rates, and is calculated after taking into account other distributions (including other tax distributions) made by NFI. Additional tax distributions may significantly exceed the actual tax liability for many of the holders of NFI LLC Units, including NFE.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5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addition, the tax distributions that NFI may be required to make may be substantial. In addition, the amount of any additional tax distributions NFI is required to make likely will exceed the tax liabilities that would be owed by a corporate taxpayer similarly situated to NFI. 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is determined taking into account the ability of NFI and its subsidiaries to take on additional borrowing, NFI may be required to increase its indebtedness in order to fund additional tax distributions. Such additional borrowing may adversely affect our financial condition and business operations by, without limitation, limiting our ability to borrow in the future for other purposes, such as capital expenditures, and increasing our interest expense and leverage ratios.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If NFI were to become a publicly traded partnership taxable as a corporation for U.S. federal income tax purposes, significant tax inefficiencies might result.</w:t>
      </w:r>
    </w:p>
    <w:p>
      <w:pPr>
        <w:spacing w:after="0" w:line="6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our Call Right)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provides for limitations on the ability of unitholders of NFI to transfer their NFI LLC Units and provides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7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If NFI were to become a publicly traded partnership, significant tax inefficiencies might result for us and for NFI, including as a result of our inability to file a consolidated U.S. federal income tax return with NFI.</w:t>
      </w:r>
    </w:p>
    <w:p>
      <w:pPr>
        <w:spacing w:after="0" w:line="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800" w:right="560" w:hanging="809"/>
        <w:spacing w:after="0" w:line="282" w:lineRule="auto"/>
        <w:tabs>
          <w:tab w:leader="none" w:pos="780" w:val="left"/>
        </w:tabs>
        <w:rPr>
          <w:sz w:val="20"/>
          <w:szCs w:val="20"/>
          <w:color w:val="auto"/>
        </w:rPr>
      </w:pPr>
      <w:r>
        <w:rPr>
          <w:rFonts w:ascii="Arial" w:cs="Arial" w:eastAsia="Arial" w:hAnsi="Arial"/>
          <w:sz w:val="18"/>
          <w:szCs w:val="18"/>
          <w:b w:val="1"/>
          <w:bCs w:val="1"/>
          <w:color w:val="auto"/>
        </w:rPr>
        <w:t>Item 5.</w:t>
        <w:tab/>
        <w:t>Market for the Registrant’s Common Equity, Related Shareholder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Our Class A shares are listed on NASDAQ and traded under the symbol “NFE.” On March 20, 2019, there was one holder of record of our Class A shares and one shareholder of record of our Class B shares.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We have not declared or paid any cash dividends since our inception. We currently intend to retain future earnings, if any, to finance the expansion of our business.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As of December 31, 2018, we did not maintain an equity compensation plan and none of our securities were available for issuance under an equity compensation plan. While the board of directors adopted the 2019 New Fortress Energy LLC Omnibus Incentive Plan (the “Plan”) in connection with the Offering, it was not outstanding as of December 31, 2018. Accordingly, no equity compensation plan information table is provided.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On February 4, 2019, we completed the Offering of 20,000,000 Class A shares pursuant to our registration statement on Form S-1 (File No. 333-228339) (the “Registration Statement”) declared effective by the SEC on January 30, 2019. In connection with the Offering, Morgan Stanley &amp; Co. LLC, Barclays Capital Inc., Citigroup Global Markets Inc. and Credit Suisse Securities (USA) LLC acted as representatives of the underwriters; Evercore Group L.L.C. and Allen &amp; Company LLC acted as joint book-running managers; and JMP Securities LLC and Stifel, Nicolaus &amp; Company Incorporated acted as co-managers. The gross proceeds of the Offering, based on a public offering price of $14.00 per Class A share, was $280.0 million, which resulted in net proceeds to us of $263.9 million, after deducting $16.1 million of underwriting discounts and commissions. In addition, on March 1, 2019, the underwriters exercised their option to purchase an additional 837,272 Class A shares at the initial offering price of $14.00 per share, less underwriting discounts, which resulted in $11.0 million in additional net proceeds after deducting underwriting discounts and commissions, such that there are 20,837,272 outstanding Class A shares. We contributed the net proceeds of the Offering to NFI in exchange for NFI’s issuance to us of 20,837,272 NFI LLC Units. NFI is using the net proceeds in connection with the construction of our Terminals and Liquefaction Facilities, as well as for working capital and general corporate purposes, including the development of future projects. No fees or expenses were paid, directly or indirectly, to any officer, director, 10% unitholder or other affiliate.</w:t>
      </w:r>
    </w:p>
    <w:p>
      <w:pPr>
        <w:spacing w:after="0" w:line="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ind w:right="200" w:firstLine="360"/>
        <w:spacing w:after="0" w:line="259" w:lineRule="auto"/>
        <w:rPr>
          <w:sz w:val="20"/>
          <w:szCs w:val="20"/>
          <w:color w:val="auto"/>
        </w:rPr>
      </w:pPr>
      <w:r>
        <w:rPr>
          <w:rFonts w:ascii="Arial" w:cs="Arial" w:eastAsia="Arial" w:hAnsi="Arial"/>
          <w:sz w:val="18"/>
          <w:szCs w:val="18"/>
          <w:color w:val="auto"/>
        </w:rPr>
        <w:t>The following table presents our selected historical consolidated financial and operating data. NFE was formed on August 6, 2018 and did not have historical financial results. The selected historical financial data as of December 31, 2018 and 2017 and for the years ended December 31, 2018, 2017 and 2016, prior to the Offering, was derived from the audited historical consolidated financial statements of New Fortress Energy Holdings, our predecessor.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You should read the information set forth below together with “Item 7. Management’s Discussion and Analysis of Financial Condition and Results of Operations” and our consolidated financial statements and related notes included elsewhere in this Annual Report. The historical financial results are not necessarily indicative of results to be expected for any future periods.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r>
      <w:tr>
        <w:trPr>
          <w:trHeight w:val="18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40" w:type="dxa"/>
            <w:vAlign w:val="bottom"/>
            <w:gridSpan w:val="7"/>
          </w:tcPr>
          <w:p>
            <w:pPr>
              <w:jc w:val="center"/>
              <w:ind w:right="192"/>
              <w:spacing w:after="0"/>
              <w:rPr>
                <w:sz w:val="20"/>
                <w:szCs w:val="20"/>
                <w:color w:val="auto"/>
              </w:rPr>
            </w:pPr>
            <w:r>
              <w:rPr>
                <w:rFonts w:ascii="Arial" w:cs="Arial" w:eastAsia="Arial" w:hAnsi="Arial"/>
                <w:sz w:val="14"/>
                <w:szCs w:val="14"/>
                <w:b w:val="1"/>
                <w:bCs w:val="1"/>
                <w:color w:val="auto"/>
                <w:w w:val="90"/>
              </w:rPr>
              <w:t>(In thousands, except share and per share amounts)</w:t>
            </w:r>
          </w:p>
        </w:tc>
      </w:tr>
      <w:tr>
        <w:trPr>
          <w:trHeight w:val="243"/>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96,906</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18,615</w:t>
            </w:r>
          </w:p>
        </w:tc>
      </w:tr>
      <w:tr>
        <w:trPr>
          <w:trHeight w:val="243"/>
        </w:trPr>
        <w:tc>
          <w:tcPr>
            <w:tcW w:w="20" w:type="dxa"/>
            <w:vAlign w:val="bottom"/>
          </w:tcPr>
          <w:p>
            <w:pPr>
              <w:spacing w:after="0"/>
              <w:rPr>
                <w:sz w:val="21"/>
                <w:szCs w:val="21"/>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r>
      <w:tr>
        <w:trPr>
          <w:trHeight w:val="237"/>
        </w:trPr>
        <w:tc>
          <w:tcPr>
            <w:tcW w:w="20" w:type="dxa"/>
            <w:vAlign w:val="bottom"/>
          </w:tcPr>
          <w:p>
            <w:pPr>
              <w:spacing w:after="0"/>
              <w:rPr>
                <w:sz w:val="20"/>
                <w:szCs w:val="20"/>
                <w:color w:val="auto"/>
              </w:rPr>
            </w:pPr>
          </w:p>
        </w:tc>
        <w:tc>
          <w:tcPr>
            <w:tcW w:w="5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112,301</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left w:val="single" w:sz="8" w:color="CCEEFF"/>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of sales</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95,742</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22,747</w:t>
            </w:r>
          </w:p>
        </w:tc>
      </w:tr>
      <w:tr>
        <w:trPr>
          <w:trHeight w:val="237"/>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Operations and maintenance</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5,205</w:t>
            </w:r>
          </w:p>
        </w:tc>
      </w:tr>
      <w:tr>
        <w:trPr>
          <w:trHeight w:val="249"/>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62,137</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18,160</w:t>
            </w:r>
          </w:p>
        </w:tc>
      </w:tr>
      <w:tr>
        <w:trPr>
          <w:trHeight w:val="243"/>
        </w:trPr>
        <w:tc>
          <w:tcPr>
            <w:tcW w:w="20" w:type="dxa"/>
            <w:vAlign w:val="bottom"/>
          </w:tcPr>
          <w:p>
            <w:pPr>
              <w:spacing w:after="0"/>
              <w:rPr>
                <w:sz w:val="21"/>
                <w:szCs w:val="21"/>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r>
      <w:tr>
        <w:trPr>
          <w:trHeight w:val="237"/>
        </w:trPr>
        <w:tc>
          <w:tcPr>
            <w:tcW w:w="20" w:type="dxa"/>
            <w:vAlign w:val="bottom"/>
          </w:tcPr>
          <w:p>
            <w:pPr>
              <w:spacing w:after="0"/>
              <w:rPr>
                <w:sz w:val="20"/>
                <w:szCs w:val="20"/>
                <w:color w:val="auto"/>
              </w:rPr>
            </w:pPr>
          </w:p>
        </w:tc>
        <w:tc>
          <w:tcPr>
            <w:tcW w:w="5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170,789</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left w:val="single" w:sz="8" w:color="CCEEFF"/>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48,453</w:t>
            </w: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(24,990)</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(27,058)</w:t>
            </w:r>
          </w:p>
        </w:tc>
      </w:tr>
      <w:tr>
        <w:trPr>
          <w:trHeight w:val="247"/>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r>
      <w:tr>
        <w:trPr>
          <w:trHeight w:val="237"/>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9"/>
        </w:trPr>
        <w:tc>
          <w:tcPr>
            <w:tcW w:w="20" w:type="dxa"/>
            <w:vAlign w:val="bottom"/>
          </w:tcPr>
          <w:p>
            <w:pPr>
              <w:spacing w:after="0"/>
              <w:rPr>
                <w:sz w:val="21"/>
                <w:szCs w:val="21"/>
                <w:color w:val="auto"/>
              </w:rPr>
            </w:pPr>
          </w:p>
        </w:tc>
        <w:tc>
          <w:tcPr>
            <w:tcW w:w="57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left w:val="single" w:sz="8" w:color="CCEEFF"/>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(31,145)</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(33,287)</w:t>
            </w:r>
          </w:p>
        </w:tc>
      </w:tr>
      <w:tr>
        <w:trPr>
          <w:trHeight w:val="247"/>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provision (benefit)</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20" w:type="dxa"/>
            <w:vAlign w:val="bottom"/>
          </w:tcPr>
          <w:p>
            <w:pPr>
              <w:spacing w:after="0" w:line="20" w:lineRule="exact"/>
              <w:rPr>
                <w:sz w:val="1"/>
                <w:szCs w:val="1"/>
                <w:color w:val="auto"/>
              </w:rPr>
            </w:pPr>
          </w:p>
        </w:tc>
        <w:tc>
          <w:tcPr>
            <w:tcW w:w="57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(78,182)</w:t>
            </w:r>
          </w:p>
        </w:tc>
        <w:tc>
          <w:tcPr>
            <w:tcW w:w="1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(31,671)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(32,926)</w:t>
            </w:r>
          </w:p>
        </w:tc>
      </w:tr>
      <w:tr>
        <w:trPr>
          <w:trHeight w:val="28"/>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49"/>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number of shares outstanding - basic and diluted</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67,932,825</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65,006,140</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58,753,425</w:t>
            </w: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As of December 31,</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r>
      <w:tr>
        <w:trPr>
          <w:trHeight w:val="237"/>
        </w:trPr>
        <w:tc>
          <w:tcPr>
            <w:tcW w:w="20" w:type="dxa"/>
            <w:vAlign w:val="bottom"/>
          </w:tcPr>
          <w:p>
            <w:pPr>
              <w:spacing w:after="0"/>
              <w:rPr>
                <w:sz w:val="20"/>
                <w:szCs w:val="20"/>
                <w:color w:val="auto"/>
              </w:rPr>
            </w:pPr>
          </w:p>
        </w:tc>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94,040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69,350</w:t>
            </w:r>
          </w:p>
        </w:tc>
        <w:tc>
          <w:tcPr>
            <w:tcW w:w="180" w:type="dxa"/>
            <w:vAlign w:val="bottom"/>
          </w:tcPr>
          <w:p>
            <w:pPr>
              <w:spacing w:after="0"/>
              <w:rPr>
                <w:sz w:val="20"/>
                <w:szCs w:val="20"/>
                <w:color w:val="auto"/>
              </w:rPr>
            </w:pPr>
          </w:p>
        </w:tc>
        <w:tc>
          <w:tcPr>
            <w:tcW w:w="200" w:type="dxa"/>
            <w:vAlign w:val="bottom"/>
          </w:tcPr>
          <w:p>
            <w:pPr>
              <w:jc w:val="right"/>
              <w:ind w:right="2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70,633</w:t>
            </w:r>
          </w:p>
        </w:tc>
      </w:tr>
      <w:tr>
        <w:trPr>
          <w:trHeight w:val="249"/>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254,700</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35,413</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r>
      <w:tr>
        <w:trPr>
          <w:trHeight w:val="237"/>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699,402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389,054</w:t>
            </w:r>
          </w:p>
        </w:tc>
      </w:tr>
      <w:tr>
        <w:trPr>
          <w:trHeight w:val="249"/>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(includes current portion)</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272,192</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75,253</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80,385</w:t>
            </w: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416,755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99,684</w:t>
            </w:r>
          </w:p>
        </w:tc>
      </w:tr>
      <w:tr>
        <w:trPr>
          <w:trHeight w:val="256"/>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w w:val="88"/>
              </w:rPr>
              <w:t>Year Ended December 31,</w:t>
            </w:r>
          </w:p>
        </w:tc>
        <w:tc>
          <w:tcPr>
            <w:tcW w:w="1000" w:type="dxa"/>
            <w:vAlign w:val="bottom"/>
            <w:tcBorders>
              <w:bottom w:val="single" w:sz="8" w:color="auto"/>
            </w:tcBorders>
          </w:tcPr>
          <w:p>
            <w:pPr>
              <w:spacing w:after="0"/>
              <w:rPr>
                <w:sz w:val="22"/>
                <w:szCs w:val="22"/>
                <w:color w:val="auto"/>
              </w:rPr>
            </w:pPr>
          </w:p>
        </w:tc>
      </w:tr>
      <w:tr>
        <w:trPr>
          <w:trHeight w:val="18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237"/>
        </w:trPr>
        <w:tc>
          <w:tcPr>
            <w:tcW w:w="20" w:type="dxa"/>
            <w:vAlign w:val="bottom"/>
          </w:tcPr>
          <w:p>
            <w:pPr>
              <w:spacing w:after="0"/>
              <w:rPr>
                <w:sz w:val="20"/>
                <w:szCs w:val="20"/>
                <w:color w:val="auto"/>
              </w:rPr>
            </w:pPr>
          </w:p>
        </w:tc>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(93,227)</w:t>
            </w:r>
          </w:p>
        </w:tc>
        <w:tc>
          <w:tcPr>
            <w:tcW w:w="2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(54,892)</w:t>
            </w:r>
          </w:p>
        </w:tc>
        <w:tc>
          <w:tcPr>
            <w:tcW w:w="2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(43,493)</w:t>
            </w:r>
          </w:p>
        </w:tc>
      </w:tr>
      <w:tr>
        <w:trPr>
          <w:trHeight w:val="237"/>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0"/>
                <w:szCs w:val="20"/>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(177,486)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(52,396)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(104,040)</w:t>
            </w:r>
          </w:p>
        </w:tc>
      </w:tr>
      <w:tr>
        <w:trPr>
          <w:trHeight w:val="249"/>
        </w:trPr>
        <w:tc>
          <w:tcPr>
            <w:tcW w:w="20" w:type="dxa"/>
            <w:vAlign w:val="bottom"/>
          </w:tcPr>
          <w:p>
            <w:pPr>
              <w:spacing w:after="0"/>
              <w:rPr>
                <w:sz w:val="21"/>
                <w:szCs w:val="21"/>
                <w:color w:val="auto"/>
              </w:rPr>
            </w:pPr>
          </w:p>
        </w:tc>
        <w:tc>
          <w:tcPr>
            <w:tcW w:w="5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264,306</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277,699</w:t>
            </w:r>
          </w:p>
        </w:tc>
      </w:tr>
      <w:tr>
        <w:trPr>
          <w:trHeight w:val="432"/>
        </w:trPr>
        <w:tc>
          <w:tcPr>
            <w:tcW w:w="5720" w:type="dxa"/>
            <w:vAlign w:val="bottom"/>
            <w:gridSpan w:val="2"/>
          </w:tcPr>
          <w:p>
            <w:pPr>
              <w:jc w:val="right"/>
              <w:ind w:right="77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57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240" w:type="dxa"/>
            <w:vAlign w:val="bottom"/>
            <w:tcBorders>
              <w:left w:val="single" w:sz="8" w:color="auto"/>
            </w:tcBorders>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Certain information contained in this discussion and analysis, including information with respect to our plans, strategy, projections and expected timeline for our business and related financing, includes forward-looking statements that involve risks and uncertainties.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8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79"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i w:val="1"/>
          <w:iCs w:val="1"/>
          <w:color w:val="auto"/>
        </w:rPr>
        <w:t>The following information should be read in conjunction with our audited consolidated financial statements and accompanying notes included elsewhere in this Annual Report. Our financial statements have been prepared in accordance with GAAP.</w:t>
      </w:r>
    </w:p>
    <w:p>
      <w:pPr>
        <w:spacing w:after="0" w:line="16" w:lineRule="exact"/>
        <w:rPr>
          <w:sz w:val="20"/>
          <w:szCs w:val="20"/>
          <w:color w:val="auto"/>
        </w:rPr>
      </w:pPr>
    </w:p>
    <w:p>
      <w:pPr>
        <w:ind w:right="200" w:firstLine="360"/>
        <w:spacing w:after="0" w:line="312" w:lineRule="auto"/>
        <w:rPr>
          <w:sz w:val="20"/>
          <w:szCs w:val="20"/>
          <w:color w:val="auto"/>
        </w:rPr>
      </w:pPr>
      <w:r>
        <w:rPr>
          <w:rFonts w:ascii="Arial" w:cs="Arial" w:eastAsia="Arial" w:hAnsi="Arial"/>
          <w:sz w:val="16"/>
          <w:szCs w:val="16"/>
          <w:i w:val="1"/>
          <w:iCs w:val="1"/>
          <w:color w:val="auto"/>
        </w:rPr>
        <w:t>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39"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i w:val="1"/>
          <w:iCs w:val="1"/>
          <w:color w:val="auto"/>
        </w:rPr>
        <w:t>Unless the context otherwise requires, references to “Company,” “NFE,” “we,” “our,” “us” or like terms refer to New Fortress Energy LLC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are engaged in providing energy and logistical services to end users worldwide seeking to convert their operating assets from diesel or heavy fuel oil (“HFO”) to liquefied natural gas (“LNG”). The Company currently has liquefaction and regasification operations in the United States and Jamaica. We currently source LNG from a combination of our own liquefaction facility in Miami, Florida and purchases from third party suppliers. We are developing the infrastructure necessary to supply all of our existing and future customers with LNG produced primarily at our own facilities. We expect that control of our vertical supply chain, from liquefaction to delivery of LNG, will help to reduce our exposure to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sign long-term, take-or-pay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121"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Limited (“GAJ”), a subsidiary of Noble Group, and Clarendon Alumina Production Limited, an entity owned by the Government of Jamaica, with a focus on bauxite mining and alumina production in Jamaica (“Jamalco”), each of which is described in more detail below. Certain assets built to service JPS have, and the assets built to service JPC and Jamalco will have, capacity to service other customers. We currently procure our LNG either by purchasing it under a multi-cargo contract from a supplier or by manufacturing it in our natural gas liquefaction, storage and production facility located in Miami-Dade County, Florida (the “Miami Facility”). In the future, we intend to develop the infrastructure necessary to supply our existing and future customers with LNG produced primarily at our own facilities, including our expanded delivery logistics chain in Northern Pennsylvania (the “Pennsylvania Facility”).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Terminal</w:t>
      </w:r>
    </w:p>
    <w:p>
      <w:pPr>
        <w:spacing w:after="0" w:line="11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Our storage and regasification terminal in Montego Bay, Jamaica (the “Montego Bay Terminal”) serves as our supply hub for the north side of Jamaica, providing gas to JPS to fuel the 145MW Bogue Power Plant in Montego Bay, Jamaica (the “Bogue Power Plant”). The Montego Bay Terminal commenced commercial operations on October 30, 2016 and stores approximately two million gallons of LNG in seven storage tanks. The Montego Bay Terminal also consists of an ISO loading facility that can transport LNG to all of our industrial and manufacturing (“small-scale”) customers across the island. The small-scale business provides these users with an alternative fuel to support their business operations and limit reliance on monopolistic utilities.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117"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Our Miami Facility began operations in April 2016. This facility enables us to produce LNG for our customers and reduces our dependence on other suppliers for LNG. The Miami Facility is the first plant to successfully export domestically produced LNG from the lower 48 states to a non-FTA country and it employs one of the largest ISO container fleets in the world. The Miami Facility provides LNG to small-scale customers in Southern Florida including Florida East Coast Railway via our train loading facility and other customers throughout the Caribbean using ISO containers.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 Ended December 31, 2018 compared to Year Ended December 31, 2017</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r>
      <w:tr>
        <w:trPr>
          <w:trHeight w:val="243"/>
        </w:trPr>
        <w:tc>
          <w:tcPr>
            <w:tcW w:w="20" w:type="dxa"/>
            <w:vAlign w:val="bottom"/>
          </w:tcPr>
          <w:p>
            <w:pPr>
              <w:spacing w:after="0"/>
              <w:rPr>
                <w:sz w:val="21"/>
                <w:szCs w:val="21"/>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96,906</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82,104</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112,301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95,742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78,692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33,343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170,789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(58,488)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(24,990)</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(33,498)</w:t>
            </w:r>
          </w:p>
        </w:tc>
      </w:tr>
      <w:tr>
        <w:trPr>
          <w:trHeight w:val="230"/>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11,248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r>
      <w:tr>
        <w:trPr>
          <w:trHeight w:val="237"/>
        </w:trPr>
        <w:tc>
          <w:tcPr>
            <w:tcW w:w="600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(78,520)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(31,145)</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(47,375)</w:t>
            </w:r>
          </w:p>
        </w:tc>
      </w:t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Tax provision (benefit)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(46,511)</w:t>
            </w:r>
          </w:p>
        </w:tc>
      </w:tr>
      <w:tr>
        <w:trPr>
          <w:trHeight w:val="27"/>
        </w:trPr>
        <w:tc>
          <w:tcPr>
            <w:tcW w:w="20" w:type="dxa"/>
            <w:vAlign w:val="bottom"/>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Operating revenue from LNG and natural gas sales for the year ended December 31, 2018 was $96,906 which increased by $14,802 from $82,104 for the year ended December 31, 2017, primarily due to additional small scale customers commencing operations in the fourth quarter of 2017 and in the first quarter of 2018. The delivered volume from the Miami Facility to our small-scale customers increased by 2.3 million gallons (190,330 MMBtu) from 8.3 million gallons (688,879 MMBtu) in 2017 to 10.6 million gallons (879,209 MMBtu) in 2018.</w:t>
      </w:r>
    </w:p>
    <w:p>
      <w:pPr>
        <w:spacing w:after="0" w:line="8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increase in operating revenue was also attributable to additional sales at the Montego Bay Terminal. The delivered volume increased by 12.9 million gallons (1.1 TBtu) from 86.3 million gallons (7.0 TBtu) in 2017 to 99.2 million gallons (8.1 TBtu) in 2018. Of the delivered volumes, 0.6 million gallons (46,065 MMBtu) and 3.1 million gallons (247,029 MMBtu) were delivered to small-scale networks in 2017 and 2018, respectively.</w:t>
      </w:r>
    </w:p>
    <w:p>
      <w:pPr>
        <w:spacing w:after="0" w:line="79"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Other revenue for the year ended December 31, 2018 was $15,395 which increased $237 from $15,158 for the year ended December 31, 2017. The Company leases certain facilities and equipment, including the Montego Bay Terminal, to its customers which are accounted for either as direct financing leases or operating leases. We currently generate a majority of other revenue from interest recognized from direct financing leases or leasing revenue from operating leases.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Cost of sales for the year ended December 31, 2018 was $95,742 which increased $17,050 from $78,692 for the year ended December 31, 2017. The increase in Cost of sales was attributable to increased LNG cost from $0.51 per gallon ($6.18 per MMBtu) in 2017 to $0.57 per gallon ($6.84 per MMBtu) in 2018, as well as an increase in charter costs due to more shipments in 2018 compared to 2017 and an increase in volumes sold to small-scale customers.</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Cost of sales includes the procurement of feedgas or LNG as applicable, shipping and logistics costs to deliver LNG to our facilities and regasification and terminal operating expenses to supply LNG to our customers. Our LNG and natural gas supply are purchased from third parties or converted in our Miami Facility. Costs to convert natural gas to LNG, including labor and other direct costs to operate our Miami Facility are also included in Cost of sales.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Operations and maintenance relates to costs of operating our Miami Facility as well as our Montego Bay Terminal exclusive of conversion costs reflected in Cost of sales. Operations and maintenance for the year ended December 31, 2018 was $9,589, which increased $2,133 from $7,456 for the year ended December 31, 2017. The increase is primarily a result of an increase in headcount and general maintenance costs at these facilities.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year ended December 31, 2018, was $62,137 which increased $28,794 from $33,343 for the year ended December 31, 2017 primarily as a result of increased development activities, headcount and professional fees.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Depreciation and amortization for the year ended December 31, 2018 was $3,321, which increased $560 from $2,761 for the year ended December 31, 2017. The increase is primarily a result of additional equipment purchases placed in service for small-scale customers.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Interest expense for the year ended December 31, 2018 was $11,248, which increased $4,792 from $6,456 for the year ended December 31, 2017, primarily as a result of financing costs expensed and amortized for the Term Loan Facility (as defined below).</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color w:val="auto"/>
        </w:rPr>
        <w:t>Other income, net for the year ended December 31, 2018 was ($784), which increased $483 from ($301) for the year ended December 31, 2017, primarily as a result of interest income partially offset by realized foreign currency loss.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Loss on extinguishment of debt for the year ended December 31, 2018 was $9,568, primarily as a result of the extinguishment of the MoBay Loan (as defined below) and the write-off of deferred financing costs associated with lenders in the Miami Loan (as defined below) and the Term Loan Facility that were treated as an extinguishment, as well as additional financing costs paid to such lenders.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Tax benefit for the year ended December 31, 2018 was ($338), which increased $864 from a tax provision of $526 for the year ended December 31, 2017 due to losses incurred during 2018 in Jamaican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 Ended December 31, 2017 compared with Year Ended December 31, 2016</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82,104</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18,615</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2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78,692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22,747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33,343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18,160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(24,990)</w:t>
            </w: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(27,058)</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(31,145)</w:t>
            </w: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(33,287)</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Tax provision (benefit)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Operating revenue from LNG and natural gas sales for the year ended December 31, 2017 was $82,104, which increased by $63,489 from $18,615 for the year ended December 31, 2016. The increase in revenue was primarily attributable to 12 months of operations at the Miami Facility and Montego Bay Terminal during the year ended December 31, 2017, whereas the Miami Facility and Montego Bay Terminal were operating for eight and two months, respectively, during the year ended December 31, 2016.</w:t>
      </w:r>
    </w:p>
    <w:p>
      <w:pPr>
        <w:spacing w:after="0" w:line="4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delivered volume from the Miami Facility to our small-scale customers increased by 6.7 million gallons (554,415 MMBtu) from 1.6 million gallons (134,464 MMBtu) in 2016 to 8.3 million gallons (688,879 MMBtu) in 2017. We executed three contracts in 2016 and three contracts in 2017 to provide customers with LNG from our Miami Facility.</w:t>
      </w:r>
    </w:p>
    <w:p>
      <w:pPr>
        <w:spacing w:after="0" w:line="73"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increase in operating revenue was also attributable to additional sales at the Montego Bay Terminal. The delivered volume increased by 86.7 million gallons (5.9 TBtu) from 12.5 million gallons (1.1 TBtu) in 2016 to 99.2 million gallons (7.0 TBtu) in 2017.</w:t>
      </w:r>
    </w:p>
    <w:p>
      <w:pPr>
        <w:spacing w:after="0" w:line="73"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color w:val="auto"/>
        </w:rPr>
        <w:t>Other revenue for the year ended December 31, 2017 was $15,158, which increased $12,378 from $2,780 for the year ended December 31, 2016. The increase is attributable to 12 months of operations at the Montego Bay Terminal during the year ended December 31, 2017, whereas the Montego Bay Terminal operated for two months in 2016. The Company leases certain facilities and equipment, including the Montego Bay Terminal, to its customers, which are accounted for as direct financing leases or operating leases. We currently generate a majority of Other revenue from interest recognized from these direct financing leases or leasing revenue from operating leases.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Cost of sales includes the procurement of feedgas or LNG as applicable, shipping and logistics costs to deliver LNG to our facilities and regasification and terminal operating expenses to provide product to our customers. Our LNG and natural gas supply are purchased from third parties or converted in our Liquefaction Facilities. Costs to convert natural gas to LNG include labor and other direct costs to operate our Liquefaction Facilities and are also included in Cost of sales.</w:t>
      </w:r>
    </w:p>
    <w:p>
      <w:pPr>
        <w:spacing w:after="0" w:line="6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Cost of sales for the year ended December 31, 2017 was $78,692, which increased $55,945 from $22,747 for the year ended December 31, 2016. The increase in Cost of sales was attributable to increased LNG cost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from $0.41 per gallon ($4.95 per MMBtu) in 2016 to $0.51 per gallon ($6.18 per MMBtu) in 2017. Also, there were 12 months of operations at the Miami Facility and Montego Bay Terminal for the year ended December 31, 2017, whereas the Miami Facility and Montego Bay Terminal were operating for eight and two months, respectively, for the year ended December 30, 2016.</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Operations and maintenance relates to costs of operating our Miami Facility, as well as our Montego Bay Terminal, exclusive of conversion costs reflected in Cost of sales. Operations and maintenance for the year ended December 31, 2017 was $7,456, which increased $2,251 from $5,205 for the year ended December 31, 2016. The increase is primarily a result of the Miami Facility operating for 12 months in 2017 in comparison to operating for eight months in 2016.</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year ended December 31, 2017 was $33,343, which increased $15,183 from $18,160 for the year ended December 31, 2016 primarily as a result of increased development activities and employee travel as well as increased headcount.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Depreciation and amortization for the year ended December 31, 2017 was $2,761, which increased $420 from $2,341 for the year ended December 31, 2016. The increase is primarily a result of 12 months of operations at the Miami Facility and the purchase of additional equipment and vehicles which were placed into service during 2017.</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Interest expense for the year ended December 31, 2017 was $6,456, which increased $1,351 from $5,105 for the year ended December 31, 2016, primarily as a result of interest on the MoBay Loan of $3,611 and $643 and Miami Loan of $2,845 and $1,803 for the years ended December 31, 2017 and December 31, 2016, respectively, net of capitalized interest recognized during construction in the year ended December 31, 2016. During 2017, we raised equity capital, which funded a majority of our capital expenditures resulting in a decrease in capitalized interest compared to 2016. The increase in interest expense is partially offset by the reduction of interest expense on our corporate loan, which was repaid at maturity in June 2016.</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380" w:firstLine="360"/>
        <w:spacing w:after="0" w:line="308" w:lineRule="auto"/>
        <w:rPr>
          <w:sz w:val="20"/>
          <w:szCs w:val="20"/>
          <w:color w:val="auto"/>
        </w:rPr>
      </w:pPr>
      <w:r>
        <w:rPr>
          <w:rFonts w:ascii="Arial" w:cs="Arial" w:eastAsia="Arial" w:hAnsi="Arial"/>
          <w:sz w:val="17"/>
          <w:szCs w:val="17"/>
          <w:color w:val="auto"/>
        </w:rPr>
        <w:t>Other income, net for the year ended December 31, 2017 was ($301), which increased $248 from ($53) for the year, ended December 31, 2016, primarily as a result of an increase in interest income and realized foreign currency gain.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Loss on extinguishment of debt for the year ended December 31, 2016 was $1,177, which was recognized as a result of the extinguishment of the corporate loan on June 3, 2016.</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7"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Tax provision (benefit) for the year ended December 31, 2017 was $526, which increased $887 from ($361) for the year ended December 31, 2016 due to a decrease in net taxable losses in a foreign jurisdiction when comparing year ended 2017 to year ended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62" w:lineRule="exact"/>
        <w:rPr>
          <w:sz w:val="20"/>
          <w:szCs w:val="20"/>
          <w:color w:val="auto"/>
        </w:rPr>
      </w:pPr>
    </w:p>
    <w:p>
      <w:pPr>
        <w:ind w:left="700" w:hanging="356"/>
        <w:spacing w:after="0" w:line="270"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only include our Miami Facility and our Montego Bay Terminal. </w:t>
      </w:r>
      <w:r>
        <w:rPr>
          <w:rFonts w:ascii="Arial" w:cs="Arial" w:eastAsia="Arial" w:hAnsi="Arial"/>
          <w:sz w:val="17"/>
          <w:szCs w:val="17"/>
          <w:color w:val="auto"/>
        </w:rPr>
        <w:t>Our historical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only include our Miami Facility and our Montego Bay Terminal and do not include future revenue resulting from long-term, take-or-pay contracts with downstream customers expected from projects under development, including the 190MW Old Harbour power plant operated by JPC in Old Harbour, Jamaica (the “Old Harbour Power Plant,”) the dual-fired CHP facility in Clarendon, Jamaica (the “CHP Plant”), the multi-fuel handling facility located in the Port of San Juan, Puerto Rico (the “San Juan Facility”), the LNG regasification terminal in La Paz, Baja California Sur, Mexico (the “La Paz Terminal”), the LNG terminal on the Shannon Estuary near Ballylongford, Ireland (the “Ireland Terminal”) and the Pennsylvania Facility. The Old Harbour Power Plant completed construction in December 2018 and commercial operations will begin in the second quarter of 2019.</w:t>
      </w:r>
    </w:p>
    <w:p>
      <w:pPr>
        <w:spacing w:after="0" w:line="73" w:lineRule="exact"/>
        <w:rPr>
          <w:rFonts w:ascii="Arial" w:cs="Arial" w:eastAsia="Arial" w:hAnsi="Arial"/>
          <w:sz w:val="17"/>
          <w:szCs w:val="17"/>
          <w:color w:val="auto"/>
        </w:rPr>
      </w:pPr>
    </w:p>
    <w:p>
      <w:pPr>
        <w:ind w:left="720" w:right="20"/>
        <w:spacing w:after="0" w:line="297" w:lineRule="auto"/>
        <w:rPr>
          <w:rFonts w:ascii="Arial" w:cs="Arial" w:eastAsia="Arial" w:hAnsi="Arial"/>
          <w:sz w:val="17"/>
          <w:szCs w:val="17"/>
          <w:color w:val="auto"/>
        </w:rPr>
      </w:pPr>
      <w:r>
        <w:rPr>
          <w:rFonts w:ascii="Arial" w:cs="Arial" w:eastAsia="Arial" w:hAnsi="Arial"/>
          <w:sz w:val="16"/>
          <w:szCs w:val="16"/>
          <w:color w:val="auto"/>
        </w:rPr>
        <w:t>In addition, we currently purchase the majority of our supply of LNG from third parties. For the years ended December 31, 2018 and December 31, 2017, we sourced 92.5% and 94.1%, respectively, of our LNG volumes from third parties. NFE is in the process of developing in-basin liquefaction facilities that will vertically integrate our supply and substantially reduce the need to source LNG from third parties, which, when combined with lower cost production, should significantly impact our results of operations and cash flows from both contracted and expected downstream sales.</w:t>
      </w:r>
    </w:p>
    <w:p>
      <w:pPr>
        <w:spacing w:after="0" w:line="50" w:lineRule="exact"/>
        <w:rPr>
          <w:rFonts w:ascii="Arial" w:cs="Arial" w:eastAsia="Arial" w:hAnsi="Arial"/>
          <w:sz w:val="17"/>
          <w:szCs w:val="17"/>
          <w:color w:val="auto"/>
        </w:rPr>
      </w:pPr>
    </w:p>
    <w:p>
      <w:pPr>
        <w:ind w:left="700" w:hanging="356"/>
        <w:spacing w:after="0" w:line="289"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organizational structure has changed as a result of reorganization transactions completed at the time of our IPO. </w:t>
      </w:r>
      <w:r>
        <w:rPr>
          <w:rFonts w:ascii="Arial" w:cs="Arial" w:eastAsia="Arial" w:hAnsi="Arial"/>
          <w:sz w:val="16"/>
          <w:szCs w:val="16"/>
          <w:color w:val="auto"/>
        </w:rPr>
        <w:t>Our historical financial statements presented in this Annual Report, including this discussion and analysis, are the financial statements of New Fortress Energy Holdings, our predecessor. We completed our IPO on February 4, 2019, and proceeds from the IPO were used to purchase limited liability company units (“LLC Units”) in New Fortress Intermediate LLC (“NFI”), an entity formed in conjunction with the IPO. In addition, New Fortress Energy Holdings contributed all of its interests in consolidated subsidiaries that comprised substantially all of its historic operations, as well its limited assets and liabilities, to NFI in exchange for LLC Units. NFE is a holding company whose principal asset is a controlling equity interest in NFI. As the sole managing member of NFI, the Company operates and controls all of the business and affairs of NFI, and through NFI and its subsidiaries, conducts the Company’s historical business.</w:t>
      </w:r>
    </w:p>
    <w:p>
      <w:pPr>
        <w:spacing w:after="0" w:line="58" w:lineRule="exact"/>
        <w:rPr>
          <w:rFonts w:ascii="Arial" w:cs="Arial" w:eastAsia="Arial" w:hAnsi="Arial"/>
          <w:sz w:val="16"/>
          <w:szCs w:val="16"/>
          <w:color w:val="auto"/>
        </w:rPr>
      </w:pPr>
    </w:p>
    <w:p>
      <w:pPr>
        <w:ind w:left="720" w:right="40"/>
        <w:spacing w:after="0" w:line="259" w:lineRule="auto"/>
        <w:rPr>
          <w:rFonts w:ascii="Arial" w:cs="Arial" w:eastAsia="Arial" w:hAnsi="Arial"/>
          <w:sz w:val="16"/>
          <w:szCs w:val="16"/>
          <w:color w:val="auto"/>
        </w:rPr>
      </w:pPr>
      <w:r>
        <w:rPr>
          <w:rFonts w:ascii="Arial" w:cs="Arial" w:eastAsia="Arial" w:hAnsi="Arial"/>
          <w:sz w:val="18"/>
          <w:szCs w:val="18"/>
          <w:color w:val="auto"/>
        </w:rPr>
        <w:t>The contribution of the assets of New Fortress Energy Holdings and net proceeds from the IPO to NFI was treated as a reorganization of entities under common control. NFE will retrospectively present the consolidated financial statements of New Fortress Energy Holdings for all current and comparative periods presented beginning with its first quarter 2019 financial statements.</w:t>
      </w:r>
    </w:p>
    <w:p>
      <w:pPr>
        <w:spacing w:after="0" w:line="78" w:lineRule="exact"/>
        <w:rPr>
          <w:rFonts w:ascii="Arial" w:cs="Arial" w:eastAsia="Arial" w:hAnsi="Arial"/>
          <w:sz w:val="16"/>
          <w:szCs w:val="16"/>
          <w:color w:val="auto"/>
        </w:rPr>
      </w:pPr>
    </w:p>
    <w:p>
      <w:pPr>
        <w:ind w:left="720" w:right="60"/>
        <w:spacing w:after="0" w:line="259" w:lineRule="auto"/>
        <w:rPr>
          <w:rFonts w:ascii="Arial" w:cs="Arial" w:eastAsia="Arial" w:hAnsi="Arial"/>
          <w:sz w:val="16"/>
          <w:szCs w:val="16"/>
          <w:color w:val="auto"/>
        </w:rPr>
      </w:pPr>
      <w:r>
        <w:rPr>
          <w:rFonts w:ascii="Arial" w:cs="Arial" w:eastAsia="Arial" w:hAnsi="Arial"/>
          <w:sz w:val="18"/>
          <w:szCs w:val="18"/>
          <w:color w:val="auto"/>
        </w:rPr>
        <w:t>The financial statements of NFE that will be presented beginning in first quarter 2019 will allocate a significant portion of the results of operations to New Fortress Energy Holdings, through its non-controlling interest in NFI. The results of operations and earnings allocated to holders of Class A shares of NFE issued in the IPO will be less than historically presented within earnings per share.</w:t>
      </w:r>
    </w:p>
    <w:p>
      <w:pPr>
        <w:spacing w:after="0" w:line="78" w:lineRule="exact"/>
        <w:rPr>
          <w:rFonts w:ascii="Arial" w:cs="Arial" w:eastAsia="Arial" w:hAnsi="Arial"/>
          <w:sz w:val="16"/>
          <w:szCs w:val="16"/>
          <w:color w:val="auto"/>
        </w:rPr>
      </w:pPr>
    </w:p>
    <w:p>
      <w:pPr>
        <w:ind w:left="700" w:right="40" w:hanging="356"/>
        <w:spacing w:after="0" w:line="270"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expect to incur incremental, selling, general and administrative expenses related to our transition to a publicly traded company. </w:t>
      </w:r>
      <w:r>
        <w:rPr>
          <w:rFonts w:ascii="Arial" w:cs="Arial" w:eastAsia="Arial" w:hAnsi="Arial"/>
          <w:sz w:val="17"/>
          <w:szCs w:val="17"/>
          <w:color w:val="auto"/>
        </w:rPr>
        <w:t>We completed our IPO on February 4, 2019, and we expect to incur direct, incremental general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expenses as a result of being a publicly traded company, including costs associated with the employment of additional personnel, compliance under the Securities Exchange Act of 1934, as amended (the “Exchange Act”), annual and quarterly reports to our common shareholders, registrar and transfer agent fees, national stock exchange fees, the costs associated with the initial implementation of our Sarbanes-Oxley Act of 2002 (“Sarbanes-Oxley Act”) Section 404 internal controls and testing, audit fees, incremental director and officer liability insurance costs and director and officer compensation. These direct, incremental general and administrative expenses are not included in our historical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12 months. We expect to fund our current operations and continued development of additional facilities through a combination of cash on hand, additional borrowings from the Term Loan Facility, as defined below, and the proceeds from our IPO. The IPO was completed on February 4, 2019, and we issued and sold 20,000,000 Class A shares at an IPO price of $14.00 per share, raising net proceeds of $257,600. On March 1, 2019, the underwriters exercised their option to purchase an additional 837,272 Class A shares at the IPO price of $14.00 per share, less underwriting discounts, raising additional net proceeds of $11,048. We have assumed total expenditures for all completed and existing projects to be approximately $500,000, with approximately $333,000 having already been spent through December 31, 2018. This estimate represents the complete construction of projects in Jamaica and Miami. Borrowings under the Term Loan Facility will be used to make significant capital expenditures to build out our Terminals, including the Old Harbour Power Plant and the CHP Plant, as well as for small-scale customer capital expenditures for storage and regasification operations. We are currently exploring opportunities to expand our business into new markets, including the Caribbean and Mexico and we will require significant additional capital to implement our strategy.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year ended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43"/>
        </w:trPr>
        <w:tc>
          <w:tcPr>
            <w:tcW w:w="20" w:type="dxa"/>
            <w:vAlign w:val="bottom"/>
          </w:tcPr>
          <w:p>
            <w:pPr>
              <w:spacing w:after="0"/>
              <w:rPr>
                <w:sz w:val="21"/>
                <w:szCs w:val="21"/>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1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(93,227)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(54,892)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(38,335)</w:t>
            </w:r>
          </w:p>
        </w:tc>
      </w:tr>
      <w:tr>
        <w:trPr>
          <w:trHeight w:val="256"/>
        </w:trPr>
        <w:tc>
          <w:tcPr>
            <w:tcW w:w="20" w:type="dxa"/>
            <w:vAlign w:val="bottom"/>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(177,486)</w:t>
            </w:r>
          </w:p>
        </w:tc>
        <w:tc>
          <w:tcPr>
            <w:tcW w:w="22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(52,396)</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(125,090)</w:t>
            </w:r>
          </w:p>
        </w:tc>
      </w:tr>
      <w:tr>
        <w:trPr>
          <w:trHeight w:val="237"/>
        </w:trPr>
        <w:tc>
          <w:tcPr>
            <w:tcW w:w="58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264,306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252,960</w:t>
            </w:r>
          </w:p>
        </w:tc>
        <w:tc>
          <w:tcPr>
            <w:tcW w:w="10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89,535</w:t>
            </w:r>
          </w:p>
        </w:tc>
        <w:tc>
          <w:tcPr>
            <w:tcW w:w="100" w:type="dxa"/>
            <w:vAlign w:val="bottom"/>
            <w:shd w:val="clear" w:color="auto" w:fill="CCEEFF"/>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Our cash flow used in operating activities was $93,227 for the year ended December 31, 2018, which increased by $38,335 from $54,892 for the year ended December 31, 2017. For both years ended December 31, 2018 and 2017, we had net loss that comprised a significant portion of cash used in operating activities due to the continued expansion of our business activities. Cash flows used in operating activities for the year ended December 31, 2018 was also significantly impacted by increases in other asset accounts, primarily due to the acquisition of port access rights.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ind w:right="140" w:firstLine="360"/>
        <w:spacing w:after="0" w:line="312" w:lineRule="auto"/>
        <w:rPr>
          <w:sz w:val="20"/>
          <w:szCs w:val="20"/>
          <w:color w:val="auto"/>
        </w:rPr>
      </w:pPr>
      <w:r>
        <w:rPr>
          <w:rFonts w:ascii="Arial" w:cs="Arial" w:eastAsia="Arial" w:hAnsi="Arial"/>
          <w:sz w:val="16"/>
          <w:szCs w:val="16"/>
          <w:color w:val="auto"/>
        </w:rPr>
        <w:t>Our cash flow used in investing activities was $177,486 for the year ended December 31, 2018, which increased by $125,090 from $52,396 for the year ended December 31, 2017. The increase in cash flow used in investing activities is due to the increase in capital expenditures to complete the Old Harbour Power Plant, as well as, the Pennsylvania Facility and the CHP Plant.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cash flow provided by financing activities was $264,306 for the year ended December 31, 2018, which increased by</w:t>
      </w:r>
    </w:p>
    <w:p>
      <w:pPr>
        <w:spacing w:after="0" w:line="3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$252,960 from $11,346 for the year ended December 31, 2017. The increase in cash flow provided by financing activities is due to additional borrowings under the Term Loan Facility of $280,600. Additionally, the Company received $50,000 from the additional capital raised in December 2017, undertook an additional equity capital raise of $20,150 and received the cash during the year. The increase was offset by the repayment of the Miami Loan and the MoBay Loan in full.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years ended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37"/>
        </w:trPr>
        <w:tc>
          <w:tcPr>
            <w:tcW w:w="20" w:type="dxa"/>
            <w:vAlign w:val="bottom"/>
          </w:tcPr>
          <w:p>
            <w:pPr>
              <w:spacing w:after="0"/>
              <w:rPr>
                <w:sz w:val="20"/>
                <w:szCs w:val="20"/>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1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activities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(54,892)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(43,493)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(11,399)</w:t>
            </w:r>
          </w:p>
        </w:tc>
      </w:tr>
      <w:tr>
        <w:trPr>
          <w:trHeight w:val="256"/>
        </w:trPr>
        <w:tc>
          <w:tcPr>
            <w:tcW w:w="20" w:type="dxa"/>
            <w:vAlign w:val="bottom"/>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(52,396)</w:t>
            </w:r>
          </w:p>
        </w:tc>
        <w:tc>
          <w:tcPr>
            <w:tcW w:w="2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(104,040)</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51,644</w:t>
            </w:r>
          </w:p>
        </w:tc>
        <w:tc>
          <w:tcPr>
            <w:tcW w:w="100" w:type="dxa"/>
            <w:vAlign w:val="bottom"/>
            <w:shd w:val="clear" w:color="auto" w:fill="CCEEFF"/>
          </w:tcPr>
          <w:p>
            <w:pPr>
              <w:spacing w:after="0"/>
              <w:rPr>
                <w:sz w:val="22"/>
                <w:szCs w:val="22"/>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277,699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(266,353)</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(226,108)</w:t>
            </w:r>
          </w:p>
        </w:tc>
      </w:tr>
      <w:tr>
        <w:trPr>
          <w:trHeight w:val="27"/>
        </w:trPr>
        <w:tc>
          <w:tcPr>
            <w:tcW w:w="20" w:type="dxa"/>
            <w:vAlign w:val="bottom"/>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Our cash flow used in operating activities was $54,892 in 2017, which increased by $11,399 from $43,493 in 2016. For both the years ended December 31, 2017 and 2016, we had net loss that comprised a significant portion of cash used in operating activities due to the continued expansion of our operations in Jamaica. A significant portion of cash used in operations for the year ended December 31, 2017 was attributed to an increase in deposits attributed to a prepayment for LNG supply.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ind w:right="300" w:firstLine="360"/>
        <w:spacing w:after="0" w:line="288" w:lineRule="auto"/>
        <w:rPr>
          <w:sz w:val="20"/>
          <w:szCs w:val="20"/>
          <w:color w:val="auto"/>
        </w:rPr>
      </w:pPr>
      <w:r>
        <w:rPr>
          <w:rFonts w:ascii="Arial" w:cs="Arial" w:eastAsia="Arial" w:hAnsi="Arial"/>
          <w:sz w:val="16"/>
          <w:szCs w:val="16"/>
          <w:color w:val="auto"/>
        </w:rPr>
        <w:t>Our cash flow used in investing activities was $52,396 for the year ended December 31, 2017, which decreased by $51,644 from $104,040 for the year ended December 31, 2016. The decrease in cash flow used in investing activities is due to significant cash expenditures incurred in 2016 as the Company completed construction of its Miami Facility and its Montego Bay Terminal.</w:t>
      </w:r>
    </w:p>
    <w:p>
      <w:pPr>
        <w:jc w:val="both"/>
        <w:ind w:right="160"/>
        <w:spacing w:after="0" w:line="277" w:lineRule="auto"/>
        <w:rPr>
          <w:sz w:val="20"/>
          <w:szCs w:val="20"/>
          <w:color w:val="auto"/>
        </w:rPr>
      </w:pPr>
      <w:r>
        <w:rPr>
          <w:rFonts w:ascii="Arial" w:cs="Arial" w:eastAsia="Arial" w:hAnsi="Arial"/>
          <w:sz w:val="17"/>
          <w:szCs w:val="17"/>
          <w:color w:val="auto"/>
        </w:rPr>
        <w:t>The decrease was offset by construction that began in 2017 on the Old Harbour Power Plant resulting in approximately $28,500 in capital expenditures. The decrease was also partially offset by a restriction of $15,000 as collateral posted for performance under a GSA with a customer, and $7,000 of collateral posted with LNG suppliers for an upcoming delivery.</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cash flow provided by financing activities was $11,346 for the year ended December 31, 2017, which decreased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$266,353 from $277,699 for the year ended December 31, 2016. The decrease in cash flow provided by financing activities is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issuing shares in June 2016 in exchange for $300,505. The Company also received additional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MoBay Loan of $44,000. The receipt of debt and equity capital in 2016 was offset by the repayment of corporate loan of $65,000.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2017, the Company undertook an additional capital raise of $70,100 of which $20,100 of cash was received in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remainder in January 2018. This capital contribution was offset by principal payments on the Miami Loan and the MoBay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$5,828.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On August 16, 2018, the Company entered into a Term Loan Facility (as may be amended, from time to time, the “Term Loan Facility”) to borrow term loans, available in three draws, up to an aggregate principal amount of $240,000. On December 31, 2018, the Company amended its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IPO. Borrowings under the Term Loan Facility bear interest at a rate selected by the Company of either (i) a LIBOR based rate, plus a spread of 4.0%, or (ii) subject to a floor of 1%, a Base Rate equal to the highest of (a) the Prime Rate, (b) the Federal Funds Rate plus 1 ⁄2 of 1% or (c) the 1-month LIBOR rate plus the difference between the applicable LIBOR margin and Base Rate margin, plus a spread of 3.0%. The Term Loan Facility contains certain covenants that require additional contracted revenue to be obtained within certain time periods, and an event of default or additional fee payments may result if those targets are not met in the future. The Term Loan Facility is set to mature on December 31, 2019 and is repayable in quarterly installments of $1,250, with a balloon payment due on the maturity date. The Company has the option to extend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maturity date for two additional six-month periods; upon the exercise of each extension option, the interest rate spread on LIBOR and Base Rate increases by 0.5%. To exercise each extension option, the Company must pay a fee equal to 1.0% of the outstanding principal balance at the time of the exercise of the option.</w:t>
      </w:r>
    </w:p>
    <w:p>
      <w:pPr>
        <w:spacing w:after="0" w:line="73"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on indebtedness, liens, acquisitions and investments, restricted payments and dispositions. The Term Loan Facility also provides for customary events of default, prepayment and cure provisions.</w:t>
      </w:r>
    </w:p>
    <w:p>
      <w:pPr>
        <w:spacing w:after="0" w:line="46"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As of December 31, 2018, the total principal amount outstanding under the Term Loan Facility was $280,000. On March 21, 2019, the Company drew an additional $220 million on the Term Loan Facility. Total principal amounts outstanding after this draw are $500 million. The Company used the net proceeds of the Term Loan Facility to repay the Miami Loan and the MoBay Loan in full during August 2018 and September 2018, respectively. The proceeds of the Term Loan Facility funded on December 31, 2018 will be used to make capital expenditures to complete the San Juan Facility, as well as for additional storage and regasification facilities for small-scale customers.</w:t>
      </w:r>
    </w:p>
    <w:p>
      <w:pPr>
        <w:spacing w:after="0" w:line="8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MoBay Loan was extinguished and the unamortized deferred financing costs at the time of repayment of $1,404, as well as a prepayment fee of $345, were recorded within Loss on extinguishment of debt in the consolidated statements of operations and comprehensive loss. The outstanding principal balance of the Miami Loan at the time of repayment was $38,707; the Company agreed to repay lenders $37,255 to extinguish the liability, and as such, a gain on extinguishment of $1,452 was recorded within Loss on extinguishment of debt in the consolidated statements of operations and consolidated loss. When the Term Loan Facility was amended in December 2018, refinanced borrowings and associated fees from one lender were accounted for as a debt modification, while refinanced borrowings and associated fees from one lender were accounted for as a debt extinguishment. Financing costs of $9,200 were written off to Loss on extinguishment of debt in the consolidated statements of operations and comprehensive loss including $2,820 of unamortized deferred financing costs and $6,380 of financing fees incurred in connection with the amendment of the Term Loan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Loan Agreement</w:t>
      </w:r>
    </w:p>
    <w:p>
      <w:pPr>
        <w:spacing w:after="0" w:line="117"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In June 2016, NFE North Holdings Limited , a wholly owned subsidiary of the Company entered into a syndicated loan agreement providing for a $44,000 term loan facility (the “MoBay Loan”) in connection with the construction and development of the Montego Bay Terminal and related infrastructure. The maturity date for each loan drawn under the MoBay Loan was the day immediately preceding the seventh anniversary of the drawdown date of such loan.</w:t>
      </w:r>
    </w:p>
    <w:p>
      <w:pPr>
        <w:spacing w:after="0" w:line="79"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Outstanding amounts under the MoBay Loan accrued interest at a per annum rate of 8.10%. The MoBay Loan was required to be repaid in advance of the maturity date in consecutive, equal monthly payments, with the remaining outstanding amount due on the maturity date. The MoBay Loan could be prepaid at any time, upon 30 days’ prior written notice to the agent, subject to a prepayment fee of 2% of any amount being prepaid during the one year period from the date of the first loan drawdown of the MoBay Loan, or 1% of any amount being prepaid during the period commencing one year from the date of the first loan drawdown of the MoBay Loan and expiring on the fifth anniversary of such date.</w:t>
      </w:r>
    </w:p>
    <w:p>
      <w:pPr>
        <w:spacing w:after="0" w:line="70"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During the construction period of certain projects in 2016, related interest expense and borrowings costs were capitalized. Interest expense, inclusive of amortized debt fees for the years ended December 31, 2018, 2017, and 2016 totaled $2,402, $3,611, and $1,990 of which $1,732, $0 and $1,347 was capitalized as a finance lease, respectively.</w:t>
      </w:r>
    </w:p>
    <w:p>
      <w:pPr>
        <w:spacing w:after="0" w:line="5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Company used the net proceeds of the Term Loan Facility entered into in August 2018 to repay the MoBay Loan in full in September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Loan Agreement</w:t>
      </w:r>
    </w:p>
    <w:p>
      <w:pPr>
        <w:spacing w:after="0" w:line="11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In November 2014, LNG Holdings (Florida) LLC (“LHFL”), a controlled subsidiary, entered into a credit agreement (the “Miami Loan”) with a bank for an initial aggregate amount of $40,000, maturing on May 24, 2018, in connection with the construction of the Miami Facility. Borrowings under the loan bore interest at a rate selected by LHFL of either (i) a LIBOR based rate, with a floor of 1.00%, plus a spread of 5.00%, or (ii) subject to a floor of 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 Base Rate equal to the higher of (a) the Prime Rate, (b) the Federal Funds Rate plus ½ of 1% or (c) the 1-month LIBOR rate plus the difference between the applicable LIBOR margin and Base Rate margin, plus a spread of 4.00%. Subject to certain conditions, the Miami Loan could be extended for an additional term of up to 18 months.</w:t>
      </w:r>
    </w:p>
    <w:p>
      <w:pPr>
        <w:spacing w:after="0" w:line="7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2"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The Miami Loan required periodic payments of interest on either a monthly, quarterly or semi-annual basis where LHFL selected the monthly interest rate option. In addition, with respect to LIBOR based borrowings, LHFL, at its option, could elect to defer up to ten interest periods outstanding at any point in time. The Miami Loan also required annual amortization in an amount equal to 1% of the amount outstanding. The Miami Loan could be prepaid without penalty after the first anniversary of the closing of the Miami Loan. At the time of the extinguishment of the debt in August 2018, and as of the years ended December 31, 2017 and 2016, interest was calculated on the borrowing based on a 1-month LIBOR rate (1% floor) plus a spread of 5%, bearing a total interest rate of 7.58%, 6.57% and 6.00%, as of the end of each respective period. Interest expense, inclusive of amortized debt fees for the years ended December 31, 2018, 2017 and 2016, totaled $1,987, $2,845 and $2,740 respectively.</w:t>
      </w:r>
    </w:p>
    <w:p>
      <w:pPr>
        <w:spacing w:after="0" w:line="58" w:lineRule="exact"/>
        <w:rPr>
          <w:sz w:val="20"/>
          <w:szCs w:val="20"/>
          <w:color w:val="auto"/>
        </w:rPr>
      </w:pPr>
    </w:p>
    <w:p>
      <w:pPr>
        <w:jc w:val="both"/>
        <w:ind w:right="140" w:firstLine="360"/>
        <w:spacing w:after="0" w:line="277" w:lineRule="auto"/>
        <w:rPr>
          <w:sz w:val="20"/>
          <w:szCs w:val="20"/>
          <w:color w:val="auto"/>
        </w:rPr>
      </w:pPr>
      <w:r>
        <w:rPr>
          <w:rFonts w:ascii="Arial" w:cs="Arial" w:eastAsia="Arial" w:hAnsi="Arial"/>
          <w:sz w:val="18"/>
          <w:szCs w:val="18"/>
          <w:color w:val="auto"/>
        </w:rPr>
        <w:t>The Company used the net proceeds of the Term Loan Facility entered into in August 2018 to repay the Miami Loan in full in August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117"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As of December 31, 2018 and 2017, we had no transactions that met the definition of off-balance sheet arrangements that may have a current or future material effect on our consolidated financial position or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of our contracts. The following table summarizes certain contractual obligations in place as of December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More than</w:t>
            </w:r>
          </w:p>
        </w:tc>
      </w:tr>
      <w:tr>
        <w:trPr>
          <w:trHeight w:val="185"/>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76"/>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Years 2 to 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Years 4 to 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5 years</w:t>
            </w:r>
          </w:p>
        </w:tc>
      </w:tr>
      <w:tr>
        <w:trPr>
          <w:trHeight w:val="237"/>
        </w:trPr>
        <w:tc>
          <w:tcPr>
            <w:tcW w:w="20" w:type="dxa"/>
            <w:vAlign w:val="bottom"/>
          </w:tcPr>
          <w:p>
            <w:pPr>
              <w:spacing w:after="0"/>
              <w:rPr>
                <w:sz w:val="20"/>
                <w:szCs w:val="20"/>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80" w:type="dxa"/>
            <w:vAlign w:val="bottom"/>
            <w:gridSpan w:val="2"/>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298,187</w:t>
            </w:r>
          </w:p>
        </w:tc>
        <w:tc>
          <w:tcPr>
            <w:tcW w:w="1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298,187</w:t>
            </w:r>
          </w:p>
        </w:tc>
        <w:tc>
          <w:tcPr>
            <w:tcW w:w="180" w:type="dxa"/>
            <w:vAlign w:val="bottom"/>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Purchase obligations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631,599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175,496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456,103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990,663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487,044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470,138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December 31, 2018.</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Company is party to contractual purchase commitments with terms of 38 months and 81 months, including commitments entered into subsequent to December 31, 2018. These contracts are principally take-or-pay contracts, which require the purchase of minimum quantities of natural gas, and these commitments are designed to assure sources of supply and are not expected to be in excess of normal requirements.</w:t>
      </w:r>
    </w:p>
    <w:p>
      <w:pPr>
        <w:spacing w:after="0" w:line="79"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In December 2018, the Company entered into a contract with Centrica LNG Company Limited for the purchase of 29 firm cargoes of 1.05 million gallons of LNG (86.7 million MMBtu) scheduled for delivery between June 2019 and December 2021. The amounts disclosed excludes the two optional cargoes. Payment for each cargo is due in advance of each shipment.</w:t>
      </w:r>
    </w:p>
    <w:p>
      <w:pPr>
        <w:spacing w:after="0" w:line="5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Company currently has two contracts in place for the purchase of natural gas under take-or-pay minimum volume obligations. These commitments are structured to assure the Miami Facility has uninterrupted supply and the minimum volumes are not expected to be in excess of normal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560" w:firstLine="360"/>
        <w:spacing w:after="0" w:line="264" w:lineRule="auto"/>
        <w:rPr>
          <w:sz w:val="20"/>
          <w:szCs w:val="20"/>
          <w:color w:val="auto"/>
        </w:rPr>
      </w:pPr>
      <w:r>
        <w:rPr>
          <w:rFonts w:ascii="Arial" w:cs="Arial" w:eastAsia="Arial" w:hAnsi="Arial"/>
          <w:sz w:val="18"/>
          <w:szCs w:val="18"/>
          <w:color w:val="auto"/>
        </w:rPr>
        <w:t>Subsequent to the year ended December 31, 2018, the Company entered into a contract with Peninsula Energy Services Company Inc. (“PESCO”) for the purchase of 0.2 million gallons of natural gas (12.6 million MMBtu) per day scheduled for delivery between March 2019 and November 2025.</w:t>
      </w:r>
    </w:p>
    <w:p>
      <w:pPr>
        <w:spacing w:after="0" w:line="73"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 March 2018, the Company entered into a 15-year agreement with an affiliate of Chesapeake Energy Corporation (“Chesapeake”), a large production company for gas supply to our Pennsylvania Facility, which was subsequently amended and restated in September 2018. This agreement provides for 100% of the required supply of feedgas to the facility, inclusive of all support functions of the plant, including transportation and power supply. The terms of the agreement require the Company to obtain all requisite permits and make a final investment decision before the agreement is effective. A final investment decision has not yet been made, and as such, this commitment is excluded from the table above.</w:t>
      </w:r>
    </w:p>
    <w:p>
      <w:pPr>
        <w:spacing w:after="0" w:line="70"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PPA and SSA were executed, obligating the Company to complete the development subject to the conditions set forth in those agreements.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Lease obligations</w:t>
      </w:r>
    </w:p>
    <w:p>
      <w:pPr>
        <w:spacing w:after="0" w:line="117"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color w:val="auto"/>
        </w:rPr>
        <w:t>Future minimum lease payments under non-cancellable operating leases are noted in the above table. The Company’s lease obligations are primarily related to LNG vessel time charters, office space, a land site lease, and a marine port berth lease. Office space includes a newly fabricated space shared with affiliated companies in New York with a month to month lease, and an office space under construction in downtown Miami, with a lease term of 84 months. The land site lease is held with an affiliate of the Company and has an initial term up to five years, and the marine port berth lease had an initial term up to 10 years. Both leases contain renewal options.</w:t>
      </w:r>
    </w:p>
    <w:p>
      <w:pPr>
        <w:spacing w:after="0" w:line="8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Company entered into several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Upfront fees paid subsequent to December 31, 2017 to secure leases were $21,871. Fixed lease payments under these leases are expected to be approximately $106 and some of these leases contain variable components based on LNG processed.</w:t>
      </w:r>
    </w:p>
    <w:p>
      <w:pPr>
        <w:spacing w:after="0" w:line="80"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Company has entered into an agreement to lease a floating storage regasification unit for an initial term of 15 years with an option to renew for an additional five years. The leased asset is currently undergoing acceptance procedures. Once the acceptance procedures are completed, which is expected to occur in 2019, the lease term will commence. Subsequent to December 31, 2018, the Company entered into two additional LNG vessel time charters for contract terms ranging from three to five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Operating revenue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w:t>
      </w:r>
    </w:p>
    <w:p>
      <w:pPr>
        <w:spacing w:after="0" w:line="7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Company’s contracts with customers to supply LNG may also contain a lease of equipment. The Company allocates consideration received from customers between lease and non-lease components based on the relative fair value of each component. The fair value of the lease component is estimated based on the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180"/>
        <w:spacing w:after="0" w:line="302" w:lineRule="auto"/>
        <w:rPr>
          <w:sz w:val="20"/>
          <w:szCs w:val="20"/>
          <w:color w:val="auto"/>
        </w:rPr>
      </w:pPr>
      <w:r>
        <w:rPr>
          <w:rFonts w:ascii="Arial" w:cs="Arial" w:eastAsia="Arial" w:hAnsi="Arial"/>
          <w:sz w:val="16"/>
          <w:szCs w:val="16"/>
          <w:color w:val="auto"/>
        </w:rPr>
        <w:t>value of the same or similar equipment leased to the customer. The estimated fair value of the non-lease component is based on estimated volumes to be delivered at an estimated price or contractual price. The estimated fair value of the leased equipment, as a percentage of the estimated total revenue from LNG and leased equipment at inception, will establish the allocation percentage to determine the minimum lease payments and the amount to be accounted for under the revenue recognition guidance.</w:t>
      </w:r>
    </w:p>
    <w:p>
      <w:pPr>
        <w:spacing w:after="0" w:line="46" w:lineRule="exact"/>
        <w:rPr>
          <w:sz w:val="20"/>
          <w:szCs w:val="20"/>
          <w:color w:val="auto"/>
        </w:rPr>
      </w:pPr>
    </w:p>
    <w:p>
      <w:pPr>
        <w:ind w:left="7" w:right="40" w:firstLine="360"/>
        <w:spacing w:after="0" w:line="291" w:lineRule="auto"/>
        <w:rPr>
          <w:sz w:val="20"/>
          <w:szCs w:val="20"/>
          <w:color w:val="auto"/>
        </w:rPr>
      </w:pPr>
      <w:r>
        <w:rPr>
          <w:rFonts w:ascii="Arial" w:cs="Arial" w:eastAsia="Arial" w:hAnsi="Arial"/>
          <w:sz w:val="16"/>
          <w:szCs w:val="16"/>
          <w:color w:val="auto"/>
        </w:rPr>
        <w:t>The Company leases certain facilities and equipment to its customers which are accounted for as direct financing leases or operating leases. Direct financing leases, net on our consolidated balance sheet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 of operations and comprehensive loss. The principal components of the lease payment is reflected as a reduction to the net investment in the finance lease. For the Company’s operating leases, the amount allocated to the leasing component is recognized over the lease term as Other revenue in the consolidated statements of operations and comprehensive loss.</w:t>
      </w:r>
    </w:p>
    <w:p>
      <w:pPr>
        <w:spacing w:after="0" w:line="16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6"/>
          <w:szCs w:val="16"/>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 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and our future cost structure, among others. 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7" w:firstLine="360"/>
        <w:spacing w:after="0" w:line="291"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w:t>
      </w:r>
    </w:p>
    <w:p>
      <w:pPr>
        <w:ind w:left="7" w:right="300"/>
        <w:spacing w:after="0" w:line="254"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 Thus, an EGC can delay the adoption of certain accounting standards until those standards would otherwise apply to private companies. We have taken advantage of the exemptions discussed above. Accordingly, the information contained herein may be different than the information you receive from other public companies.</w:t>
      </w:r>
    </w:p>
    <w:p>
      <w:pPr>
        <w:spacing w:after="0" w:line="82" w:lineRule="exact"/>
        <w:rPr>
          <w:sz w:val="20"/>
          <w:szCs w:val="20"/>
          <w:color w:val="auto"/>
        </w:rPr>
      </w:pPr>
    </w:p>
    <w:p>
      <w:pPr>
        <w:ind w:left="367"/>
        <w:spacing w:after="0"/>
        <w:rPr>
          <w:sz w:val="20"/>
          <w:szCs w:val="20"/>
          <w:color w:val="auto"/>
        </w:rPr>
      </w:pPr>
      <w:r>
        <w:rPr>
          <w:rFonts w:ascii="Arial" w:cs="Arial" w:eastAsia="Arial" w:hAnsi="Arial"/>
          <w:sz w:val="16"/>
          <w:szCs w:val="16"/>
          <w:color w:val="auto"/>
        </w:rPr>
        <w:t>Subject to certain conditions, as an EGC, we have elected to rely on certain of these exemptions, including without limitation,</w:t>
      </w:r>
    </w:p>
    <w:p>
      <w:pPr>
        <w:spacing w:after="0" w:line="46" w:lineRule="exact"/>
        <w:rPr>
          <w:sz w:val="20"/>
          <w:szCs w:val="20"/>
          <w:color w:val="auto"/>
        </w:rPr>
      </w:pPr>
    </w:p>
    <w:p>
      <w:pPr>
        <w:ind w:left="7" w:hanging="7"/>
        <w:spacing w:after="0" w:line="287" w:lineRule="auto"/>
        <w:tabs>
          <w:tab w:leader="none" w:pos="2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our IPO, December 31, 2024;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Recent Account Standards</w:t>
      </w:r>
    </w:p>
    <w:p>
      <w:pPr>
        <w:spacing w:after="0" w:line="121" w:lineRule="exact"/>
        <w:rPr>
          <w:sz w:val="20"/>
          <w:szCs w:val="20"/>
          <w:color w:val="auto"/>
        </w:rPr>
      </w:pPr>
    </w:p>
    <w:p>
      <w:pPr>
        <w:ind w:left="7" w:right="120" w:firstLine="360"/>
        <w:spacing w:after="0" w:line="277" w:lineRule="auto"/>
        <w:rPr>
          <w:sz w:val="20"/>
          <w:szCs w:val="20"/>
          <w:color w:val="auto"/>
        </w:rPr>
      </w:pPr>
      <w:r>
        <w:rPr>
          <w:rFonts w:ascii="Arial" w:cs="Arial" w:eastAsia="Arial" w:hAnsi="Arial"/>
          <w:sz w:val="18"/>
          <w:szCs w:val="18"/>
          <w:color w:val="auto"/>
        </w:rPr>
        <w:t>For descriptions of recently issued accounting standards, see “Note 3 - Adoption of new and revised standards” to our notes to consolidated financial statements included elsewhere in this Annual Report.</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the normal course of business, the Company encounters several significant types of market risks including commodity and interest rate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Debt that we incurred under the Miami Loan and the Term Loan Facility bear interest at variable rates and exposed us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We repaid the Miami Loan with proceeds received from the Term Loan Facility. Interest is calculated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Term Loan Facility based on our selection, from time to time, of one of the index rates available to us plus an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that varies based on certain factors. See “—Liquidity and Capital Resources—Long-Term Debt.” Assuming the full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 principal amount is drawn and remains outstanding, the impact on interest expense of a 1% increase or decrease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of the Term Loan Facility would be approximately $5,000 per year. We do not currently have or intend to enter into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derivative arrangements to protect against fluctuations in interest rates applicable to our outstanding indebtedness.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firstLine="360"/>
        <w:spacing w:after="0" w:line="277" w:lineRule="auto"/>
        <w:rPr>
          <w:rFonts w:ascii="Arial" w:cs="Arial" w:eastAsia="Arial" w:hAnsi="Arial"/>
          <w:sz w:val="18"/>
          <w:szCs w:val="18"/>
          <w:color w:val="auto"/>
        </w:rPr>
      </w:pPr>
      <w:r>
        <w:rPr>
          <w:rFonts w:ascii="Arial" w:cs="Arial" w:eastAsia="Arial" w:hAnsi="Arial"/>
          <w:sz w:val="18"/>
          <w:szCs w:val="18"/>
          <w:color w:val="auto"/>
        </w:rPr>
        <w:t>Our Consolidated Financial Statements, together with the report of our independent registered public accounting firm, begin on page F-</w:t>
      </w:r>
      <w:hyperlink w:anchor="page91">
        <w:r>
          <w:rPr>
            <w:rFonts w:ascii="Arial" w:cs="Arial" w:eastAsia="Arial" w:hAnsi="Arial"/>
            <w:sz w:val="18"/>
            <w:szCs w:val="18"/>
            <w:u w:val="single" w:color="auto"/>
            <w:color w:val="0000EE"/>
          </w:rPr>
          <w:t>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and are incorporated herein by reference.</w:t>
      </w:r>
    </w:p>
    <w:p>
      <w:pPr>
        <w:spacing w:after="0" w:line="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2018.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2018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Rule 15d-15(f) under the Exchange Act) that occurred during our last quarter of 2018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This Annual Report does not include a report on management’s assessment regarding internal control over financial reporting due to a transition period established by the rules of the SEC for newly public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17" w:lineRule="exact"/>
        <w:rPr>
          <w:sz w:val="20"/>
          <w:szCs w:val="20"/>
          <w:color w:val="auto"/>
        </w:rPr>
      </w:pPr>
    </w:p>
    <w:p>
      <w:pPr>
        <w:ind w:right="300" w:firstLine="360"/>
        <w:spacing w:after="0" w:line="279"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due to a transition period established by the rules of the SEC for newly public companies. Further, our independent registered public accounting firm will not be required to formally attest to the effectiveness of our internal controls over financial reporting for as long as we are an “emerging growth company” pursuant to the provisions of the JOBS Act.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740" w:firstLine="360"/>
        <w:spacing w:after="0" w:line="277" w:lineRule="auto"/>
        <w:rPr>
          <w:sz w:val="20"/>
          <w:szCs w:val="20"/>
          <w:color w:val="auto"/>
        </w:rPr>
      </w:pPr>
      <w:r>
        <w:rPr>
          <w:rFonts w:ascii="Arial" w:cs="Arial" w:eastAsia="Arial" w:hAnsi="Arial"/>
          <w:sz w:val="18"/>
          <w:szCs w:val="18"/>
          <w:color w:val="auto"/>
        </w:rPr>
        <w:t>On March 17, 2019, our board of directors appointed Ms. Yunyoung Shin as our Chief Accounting Officer (principal accounting officer), effective as of such date.</w:t>
      </w:r>
    </w:p>
    <w:p>
      <w:pPr>
        <w:spacing w:after="0" w:line="62"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Ms. Shin, 42, will provide services to us pursuant to our administrative services agreement with FIG LLC, an affiliate of Fortress. She joined Fortress in 2013, where she has served in various capacities in the accounting group of the private equity business, focusing on mergers and acquisitions and capital markets transactions. Ms. Shin began her career at KPMG LLP where she spent over 10 years serving audit and advisory clients primarily in energy industry and providing wide-ranging technical accounting and financial reporting expertise in KPMG’s department of professional practice. Prior to joining Fortress, Ms. Shin served as vice president of global accounting policy and advisor at American Express from 2011 to 2013.</w:t>
      </w:r>
    </w:p>
    <w:p>
      <w:pPr>
        <w:spacing w:after="0" w:line="5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Prior to Ms. Shin’s appointment, Mr. Christopher Guinta served as our principal accounting officer. Mr. Guinta continues to serve as our Chief Financial Officer (principal financial officer).</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Company's officers are appointed annually by the board of directors. There is no arrangement or understanding between Ms. Shin and any other person pursuant to which she was appointed as an officer of the Company. There are no family relationships between Ms. Shin and any director or executive officer of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following table shows information for our executive officers and directors as of March 14, 2019. Directors hold office until their successors have been elected or qualified or until the earlier of their death, resignation, removal or disqualification. Executive officers serve at the discretion of the board. There are no family relationships among any of our directors or executive officers. Some of our directors and our executive officers also serve as executive officers of New Fortress Energy Holdings.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516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Wesley R. Edens</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20"/>
                <w:szCs w:val="20"/>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Chief Executive Officer, Chairman</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Christopher S. Guinta</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Michael J. Utsler</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62</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Chief Operating Officer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Randal A. Nardone</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63</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Desmond Iain Catterall</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62</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David J. Grain</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C. William Griffin</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68</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John J. Mack</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73</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Katherine E. Wanner</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51</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Matthew Wilkinson</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38</w:t>
            </w:r>
          </w:p>
        </w:tc>
        <w:tc>
          <w:tcPr>
            <w:tcW w:w="160" w:type="dxa"/>
            <w:vAlign w:val="bottom"/>
          </w:tcPr>
          <w:p>
            <w:pPr>
              <w:spacing w:after="0"/>
              <w:rPr>
                <w:sz w:val="21"/>
                <w:szCs w:val="21"/>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10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b w:val="1"/>
          <w:bCs w:val="1"/>
          <w:i w:val="1"/>
          <w:iCs w:val="1"/>
          <w:color w:val="auto"/>
        </w:rPr>
        <w:t xml:space="preserve">Wesley R. Edens— </w:t>
      </w:r>
      <w:r>
        <w:rPr>
          <w:rFonts w:ascii="Arial" w:cs="Arial" w:eastAsia="Arial" w:hAnsi="Arial"/>
          <w:sz w:val="16"/>
          <w:szCs w:val="16"/>
          <w:color w:val="auto"/>
        </w:rPr>
        <w:t>Wesley Edens has been our Chief Executive Officer and the Chairman of our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2018. He is the Co-Chief Executive Officer of Fortress and has been a member of the board of directors of Fortress since November 2006. Mr. Edens has been a member of the Management Committee of Fortress since co-founding Fortress in May 1998. Fortress Equity Partners (A) LP, a private equity fund managed by an affiliate of Fortress, currently owns a substantial majority of the equity of New Fortress Energy Holdings. Mr. Edens is responsible for oversight of Fortress’ private equity and publicly traded alternative investment businesses. He is the Chairman of the board of directors of New Media Investment Group Inc. (a publisher of print and online media) and Drive Shack Inc. (an owner and operator of golf-related leisure and entertainment businesses). He is a director of Mapeley Limited (a large full service real estate outsourcing and investment company in the United Kingdom).</w:t>
      </w:r>
    </w:p>
    <w:p>
      <w:pPr>
        <w:spacing w:after="0" w:line="58"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Mr. Edens previously served on the board of the following publicly traded companies and registered investment companies: OneMain Holdings, Inc. (a leading consumer finance company) from November 2010 to June 2018, Fortress Transportation and Infrastructure Investors LLC (which owns and acquires high quality 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October 2013 to October 2016; Nationstar Mortgage Holdings Inc. (a residential mortgage loan originator and servicer) from March 2012 to July 2016; New Residential Investment Corp.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GateHouse Media Inc. from June 2005 to November 2013; Aircastle Ltd. from August 2006 to August 2012; RailAmerica Inc. from November 2006 to October 2012; Eurocastle Investment Ltd., from August 2003 to November 2011; Whistler Blackcomb Holdings Inc., from October 2010 to November 2012; Fortress Registered Investment Trust, from December 1999 until it deregistered with the SEC in September 2011; FRIT PINN LLC, from November 2001 until it deregistered with the SEC in September 2011; and New Senior Investment Group Inc. (a real estate investment trust with a diversified portfolio of senior housing properties located across the United States) from November 2014 to January 2019.</w:t>
      </w:r>
    </w:p>
    <w:p>
      <w:pPr>
        <w:spacing w:after="0" w:line="75"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 Mr. Edens received a Bachelor of Science in Finance from Oregon State University.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Mr. Edens’ extensive credit, private equity finance and management expertise, extensive experience as an officer and director of public companies and his deep familiarity with our Company led the Board to conclude that Mr. Edens qualifies to serve on our board of directors.</w:t>
      </w:r>
    </w:p>
    <w:p>
      <w:pPr>
        <w:spacing w:after="0" w:line="73"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b w:val="1"/>
          <w:bCs w:val="1"/>
          <w:i w:val="1"/>
          <w:iCs w:val="1"/>
          <w:color w:val="auto"/>
        </w:rPr>
        <w:t xml:space="preserve">Christopher S. Guinta— </w:t>
      </w:r>
      <w:r>
        <w:rPr>
          <w:rFonts w:ascii="Arial" w:cs="Arial" w:eastAsia="Arial" w:hAnsi="Arial"/>
          <w:sz w:val="17"/>
          <w:szCs w:val="17"/>
          <w:color w:val="auto"/>
        </w:rPr>
        <w:t>Christopher Guinta has been our Chief Financial Officer since August 2018, and the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 Mr. Guinta graduated from The University of Texas at Austin with a Bachelor of Business Administration and a Masters in Professional Accounting.</w:t>
      </w:r>
    </w:p>
    <w:p>
      <w:pPr>
        <w:spacing w:after="0" w:line="7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 xml:space="preserve">Michael J. Utsler— </w:t>
      </w:r>
      <w:r>
        <w:rPr>
          <w:rFonts w:ascii="Arial" w:cs="Arial" w:eastAsia="Arial" w:hAnsi="Arial"/>
          <w:sz w:val="18"/>
          <w:szCs w:val="18"/>
          <w:color w:val="auto"/>
        </w:rPr>
        <w:t>Michael Utsler has been our Chief Operating Officer since October 2018. Mr. Utsler has over 35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the energy industry. Prior to joining us, Mr. Utsler served as Chief Operating Officer of Woodside Energy Ltd. from December 2013 to October 2018. Prior to Woodside Energy Ltd., Mr. Utsler served in various roles for BP p.l.c. (“BP”) from January 1999 to November 2013, including most recently as Chief Operating Officer and President of the BP Gulf Coast Restoration Organization from August 2010 to November 2013. Before BP, Mr. Utsler served in various roles for Amoco Corporation from 1978 to 1998. Mr. Utsler received a Bachelor of Science degree in Petroleum Engineering from The University of Oklahoma.</w:t>
      </w:r>
    </w:p>
    <w:p>
      <w:pPr>
        <w:spacing w:after="0" w:line="81" w:lineRule="exact"/>
        <w:rPr>
          <w:sz w:val="20"/>
          <w:szCs w:val="20"/>
          <w:color w:val="auto"/>
        </w:rPr>
      </w:pPr>
    </w:p>
    <w:p>
      <w:pPr>
        <w:ind w:right="160" w:firstLine="360"/>
        <w:spacing w:after="0" w:line="268" w:lineRule="auto"/>
        <w:rPr>
          <w:sz w:val="20"/>
          <w:szCs w:val="20"/>
          <w:color w:val="auto"/>
        </w:rPr>
      </w:pPr>
      <w:r>
        <w:rPr>
          <w:rFonts w:ascii="Arial" w:cs="Arial" w:eastAsia="Arial" w:hAnsi="Arial"/>
          <w:sz w:val="17"/>
          <w:szCs w:val="17"/>
          <w:b w:val="1"/>
          <w:bCs w:val="1"/>
          <w:i w:val="1"/>
          <w:iCs w:val="1"/>
          <w:color w:val="auto"/>
        </w:rPr>
        <w:t xml:space="preserve">Randal A. Nardone— </w:t>
      </w:r>
      <w:r>
        <w:rPr>
          <w:rFonts w:ascii="Arial" w:cs="Arial" w:eastAsia="Arial" w:hAnsi="Arial"/>
          <w:sz w:val="17"/>
          <w:szCs w:val="17"/>
          <w:color w:val="auto"/>
        </w:rPr>
        <w:t>Randal Nardone has been a member of our board of directors since August 2018. He has also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From June 2002 to September 2016, Mr. Nardone also served as Secretary for Drive Shack Inc., an owner and operator of golf-related leisure and entertainment businesses. 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Financial Management, Inc. Prior to joining BlackRock Financial Management, Inc., Mr. Nardone was a partner and a member of the executive committee at the law firm of Thacher Proffitt &amp; Wood. Mr. Nardone received a Bachelor of Arts in English and Biology from the University of Connecticut and a Juris Doctor from Boston University School of Law. We believe that Mr. Nardone’s leadership, management experience and experience with corporate and securities law bring valuable experience to our board of directors.</w:t>
      </w:r>
    </w:p>
    <w:p>
      <w:pPr>
        <w:spacing w:after="0" w:line="7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b w:val="1"/>
          <w:bCs w:val="1"/>
          <w:i w:val="1"/>
          <w:iCs w:val="1"/>
          <w:color w:val="auto"/>
        </w:rPr>
        <w:t xml:space="preserve">Desmond Iain Catterall— </w:t>
      </w:r>
      <w:r>
        <w:rPr>
          <w:rFonts w:ascii="Arial" w:cs="Arial" w:eastAsia="Arial" w:hAnsi="Arial"/>
          <w:sz w:val="17"/>
          <w:szCs w:val="17"/>
          <w:color w:val="auto"/>
        </w:rPr>
        <w:t>Iain Catterall became a member of our board of directors in January 2019. Mr. Catterall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 Mr. Catterall holds a Bachelor of Commerce degree from the University of Natal (Durban). We believe that Mr. Catterall’s extensive experience in capital markets and financial services brings valuable expertise to our board of directors.</w:t>
      </w:r>
    </w:p>
    <w:p>
      <w:pPr>
        <w:spacing w:after="0" w:line="7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b w:val="1"/>
          <w:bCs w:val="1"/>
          <w:i w:val="1"/>
          <w:iCs w:val="1"/>
          <w:color w:val="auto"/>
        </w:rPr>
        <w:t xml:space="preserve">David J. Grain— </w:t>
      </w:r>
      <w:r>
        <w:rPr>
          <w:rFonts w:ascii="Arial" w:cs="Arial" w:eastAsia="Arial" w:hAnsi="Arial"/>
          <w:sz w:val="17"/>
          <w:szCs w:val="17"/>
          <w:color w:val="auto"/>
        </w:rPr>
        <w:t>David Grain became a member of our board of directors in January 2019. Mr. Grain currently serves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Grain Management, LLC, a private equity firm focused on investments in the media and communications sectors, which he founded in 2006.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&amp; Co. LLC, a financial services company, in New York from 1992 to 2000 where he focused primarily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telecommunications, media and technology companies. Mr. Grain serves on the board of directors of The Southern Company (NYSE: SO), a gas and electric utility company.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will bring valuable skills and leadership to our board of directors.</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b w:val="1"/>
          <w:bCs w:val="1"/>
          <w:i w:val="1"/>
          <w:iCs w:val="1"/>
          <w:color w:val="auto"/>
        </w:rPr>
        <w:t xml:space="preserve">C. William Griffin— </w:t>
      </w:r>
      <w:r>
        <w:rPr>
          <w:rFonts w:ascii="Arial" w:cs="Arial" w:eastAsia="Arial" w:hAnsi="Arial"/>
          <w:sz w:val="17"/>
          <w:szCs w:val="17"/>
          <w:color w:val="auto"/>
        </w:rPr>
        <w:t>Bill Griffin became a member of our board of directors in January 2019. Mr. Griffin has more than 45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experience in financial services. He currently serves as Executive Vice President, Enterprise Strategy of ServiceLink, LLC, helping deliver end-to-end solutions to large financial institutions, a position he has held since January 2017.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 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will bring significant value to our board of directors.</w:t>
      </w:r>
    </w:p>
    <w:p>
      <w:pPr>
        <w:spacing w:after="0" w:line="74"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b w:val="1"/>
          <w:bCs w:val="1"/>
          <w:i w:val="1"/>
          <w:iCs w:val="1"/>
          <w:color w:val="auto"/>
        </w:rPr>
        <w:t xml:space="preserve">John J. Mack— </w:t>
      </w:r>
      <w:r>
        <w:rPr>
          <w:rFonts w:ascii="Arial" w:cs="Arial" w:eastAsia="Arial" w:hAnsi="Arial"/>
          <w:sz w:val="17"/>
          <w:szCs w:val="17"/>
          <w:color w:val="auto"/>
        </w:rPr>
        <w:t>John Mack became a member of our board of directors in January 2019. From March 2012 until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retirement in December 2014, Mr. Mack served as a Senior Advisor for Kohlberg, Kravis, Roberts &amp; Co., L.P. Prior to that, Mr. Mack served as Chairman of the Board of Morgan Stanley, a financial services company, from June 2005 to December 2011, and served as the Chief Executive Officer of Morgan Stanley from June 2005 until December 2009, during which time he oversaw the firm’s conversion into a bank holding company. Mr. Mack was Co-Chief Executive Officer of Credit Suisse Group from 2003 to 2004 and the President, Chief Executive Officer and a director of Credit Suisse First Boston from 2001 to 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 &amp; Co. LLC and serves on the board of directors of Glencore plc and LendingClub Corporation. Mr. Mack holds a Bachelor of Arts degree in History from Duke University. Mr. Mack was chosen to serve on our board of directors because of his extensive experience advising and managing banking and financial services companies. We believe that Mr. Mack’s strong business leadership experience brings important insight and skills to our board of directors.</w:t>
      </w:r>
    </w:p>
    <w:p>
      <w:pPr>
        <w:spacing w:after="0" w:line="77"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b w:val="1"/>
          <w:bCs w:val="1"/>
          <w:i w:val="1"/>
          <w:iCs w:val="1"/>
          <w:color w:val="auto"/>
        </w:rPr>
        <w:t xml:space="preserve">Katherine E. Wanner— </w:t>
      </w:r>
      <w:r>
        <w:rPr>
          <w:rFonts w:ascii="Arial" w:cs="Arial" w:eastAsia="Arial" w:hAnsi="Arial"/>
          <w:sz w:val="16"/>
          <w:szCs w:val="16"/>
          <w:color w:val="auto"/>
        </w:rPr>
        <w:t>Katherine Wanner became a member of our board of directors in January 2019. From 1993 to 1997,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with over $30 billion in assets under its management and offices in six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 Post Ms. Wanner’s retirement from Adams Street Partners in 2015, Ms. Wanner has served as an Operating Partner at Abundant Venture Partners from 2016 to April 2018. Since April 2018 and currently, Ms. Wanner serves as an Advisor at Abundant Venture Partners. 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will bring significant value to our board of directors.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b w:val="1"/>
          <w:bCs w:val="1"/>
          <w:i w:val="1"/>
          <w:iCs w:val="1"/>
          <w:color w:val="auto"/>
        </w:rPr>
        <w:t xml:space="preserve">Matthew Wilkinson— </w:t>
      </w:r>
      <w:r>
        <w:rPr>
          <w:rFonts w:ascii="Arial" w:cs="Arial" w:eastAsia="Arial" w:hAnsi="Arial"/>
          <w:sz w:val="16"/>
          <w:szCs w:val="16"/>
          <w:color w:val="auto"/>
        </w:rPr>
        <w:t>Matthew Wilkinson became a member of our board of directors in January 2019. Mr. Wilkinson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a director at ICG Advisors. Prior to that, Mr. Wilkinson served as vice president of strategy for Kayne Anderson Capital Advisors from January 2017 to March 2018. Prior to joining Kayne Anderson Capital Advisors, Mr. Wilkinson was with the State of Michigan Retirement Systems (“SMRS”) from July 2011 to January 2017, most recently serving as a senior portfolio manager in the short-term, absolute return and real return division from September 2014 to January 2017, where he built out and managed a real assets portfolio with $2 billion in commitments and a special situations portfolio with over $800 million in commitments for SMRS. Prior to SMRS, he founded and operated his own investment firm primarily focused on investing in small cap equities. Mr. Wilkinson holds an Masters of Business Administration from Michigan State University and a Bachelor of Arts. (magna cum laude) from Ohio State University. We believe that Mr. Wilkinson’s leadership, management experience and strong background in corporate finance, bring important and valuable skills to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Because New Fortress Energy Holdings holds approximately 87.6% (without giving effect to any shares purchased in connection with the Offering by New Fortress Energy Holdings, its stockholders or entities affiliated with them) of the voting power of our shares, we are a controlled company under the and NASDAQ corporate governance standards. A controlled company does not need its board of directors to have a majority of independent directors or to form independent compensation and nominating and governance committees. As a controlled company, we remain subject to the rules of the Sarbanes-Oxley Act and NASDAQ that require us to have an audit committee composed entirely of independent directors. Under these rules, we are required to have at least one independent director on our audit committee by the date our Class A shares are listed on NASDAQ, at least two independent directors on our audit committee within 90 days of the listing date, and at least three independent directors on our audit committee within one year of the listing date.</w:t>
      </w:r>
    </w:p>
    <w:p>
      <w:pPr>
        <w:spacing w:after="0" w:line="74"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corporate governance standards, including by appointing a majority of independent directors to our board of directors, subject to a permitted “phase-in”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121"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Our operating agreement provides that our board of directors shall consist of not less than three and not more than nine directors as the board of directors may from time to time determine. Our board of directors currently consists of eight directors. Our board of directors is divided into three classes of directors, with each class as equal in number as possible, serving staggered three-year terms. Class I, Class II and Class III directors will serve until our annual general meeting in 2020, 2021 and 2022, respectively. Messrs. Mack and Wilkinson and Ms. Wanner are assigned to Class I; Messrs. Grain and Griffin are assigned to Class II; and Messrs. Edens, Nardone and Catterall are assigned to Class III. At each annual general meeting held after the initial classification in connection with the closing of the Offering, directors will be elected to succeed the class of directors whose terms have expired. This classification of the board of directors could have the effect of increasing the length of time necessary to change the composition of a majority of the board of directors. In general, at least two annual general meetings will be necessary to effect a change in a majority of the members of the board of directors. All officers serve at the discretion of the board of directors.</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operating agreement does not provide for cumulative voting in the election of directors, which means that the holders of a majority of our issued and outstanding voting shares can elect all of the directors standing for election, and the holders of the remaining shares will not be able to elect any directors. New Fortress Energy Holdings’ beneficial ownership of greater than 50% of our voting shares means New Fortress Energy Holdings will be able to control matters requiring shareholder approval, which includes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are required to have an audit committee of at least three members, and all of its members are required to meet the independence and experience standards established by NASDAQ and the Exchange Act , subject to certain transitional relief during the one-year period following the consummation of the Offering as described above. We have established an audit committee compliant with NASDAQ and SEC rules, in connection with the Offering, whereby Ms. Wanner and Messrs. Grain and Griffin serve as members of such committee 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Wanner serving as the chairperson. SEC rules also require that a public company disclose whether or not its audit committee has an “audit committee financial expert” as a member. Each of Ms. Wanner and Mr. Grain satisfy the definition of “audit committee financial expert.” As required by the SEC rules and NASDAQ listing standards, our board of directors have affirmatively determined that each of Ms. Wanner and Messrs. Grain and Griffin meet the definition of “independent director.” In connection with the Offering, we adopted an audit committee charter defining the committee’s primary duties in a manner consistent with the rules of the SEC and NASDAQ standards.</w:t>
      </w:r>
    </w:p>
    <w:p>
      <w:pPr>
        <w:spacing w:after="0" w:line="8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Because we are a “controlled company” within the meaning of NASDAQ corporate governance standards following the completion of the Offering, we are not required to have a compensation committee. However, prior to the completion of the Offering, we established a compensation committee to ease the administrative burden on the full board of directors. So long as we continue to be a controlled company, our compensation committee is not required to be comprised solely of independent directors. As such, Messrs. Edens and Nardone serve as the members of our compensation committee. Our compensation committee will establish and direct our compensation program for our officers and certain other employees, including administration of our incentive compensation and benefit plans, to the full extent permitted pursuant to those plans and arrangements. However, the board of directors will retain authority to grant and amend awards under our omnibus incentive plan that are (i) subject to Section 16 of the Exchange Act and (ii) granted to our officers who are subject to the reporting obligations of Section 16 of the Exchange Act and members of the board of directors. In connection with the formation of this committee, we adopted a compensation committee charter defining the committee’s primary duties and authority.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Because we are a “controlled company” within the meaning of NASDAQ corporate governance standards following the completion of the Offering, we are not required to, and do not currently, have a nominating and corporate governance committee.</w:t>
      </w:r>
    </w:p>
    <w:p>
      <w:pPr>
        <w:spacing w:after="0" w:line="16"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If and when we are no longer a “controlled company” within the meaning of NASDAQ corporate governance standards, we will be required to establish a nominating and corporate governance committee. We anticipate that such a nominating and corporate governance committee would consist of three directors who will be “independent” under the rules of the SEC and the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the NASDAQ or market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Committee Regarding Our Communities &amp; The Environment</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intend to establish an advisory committee (the “Advisory Committee”) to assist the board of directors in providing a meaningful and positive impact in the areas where we conduct our business. We intend to collaborate with the Advisory Committee to help improve the quality of life and increase advancement opportunities for members of the communities in which we operate. While our product is more environmentally friendly than many traditional distillate fuels, we recognize that our business has an environmental impact. As such, we intend to collaborate with the Advisory Committee to reduce any environmental impact we may have and help contribute to preserving our environment.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117" w:lineRule="exact"/>
        <w:rPr>
          <w:sz w:val="20"/>
          <w:szCs w:val="20"/>
          <w:color w:val="auto"/>
        </w:rPr>
      </w:pPr>
    </w:p>
    <w:p>
      <w:pPr>
        <w:ind w:right="100" w:firstLine="360"/>
        <w:spacing w:after="0" w:line="226" w:lineRule="auto"/>
        <w:rPr>
          <w:sz w:val="20"/>
          <w:szCs w:val="20"/>
          <w:color w:val="auto"/>
        </w:rPr>
      </w:pPr>
      <w:r>
        <w:rPr>
          <w:rFonts w:ascii="Arial" w:cs="Arial" w:eastAsia="Arial" w:hAnsi="Arial"/>
          <w:sz w:val="18"/>
          <w:szCs w:val="18"/>
          <w:color w:val="auto"/>
        </w:rPr>
        <w:t>Shareholders or other interested parties can contact any director, any committee of the board of directors or our non-management directors as a group, by writing to them c/o General Counsel and Secretary, 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10011. All such communications will be forwarded to the appropriate member(s) of the board of directors. Comments or complaints relating to the Company’s accounting, internal accounting controls or auditing matters will also be referred to members of the audit committee.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 connection with the consummation of the Offering, our board of directors adopted a code of business conduct and ethics applicable to our employees, directors and officers, in accordance with applicable U.S. federal securities laws and the corporate governance rules of NASDAQ, which is available on our website, www.newfortressenergy.com, under “Corporate Governance” and “Governance Highlights” within the “Investors” section. Any waiver of this code may be made only by our board of directors and will be promptly disclosed as required by applicable U.S. federal securities laws and the corporate governance rules of NASDAQ, by posting such information on our website at the address and location specified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Our executive officers and directors and persons who own more than 10% of our shares are required to file reports with the SEC, disclosing the amount and nature of their beneficial ownership in our shares, as well as changes in that ownership. The Offering was completed in February 2019, and thus we were not subject to the Exchange Act Section 16 reporting obligations during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73" w:name="page74"/>
    <w:bookmarkEnd w:id="7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
        <w:spacing w:after="0"/>
        <w:tabs>
          <w:tab w:leader="none" w:pos="786"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As an “emerging growth company,” we are required to provide a Summary Compensation Table and an Outstanding Equity Awards at Fiscal Year End Table, as well as limited narrative disclosures regarding executive compensation for our last completed fiscal year.</w:t>
      </w:r>
    </w:p>
    <w:p>
      <w:pPr>
        <w:spacing w:after="0" w:line="73" w:lineRule="exact"/>
        <w:rPr>
          <w:sz w:val="20"/>
          <w:szCs w:val="20"/>
          <w:color w:val="auto"/>
        </w:rPr>
      </w:pPr>
    </w:p>
    <w:p>
      <w:pPr>
        <w:ind w:left="7" w:right="100" w:firstLine="360"/>
        <w:spacing w:after="0" w:line="270" w:lineRule="auto"/>
        <w:rPr>
          <w:sz w:val="20"/>
          <w:szCs w:val="20"/>
          <w:color w:val="auto"/>
        </w:rPr>
      </w:pPr>
      <w:r>
        <w:rPr>
          <w:rFonts w:ascii="Arial" w:cs="Arial" w:eastAsia="Arial" w:hAnsi="Arial"/>
          <w:sz w:val="17"/>
          <w:szCs w:val="17"/>
          <w:color w:val="auto"/>
        </w:rPr>
        <w:t>We were formed on August 6, 2018 and, as a result, did not have executive officers during 2017 and the majority of 2018. However, because (1) all of the assets and operations of New Fortress Energy Holdings (our predecessor for financial reporting purposes) were contributed to NFI (our subsidiary) in connection with our Offering and such assets and operations constitute our only assets and operations and (2) one of our executive officers was also an executive officer of New Fortress Energy Holdings and provided the same type of services to New Fortress Energy Holdings in 2017 and 2018 prior to our formation as he provides to us, we have included disclosure regarding compensation paid to the executive officer of New Fortress Energy Holdings for the 2017 fiscal year and for the 2018 fiscal year prior to the date of our formation as well as disclosure regarding compensation paid to all of our executive officers following our formation. The only individual serving as an officer of New Fortress Energy Holdings during 2018 was Christopher S. Guinta.</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48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Principal Position (New Fortress Energy Holdings)</w:t>
            </w:r>
          </w:p>
        </w:tc>
      </w:tr>
      <w:tr>
        <w:trPr>
          <w:trHeight w:val="224"/>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Wesley R. Edens</w:t>
            </w:r>
          </w:p>
        </w:tc>
        <w:tc>
          <w:tcPr>
            <w:tcW w:w="10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42"/>
        </w:trPr>
        <w:tc>
          <w:tcPr>
            <w:tcW w:w="4640" w:type="dxa"/>
            <w:vAlign w:val="bottom"/>
            <w:gridSpan w:val="2"/>
          </w:tcPr>
          <w:p>
            <w:pPr>
              <w:spacing w:after="0"/>
              <w:rPr>
                <w:sz w:val="20"/>
                <w:szCs w:val="20"/>
                <w:color w:val="auto"/>
              </w:rPr>
            </w:pPr>
            <w:r>
              <w:rPr>
                <w:rFonts w:ascii="Arial" w:cs="Arial" w:eastAsia="Arial" w:hAnsi="Arial"/>
                <w:sz w:val="18"/>
                <w:szCs w:val="18"/>
                <w:color w:val="auto"/>
              </w:rPr>
              <w:t>Christopher S. Guinta</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3"/>
        </w:trPr>
        <w:tc>
          <w:tcPr>
            <w:tcW w:w="4640" w:type="dxa"/>
            <w:vAlign w:val="bottom"/>
            <w:gridSpan w:val="2"/>
          </w:tcPr>
          <w:p>
            <w:pPr>
              <w:spacing w:after="0"/>
              <w:rPr>
                <w:sz w:val="20"/>
                <w:szCs w:val="20"/>
                <w:color w:val="auto"/>
              </w:rPr>
            </w:pPr>
            <w:r>
              <w:rPr>
                <w:rFonts w:ascii="Arial" w:cs="Arial" w:eastAsia="Arial" w:hAnsi="Arial"/>
                <w:sz w:val="18"/>
                <w:szCs w:val="18"/>
                <w:color w:val="auto"/>
              </w:rPr>
              <w:t>Michael J. Utsler</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Chief Operating Officer</w:t>
            </w:r>
          </w:p>
        </w:tc>
      </w:tr>
    </w:tbl>
    <w:p>
      <w:pPr>
        <w:spacing w:after="0" w:line="107" w:lineRule="exact"/>
        <w:rPr>
          <w:sz w:val="20"/>
          <w:szCs w:val="20"/>
          <w:color w:val="auto"/>
        </w:rPr>
      </w:pPr>
    </w:p>
    <w:p>
      <w:pPr>
        <w:ind w:left="7" w:right="100" w:firstLine="360"/>
        <w:spacing w:after="0" w:line="277" w:lineRule="auto"/>
        <w:rPr>
          <w:sz w:val="20"/>
          <w:szCs w:val="20"/>
          <w:color w:val="auto"/>
        </w:rPr>
      </w:pPr>
      <w:r>
        <w:rPr>
          <w:rFonts w:ascii="Arial" w:cs="Arial" w:eastAsia="Arial" w:hAnsi="Arial"/>
          <w:sz w:val="18"/>
          <w:szCs w:val="18"/>
          <w:color w:val="auto"/>
        </w:rPr>
        <w:t>Mr. Edens was appointed as our Chief Executive Officer effective as of August 6, 2018. Mr. Utsler was appointed as our Chief Operating Officer effective as of October 29, 2018.</w:t>
      </w:r>
    </w:p>
    <w:p>
      <w:pPr>
        <w:spacing w:after="0" w:line="62" w:lineRule="exact"/>
        <w:rPr>
          <w:sz w:val="20"/>
          <w:szCs w:val="20"/>
          <w:color w:val="auto"/>
        </w:rPr>
      </w:pPr>
    </w:p>
    <w:p>
      <w:pPr>
        <w:ind w:left="7" w:right="80" w:firstLine="360"/>
        <w:spacing w:after="0" w:line="297" w:lineRule="auto"/>
        <w:rPr>
          <w:sz w:val="20"/>
          <w:szCs w:val="20"/>
          <w:color w:val="auto"/>
        </w:rPr>
      </w:pPr>
      <w:r>
        <w:rPr>
          <w:rFonts w:ascii="Arial" w:cs="Arial" w:eastAsia="Arial" w:hAnsi="Arial"/>
          <w:sz w:val="16"/>
          <w:szCs w:val="16"/>
          <w:color w:val="auto"/>
        </w:rPr>
        <w:t>Mr. Edens is compensated by FIG LLC for services performed for the benefit of Fortress and certain other Fortress entities. However, none of the compensation received by Mr. Edens from FIG LLC is compensation for services rendered to us. Rather, Mr. Edens has elected to serve as our Chief Executive Officer without compensation, primarily due to his substantial ownership stake in us. Consequently, disclosure of compensation paid by FIG LLC to Mr. Edens would in no way reflect compensation for services provided to us and would be misleading to shareholders. As such, compensation information for Mr. Edens is not included below.</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2018 Summary Compensation Table</w:t>
      </w:r>
    </w:p>
    <w:p>
      <w:pPr>
        <w:spacing w:after="0" w:line="121" w:lineRule="exact"/>
        <w:rPr>
          <w:sz w:val="20"/>
          <w:szCs w:val="20"/>
          <w:color w:val="auto"/>
        </w:rPr>
      </w:pPr>
    </w:p>
    <w:p>
      <w:pPr>
        <w:ind w:left="7" w:right="100"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the named executive officers during the fiscal year ended December 31, 2018.</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Compensation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Salary ($)</w:t>
            </w:r>
          </w:p>
        </w:tc>
        <w:tc>
          <w:tcPr>
            <w:tcW w:w="16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Bonus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Wesley R. Edens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Chief Executive Officer</w:t>
            </w:r>
            <w:r>
              <w:rPr>
                <w:rFonts w:ascii="Arial" w:cs="Arial" w:eastAsia="Arial" w:hAnsi="Arial"/>
                <w:sz w:val="27"/>
                <w:szCs w:val="27"/>
                <w:i w:val="1"/>
                <w:iCs w:val="1"/>
                <w:color w:val="auto"/>
                <w:vertAlign w:val="superscript"/>
              </w:rPr>
              <w:t>(1)</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Christopher S. Guinta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Chief Financial Officer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18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7"/>
                <w:szCs w:val="17"/>
                <w:color w:val="auto"/>
              </w:rPr>
              <w:t>650,000</w:t>
            </w:r>
            <w:r>
              <w:rPr>
                <w:rFonts w:ascii="Arial" w:cs="Arial" w:eastAsia="Arial" w:hAnsi="Arial"/>
                <w:sz w:val="28"/>
                <w:szCs w:val="28"/>
                <w:color w:val="auto"/>
                <w:vertAlign w:val="superscript"/>
              </w:rPr>
              <w:t>(2)</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2820" w:type="dxa"/>
            <w:vAlign w:val="bottom"/>
            <w:shd w:val="clear" w:color="auto" w:fill="CCEDFF"/>
          </w:tcPr>
          <w:p>
            <w:pPr>
              <w:spacing w:after="0"/>
              <w:rPr>
                <w:sz w:val="21"/>
                <w:szCs w:val="21"/>
                <w:color w:val="auto"/>
              </w:rPr>
            </w:pPr>
          </w:p>
        </w:tc>
        <w:tc>
          <w:tcPr>
            <w:tcW w:w="7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2017</w:t>
            </w:r>
          </w:p>
        </w:tc>
        <w:tc>
          <w:tcPr>
            <w:tcW w:w="104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255,208</w:t>
            </w:r>
          </w:p>
        </w:tc>
        <w:tc>
          <w:tcPr>
            <w:tcW w:w="1180" w:type="dxa"/>
            <w:vAlign w:val="bottom"/>
            <w:gridSpan w:val="3"/>
            <w:shd w:val="clear" w:color="auto" w:fill="CCEDFF"/>
          </w:tcPr>
          <w:p>
            <w:pPr>
              <w:jc w:val="right"/>
              <w:ind w:right="140"/>
              <w:spacing w:after="0" w:line="243" w:lineRule="exact"/>
              <w:rPr>
                <w:sz w:val="20"/>
                <w:szCs w:val="20"/>
                <w:color w:val="auto"/>
              </w:rPr>
            </w:pPr>
            <w:r>
              <w:rPr>
                <w:rFonts w:ascii="Arial" w:cs="Arial" w:eastAsia="Arial" w:hAnsi="Arial"/>
                <w:sz w:val="17"/>
                <w:szCs w:val="17"/>
                <w:color w:val="auto"/>
              </w:rPr>
              <w:t>475,000</w:t>
            </w:r>
            <w:r>
              <w:rPr>
                <w:rFonts w:ascii="Arial" w:cs="Arial" w:eastAsia="Arial" w:hAnsi="Arial"/>
                <w:sz w:val="28"/>
                <w:szCs w:val="28"/>
                <w:color w:val="auto"/>
                <w:vertAlign w:val="superscript"/>
              </w:rPr>
              <w:t>(3)</w:t>
            </w:r>
          </w:p>
        </w:tc>
        <w:tc>
          <w:tcPr>
            <w:tcW w:w="1260" w:type="dxa"/>
            <w:vAlign w:val="bottom"/>
            <w:gridSpan w:val="2"/>
            <w:shd w:val="clear" w:color="auto" w:fill="CCEDFF"/>
          </w:tcPr>
          <w:p>
            <w:pPr>
              <w:jc w:val="right"/>
              <w:ind w:right="140"/>
              <w:spacing w:after="0" w:line="243" w:lineRule="exact"/>
              <w:rPr>
                <w:sz w:val="20"/>
                <w:szCs w:val="20"/>
                <w:color w:val="auto"/>
              </w:rPr>
            </w:pPr>
            <w:r>
              <w:rPr>
                <w:rFonts w:ascii="Arial" w:cs="Arial" w:eastAsia="Arial" w:hAnsi="Arial"/>
                <w:sz w:val="17"/>
                <w:szCs w:val="17"/>
                <w:color w:val="auto"/>
              </w:rPr>
              <w:t>35,422</w:t>
            </w:r>
            <w:r>
              <w:rPr>
                <w:rFonts w:ascii="Arial" w:cs="Arial" w:eastAsia="Arial" w:hAnsi="Arial"/>
                <w:sz w:val="28"/>
                <w:szCs w:val="28"/>
                <w:color w:val="auto"/>
                <w:vertAlign w:val="superscript"/>
              </w:rPr>
              <w:t>(4)</w:t>
            </w:r>
          </w:p>
        </w:tc>
        <w:tc>
          <w:tcPr>
            <w:tcW w:w="9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765,630</w:t>
            </w:r>
          </w:p>
        </w:tc>
        <w:tc>
          <w:tcPr>
            <w:tcW w:w="1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2"/>
            <w:shd w:val="clear" w:color="auto" w:fill="CCEDFF"/>
          </w:tcPr>
          <w:p>
            <w:pPr>
              <w:spacing w:after="0" w:line="243" w:lineRule="exact"/>
              <w:rPr>
                <w:sz w:val="20"/>
                <w:szCs w:val="20"/>
                <w:color w:val="auto"/>
              </w:rPr>
            </w:pPr>
            <w:r>
              <w:rPr>
                <w:rFonts w:ascii="Arial" w:cs="Arial" w:eastAsia="Arial" w:hAnsi="Arial"/>
                <w:sz w:val="17"/>
                <w:szCs w:val="17"/>
                <w:b w:val="1"/>
                <w:bCs w:val="1"/>
                <w:color w:val="auto"/>
              </w:rPr>
              <w:t xml:space="preserve">Michael J. Utsler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Chief Operating Officer</w:t>
            </w:r>
            <w:r>
              <w:rPr>
                <w:rFonts w:ascii="Arial" w:cs="Arial" w:eastAsia="Arial" w:hAnsi="Arial"/>
                <w:sz w:val="28"/>
                <w:szCs w:val="28"/>
                <w:i w:val="1"/>
                <w:iCs w:val="1"/>
                <w:color w:val="auto"/>
                <w:vertAlign w:val="superscript"/>
              </w:rPr>
              <w:t>(5)</w:t>
            </w:r>
          </w:p>
        </w:tc>
        <w:tc>
          <w:tcPr>
            <w:tcW w:w="7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212,500</w:t>
            </w:r>
          </w:p>
        </w:tc>
        <w:tc>
          <w:tcPr>
            <w:tcW w:w="1180" w:type="dxa"/>
            <w:vAlign w:val="bottom"/>
            <w:gridSpan w:val="3"/>
            <w:shd w:val="clear" w:color="auto" w:fill="CCEDFF"/>
          </w:tcPr>
          <w:p>
            <w:pPr>
              <w:jc w:val="right"/>
              <w:ind w:right="140"/>
              <w:spacing w:after="0" w:line="243" w:lineRule="exact"/>
              <w:rPr>
                <w:sz w:val="20"/>
                <w:szCs w:val="20"/>
                <w:color w:val="auto"/>
              </w:rPr>
            </w:pPr>
            <w:r>
              <w:rPr>
                <w:rFonts w:ascii="Arial" w:cs="Arial" w:eastAsia="Arial" w:hAnsi="Arial"/>
                <w:sz w:val="17"/>
                <w:szCs w:val="17"/>
                <w:color w:val="auto"/>
              </w:rPr>
              <w:t>300,000</w:t>
            </w:r>
            <w:r>
              <w:rPr>
                <w:rFonts w:ascii="Arial" w:cs="Arial" w:eastAsia="Arial" w:hAnsi="Arial"/>
                <w:sz w:val="28"/>
                <w:szCs w:val="28"/>
                <w:color w:val="auto"/>
                <w:vertAlign w:val="superscript"/>
              </w:rPr>
              <w:t>(6)</w:t>
            </w:r>
          </w:p>
        </w:tc>
        <w:tc>
          <w:tcPr>
            <w:tcW w:w="1260" w:type="dxa"/>
            <w:vAlign w:val="bottom"/>
            <w:gridSpan w:val="2"/>
            <w:shd w:val="clear" w:color="auto" w:fill="CCEDFF"/>
          </w:tcPr>
          <w:p>
            <w:pPr>
              <w:jc w:val="right"/>
              <w:ind w:right="140"/>
              <w:spacing w:after="0" w:line="243" w:lineRule="exact"/>
              <w:rPr>
                <w:sz w:val="20"/>
                <w:szCs w:val="20"/>
                <w:color w:val="auto"/>
              </w:rPr>
            </w:pPr>
            <w:r>
              <w:rPr>
                <w:rFonts w:ascii="Arial" w:cs="Arial" w:eastAsia="Arial" w:hAnsi="Arial"/>
                <w:sz w:val="17"/>
                <w:szCs w:val="17"/>
                <w:color w:val="auto"/>
              </w:rPr>
              <w:t>63,399</w:t>
            </w:r>
            <w:r>
              <w:rPr>
                <w:rFonts w:ascii="Arial" w:cs="Arial" w:eastAsia="Arial" w:hAnsi="Arial"/>
                <w:sz w:val="28"/>
                <w:szCs w:val="28"/>
                <w:color w:val="auto"/>
                <w:vertAlign w:val="superscript"/>
              </w:rPr>
              <w:t>(7)</w:t>
            </w:r>
          </w:p>
        </w:tc>
        <w:tc>
          <w:tcPr>
            <w:tcW w:w="9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575,899</w:t>
            </w:r>
          </w:p>
        </w:tc>
        <w:tc>
          <w:tcPr>
            <w:tcW w:w="1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607187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83" w:lineRule="exact"/>
        <w:rPr>
          <w:sz w:val="20"/>
          <w:szCs w:val="20"/>
          <w:color w:val="auto"/>
        </w:rPr>
      </w:pPr>
    </w:p>
    <w:p>
      <w:pPr>
        <w:ind w:left="347" w:right="60" w:hanging="347"/>
        <w:spacing w:after="0" w:line="312" w:lineRule="auto"/>
        <w:tabs>
          <w:tab w:leader="none" w:pos="3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Mr. Edens was appointed as our Chief Executive Officer effective as of August 6, 2018. As described more fully above, this table does not include information regarding compensation paid to Mr. Edens because Mr. Edens does not receive any compensation from any party for services rendered to us.</w:t>
      </w:r>
    </w:p>
    <w:p>
      <w:pPr>
        <w:spacing w:after="0" w:line="43" w:lineRule="exact"/>
        <w:rPr>
          <w:rFonts w:ascii="Arial" w:cs="Arial" w:eastAsia="Arial" w:hAnsi="Arial"/>
          <w:sz w:val="13"/>
          <w:szCs w:val="13"/>
          <w:color w:val="auto"/>
        </w:rPr>
      </w:pPr>
    </w:p>
    <w:p>
      <w:pPr>
        <w:ind w:left="347" w:right="140" w:hanging="347"/>
        <w:spacing w:after="0" w:line="273"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an annual bonus for services rendered in 2018, but paid in 2019. For additional information, see “—Narrative Disclosure to Summary Compensation Table — Cash Bonus” below.</w:t>
      </w:r>
    </w:p>
    <w:p>
      <w:pPr>
        <w:spacing w:after="0" w:line="65" w:lineRule="exact"/>
        <w:rPr>
          <w:rFonts w:ascii="Arial" w:cs="Arial" w:eastAsia="Arial" w:hAnsi="Arial"/>
          <w:sz w:val="14"/>
          <w:szCs w:val="14"/>
          <w:color w:val="auto"/>
        </w:rPr>
      </w:pPr>
    </w:p>
    <w:p>
      <w:pPr>
        <w:ind w:left="347" w:right="140" w:hanging="347"/>
        <w:spacing w:after="0" w:line="273"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 a $75,000 sign-on bonus paid to Mr. Guinta in 2017 in connection with his appointment and (ii) an annual bonus for services rendered in 2017, but paid in 2018.</w:t>
      </w:r>
    </w:p>
    <w:p>
      <w:pPr>
        <w:spacing w:after="0" w:line="65"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 reimbursement for relocation expenses incurred as a result of Mr. Guinta’s appointment and relocation to New York, New York in the amount of $26,012 and (ii) a tax gross-up payment in the amount of $9,410.</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Utsler was appointed as our Chief Operating Officer effective as of October 29, 2018.</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4" w:name="page75"/>
    <w:bookmarkEnd w:id="74"/>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47" w:hanging="347"/>
        <w:spacing w:after="0" w:line="312" w:lineRule="auto"/>
        <w:tabs>
          <w:tab w:leader="none" w:pos="347"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(i) a $75,000 sign-on bonus paid to Mr. Utsler in connection with his appointment and (ii) an annual bonus for services rendered in 2018, but paid in 2019. For additional information regarding Mr. Utsler’s annual bonus, see “—Narrative Disclosure to Summary Compensation Table—Cash Bonus” below.</w:t>
      </w:r>
    </w:p>
    <w:p>
      <w:pPr>
        <w:spacing w:after="0" w:line="43" w:lineRule="exact"/>
        <w:rPr>
          <w:rFonts w:ascii="Arial" w:cs="Arial" w:eastAsia="Arial" w:hAnsi="Arial"/>
          <w:sz w:val="13"/>
          <w:szCs w:val="13"/>
          <w:color w:val="auto"/>
        </w:rPr>
      </w:pPr>
    </w:p>
    <w:p>
      <w:pPr>
        <w:ind w:left="347" w:right="140" w:hanging="347"/>
        <w:spacing w:after="0" w:line="286" w:lineRule="auto"/>
        <w:tabs>
          <w:tab w:leader="none" w:pos="347"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(i) a tax gross-up payment made to Mr. Utsler with respect to his sign-on bonus in the amount of $48,366 pursuant to the terms of his employment offer letter and (ii) reimbursement for temporary housing in connection with his relocation to Miami, Florida in the amount of $15,033. For additional information regarding Mr. Utsler’s employment offer letter, see “Narrative Disclosure to Summary Compensation Table — Utsler Offer Letter” below.</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7" w:right="100" w:firstLine="360"/>
        <w:spacing w:after="0" w:line="284" w:lineRule="auto"/>
        <w:rPr>
          <w:sz w:val="20"/>
          <w:szCs w:val="20"/>
          <w:color w:val="auto"/>
        </w:rPr>
      </w:pPr>
      <w:r>
        <w:rPr>
          <w:rFonts w:ascii="Arial" w:cs="Arial" w:eastAsia="Arial" w:hAnsi="Arial"/>
          <w:sz w:val="16"/>
          <w:szCs w:val="16"/>
          <w:color w:val="auto"/>
        </w:rPr>
        <w:t>Base salary is a fixed component of compensation for each year, which may be increased from time to time based on the individual’s performance and other factors as determined by the sole member of New Fortress Energy Holdings. Base salaries were originally set pursuant to negotiations with the named executive officer at the time of hire. As previously noted, Mr. Edens does not receive compensation from us. For 2018, annualized base salaries for Mr. Guinta and Mr. Utsler were $350,000 and $1,200,000, respectively. For additional information on the elements of Mr. Guinta’s and Mr. Utsler’s compensation, see “—Narrative Disclosure to Summary Compensation Table — Guinta Offer Letter” and “Narrative Disclosure to Summary Compensation Table</w:t>
      </w:r>
    </w:p>
    <w:p>
      <w:pPr>
        <w:spacing w:after="0" w:line="5" w:lineRule="exact"/>
        <w:rPr>
          <w:sz w:val="20"/>
          <w:szCs w:val="20"/>
          <w:color w:val="auto"/>
        </w:rPr>
      </w:pPr>
    </w:p>
    <w:p>
      <w:pPr>
        <w:ind w:left="7"/>
        <w:spacing w:after="0"/>
        <w:rPr>
          <w:sz w:val="20"/>
          <w:szCs w:val="20"/>
          <w:color w:val="auto"/>
        </w:rPr>
      </w:pPr>
      <w:r>
        <w:rPr>
          <w:rFonts w:ascii="Arial" w:cs="Arial" w:eastAsia="Arial" w:hAnsi="Arial"/>
          <w:sz w:val="18"/>
          <w:szCs w:val="18"/>
          <w:color w:val="auto"/>
        </w:rPr>
        <w:t>— Utsler Offer Letter” below.</w:t>
      </w:r>
    </w:p>
    <w:p>
      <w:pPr>
        <w:spacing w:after="0" w:line="21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Cash Bonus</w:t>
      </w:r>
    </w:p>
    <w:p>
      <w:pPr>
        <w:spacing w:after="0" w:line="117" w:lineRule="exact"/>
        <w:rPr>
          <w:sz w:val="20"/>
          <w:szCs w:val="20"/>
          <w:color w:val="auto"/>
        </w:rPr>
      </w:pPr>
    </w:p>
    <w:p>
      <w:pPr>
        <w:ind w:left="7" w:right="60" w:firstLine="360"/>
        <w:spacing w:after="0" w:line="276" w:lineRule="auto"/>
        <w:rPr>
          <w:sz w:val="20"/>
          <w:szCs w:val="20"/>
          <w:color w:val="auto"/>
        </w:rPr>
      </w:pPr>
      <w:r>
        <w:rPr>
          <w:rFonts w:ascii="Arial" w:cs="Arial" w:eastAsia="Arial" w:hAnsi="Arial"/>
          <w:sz w:val="17"/>
          <w:szCs w:val="17"/>
          <w:color w:val="auto"/>
        </w:rPr>
        <w:t>For 2018, target bonus opportunities for Mr. Guinta and Mr. Utsler were 125% and between 100% and 150% of annualized base salary, respectively. Following a review of our performance by our compensation committee as well as the contributions of Mr. Guinta and Mr. Utsler to that performance, our compensation committee determined the actual amount of the bonuses payable to Mr. Guinta and Mr. Utsler in the tables above. For additional information regarding the elements of Mr. Guinta’s and Mr. Utsler’s compensation, see “—Guinta Offer Letter” and “—Utsler Offer Letter” below.</w:t>
      </w:r>
    </w:p>
    <w:p>
      <w:pPr>
        <w:spacing w:after="0" w:line="173"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Long-Term Incentive Awards</w:t>
      </w:r>
    </w:p>
    <w:p>
      <w:pPr>
        <w:spacing w:after="0" w:line="117" w:lineRule="exact"/>
        <w:rPr>
          <w:sz w:val="20"/>
          <w:szCs w:val="20"/>
          <w:color w:val="auto"/>
        </w:rPr>
      </w:pPr>
    </w:p>
    <w:p>
      <w:pPr>
        <w:ind w:left="7" w:right="240" w:firstLine="360"/>
        <w:spacing w:after="0" w:line="264" w:lineRule="auto"/>
        <w:rPr>
          <w:sz w:val="20"/>
          <w:szCs w:val="20"/>
          <w:color w:val="auto"/>
        </w:rPr>
      </w:pPr>
      <w:r>
        <w:rPr>
          <w:rFonts w:ascii="Arial" w:cs="Arial" w:eastAsia="Arial" w:hAnsi="Arial"/>
          <w:sz w:val="18"/>
          <w:szCs w:val="18"/>
          <w:color w:val="auto"/>
        </w:rPr>
        <w:t>The named executive officers were not granted long-term incentive awards during 2018. However, in connection with the Offering, we adopted a long-term incentive plan. For more details on the terms of the long-term incentive plan, see “—NFE 2019 Omnibus Incentive Plan,” below.</w:t>
      </w:r>
    </w:p>
    <w:p>
      <w:pPr>
        <w:spacing w:after="0" w:line="18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Guinta Offer Letter</w:t>
      </w:r>
    </w:p>
    <w:p>
      <w:pPr>
        <w:spacing w:after="0" w:line="117" w:lineRule="exact"/>
        <w:rPr>
          <w:sz w:val="20"/>
          <w:szCs w:val="20"/>
          <w:color w:val="auto"/>
        </w:rPr>
      </w:pPr>
    </w:p>
    <w:p>
      <w:pPr>
        <w:ind w:left="7" w:right="40" w:firstLine="360"/>
        <w:spacing w:after="0" w:line="290" w:lineRule="auto"/>
        <w:rPr>
          <w:sz w:val="20"/>
          <w:szCs w:val="20"/>
          <w:color w:val="auto"/>
        </w:rPr>
      </w:pPr>
      <w:r>
        <w:rPr>
          <w:rFonts w:ascii="Arial" w:cs="Arial" w:eastAsia="Arial" w:hAnsi="Arial"/>
          <w:sz w:val="16"/>
          <w:szCs w:val="16"/>
          <w:color w:val="auto"/>
        </w:rPr>
        <w:t>On March 14, 2017, NFE Management, LLC entered into an offer letter (the “Guinta Offer Letter”) with Mr. Guinta. The Guinta Offer Letter provides Mr. Guinta with (a) an annualized base salary of $350,000, (b) a discretionary target bonus opportunity equal to 125% of annual base salary (with a guaranteed $250,000 bonus for calendar year 2017), (c) a sign-on bonus of $75,000, which is required to be repaid by Mr. Guinta in the event of his resignation or termination of employment for Cause (as defined below) prior to the first anniversary of his start date, (d) subject to the adoption of a definitive equity compensation plan, an equity award grant with a grant date value of $2,500,000, which will be governed by the terms of such equity compensation plan and the applicable documents underlying the grant, and (e) eligibility to participate in the broad-based employee benefit plans, as may be adopted from time to time, subject to the eligibility requirements of such employee benefit plans.</w:t>
      </w:r>
    </w:p>
    <w:p>
      <w:pPr>
        <w:spacing w:after="0" w:line="58" w:lineRule="exact"/>
        <w:rPr>
          <w:sz w:val="20"/>
          <w:szCs w:val="20"/>
          <w:color w:val="auto"/>
        </w:rPr>
      </w:pPr>
    </w:p>
    <w:p>
      <w:pPr>
        <w:jc w:val="both"/>
        <w:ind w:left="7" w:right="720" w:firstLine="360"/>
        <w:spacing w:after="0" w:line="286" w:lineRule="auto"/>
        <w:rPr>
          <w:sz w:val="20"/>
          <w:szCs w:val="20"/>
          <w:color w:val="auto"/>
        </w:rPr>
      </w:pPr>
      <w:r>
        <w:rPr>
          <w:rFonts w:ascii="Arial" w:cs="Arial" w:eastAsia="Arial" w:hAnsi="Arial"/>
          <w:sz w:val="17"/>
          <w:szCs w:val="17"/>
          <w:color w:val="auto"/>
        </w:rPr>
        <w:t>The Guinta Offer Letter also contains certain restrictive covenants, including (a) non-competition and non-solicitation covenants that are applicable during Mr. Guinta’s term of employment, and for twelve months following his resignation or termination of his employment for Cause and (b) restrictions on disclosure of confidential information.</w:t>
      </w:r>
    </w:p>
    <w:p>
      <w:pPr>
        <w:spacing w:after="0" w:line="166"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Utsler Offer Letter</w:t>
      </w:r>
    </w:p>
    <w:p>
      <w:pPr>
        <w:spacing w:after="0" w:line="117" w:lineRule="exact"/>
        <w:rPr>
          <w:sz w:val="20"/>
          <w:szCs w:val="20"/>
          <w:color w:val="auto"/>
        </w:rPr>
      </w:pPr>
    </w:p>
    <w:p>
      <w:pPr>
        <w:ind w:left="7" w:right="60" w:firstLine="360"/>
        <w:spacing w:after="0" w:line="255" w:lineRule="auto"/>
        <w:rPr>
          <w:sz w:val="20"/>
          <w:szCs w:val="20"/>
          <w:color w:val="auto"/>
        </w:rPr>
      </w:pPr>
      <w:r>
        <w:rPr>
          <w:rFonts w:ascii="Arial" w:cs="Arial" w:eastAsia="Arial" w:hAnsi="Arial"/>
          <w:sz w:val="18"/>
          <w:szCs w:val="18"/>
          <w:color w:val="auto"/>
        </w:rPr>
        <w:t>On August 30, 2018, NFE Management, LLC entered into an offer letter (the “Utsler Offer Letter”) with Mr. Utsler. The Utsler Offer Letter provides Mr. Utsler with (a) an annualized base salary of $1,200,000, (b) a discretionary target bonus opportunity equal to between 100% and 150% of annual base salary (prorated for calendar year 2018), (c) a sign-on bonus of $75,000, calculated and paid on a tax grossed-up basis, a 12-month pro-rated portion of which is required to be repaid by Mr. Utsler in the event of his resignation or termination of employment for Cause (as defined below) prior to the first anniversary of his start date, (d) subject to the</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adoption of a definitive equity compensation plan, an equity award grant with a grant date value of $10,000,000, which will be governed by the terms of such equity compensation plan and the applicable documents underlying the grant, (e) residential accommodations in Miami, Florida for a period of 90 days to assist with relocation, and (f) eligibility to participate in the broad-based employee benefit plans, as may be adopted from time to time, subject to the eligibility requirements of such employee benefit plans.</w:t>
      </w:r>
    </w:p>
    <w:p>
      <w:pPr>
        <w:spacing w:after="0" w:line="80"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Utsler Offer Letter also contains certain restrictive covenants, including (a) non-competition and non-solicitation covenants that are applicable during Mr. Utsler’s term of employment, and for six months following his resignation or termination of his employment for Cause and (b) restrictions on disclosure of confidential information.</w:t>
      </w:r>
    </w:p>
    <w:p>
      <w:pPr>
        <w:spacing w:after="0" w:line="73"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As used in the Guinta and Utsler Offer Letters, “Cause” generally means the executive’s (i) willful misconduct or gross negligence in the performance of his duties; (ii) failure to perform his duties or to follow the lawful directives of the board of directors;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named executive officers had not been granted equity awards as of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2019 Omnibus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In connection with the Offering, we adopted the Plan, effective as of January 31, 2019. The purposes of the Plan is to provide additional incentives to selected employees, directors, independent contractors and consultants of NFE or its affiliates, to strengthen their commitment, motivate them to faithfully 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options, share appreciation rights (“SARs”), restricted shares, restricted share units (“RSUs”), share bonuses, other share-based awards and cash awards.</w:t>
      </w:r>
    </w:p>
    <w:p>
      <w:pPr>
        <w:spacing w:after="0" w:line="5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Effective as of February 4, 2019, we granted RSUs under the Plan to our non-employee directors. The awards to directors had a grant date value of $1,000,000, calculated based on the price per share in the Offering. The awards will vest in three equal installments on the date of each of the three annual meetings following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Plan Terms</w:t>
      </w:r>
    </w:p>
    <w:p>
      <w:pPr>
        <w:spacing w:after="0" w:line="11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A total number of our Class A shares equal to 10% of the aggregate of our outstanding Class A and Class B shares as of the completion of the Offering were initially reserved and available for issuance under the Plan, as increased on the first day of each fiscal year beginning in calendar year 2020 by a number of Class A shares equal to the excess of 10% of the aggregate number of outstanding Class A and Class B shares on the last day of the immediately preceding fiscal year, over the number of Class A shares reserved and available for issuance under the Plan as of the last day of the immediately preceding fiscal year.</w:t>
      </w:r>
    </w:p>
    <w:p>
      <w:pPr>
        <w:spacing w:after="0" w:line="50"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Class A shares subject to an award under the Plan that remain unissued upon the cancellation, termination or expiration of the award will again become available for grant under the Plan. Additionally, Class A shares that are exchanged by a participant or withheld by us as full or partial payment in connection with any award under the Plan, as well as any Class A shares exchanged by a participant or withheld by us to satisfy the tax withholding obligations related to any award, will also be available for subsequent awards under the Plan. To the extent an award is paid or settled in cash, the number of Class A shares previously subject to the award will again be available for grants pursuant to the Plan. To the extent that an award can only be settled in cash, such award will not be counted against the total number of Class A shares available for grant under the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The Plan will be administered by our compensation committee; provided, however, that if each member of the compensation committee is not a “non-employee director” within the meaning of Rule 16b-3 of the Exchange Act, the compensation committee may request that the board of directors make determinations with respect to compensation that is subject to Section 16 of the Exchange Act. The plan administrator may interpret the Plan and may prescribe, amend and rescind rules and make all other determinations necessary or desirable for the administration of the Plan.</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Plan permits the plan administrator to select the officers, employees, non-employee directors, independent contractors and consultants of NFE or its affiliates who will receive awards, to determine the terms and conditions of those awards, including but not limited to the exercise price or other purchase price of an award, the number of our Class A shares or cash or other property subject to an award, the term of an award and the vesting schedule applicable to an award, and to amend the terms and conditions of outstanding awards.</w:t>
      </w:r>
    </w:p>
    <w:p>
      <w:pPr>
        <w:spacing w:after="0" w:line="80"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RSUs and restricted shares may be granted under the Plan. The plan administrator will determine the purchase price, vesting schedule and performance objectives, if any, applicable to the grant of RSUs and restricted shares. If the restrictions, performance objectives or other conditions determined by the plan administrator are not satisfied, the RSUs and restricted shares will be forfeited. Subject to the provisions of the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and restricted shareholders upon a termination of employment or service will be set forth in individual award agreements.</w:t>
      </w:r>
    </w:p>
    <w:p>
      <w:pPr>
        <w:spacing w:after="0" w:line="7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Unless the applicable award agreement provides otherwise, participants with restricted shares will generally have all of the rights of a Class A shareholder during the restricted period, including the right to vote and receive dividends declared with respect to such restricted shares. Dividends declared during the restricted period with respect to such restricted shares may be paid or distributed when accrued, or may become payable if the underlying restricted shares vest. During the restricted period, participants with RSUs will generally not have any rights of a Class A shareholder, but, if the applicable individual award agreement so provides, may be credited with dividend equivalent rights. Dividend equivalents may be paid or distributed when accrued, or may be paid at the time that our Class A shares in respect of the related RSUs are delivered to the participant.</w:t>
      </w:r>
    </w:p>
    <w:p>
      <w:pPr>
        <w:spacing w:after="0" w:line="70"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We may issue share options under the Plan. Options granted under the Plan may be in the form of non-qualified options or “incentive share options” within the meaning of Section 422 of the Internal Revenue Code, as set forth in the applicable individual option award agreement. The exercise price of all options granted under the Plan will be determined by the plan administrator, but in no event may the exercise price be less than 100% of the fair market value of the related Class A shares on the date of grant. The maximum term of all share options granted under the Plan will be determined by the plan administrator, but may not exceed ten years. Each share option will vest and become exercisable (including in the event of the optionee’s termination of employment or service) at such time and subject to such terms and conditions as determined by the plan administrator in the applicable individual option agreement.</w:t>
      </w:r>
    </w:p>
    <w:p>
      <w:pPr>
        <w:spacing w:after="0" w:line="84"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SARs may be granted under the Plan either alone or in conjunction with all or part of any option granted under the Plan. A free-standing SAR granted under the Plan entitles its holder to receive, at the time of exercise, an amount per share equal to the excess of the fair market value (at the date of exercise) of a Class A share over the base price of the free-standing SAR. A SAR granted in conjunction with all or part of an option under the Plan entitles its holder to receive, at the time of exercise of the SAR and surrender of the related option, an amount per share equal to the excess of the fair market value (at the date of exercise) of a Class A share over the exercise price of the related option. Each SAR will be granted with a base price that is not less than 100% of the fair market value of the related Class A shares on the date of grant. The maximum term of all SARs granted under the Plan will be determined by the plan administrator, but may not exceed ten years. The plan administrator may determine to settle the exercise of a SAR in Class A shares, cash, or any combination thereof.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6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Other share-based awards, valued in whole or in part by reference to, or otherwise based on, our Class A shares (including dividend equivalents) may be granted under the Plan. Dividends or dividend equivalents awarded under the Plan may be paid or distributed when accrued, or may be subject to the same restrictions, conditions and risks of forfeiture as the underlying awards and only become payable if the underlying awards vest. The plan administrator will determine the terms and conditions of such other share-based awards, including the number of Class A shares to be granted pursuant to such other share-based awards, the manner in which such other share-based awards will be settled (e.g., in Class A shares, cash or other property), and the conditions to the vesting and payment of such other share-based awards (including the achievement of performance objectives).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Bonuses payable in fully vested Class A shares and awards that are payable solely in cash may also be granted under the Plan.</w:t>
      </w:r>
    </w:p>
    <w:p>
      <w:pPr>
        <w:spacing w:after="0" w:line="14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plan administrator may grant equity-based awards and incentives under the Plan that are subject to the achievement of performance objectives selected by the plan administrator in its sole discretion.</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In the event of a merger, consolidation, reclassification, recapitalization, spin-off, spin-out, repurchase, reorganization, corporate transaction or event, special or extraordinary dividend or other extraordinary distribution (whether in the form of Class A shares, cash or other property), share split, reverse share split, subdivision or consolidation, combination, exchange of shares, or other change in corporate structure affecting our Class A shares, an equitable substitution or proportionate adjustment shall be made, at the sole discretion of the plan administrator, in (i) the aggregate number of our Class A shares reserved for issuance under the Plan, (ii) the kind and number of securities subject to, and the exercise price or base price of, any outstanding options and SARs granted under the Plan, (iii) the kind, number and purchase price of our Class A shares, or the amount of cash or amount or type of property, subject to outstanding restricted shares, RSUs, share bonuses and other share-based awards granted under the Plan, or (iv) the performance goals and periods applicable to award granted under the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Class A shares, cash or other property covered by such awards over the aggregate exercise price or base price, if any, of such awards, but if the exercise price or base price of any outstanding award is equal to or greater than the fair market value of our Class A shares, cash or other property covered by such award, the board of directors may cancel the award without the payment of any consideration to the participant.</w:t>
      </w:r>
    </w:p>
    <w:p>
      <w:pPr>
        <w:spacing w:after="0" w:line="6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Each participant will be required to make arrangements satisfactory to the plan administrator regarding payment of an amount up to the maximum statutory tax rates in the participant’s applicable jurisdictions with respect to any award granted under the Plan, as determined by us. Whenever cash is to be paid pursuant to an award, we have the right, to the extent permitted by law, to deduct any such taxes from any payment of any kind otherwise due to the participant. Additionally, whenever Class A shares or other property other than cash are to be delivered pursuant to an award, we may (i) require the participant to pay us an amount in cash, (ii) withhold from delivery of Class A shares or other property, or (iii) accept delivery of already owned unrestricted Class A shares, in each case in the sole discretion of the plan administrator. The Class A shares withheld must have a value not exceeding the applicable taxes to be withheld and applied to the tax obligations, determined based on the greatest withholding rates that may be used without creating adverse accounting treatment with respect to such award. We may also use any other method of obtaining the necessary payment or proceeds, as permitted by law, to satisfy our withholding obligation with respect to any award.</w:t>
      </w:r>
    </w:p>
    <w:p>
      <w:pPr>
        <w:spacing w:after="0" w:line="61"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The Plan provides the board of directors with authority to amend, alter or terminate the Plan, but generally such action may not impair the rights of any participant with respect to outstanding awards without the participant’s consent. The plan administrator may amend an award, prospectively or retroactively, but generally such amendment may not impair the rights of any participant without the participant’s consent. Shareholder approval of any such action will be obtained if required to comply with applicable law.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Plan will terminate on the tenth anniversary of the effective date of the Plan (although awards granted before that time will remain outstanding in accordance with their terms).</w:t>
      </w:r>
    </w:p>
    <w:p>
      <w:pPr>
        <w:spacing w:after="0" w:line="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On February 4, 2019, we filed with the SEC a registration statement on Form S-8 covering the Class A shares issuable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were formed on August 6, 2018 and, as a result, did not have any directors for the majority of 2018. New Fortress Energy Holdings (our predecessor for financial reporting purposes) did not award any compensation to members of its board of directors during 2018 prior to our formation and we did not award any compensation to members of our board of directors in 2018 following our formation.</w:t>
      </w:r>
    </w:p>
    <w:p>
      <w:pPr>
        <w:spacing w:after="0" w:line="79"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Non-employee directors will receive an annual cash retainer equal to $100,000 per year, payable quarterly. Additionally, the chair of the audit committee of the board of directors will receive an additional $10,000 annual cash retainer, payable quarterly. Non-employee directors will also receive a one-time equity grant under the Plan with a grant-date value equal to $1,000,000 upon their appointment to the board of directors (an “Initial Grant”). As described in additional detail above under the heading “—NFE 2019 Omnibus Incentive Plan—Introduction,” upon the completion of the Offering, non-employee directors received a grant of RSUs under the Plan equal to $1,000,000 (calculated based on the price per share in the Offering), which will vest in equal parts on the day following each of our first three annual meetings. This grant of RSUs constituted the Initial Grant for each of the persons who became non-employee directors upon the consummation of the Offering.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beneficial ownership of our Class A shares and Class B shares issued and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20, 2019 by:</w:t>
      </w:r>
    </w:p>
    <w:p>
      <w:pPr>
        <w:spacing w:after="0" w:line="103"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known to us to beneficially own 5% or more of any class of our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director and named executive officer;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Unless otherwise noted, the address for each beneficial owner listed below is 111 W. 19th Street, 8th Floor, New York, New York 10011. As of March 20, 2019, we had 20,837,272 Class A shares and 147,058,824 Class B shares 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Percentage of</w:t>
            </w: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Class A</w:t>
            </w: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Percentage of</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Shares and</w:t>
            </w: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Class A 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Class B Shares</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Class B Shares</w:t>
            </w: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Beneficially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Beneficially</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Beneficially</w:t>
            </w:r>
          </w:p>
        </w:tc>
      </w:tr>
      <w:tr>
        <w:trPr>
          <w:trHeight w:val="185"/>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Owned</w:t>
            </w:r>
          </w:p>
        </w:tc>
      </w:tr>
      <w:tr>
        <w:trPr>
          <w:trHeight w:val="237"/>
        </w:trPr>
        <w:tc>
          <w:tcPr>
            <w:tcW w:w="20" w:type="dxa"/>
            <w:vAlign w:val="bottom"/>
          </w:tcPr>
          <w:p>
            <w:pPr>
              <w:spacing w:after="0"/>
              <w:rPr>
                <w:sz w:val="20"/>
                <w:szCs w:val="20"/>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Stockholders:</w:t>
            </w:r>
          </w:p>
        </w:tc>
        <w:tc>
          <w:tcPr>
            <w:tcW w:w="18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8"/>
                <w:szCs w:val="28"/>
                <w:color w:val="auto"/>
                <w:vertAlign w:val="superscript"/>
              </w:rPr>
              <w:t>(1)</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147,058,824</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Encompass Capital Advisors LLC</w:t>
            </w:r>
            <w:r>
              <w:rPr>
                <w:rFonts w:ascii="Arial" w:cs="Arial" w:eastAsia="Arial" w:hAnsi="Arial"/>
                <w:sz w:val="28"/>
                <w:szCs w:val="28"/>
                <w:color w:val="auto"/>
                <w:vertAlign w:val="superscript"/>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T. Rowe Price Associates, Inc.</w:t>
            </w:r>
            <w:r>
              <w:rPr>
                <w:rFonts w:ascii="Arial" w:cs="Arial" w:eastAsia="Arial" w:hAnsi="Arial"/>
                <w:sz w:val="28"/>
                <w:szCs w:val="28"/>
                <w:color w:val="auto"/>
                <w:vertAlign w:val="superscript"/>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3,200,000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Duquesne Family Office LLC</w:t>
            </w:r>
            <w:r>
              <w:rPr>
                <w:rFonts w:ascii="Arial" w:cs="Arial" w:eastAsia="Arial" w:hAnsi="Arial"/>
                <w:sz w:val="28"/>
                <w:szCs w:val="28"/>
                <w:color w:val="auto"/>
                <w:vertAlign w:val="superscript"/>
              </w:rPr>
              <w:t>(4)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jc w:val="right"/>
              <w:ind w:right="704"/>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79" w:name="page80"/>
    <w:bookmarkEnd w:id="79"/>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3480" w:type="dxa"/>
            <w:vAlign w:val="bottom"/>
            <w:gridSpan w:val="4"/>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1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Percentage of</w:t>
            </w: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Class A</w:t>
            </w: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Percentage of</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Shares and</w:t>
            </w: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Class A 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Class B Shares</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Class B Shares</w:t>
            </w: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Beneficially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Beneficially</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Beneficially</w:t>
            </w:r>
          </w:p>
        </w:tc>
      </w:tr>
      <w:tr>
        <w:trPr>
          <w:trHeight w:val="185"/>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Owned</w:t>
            </w:r>
          </w:p>
        </w:tc>
      </w:tr>
      <w:tr>
        <w:trPr>
          <w:trHeight w:val="205"/>
        </w:trPr>
        <w:tc>
          <w:tcPr>
            <w:tcW w:w="3300" w:type="dxa"/>
            <w:vAlign w:val="bottom"/>
            <w:tcBorders>
              <w:top w:val="single" w:sz="8" w:color="auto"/>
            </w:tcBorders>
            <w:gridSpan w:val="3"/>
          </w:tcPr>
          <w:p>
            <w:pPr>
              <w:spacing w:after="0" w:line="205" w:lineRule="exact"/>
              <w:rPr>
                <w:sz w:val="20"/>
                <w:szCs w:val="20"/>
                <w:color w:val="auto"/>
              </w:rPr>
            </w:pPr>
            <w:r>
              <w:rPr>
                <w:rFonts w:ascii="Arial" w:cs="Arial" w:eastAsia="Arial" w:hAnsi="Arial"/>
                <w:sz w:val="18"/>
                <w:szCs w:val="18"/>
                <w:b w:val="1"/>
                <w:bCs w:val="1"/>
                <w:color w:val="auto"/>
              </w:rPr>
              <w:t>Directors, Director Nominees and</w:t>
            </w: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480" w:type="dxa"/>
            <w:vAlign w:val="bottom"/>
            <w:gridSpan w:val="4"/>
          </w:tcPr>
          <w:p>
            <w:pPr>
              <w:ind w:left="180"/>
              <w:spacing w:after="0"/>
              <w:rPr>
                <w:sz w:val="20"/>
                <w:szCs w:val="20"/>
                <w:color w:val="auto"/>
              </w:rPr>
            </w:pPr>
            <w:r>
              <w:rPr>
                <w:rFonts w:ascii="Arial" w:cs="Arial" w:eastAsia="Arial" w:hAnsi="Arial"/>
                <w:sz w:val="18"/>
                <w:szCs w:val="18"/>
                <w:b w:val="1"/>
                <w:bCs w:val="1"/>
                <w:color w:val="auto"/>
              </w:rPr>
              <w:t>Executive Officers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348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Wesley R. Edens</w:t>
            </w:r>
            <w:r>
              <w:rPr>
                <w:rFonts w:ascii="Arial" w:cs="Arial" w:eastAsia="Arial" w:hAnsi="Arial"/>
                <w:sz w:val="29"/>
                <w:szCs w:val="29"/>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r>
      <w:tr>
        <w:trPr>
          <w:trHeight w:val="230"/>
        </w:trPr>
        <w:tc>
          <w:tcPr>
            <w:tcW w:w="3480" w:type="dxa"/>
            <w:vAlign w:val="bottom"/>
            <w:gridSpan w:val="4"/>
          </w:tcPr>
          <w:p>
            <w:pPr>
              <w:spacing w:after="0"/>
              <w:rPr>
                <w:sz w:val="20"/>
                <w:szCs w:val="20"/>
                <w:color w:val="auto"/>
              </w:rPr>
            </w:pPr>
            <w:r>
              <w:rPr>
                <w:rFonts w:ascii="Arial" w:cs="Arial" w:eastAsia="Arial" w:hAnsi="Arial"/>
                <w:sz w:val="18"/>
                <w:szCs w:val="18"/>
                <w:color w:val="auto"/>
              </w:rPr>
              <w:t>Christopher S. Guinta</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6"/>
        </w:trPr>
        <w:tc>
          <w:tcPr>
            <w:tcW w:w="3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Michael J. Utsler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gridSpan w:val="4"/>
          </w:tcPr>
          <w:p>
            <w:pPr>
              <w:spacing w:after="0" w:line="243" w:lineRule="exact"/>
              <w:rPr>
                <w:sz w:val="20"/>
                <w:szCs w:val="20"/>
                <w:color w:val="auto"/>
              </w:rPr>
            </w:pPr>
            <w:r>
              <w:rPr>
                <w:rFonts w:ascii="Arial" w:cs="Arial" w:eastAsia="Arial" w:hAnsi="Arial"/>
                <w:sz w:val="17"/>
                <w:szCs w:val="17"/>
                <w:color w:val="auto"/>
              </w:rPr>
              <w:t>Randal A. Nardone</w:t>
            </w:r>
            <w:r>
              <w:rPr>
                <w:rFonts w:ascii="Arial" w:cs="Arial" w:eastAsia="Arial" w:hAnsi="Arial"/>
                <w:sz w:val="28"/>
                <w:szCs w:val="2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2,500,000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1060" w:type="dxa"/>
            <w:vAlign w:val="bottom"/>
          </w:tcPr>
          <w:p>
            <w:pPr>
              <w:jc w:val="right"/>
              <w:spacing w:after="0"/>
              <w:rPr>
                <w:sz w:val="20"/>
                <w:szCs w:val="20"/>
                <w:color w:val="auto"/>
              </w:rPr>
            </w:pPr>
            <w:r>
              <w:rPr>
                <w:rFonts w:ascii="Arial" w:cs="Arial" w:eastAsia="Arial" w:hAnsi="Arial"/>
                <w:sz w:val="18"/>
                <w:szCs w:val="18"/>
                <w:color w:val="auto"/>
              </w:rPr>
              <w:t>147,058,824</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r>
      <w:tr>
        <w:trPr>
          <w:trHeight w:val="243"/>
        </w:trPr>
        <w:tc>
          <w:tcPr>
            <w:tcW w:w="3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Desmond Iain Catterall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gridSpan w:val="4"/>
          </w:tcPr>
          <w:p>
            <w:pPr>
              <w:spacing w:after="0"/>
              <w:rPr>
                <w:sz w:val="20"/>
                <w:szCs w:val="20"/>
                <w:color w:val="auto"/>
              </w:rPr>
            </w:pPr>
            <w:r>
              <w:rPr>
                <w:rFonts w:ascii="Arial" w:cs="Arial" w:eastAsia="Arial" w:hAnsi="Arial"/>
                <w:sz w:val="18"/>
                <w:szCs w:val="18"/>
                <w:color w:val="auto"/>
              </w:rPr>
              <w:t>David J. Grain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6"/>
        </w:trPr>
        <w:tc>
          <w:tcPr>
            <w:tcW w:w="3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 William Griffin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gridSpan w:val="4"/>
          </w:tcPr>
          <w:p>
            <w:pPr>
              <w:spacing w:after="0"/>
              <w:rPr>
                <w:sz w:val="20"/>
                <w:szCs w:val="20"/>
                <w:color w:val="auto"/>
              </w:rPr>
            </w:pPr>
            <w:r>
              <w:rPr>
                <w:rFonts w:ascii="Arial" w:cs="Arial" w:eastAsia="Arial" w:hAnsi="Arial"/>
                <w:sz w:val="18"/>
                <w:szCs w:val="18"/>
                <w:color w:val="auto"/>
              </w:rPr>
              <w:t>John J. Mack</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6"/>
        </w:trPr>
        <w:tc>
          <w:tcPr>
            <w:tcW w:w="3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Katherine E. Wanner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gridSpan w:val="4"/>
          </w:tcPr>
          <w:p>
            <w:pPr>
              <w:spacing w:after="0"/>
              <w:rPr>
                <w:sz w:val="20"/>
                <w:szCs w:val="20"/>
                <w:color w:val="auto"/>
              </w:rPr>
            </w:pPr>
            <w:r>
              <w:rPr>
                <w:rFonts w:ascii="Arial" w:cs="Arial" w:eastAsia="Arial" w:hAnsi="Arial"/>
                <w:sz w:val="18"/>
                <w:szCs w:val="18"/>
                <w:color w:val="auto"/>
              </w:rPr>
              <w:t>Matthew Wilkinson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8"/>
        </w:trPr>
        <w:tc>
          <w:tcPr>
            <w:tcW w:w="34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All executive officers and directors as a group</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3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(10 persons)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w:t>
            </w:r>
          </w:p>
        </w:tc>
      </w:tr>
      <w:tr>
        <w:trPr>
          <w:trHeight w:val="189"/>
        </w:trPr>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09" w:lineRule="exact"/>
        <w:rPr>
          <w:sz w:val="20"/>
          <w:szCs w:val="20"/>
          <w:color w:val="auto"/>
        </w:rPr>
      </w:pPr>
    </w:p>
    <w:p>
      <w:pPr>
        <w:ind w:left="347" w:right="100" w:hanging="347"/>
        <w:spacing w:after="0" w:line="264" w:lineRule="auto"/>
        <w:tabs>
          <w:tab w:leader="none" w:pos="347" w:val="left"/>
        </w:tabs>
        <w:numPr>
          <w:ilvl w:val="0"/>
          <w:numId w:val="30"/>
        </w:numPr>
        <w:rPr>
          <w:rFonts w:ascii="Arial" w:cs="Arial" w:eastAsia="Arial" w:hAnsi="Arial"/>
          <w:sz w:val="13"/>
          <w:szCs w:val="13"/>
          <w:color w:val="auto"/>
        </w:rPr>
      </w:pPr>
      <w:r>
        <w:rPr>
          <w:rFonts w:ascii="Arial" w:cs="Arial" w:eastAsia="Arial" w:hAnsi="Arial"/>
          <w:sz w:val="13"/>
          <w:szCs w:val="13"/>
          <w:color w:val="auto"/>
        </w:rPr>
        <w:t>New Fortress Energy Holdings, which directly holds the Class B shares of the Company, is majority-owned and controlled by Fortress Equity Partners (A) LP (the “Fortress Shareholder”). The Fortress Shareholder is controlled by Wesley R. Edens, our Chief Executive Officer. Mr. Edens exercises voting power over the shares held by New Fortress Energy Holdings and may be deemed to be the beneficial owner thereof. Each of Mr. Edens and Mr. Nardone has the right to acquire beneficial ownership of his pro rata portion of the Class B shares and corresponding NFI LLC Units held directly by New Fortress Energy Holdings at his election pursuant to the NFI LLC Agreement and may be deemed to share dispositive power over such Class B shares and NFI LLC Units. Each of Mr.</w:t>
      </w:r>
    </w:p>
    <w:p>
      <w:pPr>
        <w:ind w:left="347"/>
        <w:spacing w:after="0"/>
        <w:rPr>
          <w:rFonts w:ascii="Arial" w:cs="Arial" w:eastAsia="Arial" w:hAnsi="Arial"/>
          <w:sz w:val="13"/>
          <w:szCs w:val="13"/>
          <w:color w:val="auto"/>
        </w:rPr>
      </w:pPr>
      <w:r>
        <w:rPr>
          <w:rFonts w:ascii="Arial" w:cs="Arial" w:eastAsia="Arial" w:hAnsi="Arial"/>
          <w:sz w:val="14"/>
          <w:szCs w:val="14"/>
          <w:color w:val="auto"/>
        </w:rPr>
        <w:t>Edens and Mr. Nardone purchased 2,500,000 Class A shares in the Offering.</w:t>
      </w:r>
    </w:p>
    <w:p>
      <w:pPr>
        <w:spacing w:after="0" w:line="97" w:lineRule="exact"/>
        <w:rPr>
          <w:rFonts w:ascii="Arial" w:cs="Arial" w:eastAsia="Arial" w:hAnsi="Arial"/>
          <w:sz w:val="13"/>
          <w:szCs w:val="13"/>
          <w:color w:val="auto"/>
        </w:rPr>
      </w:pPr>
    </w:p>
    <w:p>
      <w:pPr>
        <w:ind w:left="347" w:right="80" w:hanging="347"/>
        <w:spacing w:after="0" w:line="268" w:lineRule="auto"/>
        <w:tabs>
          <w:tab w:leader="none" w:pos="347"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Based on the Schedule 13G jointly filed with the SEC on February 11, 2019 by Encompass Capital Advisors LLC, Encompass Capital Partners LLC, Encompass Capital Master Fund LP and Todd J. Kantor. In this Schedule 13G, Encompass Capital Advisors LLC and Todd J. Kantor have shared power to vote and dispose of 1,700,000 Class A shares and Encompass Capital Partners LLC and Encompass Master Fund LP have shared power to vote and dispose of 1,158,221 Class A shares. The address of the principal business office of Encompass Capital Advisors LLC and Encompass Capital Partners LLC is 200 Park Avenue, 11th Floor, New York, NY 10166. The address of the principal business office of Encompass Capital Master Fund LP is c/o Intertrust Corporate Services (Cayman) Ltd, 190 Elgin Avenue, George Town, Grand Cayman KY1-9007, Cayman Islands. The address of the principal business office of Todd J. Kantor is c/o Encompass Capital Advisors LLC, 200 Park Avenue, 11th Floor, New York, NY 10166.</w:t>
      </w:r>
    </w:p>
    <w:p>
      <w:pPr>
        <w:spacing w:after="0" w:line="73" w:lineRule="exact"/>
        <w:rPr>
          <w:rFonts w:ascii="Arial" w:cs="Arial" w:eastAsia="Arial" w:hAnsi="Arial"/>
          <w:sz w:val="13"/>
          <w:szCs w:val="13"/>
          <w:color w:val="auto"/>
        </w:rPr>
      </w:pPr>
    </w:p>
    <w:p>
      <w:pPr>
        <w:ind w:left="347" w:right="140" w:hanging="347"/>
        <w:spacing w:after="0" w:line="247" w:lineRule="auto"/>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the Schedule 13G jointly filed February 11, 2019 with the SEC by T. Rowe Price Associates, Inc. (“Price Associates”) and T. Rowe Price New Horizons Fund, Inc. (“New Horizons”). Price Associates reported that, as an investment adviser, it beneficially owned 3,200,000 Class A shares, sole voting power with respect to 585,640 Class A shares and sole dispositive power with respect to 3,200,000 Class A shares and no shared voting or dispositive power. New Horizons reported that, as an investment company, it beneficially owned 1,637,654 Class A shares, over which it has sole voting power with respect to 1,637,654 shares and no sole dispositive power, no shared voting power and no shared dispositive power. The address of the principal business office of Price Associates and New Horizons is 100 E. Pratt Street, Baltimore, Maryland 21202.</w:t>
      </w:r>
    </w:p>
    <w:p>
      <w:pPr>
        <w:spacing w:after="0" w:line="86" w:lineRule="exact"/>
        <w:rPr>
          <w:rFonts w:ascii="Arial" w:cs="Arial" w:eastAsia="Arial" w:hAnsi="Arial"/>
          <w:sz w:val="14"/>
          <w:szCs w:val="14"/>
          <w:color w:val="auto"/>
        </w:rPr>
      </w:pPr>
    </w:p>
    <w:p>
      <w:pPr>
        <w:ind w:left="347" w:right="280" w:hanging="347"/>
        <w:spacing w:after="0" w:line="252" w:lineRule="auto"/>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the Schedule 13G jointly filed February 13, 2019 with the SEC by Duquesne Family Office LLC and Stanley Druckenmiller. Duquesne Family Office LLC and Mr. Druckenmiller reported shared voting and shared dispositive power with respect to 1,200,000 Class A shares and no sole voting or dispositive power. The address of the principal business office of each of Duquesne Family Office LLC and Mr. Druckenmiller is 40 West 57th Street, 25th Floor New York, New York, 10019.</w:t>
      </w:r>
    </w:p>
    <w:p>
      <w:pPr>
        <w:spacing w:after="0" w:line="67" w:lineRule="exact"/>
        <w:rPr>
          <w:sz w:val="20"/>
          <w:szCs w:val="20"/>
          <w:color w:val="auto"/>
        </w:rPr>
      </w:pPr>
    </w:p>
    <w:p>
      <w:pPr>
        <w:ind w:left="7"/>
        <w:spacing w:after="0"/>
        <w:tabs>
          <w:tab w:leader="none" w:pos="786"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left="7" w:right="260" w:firstLine="360"/>
        <w:spacing w:after="0" w:line="312" w:lineRule="auto"/>
        <w:rPr>
          <w:sz w:val="20"/>
          <w:szCs w:val="20"/>
          <w:color w:val="auto"/>
        </w:rPr>
      </w:pPr>
      <w:r>
        <w:rPr>
          <w:rFonts w:ascii="Arial" w:cs="Arial" w:eastAsia="Arial" w:hAnsi="Arial"/>
          <w:sz w:val="16"/>
          <w:szCs w:val="16"/>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Agreements with Affiliates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117" w:lineRule="exact"/>
        <w:rPr>
          <w:sz w:val="20"/>
          <w:szCs w:val="20"/>
          <w:color w:val="auto"/>
        </w:rPr>
      </w:pPr>
    </w:p>
    <w:p>
      <w:pPr>
        <w:ind w:left="7" w:right="40" w:firstLine="360"/>
        <w:spacing w:after="0" w:line="264" w:lineRule="auto"/>
        <w:rPr>
          <w:sz w:val="20"/>
          <w:szCs w:val="20"/>
          <w:color w:val="auto"/>
        </w:rPr>
      </w:pPr>
      <w:r>
        <w:rPr>
          <w:rFonts w:ascii="Arial" w:cs="Arial" w:eastAsia="Arial" w:hAnsi="Arial"/>
          <w:sz w:val="18"/>
          <w:szCs w:val="18"/>
          <w:color w:val="auto"/>
        </w:rPr>
        <w:t>In connection with the closing of the Offering, we entered into a contribution agreement that effects the Transactions, including the transfer of the ownership interests in NFI to us, and the use of the net proceeds in connection with the completion of the Offering. While we believe this agreement is on terms no less favorable to</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any party than those that could have been negotiated with an unaffiliated third party, it was not the result of arm’s-length negotiations. All of the transaction expenses incurred in connection with these transactions were paid from the proceeds of the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Our Shareholders’ Agreement provides that the parties thereto will use their respective reasonable efforts (including voting or causing to be voted all of our voting shares beneficially owned by each) so that no amendment is made to our operating agreement in effect as of the date of the Shareholders’ Agreement that would add restrictions to the transferability of our shares by New Fortress Energy Holdings or its permitted transferees which are beyond those provided for in our operating agreement,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Designation and Election of Directors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Shareholders’ Agreement provides that, for so long as the Shareholders’ Agreement is in effect, we and New Fortress Energy Holdings shall take all reasonable actions within our respective control (including voting or causing to be voted all of the securities entitled to vote generally in the election of our directors held of record or beneficially owned by New Fortress Energy Holdings or its affiliates, and, with respect to us, including in the slate of nominees recommended by the board of directors those individuals designated by New Fortress Energy Holdings) so as to elect to the board of directors, and to cause to continue in office, not more than eight directors (or such other number as New Fortress Energy Holdings may agree in writing), of whom, at any given time:</w:t>
      </w:r>
    </w:p>
    <w:p>
      <w:pPr>
        <w:spacing w:after="0" w:line="81" w:lineRule="exact"/>
        <w:rPr>
          <w:sz w:val="20"/>
          <w:szCs w:val="20"/>
          <w:color w:val="auto"/>
        </w:rPr>
      </w:pPr>
    </w:p>
    <w:p>
      <w:pPr>
        <w:ind w:left="700" w:right="80" w:hanging="356"/>
        <w:spacing w:after="0" w:line="25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of directors, plus one director, shall be individuals designated by New Fortress Energy Holdings, for so long as New Fortress Energy Holdings directly or indirectly beneficially owns, together with its affiliates and permitted transferees, at least 30% of our voting power, provided that if the board of directors consists of six or fewer directors, then New Fortress Energy Holdings shall have the right to designate a number of directors equal to a majority of the board of directors;</w:t>
      </w:r>
    </w:p>
    <w:p>
      <w:pPr>
        <w:spacing w:after="0" w:line="80" w:lineRule="exact"/>
        <w:rPr>
          <w:rFonts w:ascii="Arial" w:cs="Arial" w:eastAsia="Arial" w:hAnsi="Arial"/>
          <w:sz w:val="18"/>
          <w:szCs w:val="18"/>
          <w:color w:val="auto"/>
        </w:rPr>
      </w:pPr>
    </w:p>
    <w:p>
      <w:pPr>
        <w:ind w:left="700" w:hanging="356"/>
        <w:spacing w:after="0" w:line="25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number equal to a majority of the board of directors, minus one director, shall be individuals designated by New Fortress Energy Holdings, for so long as New Fortress Energy Holdings directly or indirectly beneficially owns, together with its affiliates and permitted transferees, less than 30% but at least 20% of our voting power, provided that if the board of directors consists of six or fewer directors, then New Fortress Energy Holdings shall have the right to designate a number of directors equal to three directors;</w:t>
      </w:r>
    </w:p>
    <w:p>
      <w:pPr>
        <w:spacing w:after="0" w:line="80" w:lineRule="exact"/>
        <w:rPr>
          <w:rFonts w:ascii="Arial" w:cs="Arial" w:eastAsia="Arial" w:hAnsi="Arial"/>
          <w:sz w:val="18"/>
          <w:szCs w:val="18"/>
          <w:color w:val="auto"/>
        </w:rPr>
      </w:pPr>
    </w:p>
    <w:p>
      <w:pPr>
        <w:ind w:left="700" w:right="100" w:hanging="356"/>
        <w:spacing w:after="0" w:line="255"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20% but at least 10% of our voting power, provided that if the board of directors consists of six or fewer directors, then New Fortress Energy Holdings shall have the right to designate a number of directors equal to two directors; and</w:t>
      </w:r>
    </w:p>
    <w:p>
      <w:pPr>
        <w:spacing w:after="0" w:line="85" w:lineRule="exact"/>
        <w:rPr>
          <w:rFonts w:ascii="Arial" w:cs="Arial" w:eastAsia="Arial" w:hAnsi="Arial"/>
          <w:sz w:val="18"/>
          <w:szCs w:val="18"/>
          <w:color w:val="auto"/>
        </w:rPr>
      </w:pPr>
    </w:p>
    <w:p>
      <w:pPr>
        <w:ind w:left="700" w:right="100" w:hanging="356"/>
        <w:spacing w:after="0" w:line="255"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10% but at least 5% of our voting power, provided that if the board of directors consists of six or fewer directors, then New Fortress Energy Holdings shall have the right to designate a number of directors equal to one director.</w:t>
      </w:r>
    </w:p>
    <w:p>
      <w:pPr>
        <w:spacing w:after="0" w:line="85"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So long as New Fortress Energy Holdings is entitled to designate one or more nominees to the board of directors and notifies the board of directors of its desire to remove, with or without cause, any director previously designated by it to the board of directors, we are required to take all necessary action to cause such removal.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In accordance with the Shareholders’ Agreement, New Fortress Energy Holdings designated Messrs. Catterall, Grain, Griffin, Mack and Wilkinson for election to our board of directors.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Shareholders’ Agreement provides that we will indemnify New Fortress Energy Holdings and its officers, directors, employees, agents and affiliates against losses arising out of third-party claims (including litigation matters and other claims) based on, arising out of or resulting from:</w:t>
      </w:r>
    </w:p>
    <w:p>
      <w:pPr>
        <w:spacing w:after="0" w:line="73" w:lineRule="exact"/>
        <w:rPr>
          <w:sz w:val="20"/>
          <w:szCs w:val="20"/>
          <w:color w:val="auto"/>
        </w:rPr>
      </w:pPr>
    </w:p>
    <w:p>
      <w:pPr>
        <w:ind w:left="700" w:right="62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or the operation of our assets or properties, and the operation or conduct of our business, prior to or following the Offering;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activities we engage in.</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In addition, we have agreed to indemnify New Fortress Energy Holdings and its officers, directors, employees, agents and affiliates against losses, including liabilities under the Securities Act and the Exchange Act, relating to misstatements in or omissions from our registration statement on Form S-1 (File No. 333-228339) declared effective by the SEC on January 30, 2019, and any other registration statement or report that we file, other than misstatements or omissions made in reliance on information relating to and furnished by New Fortress Energy Holdings for use in the preparation of that registration statement or this Annual Report, against which New Fortress Energy Holdings has agreed to indemnify us.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Demand Rights</w:t>
      </w:r>
      <w:r>
        <w:rPr>
          <w:rFonts w:ascii="Arial" w:cs="Arial" w:eastAsia="Arial" w:hAnsi="Arial"/>
          <w:sz w:val="17"/>
          <w:szCs w:val="17"/>
          <w:color w:val="auto"/>
        </w:rPr>
        <w:t>. Under our Shareholders’ Agreement, New Fortress Energy Holdings will have, for so long as New Fortress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Holdings directly or indirectly beneficially owns, together with its affiliates and permitted transferees, an amount of our Class A and Class B shares (whether owned at the time of the Offering or subsequently acquired) equal to or greater than 1% of the Class A and Class B shares issued and outstanding immediately after the consummation of the Offering (a “Registrable Amount”), “demand” registration rights that allow New Fortress Energy Holdings, for itself and for its affiliates and permitted transferees, at any time after 180 days following the consummation of the Offering, to request that we register under the Securities Act an amount of Class A shares equal to or greater than a Registrable Amount. New Fortress Energy Holdings, for itself and for its affiliates and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72"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i w:val="1"/>
          <w:iCs w:val="1"/>
          <w:color w:val="auto"/>
        </w:rPr>
        <w:t>Piggyback Rights</w:t>
      </w:r>
      <w:r>
        <w:rPr>
          <w:rFonts w:ascii="Arial" w:cs="Arial" w:eastAsia="Arial" w:hAnsi="Arial"/>
          <w:sz w:val="16"/>
          <w:szCs w:val="16"/>
          <w:color w:val="auto"/>
        </w:rPr>
        <w:t>. For so long as New Fortress Energy Holdings beneficially owns, together with its affiliates and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transferees, a Registrable Amount, New Fortress Energy Holdings (and its affiliates and permitted transferees) will also have “piggyback” registration rights that allow them to include Class A shares that they own in any public offering of equity securities initiated by us (other than those public offerings pursuant to registration statements on Form S-4 or Form S-8 or pursuant to an employee benefit plan arrangement) or by any of our other shareholders that have registration rights. These “piggyback” registration rights are subject to proportional cutbacks based on the manner of the offering and the identity of the party initiating such offering.</w:t>
      </w:r>
    </w:p>
    <w:p>
      <w:pPr>
        <w:spacing w:after="0" w:line="5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Shelf Registration</w:t>
      </w:r>
      <w:r>
        <w:rPr>
          <w:rFonts w:ascii="Arial" w:cs="Arial" w:eastAsia="Arial" w:hAnsi="Arial"/>
          <w:sz w:val="17"/>
          <w:szCs w:val="17"/>
          <w:color w:val="auto"/>
        </w:rPr>
        <w:t>. Under our Shareholders’ Agreement, we will grant to New Fortress Energy Holdings or any of its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transferees, for so long as New Fortress Energy Holdings, together with its affiliates and permitted transferees, beneficially owns a Registrable Amount, the right to request a shelf registration on Form S-3 providing for offerings of Class A shares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shareholders. In addition, New Fortress Energy Holdings, for itself and for its affiliates and permitted transferees, may elect to participate in such shelf registrations within ten days after notice of the registration is given.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Indemnification; Expenses; Lock-ups</w:t>
      </w:r>
      <w:r>
        <w:rPr>
          <w:rFonts w:ascii="Arial" w:cs="Arial" w:eastAsia="Arial" w:hAnsi="Arial"/>
          <w:sz w:val="17"/>
          <w:szCs w:val="17"/>
          <w:color w:val="auto"/>
        </w:rPr>
        <w:t>. Under our Shareholders’ Agreement, we agree to indemnify the applicable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agrees to indemnify us against all losses caused by its misstatements or omissions. We will pay all registration and offering-related expenses incidental to our performance under the Shareholders’ Agreement, and the applicable selling shareholder will pay its portion of all underwriting discounts, commissions and transfer taxes, if any, relating to the sale of its Class A shares under the Shareholders’ Agreement. We have entered into, and have caused our officers and directors to enter into, lock-up agreements in connection with any exercise of registration rights by New Fortress Energy Holdings, for itself and for its affiliates and permitted transferees.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Information Rights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Under our Shareholders’ Agreement, New Fortress Energy Holdings has the right to request certain information from us.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Assistance in the Sale of New Fortress Energy Holdings’ Shares</w:t>
      </w:r>
    </w:p>
    <w:p>
      <w:pPr>
        <w:spacing w:after="0" w:line="117"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7"/>
          <w:szCs w:val="17"/>
          <w:color w:val="auto"/>
        </w:rPr>
        <w:t>Under our Shareholders’ Agreement, if New Fortress Energy Holdings seeks to sell its Class A shares other than pursuant to a registration statement, we shall use our reasonable best efforts to assist New Fortress Energy Holdings in the sale process, including by providing information to potential purchasers as requested by New Fortress Energy Holdings.</w:t>
      </w:r>
    </w:p>
    <w:p>
      <w:pPr>
        <w:spacing w:after="0" w:line="5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if the board of the directors starts and then abandons a sale process, and New Fortress Energy Holdings subsequently indicates that it wants to sell its Class A shares, we shall permit New Fortress Energy Holdings to engage in discussions with potential purchasers who participated in the abandoned sales process. We shall be obligated to assist New Fortress Energy Holdings in any such sale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NFI</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NFI LLC Agreement is filed as an exhibit to our registration statement on Form S-1 (File No. 333-228339) declared effective by the SEC on January 30, 2019 and this Annual Report. The following description of the NFI LLC Agreement is qualified in its entirety by reference thereto.</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Redemption Rights</w:t>
      </w:r>
    </w:p>
    <w:p>
      <w:pPr>
        <w:spacing w:after="0" w:line="11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Under the NFI LLC Agreement, New Fortress Energy Holdings and any permitted transferees of their NFI LLC Units, subject to certain limitations, have the right, pursuant to the Redemption Right, to cause NFI to acquire all or a portion of its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our board of directors. Alternatively, upon the exercise of the Redemption Right, NFE (instead of NFI) has the right, pursuant to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Our decision with respect to the Call Right will be made by a committee of our board of directors. In connection with any redemption of NFI LLC Units pursuant to the Redemption Right or our Call Right, the corresponding number of Class B shares will be cancelled.</w:t>
      </w:r>
    </w:p>
    <w:p>
      <w:pPr>
        <w:spacing w:after="0" w:line="64"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For purposes of any transfer or exchange of NFI LLC Units initially owned by New Fortress Energy Holdings and our Class B shares, the NFI LLC Agreement and our operating agreement contain provisions effectively linking each NFI LLC Unit with one of our Class B shares. Class B shares cannot be transferred without transferring an equal number of NFI LLC Units and vice versa.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Distributions and Allocations</w:t>
      </w:r>
    </w:p>
    <w:p>
      <w:pPr>
        <w:spacing w:after="0" w:line="117" w:lineRule="exact"/>
        <w:rPr>
          <w:sz w:val="20"/>
          <w:szCs w:val="20"/>
          <w:color w:val="auto"/>
        </w:rPr>
      </w:pPr>
    </w:p>
    <w:p>
      <w:pPr>
        <w:jc w:val="both"/>
        <w:ind w:right="40" w:firstLine="360"/>
        <w:spacing w:after="0" w:line="259" w:lineRule="auto"/>
        <w:rPr>
          <w:sz w:val="20"/>
          <w:szCs w:val="20"/>
          <w:color w:val="auto"/>
        </w:rPr>
      </w:pPr>
      <w:r>
        <w:rPr>
          <w:rFonts w:ascii="Arial" w:cs="Arial" w:eastAsia="Arial" w:hAnsi="Arial"/>
          <w:sz w:val="18"/>
          <w:szCs w:val="18"/>
          <w:color w:val="auto"/>
        </w:rPr>
        <w:t>In accordance with the NFI LLC Agreement, subject to the requirement to make tax distributions described below, we have the right to determine when distributions will be made to the holders of NFI LLC Units and the amount of any such distributions. If we authorize a distribution, such distribution will be made to the holders of NFI LLC Units generally on a pro rata basis in accordance with their respective percentage ownership of NFI LLC Units.</w:t>
      </w:r>
    </w:p>
    <w:p>
      <w:pPr>
        <w:spacing w:after="0" w:line="79"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color w:val="auto"/>
        </w:rPr>
        <w:t>NFI allocates its net income or net loss for each year to the holders of NFI LLC Units pursuant to the terms of the NFI LLC Agreement, and the holders of NFI LLC Units, including NFE, generally incur U.S. federal, state and local income taxes on their share of any taxable income of NFI. Net income and losses of NFI are generally allocated to the holders of NFI LLC Units on a pro rata basis in accordance with their respective percentage ownership of NFI LLC Units, subject to requirements under U.S. federal income tax law that certain items of income, gain, loss or deduction be allocated disproportionately in certain circumstances. To the extent NFI has available cash and subject to the terms of NFE’s credit agreements and any other debt instruments, we will cause NFI to make (i) generally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NFI Holdings), and (iii) non-pro rata distributions to NFE in an amount at least sufficient to reimburse it for its corporate and other overhead expenses.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Issuance of Equity</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NFI LLC Agreement provides that, except as otherwise determined by us, at any time NFE issues a Class A share or any other equity security, the net proceeds received by NFE with respect to such issuance, if any, shall be concurrently invested in NFI, and NFI shall issue to NFE one NFI LLC Unit or other economically equivalent equity interest unless such net proceeds are used by NFE to acquire a NFI LLC Unit pursuant to NFE’s exercise of the Call Right. Conversely, if at any time, any of NFE’s Class A shares are redeemed, repurchased or otherwise acquired, NFI shall redeem, repurchase or otherwise acquire an equal number of NFI LLC Units held by NFE, upon the same terms and for the same price, as our Class A shares are redeemed, repurchased or otherwise acquired.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Ground Lease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the property for our Miami Facility from an affiliate of Fortress.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The Lease</w:t>
      </w:r>
      <w:r>
        <w:rPr>
          <w:rFonts w:ascii="Arial" w:cs="Arial" w:eastAsia="Arial" w:hAnsi="Arial"/>
          <w:sz w:val="18"/>
          <w:szCs w:val="18"/>
          <w:color w:val="auto"/>
        </w:rPr>
        <w:t>. Our subsidiary, LNG Holdings (Florida) LLC (“Florida Holdings”), is the owner and operator of the Miami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8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Miami Lease commenced November 20, 2014, and expires November 19, 2019. The term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extend for five additional periods of five years each (unless Miami Tenant notifies Miami Landlord otherwise as set forth in the Miami Lease).</w:t>
      </w:r>
    </w:p>
    <w:p>
      <w:pPr>
        <w:spacing w:after="0" w:line="73"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i w:val="1"/>
          <w:iCs w:val="1"/>
          <w:color w:val="auto"/>
        </w:rPr>
        <w:t>Rent; Security</w:t>
      </w:r>
      <w:r>
        <w:rPr>
          <w:rFonts w:ascii="Arial" w:cs="Arial" w:eastAsia="Arial" w:hAnsi="Arial"/>
          <w:sz w:val="16"/>
          <w:szCs w:val="16"/>
          <w:color w:val="auto"/>
        </w:rPr>
        <w:t>. Miami Tenant pays base rent in the amount of $270,000 per year, which amount shall escalate by 2.5%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commencement date. Miami Tenant has delivered a security deposit in the amount of $135,000, which will be reduced to $70,000 upon commencement of the first renewal term, and further reduced to $0 upon commencement of the second renewal term. Miami Tenant has the right to provide the security deposit in the form of a letter of credit.</w:t>
      </w:r>
    </w:p>
    <w:p>
      <w:pPr>
        <w:spacing w:after="0" w:line="46" w:lineRule="exact"/>
        <w:rPr>
          <w:sz w:val="20"/>
          <w:szCs w:val="20"/>
          <w:color w:val="auto"/>
        </w:rPr>
      </w:pPr>
    </w:p>
    <w:p>
      <w:pPr>
        <w:ind w:right="560" w:firstLine="360"/>
        <w:spacing w:after="0" w:line="308" w:lineRule="auto"/>
        <w:rPr>
          <w:sz w:val="20"/>
          <w:szCs w:val="20"/>
          <w:color w:val="auto"/>
        </w:rPr>
      </w:pPr>
      <w:r>
        <w:rPr>
          <w:rFonts w:ascii="Arial" w:cs="Arial" w:eastAsia="Arial" w:hAnsi="Arial"/>
          <w:sz w:val="17"/>
          <w:szCs w:val="17"/>
          <w:i w:val="1"/>
          <w:iCs w:val="1"/>
          <w:color w:val="auto"/>
        </w:rPr>
        <w:t>Net Lease</w:t>
      </w:r>
      <w:r>
        <w:rPr>
          <w:rFonts w:ascii="Arial" w:cs="Arial" w:eastAsia="Arial" w:hAnsi="Arial"/>
          <w:sz w:val="17"/>
          <w:szCs w:val="17"/>
          <w:color w:val="auto"/>
        </w:rPr>
        <w:t>. Miami Tenant is responsible for all other costs attributable to the Miami leased premises and Miami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property taxes, insurance, and utilities, as well as all maintenance, repair, and replacement costs.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Aircraft</w:t>
      </w:r>
    </w:p>
    <w:p>
      <w:pPr>
        <w:spacing w:after="0" w:line="117"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Mr. Edens owns or leases an aircraft that we charter from a third-party aircraft operator for business purposes in the ordinary course of operations. We incurred $1.9 million for the year ended December 31, 2018, and such amount is included within Selling, general and administrative charges reimbursed to FIG LLC pursuant to the management services agreement described below. We paid the aircraft operator market rates for the charters. The operator remits a portion of these amounts to Mr. Edens.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are party to a management services agreement with FIG LLC, an affiliate of Fortress, pursuant to which FIG LLC provides us with certain back-office services and charges us for selling, general and administrative expenses incurred to provide these services. For the year ended December 31, 2018, we incurred FIG LLC $5.7 million charges, for services provided under the management services agreement. The management services agreement was terminated in connection with the closing of the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We entered into an administrative services agreement with FIG LLC, an affiliate of Fortress, in connection with the closing of the Offering, pursuant to which FIG LLC provides us with certain back-office services and charge us for selling, general and administrative expenses incurred to provide these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Headquarters Lease</w:t>
      </w:r>
    </w:p>
    <w:p>
      <w:pPr>
        <w:spacing w:after="0" w:line="11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In November 2018, we entered into a month-to-month non-exclusive license agreement, pursuant to which we lease our corporate offices from the Fortress Shareholder, an entity owned jointly by Wesley R. Edens and Randal A. Nardone. Under this license agreement, the Company paid rent of approximately $901,000 rent for the year ended December 31, 2018. The Fortress Shareholder agreed to be the lessor of record for the lease to facilitate the Company’s ability to occupy the space in the timeframe desired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the Offering</w:t>
      </w:r>
    </w:p>
    <w:p>
      <w:pPr>
        <w:spacing w:after="0" w:line="117"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Certain of our executive officers and directors (including our Chief Executive Officer and Chairman) purchased 5,000,000 Class A shares in connection with the Offering at the initial public offering price per share and on the same terms as the other purchasers in the Offering for an aggregate of $70 million. The underwriters received the same underwriting discount on these shares as they did on any other shares sold to the public in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Review, Approval and Ratification of Transactions with Related Persons</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have adopted a written policy that outlines procedures for approving transactions with related persons, and any such transactions will be reviewed and approved or ratified by a majority of our disinterested and independent directors pursuant to the procedures outlined in any such policy. In determining whether to approve or ratify a transaction with a related person, we expect that the independent and disinterested directors will consider a variety of factors they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Our board of directors currently consists of eight directors. Our board of directors determined that Ms. Wanner and Messrs. Griffin, Mack, Wilkinson, Grain and Catterall qualify as independent directors under the corporate governance standards of NASDAQ.</w:t>
      </w:r>
    </w:p>
    <w:p>
      <w:pPr>
        <w:spacing w:after="0" w:line="73"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5" w:name="page86"/>
    <w:bookmarkEnd w:id="85"/>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
        <w:spacing w:after="0"/>
        <w:tabs>
          <w:tab w:leader="none" w:pos="786"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7" w:right="100" w:firstLine="360"/>
        <w:spacing w:after="0" w:line="308" w:lineRule="auto"/>
        <w:rPr>
          <w:sz w:val="20"/>
          <w:szCs w:val="20"/>
          <w:color w:val="auto"/>
        </w:rPr>
      </w:pPr>
      <w:r>
        <w:rPr>
          <w:rFonts w:ascii="Arial" w:cs="Arial" w:eastAsia="Arial" w:hAnsi="Arial"/>
          <w:sz w:val="17"/>
          <w:szCs w:val="17"/>
          <w:color w:val="auto"/>
        </w:rPr>
        <w:t>The table below sets forth the aggregate fees and expenses for the years ended December 31, 2018 and December 31, 2017 for professional services performed by our independent registered public accounting firm Ernst &amp; Young LLP:</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83"/>
        </w:trPr>
        <w:tc>
          <w:tcPr>
            <w:tcW w:w="7160" w:type="dxa"/>
            <w:vAlign w:val="bottom"/>
            <w:gridSpan w:val="5"/>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6960" w:type="dxa"/>
            <w:vAlign w:val="bottom"/>
            <w:tcBorders>
              <w:top w:val="single" w:sz="8" w:color="auto"/>
            </w:tcBorders>
            <w:gridSpan w:val="2"/>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180" w:type="dxa"/>
            <w:vAlign w:val="bottom"/>
            <w:gridSpan w:val="2"/>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1,339,988</w:t>
            </w:r>
          </w:p>
        </w:tc>
        <w:tc>
          <w:tcPr>
            <w:tcW w:w="180" w:type="dxa"/>
            <w:vAlign w:val="bottom"/>
            <w:gridSpan w:val="2"/>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1,135,739</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714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gridSpan w:val="4"/>
          </w:tcPr>
          <w:p>
            <w:pPr>
              <w:spacing w:after="0"/>
              <w:rPr>
                <w:sz w:val="20"/>
                <w:szCs w:val="20"/>
                <w:color w:val="auto"/>
              </w:rPr>
            </w:pPr>
            <w:r>
              <w:rPr>
                <w:rFonts w:ascii="Arial" w:cs="Arial" w:eastAsia="Arial" w:hAnsi="Arial"/>
                <w:sz w:val="18"/>
                <w:szCs w:val="18"/>
                <w:color w:val="auto"/>
              </w:rPr>
              <w:t>All Other Fees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1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1,349,990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1,135,739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right="60" w:hanging="347"/>
        <w:spacing w:after="0" w:line="252"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Audit fees consists of the aggregate fees billed or expected to be billed for professional services rendered for (i) the audit of our annual financial statements for fiscal years ended December 31, 2018 and December 31, 2017 included in our Annual Report and our registration statement on Form S-1 (File No. 333-228339) declared effective by the SEC on January 30, 2019, (ii) research necessary to comply with GAAP, and (iii) professional services performed related to the issuance of consents and comfort letters.</w:t>
      </w:r>
    </w:p>
    <w:p>
      <w:pPr>
        <w:spacing w:after="0" w:line="80" w:lineRule="exact"/>
        <w:rPr>
          <w:rFonts w:ascii="Arial" w:cs="Arial" w:eastAsia="Arial" w:hAnsi="Arial"/>
          <w:sz w:val="14"/>
          <w:szCs w:val="14"/>
          <w:color w:val="auto"/>
        </w:rPr>
      </w:pPr>
    </w:p>
    <w:p>
      <w:pPr>
        <w:ind w:left="347" w:right="180" w:hanging="347"/>
        <w:spacing w:after="0" w:line="273"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Tax fees consists of fees for professional services rendered by our principal accountant for tax compliance, tax advice and tax planning for fiscal years ended December 31, 2018 and December 31, 2017.</w:t>
      </w:r>
    </w:p>
    <w:p>
      <w:pPr>
        <w:spacing w:after="0" w:line="57"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85" w:lineRule="exact"/>
        <w:rPr>
          <w:sz w:val="20"/>
          <w:szCs w:val="20"/>
          <w:color w:val="auto"/>
        </w:rPr>
      </w:pPr>
    </w:p>
    <w:p>
      <w:pPr>
        <w:ind w:left="7" w:right="120" w:firstLine="360"/>
        <w:spacing w:after="0" w:line="289" w:lineRule="auto"/>
        <w:rPr>
          <w:sz w:val="20"/>
          <w:szCs w:val="20"/>
          <w:color w:val="auto"/>
        </w:rPr>
      </w:pPr>
      <w:r>
        <w:rPr>
          <w:rFonts w:ascii="Arial" w:cs="Arial" w:eastAsia="Arial" w:hAnsi="Arial"/>
          <w:sz w:val="16"/>
          <w:szCs w:val="16"/>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For the years ended December 31, 2018 and 2017, we did not have an audit committee or pre-approval policy. The charter of the audit committee and its pre-approval policy, each adopted in connection with, or subsequent to, the Offering, require that the audit committee review and pre-approve the plan and scope of Ernst &amp; Young LLP’s audit, audit-related, tax and other services.</w:t>
      </w:r>
    </w:p>
    <w:p>
      <w:pPr>
        <w:spacing w:after="0" w:line="59" w:lineRule="exact"/>
        <w:rPr>
          <w:sz w:val="20"/>
          <w:szCs w:val="20"/>
          <w:color w:val="auto"/>
        </w:rPr>
      </w:pPr>
    </w:p>
    <w:p>
      <w:pPr>
        <w:ind w:left="7" w:right="80" w:firstLine="360"/>
        <w:spacing w:after="0" w:line="308" w:lineRule="auto"/>
        <w:rPr>
          <w:sz w:val="20"/>
          <w:szCs w:val="20"/>
          <w:color w:val="auto"/>
        </w:rPr>
      </w:pPr>
      <w:r>
        <w:rPr>
          <w:rFonts w:ascii="Arial" w:cs="Arial" w:eastAsia="Arial" w:hAnsi="Arial"/>
          <w:sz w:val="17"/>
          <w:szCs w:val="17"/>
          <w:color w:val="auto"/>
        </w:rPr>
        <w:t>Our audit committee has approved the appointment of Ernst &amp; Young LLP as independent registered public accounting firm to conduct the audit of the Company’s consolidated financial statements for the year ended December 31, 2019.</w:t>
      </w:r>
    </w:p>
    <w:p>
      <w:pPr>
        <w:spacing w:after="0" w:line="14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6" w:name="page87"/>
    <w:bookmarkEnd w:id="8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7"/>
        <w:spacing w:after="0"/>
        <w:tabs>
          <w:tab w:leader="none" w:pos="786"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7"/>
        <w:spacing w:after="0"/>
        <w:tabs>
          <w:tab w:leader="none" w:pos="686"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117" w:lineRule="exact"/>
        <w:rPr>
          <w:sz w:val="20"/>
          <w:szCs w:val="20"/>
          <w:color w:val="auto"/>
        </w:rPr>
      </w:pPr>
    </w:p>
    <w:p>
      <w:pPr>
        <w:ind w:left="727"/>
        <w:spacing w:after="0"/>
        <w:rPr>
          <w:rFonts w:ascii="Arial" w:cs="Arial" w:eastAsia="Arial" w:hAnsi="Arial"/>
          <w:sz w:val="18"/>
          <w:szCs w:val="18"/>
          <w:color w:val="auto"/>
        </w:rPr>
      </w:pPr>
      <w:r>
        <w:rPr>
          <w:rFonts w:ascii="Arial" w:cs="Arial" w:eastAsia="Arial" w:hAnsi="Arial"/>
          <w:sz w:val="18"/>
          <w:szCs w:val="18"/>
          <w:color w:val="auto"/>
        </w:rPr>
        <w:t>See “Index to Financial Statements” set forth on page F-</w:t>
      </w:r>
      <w:hyperlink w:anchor="page91">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7" w:lineRule="exact"/>
        <w:rPr>
          <w:sz w:val="20"/>
          <w:szCs w:val="20"/>
          <w:color w:val="auto"/>
        </w:rPr>
      </w:pPr>
    </w:p>
    <w:p>
      <w:pPr>
        <w:ind w:left="707" w:hanging="707"/>
        <w:spacing w:after="0"/>
        <w:tabs>
          <w:tab w:leader="none" w:pos="7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727"/>
        <w:spacing w:after="0"/>
        <w:rPr>
          <w:rFonts w:ascii="Arial" w:cs="Arial" w:eastAsia="Arial" w:hAnsi="Arial"/>
          <w:sz w:val="18"/>
          <w:szCs w:val="18"/>
          <w:color w:val="auto"/>
        </w:rPr>
      </w:pPr>
      <w:r>
        <w:rPr>
          <w:rFonts w:ascii="Arial" w:cs="Arial" w:eastAsia="Arial" w:hAnsi="Arial"/>
          <w:sz w:val="18"/>
          <w:szCs w:val="18"/>
          <w:color w:val="auto"/>
        </w:rPr>
        <w:t>See Schedule II set forth on page F-</w:t>
      </w:r>
      <w:hyperlink w:anchor="page117">
        <w:r>
          <w:rPr>
            <w:rFonts w:ascii="Arial" w:cs="Arial" w:eastAsia="Arial" w:hAnsi="Arial"/>
            <w:sz w:val="18"/>
            <w:szCs w:val="18"/>
            <w:u w:val="single" w:color="auto"/>
            <w:color w:val="0000EE"/>
          </w:rPr>
          <w:t>27</w:t>
        </w:r>
      </w:hyperlink>
      <w:r>
        <w:rPr>
          <w:rFonts w:ascii="Arial" w:cs="Arial" w:eastAsia="Arial" w:hAnsi="Arial"/>
          <w:sz w:val="18"/>
          <w:szCs w:val="18"/>
          <w:color w:val="auto"/>
        </w:rPr>
        <w:t>.</w:t>
      </w:r>
    </w:p>
    <w:p>
      <w:pPr>
        <w:spacing w:after="0" w:line="117" w:lineRule="exact"/>
        <w:rPr>
          <w:sz w:val="20"/>
          <w:szCs w:val="20"/>
          <w:color w:val="auto"/>
        </w:rPr>
      </w:pPr>
    </w:p>
    <w:p>
      <w:pPr>
        <w:ind w:left="707" w:hanging="707"/>
        <w:spacing w:after="0"/>
        <w:tabs>
          <w:tab w:leader="none" w:pos="7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27"/>
        <w:spacing w:after="0"/>
        <w:rPr>
          <w:sz w:val="20"/>
          <w:szCs w:val="20"/>
          <w:color w:val="auto"/>
        </w:rPr>
      </w:pPr>
      <w:r>
        <w:rPr>
          <w:rFonts w:ascii="Arial" w:cs="Arial" w:eastAsia="Arial" w:hAnsi="Arial"/>
          <w:sz w:val="18"/>
          <w:szCs w:val="18"/>
          <w:color w:val="auto"/>
        </w:rPr>
        <w:t>The exhibits required to be filed by this Item 15(b) are set forth in the Exhibit Index included below.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8600" w:type="dxa"/>
            <w:vAlign w:val="bottom"/>
            <w:tcBorders>
              <w:bottom w:val="single" w:sz="8" w:color="auto"/>
            </w:tcBorders>
          </w:tcPr>
          <w:p>
            <w:pPr>
              <w:ind w:left="39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r:id="rId10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Certificate of Formation of New Fortress Energy LLC (incorporated by reference to Exhibit 3.1 to the Registrant’s</w:t>
            </w: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 No. 333-228339), filed with the Commission on November 9, 2018)</w:t>
            </w:r>
          </w:p>
        </w:tc>
      </w:tr>
      <w:tr>
        <w:trPr>
          <w:trHeight w:val="189"/>
        </w:trPr>
        <w:tc>
          <w:tcPr>
            <w:tcW w:w="20" w:type="dxa"/>
            <w:vAlign w:val="bottom"/>
          </w:tcPr>
          <w:p>
            <w:pPr>
              <w:spacing w:after="0"/>
              <w:rPr>
                <w:sz w:val="16"/>
                <w:szCs w:val="16"/>
                <w:color w:val="auto"/>
              </w:rPr>
            </w:pPr>
          </w:p>
        </w:tc>
        <w:tc>
          <w:tcPr>
            <w:tcW w:w="280" w:type="dxa"/>
            <w:vAlign w:val="bottom"/>
            <w:gridSpan w:val="2"/>
          </w:tcPr>
          <w:p>
            <w:pPr>
              <w:spacing w:after="0" w:line="189" w:lineRule="exact"/>
              <w:rPr>
                <w:rFonts w:ascii="Arial" w:cs="Arial" w:eastAsia="Arial" w:hAnsi="Arial"/>
                <w:sz w:val="18"/>
                <w:szCs w:val="18"/>
                <w:color w:val="0000EE"/>
              </w:rPr>
            </w:pPr>
            <w:hyperlink r:id="rId10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2"/>
              </w:rPr>
              <w:t>Certificate of Amendment to Certificate of Formation of New Fortress Energy LLC (incorporated by reference to Exhibit</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8"/>
              </w:rPr>
              <w:t>3.2 to the Registrant’s Registration Statement on Form S-1 (File No. 333-228339), filed with the Commission on</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November 9, 2018)</w:t>
            </w:r>
          </w:p>
        </w:tc>
      </w:tr>
      <w:tr>
        <w:trPr>
          <w:trHeight w:val="203"/>
        </w:trPr>
        <w:tc>
          <w:tcPr>
            <w:tcW w:w="20" w:type="dxa"/>
            <w:vAlign w:val="bottom"/>
          </w:tcPr>
          <w:p>
            <w:pPr>
              <w:spacing w:after="0"/>
              <w:rPr>
                <w:sz w:val="17"/>
                <w:szCs w:val="17"/>
                <w:color w:val="auto"/>
              </w:rPr>
            </w:pPr>
          </w:p>
        </w:tc>
        <w:tc>
          <w:tcPr>
            <w:tcW w:w="280" w:type="dxa"/>
            <w:vAlign w:val="bottom"/>
            <w:gridSpan w:val="2"/>
            <w:shd w:val="clear" w:color="auto" w:fill="CCEEFF"/>
          </w:tcPr>
          <w:p>
            <w:pPr>
              <w:spacing w:after="0" w:line="202" w:lineRule="exact"/>
              <w:rPr>
                <w:rFonts w:ascii="Arial" w:cs="Arial" w:eastAsia="Arial" w:hAnsi="Arial"/>
                <w:sz w:val="18"/>
                <w:szCs w:val="18"/>
                <w:color w:val="0000EE"/>
              </w:rPr>
            </w:pPr>
            <w:hyperlink r:id="rId106">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First Amended and Restated Limited Liability Company Agreement of New Fortress Energy LLC, dated February 4,</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9"/>
              </w:rPr>
              <w:t>2019 (incorporated by reference to Exhibit 3.1 to the Registrant’s Form 8-K (File No. 001-38790), filed with the</w:t>
            </w: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Commission on February 5, 2019)</w:t>
            </w:r>
          </w:p>
        </w:tc>
      </w:tr>
      <w:tr>
        <w:trPr>
          <w:trHeight w:val="189"/>
        </w:trPr>
        <w:tc>
          <w:tcPr>
            <w:tcW w:w="20" w:type="dxa"/>
            <w:vAlign w:val="bottom"/>
          </w:tcPr>
          <w:p>
            <w:pPr>
              <w:spacing w:after="0"/>
              <w:rPr>
                <w:sz w:val="16"/>
                <w:szCs w:val="16"/>
                <w:color w:val="auto"/>
              </w:rPr>
            </w:pPr>
          </w:p>
        </w:tc>
        <w:tc>
          <w:tcPr>
            <w:tcW w:w="380" w:type="dxa"/>
            <w:vAlign w:val="bottom"/>
            <w:gridSpan w:val="3"/>
          </w:tcPr>
          <w:p>
            <w:pPr>
              <w:spacing w:after="0" w:line="189" w:lineRule="exact"/>
              <w:rPr>
                <w:rFonts w:ascii="Arial" w:cs="Arial" w:eastAsia="Arial" w:hAnsi="Arial"/>
                <w:sz w:val="18"/>
                <w:szCs w:val="18"/>
                <w:color w:val="0000EE"/>
              </w:rPr>
            </w:pPr>
            <w:hyperlink r:id="rId10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80" w:type="dxa"/>
            <w:vAlign w:val="bottom"/>
          </w:tcPr>
          <w:p>
            <w:pPr>
              <w:spacing w:after="0"/>
              <w:rPr>
                <w:sz w:val="16"/>
                <w:szCs w:val="16"/>
                <w:color w:val="auto"/>
              </w:rPr>
            </w:pPr>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2"/>
              </w:rPr>
              <w:t>Contribution Agreement, dated February 4, 2019, by and among New Fortress Energy LLC, New Fortress Intermediate</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3"/>
              </w:rPr>
              <w:t>LLC, New Fortress Energy Holdings LLC, NFE Atlantic Holdings LLC and NFE Sub LLC (incorporated by reference to</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9"/>
              </w:rPr>
              <w:t>Exhibit 10.1 to the Registrant’s Form 8-K (File No. 001-38790), filed with the Commission on February 5, 2019)</w:t>
            </w:r>
          </w:p>
        </w:tc>
      </w:tr>
      <w:tr>
        <w:trPr>
          <w:trHeight w:val="203"/>
        </w:trPr>
        <w:tc>
          <w:tcPr>
            <w:tcW w:w="20" w:type="dxa"/>
            <w:vAlign w:val="bottom"/>
          </w:tcPr>
          <w:p>
            <w:pPr>
              <w:spacing w:after="0"/>
              <w:rPr>
                <w:sz w:val="17"/>
                <w:szCs w:val="17"/>
                <w:color w:val="auto"/>
              </w:rPr>
            </w:pPr>
          </w:p>
        </w:tc>
        <w:tc>
          <w:tcPr>
            <w:tcW w:w="380" w:type="dxa"/>
            <w:vAlign w:val="bottom"/>
            <w:gridSpan w:val="3"/>
            <w:shd w:val="clear" w:color="auto" w:fill="CCEEFF"/>
          </w:tcPr>
          <w:p>
            <w:pPr>
              <w:spacing w:after="0" w:line="202" w:lineRule="exact"/>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80" w:type="dxa"/>
            <w:vAlign w:val="bottom"/>
            <w:shd w:val="clear" w:color="auto" w:fill="CCEEFF"/>
          </w:tcPr>
          <w:p>
            <w:pPr>
              <w:spacing w:after="0"/>
              <w:rPr>
                <w:sz w:val="17"/>
                <w:szCs w:val="17"/>
                <w:color w:val="auto"/>
              </w:rPr>
            </w:pPr>
          </w:p>
        </w:tc>
        <w:tc>
          <w:tcPr>
            <w:tcW w:w="88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Amended and Restated Limited Liability Company Agreement of New Fortress Intermediate LLC, dated February 4,</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8"/>
              </w:rPr>
              <w:t>2019 (incorporated by reference to Exhibit 10.2 to the Registrant’s Form 8-K (File No. 001-38790), filed with the</w:t>
            </w: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Commission on February 5, 2019)</w:t>
            </w:r>
          </w:p>
        </w:tc>
      </w:tr>
      <w:tr>
        <w:trPr>
          <w:trHeight w:val="189"/>
        </w:trPr>
        <w:tc>
          <w:tcPr>
            <w:tcW w:w="20" w:type="dxa"/>
            <w:vAlign w:val="bottom"/>
          </w:tcPr>
          <w:p>
            <w:pPr>
              <w:spacing w:after="0"/>
              <w:rPr>
                <w:sz w:val="16"/>
                <w:szCs w:val="16"/>
                <w:color w:val="auto"/>
              </w:rPr>
            </w:pPr>
          </w:p>
        </w:tc>
        <w:tc>
          <w:tcPr>
            <w:tcW w:w="660" w:type="dxa"/>
            <w:vAlign w:val="bottom"/>
            <w:gridSpan w:val="4"/>
          </w:tcPr>
          <w:p>
            <w:pPr>
              <w:spacing w:after="0" w:line="189" w:lineRule="exact"/>
              <w:rPr>
                <w:rFonts w:ascii="Arial" w:cs="Arial" w:eastAsia="Arial" w:hAnsi="Arial"/>
                <w:sz w:val="18"/>
                <w:szCs w:val="18"/>
                <w:color w:val="0000EE"/>
              </w:rPr>
            </w:pPr>
            <w:hyperlink r:id="rId10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4"/>
              </w:rPr>
              <w:t>New Fortress Energy LLC 2019 Omnibus Incentive Plan (incorporated by reference to Exhibit 4.4 to the Registrant’s</w:t>
            </w:r>
          </w:p>
        </w:tc>
      </w:tr>
      <w:tr>
        <w:trPr>
          <w:trHeight w:val="237"/>
        </w:trPr>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 No. 333-229507), filed with the Commission on February 4, 2019)</w:t>
            </w:r>
          </w:p>
        </w:tc>
      </w:tr>
      <w:tr>
        <w:trPr>
          <w:trHeight w:val="203"/>
        </w:trPr>
        <w:tc>
          <w:tcPr>
            <w:tcW w:w="20" w:type="dxa"/>
            <w:vAlign w:val="bottom"/>
          </w:tcPr>
          <w:p>
            <w:pPr>
              <w:spacing w:after="0"/>
              <w:rPr>
                <w:sz w:val="17"/>
                <w:szCs w:val="17"/>
                <w:color w:val="auto"/>
              </w:rPr>
            </w:pPr>
          </w:p>
        </w:tc>
        <w:tc>
          <w:tcPr>
            <w:tcW w:w="660" w:type="dxa"/>
            <w:vAlign w:val="bottom"/>
            <w:gridSpan w:val="4"/>
            <w:shd w:val="clear" w:color="auto" w:fill="CCEEFF"/>
          </w:tcPr>
          <w:p>
            <w:pPr>
              <w:spacing w:after="0" w:line="202" w:lineRule="exact"/>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88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Form of Director Restricted Share Unit Award Agreement (incorporated by reference to Exhibit 10.4 to the Registrant’s</w:t>
            </w: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7"/>
              </w:rPr>
              <w:t>Registration Statement on Form S-1/A (File No. 333-228339), filed with the Commission on December 24, 2018)</w:t>
            </w:r>
          </w:p>
        </w:tc>
      </w:tr>
      <w:tr>
        <w:trPr>
          <w:trHeight w:val="189"/>
        </w:trPr>
        <w:tc>
          <w:tcPr>
            <w:tcW w:w="20" w:type="dxa"/>
            <w:vAlign w:val="bottom"/>
          </w:tcPr>
          <w:p>
            <w:pPr>
              <w:spacing w:after="0"/>
              <w:rPr>
                <w:sz w:val="16"/>
                <w:szCs w:val="16"/>
                <w:color w:val="auto"/>
              </w:rPr>
            </w:pPr>
          </w:p>
        </w:tc>
        <w:tc>
          <w:tcPr>
            <w:tcW w:w="660" w:type="dxa"/>
            <w:vAlign w:val="bottom"/>
            <w:gridSpan w:val="4"/>
          </w:tcPr>
          <w:p>
            <w:pPr>
              <w:spacing w:after="0" w:line="189" w:lineRule="exact"/>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3"/>
              </w:rPr>
              <w:t>Offer Letter, dated March 14, 2017, by and between NFE Management, LLC and Christopher Guinta (incorporated by</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2"/>
              </w:rPr>
              <w:t>reference to Exhibit 10.5 to the Registrant’s Registration Statement on Form S-1/A (File No. 333-228339), filed with the</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Commission on January 14, 2019)</w:t>
            </w:r>
          </w:p>
        </w:tc>
      </w:tr>
      <w:tr>
        <w:trPr>
          <w:trHeight w:val="203"/>
        </w:trPr>
        <w:tc>
          <w:tcPr>
            <w:tcW w:w="20" w:type="dxa"/>
            <w:vAlign w:val="bottom"/>
          </w:tcPr>
          <w:p>
            <w:pPr>
              <w:spacing w:after="0"/>
              <w:rPr>
                <w:sz w:val="17"/>
                <w:szCs w:val="17"/>
                <w:color w:val="auto"/>
              </w:rPr>
            </w:pPr>
          </w:p>
        </w:tc>
        <w:tc>
          <w:tcPr>
            <w:tcW w:w="660" w:type="dxa"/>
            <w:vAlign w:val="bottom"/>
            <w:gridSpan w:val="4"/>
            <w:shd w:val="clear" w:color="auto" w:fill="CCEEFF"/>
          </w:tcPr>
          <w:p>
            <w:pPr>
              <w:spacing w:after="0" w:line="202" w:lineRule="exact"/>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88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Offer Letter, dated as of August 30, 2018, by and between NFE Management, LLC and Michael J. Utsler (incorporated</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3"/>
              </w:rPr>
              <w:t>by reference to Exhibit 10.6 to the Registrant’s Registration Statement on Form S-1/A (File No. 333-228339), filed with</w:t>
            </w: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Commission on January 14, 2019)</w:t>
            </w:r>
          </w:p>
        </w:tc>
      </w:tr>
      <w:tr>
        <w:trPr>
          <w:trHeight w:val="189"/>
        </w:trPr>
        <w:tc>
          <w:tcPr>
            <w:tcW w:w="20" w:type="dxa"/>
            <w:vAlign w:val="bottom"/>
          </w:tcPr>
          <w:p>
            <w:pPr>
              <w:spacing w:after="0"/>
              <w:rPr>
                <w:sz w:val="16"/>
                <w:szCs w:val="16"/>
                <w:color w:val="auto"/>
              </w:rPr>
            </w:pPr>
          </w:p>
        </w:tc>
        <w:tc>
          <w:tcPr>
            <w:tcW w:w="380" w:type="dxa"/>
            <w:vAlign w:val="bottom"/>
            <w:gridSpan w:val="3"/>
          </w:tcPr>
          <w:p>
            <w:pPr>
              <w:spacing w:after="0" w:line="189" w:lineRule="exact"/>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80" w:type="dxa"/>
            <w:vAlign w:val="bottom"/>
          </w:tcPr>
          <w:p>
            <w:pPr>
              <w:spacing w:after="0"/>
              <w:rPr>
                <w:sz w:val="16"/>
                <w:szCs w:val="16"/>
                <w:color w:val="auto"/>
              </w:rPr>
            </w:pPr>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5"/>
              </w:rPr>
              <w:t>Shareholders’ Agreement, dated February 4, 2019, by and among New Fortress Energy LLC, New Fortress Energy</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4"/>
              </w:rPr>
              <w:t>Holdings LLC, Wesley R. Edens and Randal A. Nardone (incorporated by reference to Exhibit 4.1 to the Registrant’s</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Form 8-K (File No. 001-38790), filed with the Commission on February 5, 2019)</w:t>
            </w:r>
          </w:p>
        </w:tc>
      </w:tr>
      <w:tr>
        <w:trPr>
          <w:trHeight w:val="203"/>
        </w:trPr>
        <w:tc>
          <w:tcPr>
            <w:tcW w:w="20" w:type="dxa"/>
            <w:vAlign w:val="bottom"/>
          </w:tcPr>
          <w:p>
            <w:pPr>
              <w:spacing w:after="0"/>
              <w:rPr>
                <w:sz w:val="17"/>
                <w:szCs w:val="17"/>
                <w:color w:val="auto"/>
              </w:rPr>
            </w:pPr>
          </w:p>
        </w:tc>
        <w:tc>
          <w:tcPr>
            <w:tcW w:w="380" w:type="dxa"/>
            <w:vAlign w:val="bottom"/>
            <w:gridSpan w:val="3"/>
            <w:shd w:val="clear" w:color="auto" w:fill="CCEEFF"/>
          </w:tcPr>
          <w:p>
            <w:pPr>
              <w:spacing w:after="0" w:line="202" w:lineRule="exact"/>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80" w:type="dxa"/>
            <w:vAlign w:val="bottom"/>
            <w:shd w:val="clear" w:color="auto" w:fill="CCEEFF"/>
          </w:tcPr>
          <w:p>
            <w:pPr>
              <w:spacing w:after="0"/>
              <w:rPr>
                <w:sz w:val="17"/>
                <w:szCs w:val="17"/>
                <w:color w:val="auto"/>
              </w:rPr>
            </w:pPr>
          </w:p>
        </w:tc>
        <w:tc>
          <w:tcPr>
            <w:tcW w:w="88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Administrative Services Agreement, dated February 4, 2019, by and between New Fortress Intermediate LLC and FIG</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9"/>
              </w:rPr>
              <w:t>LLC (incorporated by reference to Exhibit 10.3 to the Registrant’s Form 8-K (File No. 001-38790), filed with the</w:t>
            </w: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Commission on February 5, 2019)</w:t>
            </w:r>
          </w:p>
        </w:tc>
      </w:tr>
      <w:tr>
        <w:trPr>
          <w:trHeight w:val="189"/>
        </w:trPr>
        <w:tc>
          <w:tcPr>
            <w:tcW w:w="20" w:type="dxa"/>
            <w:vAlign w:val="bottom"/>
          </w:tcPr>
          <w:p>
            <w:pPr>
              <w:spacing w:after="0"/>
              <w:rPr>
                <w:sz w:val="16"/>
                <w:szCs w:val="16"/>
                <w:color w:val="auto"/>
              </w:rPr>
            </w:pPr>
          </w:p>
        </w:tc>
        <w:tc>
          <w:tcPr>
            <w:tcW w:w="380" w:type="dxa"/>
            <w:vAlign w:val="bottom"/>
            <w:gridSpan w:val="3"/>
          </w:tcPr>
          <w:p>
            <w:pPr>
              <w:spacing w:after="0" w:line="189" w:lineRule="exact"/>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80" w:type="dxa"/>
            <w:vAlign w:val="bottom"/>
          </w:tcPr>
          <w:p>
            <w:pPr>
              <w:spacing w:after="0"/>
              <w:rPr>
                <w:sz w:val="16"/>
                <w:szCs w:val="16"/>
                <w:color w:val="auto"/>
              </w:rPr>
            </w:pPr>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3"/>
              </w:rPr>
              <w:t>Senior Secured Delayed Draw Term Loan Credit Agreement, dated November 24, 2014, by and among LNG Holdings</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7"/>
              </w:rPr>
              <w:t>LLC, FEP GP LNG Holdings LLC, LNG Holdings (Florida) LLC, as the borrower, Morgan Stanley Senior Funding,</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2"/>
              </w:rPr>
              <w:t>Inc., as administrative agent and the lenders party thereto (incorporated by reference to Exhibit 10.9 to the Registrant’s</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S-1 (File No. 333-228339), filed with the Commission on November 9, 2018)</w:t>
            </w: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80" w:type="dxa"/>
            <w:vAlign w:val="bottom"/>
            <w:gridSpan w:val="2"/>
          </w:tcPr>
          <w:p>
            <w:pPr>
              <w:ind w:left="40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540"/>
          </w:cols>
          <w:pgMar w:left="1180" w:top="279" w:right="1179" w:bottom="1440" w:gutter="0" w:footer="0" w:header="0"/>
        </w:sectPr>
      </w:pP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4286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402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29845</wp:posOffset>
            </wp:positionV>
            <wp:extent cx="5471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100" w:space="720"/>
            <w:col w:w="4720"/>
          </w:cols>
          <w:pgMar w:left="1180" w:top="279" w:right="1179" w:bottom="1440" w:gutter="0" w:footer="0" w:header="0"/>
          <w:type w:val="continuous"/>
        </w:sectPr>
      </w:pPr>
    </w:p>
    <w:p>
      <w:pPr>
        <w:ind w:left="800" w:right="60" w:hanging="796"/>
        <w:spacing w:after="0" w:line="258" w:lineRule="auto"/>
        <w:tabs>
          <w:tab w:leader="none" w:pos="780" w:val="left"/>
        </w:tabs>
        <w:rPr>
          <w:rFonts w:ascii="Arial" w:cs="Arial" w:eastAsia="Arial" w:hAnsi="Arial"/>
          <w:sz w:val="18"/>
          <w:szCs w:val="18"/>
          <w:color w:val="0000EE"/>
        </w:rPr>
      </w:pPr>
      <w:hyperlink r:id="rId118">
        <w:r>
          <w:rPr>
            <w:rFonts w:ascii="Arial" w:cs="Arial" w:eastAsia="Arial" w:hAnsi="Arial"/>
            <w:sz w:val="18"/>
            <w:szCs w:val="18"/>
            <w:u w:val="single" w:color="auto"/>
            <w:color w:val="0000EE"/>
          </w:rPr>
          <w:t>10.10</w:t>
        </w:r>
      </w:hyperlink>
      <w:r>
        <w:rPr>
          <w:rFonts w:ascii="Arial" w:cs="Arial" w:eastAsia="Arial" w:hAnsi="Arial"/>
          <w:sz w:val="18"/>
          <w:szCs w:val="18"/>
          <w:color w:val="0000EE"/>
        </w:rPr>
        <w:tab/>
        <w:t>Syndicated Loan Agreement, dated June 3, 2016, by and among NFE North Holdings Limited, as the borrower, National Commercial Bank Jamaica Limited, as arranger, JCSD Trustee Services Limited, as agent and the lenders party thereto (incorporated by reference to Exhibit 10.10 to the Registrant’s Registration Statement on Form S-1 (File No. 333-228339), filed with the Commission on November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071870" cy="565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071870" cy="565785"/>
                    </a:xfrm>
                    <a:prstGeom prst="rect">
                      <a:avLst/>
                    </a:prstGeom>
                    <a:noFill/>
                  </pic:spPr>
                </pic:pic>
              </a:graphicData>
            </a:graphic>
          </wp:anchor>
        </w:drawing>
      </w:r>
    </w:p>
    <w:p>
      <w:pPr>
        <w:ind w:left="800" w:hanging="796"/>
        <w:spacing w:after="0" w:line="258" w:lineRule="auto"/>
        <w:tabs>
          <w:tab w:leader="none" w:pos="780" w:val="left"/>
        </w:tabs>
        <w:rPr>
          <w:rFonts w:ascii="Arial" w:cs="Arial" w:eastAsia="Arial" w:hAnsi="Arial"/>
          <w:sz w:val="18"/>
          <w:szCs w:val="18"/>
          <w:color w:val="0000EE"/>
        </w:rPr>
      </w:pPr>
      <w:hyperlink r:id="rId120">
        <w:r>
          <w:rPr>
            <w:rFonts w:ascii="Arial" w:cs="Arial" w:eastAsia="Arial" w:hAnsi="Arial"/>
            <w:sz w:val="18"/>
            <w:szCs w:val="18"/>
            <w:u w:val="single" w:color="auto"/>
            <w:color w:val="0000EE"/>
          </w:rPr>
          <w:t>10.11</w:t>
        </w:r>
      </w:hyperlink>
      <w:r>
        <w:rPr>
          <w:rFonts w:ascii="Arial" w:cs="Arial" w:eastAsia="Arial" w:hAnsi="Arial"/>
          <w:sz w:val="18"/>
          <w:szCs w:val="18"/>
          <w:color w:val="0000EE"/>
        </w:rPr>
        <w:tab/>
        <w:t>Credit Agreement, dated August 15, 2018, by and between New Fortress Energy Holdings LLC, NFE Atlantic Holdings LLC, as borrower, Morgan Stanley Senior Funding, Inc., as administrative agent and the subsidiary guarantors and lenders parties thereto (incorporated by reference to Exhibit 10.11 to the Registrant’s Registration Statement on Form S-1 (File No. 333-228339), filed with the Commission on November 9, 2018)</w:t>
      </w:r>
    </w:p>
    <w:p>
      <w:pPr>
        <w:spacing w:after="0" w:line="1" w:lineRule="exact"/>
        <w:rPr>
          <w:sz w:val="20"/>
          <w:szCs w:val="20"/>
          <w:color w:val="auto"/>
        </w:rPr>
      </w:pPr>
    </w:p>
    <w:p>
      <w:pPr>
        <w:ind w:left="800" w:right="280" w:hanging="799"/>
        <w:spacing w:after="0" w:line="276" w:lineRule="auto"/>
        <w:tabs>
          <w:tab w:leader="none" w:pos="780" w:val="left"/>
        </w:tabs>
        <w:rPr>
          <w:sz w:val="20"/>
          <w:szCs w:val="20"/>
          <w:color w:val="auto"/>
        </w:rPr>
      </w:pPr>
      <w:r>
        <w:rPr>
          <w:rFonts w:ascii="Arial" w:cs="Arial" w:eastAsia="Arial" w:hAnsi="Arial"/>
          <w:sz w:val="17"/>
          <w:szCs w:val="17"/>
          <w:u w:val="single" w:color="auto"/>
          <w:color w:val="0000EE"/>
        </w:rPr>
        <w:t>‡10.12</w:t>
      </w:r>
      <w:r>
        <w:rPr>
          <w:sz w:val="20"/>
          <w:szCs w:val="20"/>
          <w:color w:val="auto"/>
        </w:rPr>
        <w:tab/>
      </w:r>
      <w:r>
        <w:rPr>
          <w:rFonts w:ascii="Arial" w:cs="Arial" w:eastAsia="Arial" w:hAnsi="Arial"/>
          <w:sz w:val="17"/>
          <w:szCs w:val="17"/>
          <w:color w:val="auto"/>
        </w:rPr>
        <w:t>Gas Sales Agreement, dated August 5, 2015, by and between New Fortress Energy LLC and Jamaica Public Service Company Limited (incorporated by reference to Exhibit 10.12 to the Registrant’s Registration Statement on Form S-1 (File No. 333-228339), filed with the Commission on November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6071870"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071870" cy="428625"/>
                    </a:xfrm>
                    <a:prstGeom prst="rect">
                      <a:avLst/>
                    </a:prstGeom>
                    <a:noFill/>
                  </pic:spPr>
                </pic:pic>
              </a:graphicData>
            </a:graphic>
          </wp:anchor>
        </w:drawing>
      </w:r>
    </w:p>
    <w:p>
      <w:pPr>
        <w:ind w:left="800" w:right="280" w:hanging="799"/>
        <w:spacing w:after="0" w:line="276" w:lineRule="auto"/>
        <w:tabs>
          <w:tab w:leader="none" w:pos="780" w:val="left"/>
        </w:tabs>
        <w:rPr>
          <w:sz w:val="20"/>
          <w:szCs w:val="20"/>
          <w:color w:val="auto"/>
        </w:rPr>
      </w:pPr>
      <w:r>
        <w:rPr>
          <w:rFonts w:ascii="Arial" w:cs="Arial" w:eastAsia="Arial" w:hAnsi="Arial"/>
          <w:sz w:val="17"/>
          <w:szCs w:val="17"/>
          <w:u w:val="single" w:color="auto"/>
          <w:color w:val="0000EE"/>
        </w:rPr>
        <w:t>‡10.13</w:t>
      </w:r>
      <w:r>
        <w:rPr>
          <w:sz w:val="20"/>
          <w:szCs w:val="20"/>
          <w:color w:val="auto"/>
        </w:rPr>
        <w:tab/>
      </w:r>
      <w:r>
        <w:rPr>
          <w:rFonts w:ascii="Arial" w:cs="Arial" w:eastAsia="Arial" w:hAnsi="Arial"/>
          <w:sz w:val="17"/>
          <w:szCs w:val="17"/>
          <w:color w:val="auto"/>
        </w:rPr>
        <w:t>First Amendment to Gas Sales Agreement, dated May 23, 2016, by and between NFE North Holdings Limited and Jamaica Public Service Company Limited (incorporated by reference to Exhibit 10.13 to the Registrant’s Registration Statement on Form S-1 (File No. 333-228339), filed with the Commission on November 9, 2018)</w:t>
      </w:r>
    </w:p>
    <w:p>
      <w:pPr>
        <w:spacing w:after="0" w:line="1" w:lineRule="exact"/>
        <w:rPr>
          <w:sz w:val="20"/>
          <w:szCs w:val="20"/>
          <w:color w:val="auto"/>
        </w:rPr>
      </w:pPr>
    </w:p>
    <w:p>
      <w:pPr>
        <w:spacing w:after="0"/>
        <w:tabs>
          <w:tab w:leader="none" w:pos="780" w:val="left"/>
        </w:tabs>
        <w:rPr>
          <w:rFonts w:ascii="Arial" w:cs="Arial" w:eastAsia="Arial" w:hAnsi="Arial"/>
          <w:sz w:val="18"/>
          <w:szCs w:val="18"/>
          <w:color w:val="0000EE"/>
        </w:rPr>
      </w:pPr>
      <w:hyperlink r:id="rId122">
        <w:r>
          <w:rPr>
            <w:rFonts w:ascii="Arial" w:cs="Arial" w:eastAsia="Arial" w:hAnsi="Arial"/>
            <w:sz w:val="18"/>
            <w:szCs w:val="18"/>
            <w:u w:val="single" w:color="auto"/>
            <w:color w:val="0000EE"/>
          </w:rPr>
          <w:t>10.14†</w:t>
        </w:r>
      </w:hyperlink>
      <w:r>
        <w:rPr>
          <w:rFonts w:ascii="Arial" w:cs="Arial" w:eastAsia="Arial" w:hAnsi="Arial"/>
          <w:sz w:val="18"/>
          <w:szCs w:val="18"/>
          <w:color w:val="0000EE"/>
        </w:rPr>
        <w:tab/>
      </w:r>
      <w:r>
        <w:rPr>
          <w:rFonts w:ascii="Arial" w:cs="Arial" w:eastAsia="Arial" w:hAnsi="Arial"/>
          <w:sz w:val="16"/>
          <w:szCs w:val="16"/>
          <w:color w:val="0000EE"/>
        </w:rPr>
        <w:t>Indemnification Agreement (Edens) (incorporated by reference to Exhibit 10.4 to the Registrant’s Form 8-K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24">
        <w:r>
          <w:rPr>
            <w:rFonts w:ascii="Arial" w:cs="Arial" w:eastAsia="Arial" w:hAnsi="Arial"/>
            <w:sz w:val="18"/>
            <w:szCs w:val="18"/>
            <w:u w:val="single" w:color="auto"/>
            <w:color w:val="0000EE"/>
          </w:rPr>
          <w:t>10.15†</w:t>
        </w:r>
      </w:hyperlink>
      <w:r>
        <w:rPr>
          <w:rFonts w:ascii="Arial" w:cs="Arial" w:eastAsia="Arial" w:hAnsi="Arial"/>
          <w:sz w:val="18"/>
          <w:szCs w:val="18"/>
          <w:color w:val="0000EE"/>
        </w:rPr>
        <w:tab/>
      </w:r>
      <w:r>
        <w:rPr>
          <w:rFonts w:ascii="Arial" w:cs="Arial" w:eastAsia="Arial" w:hAnsi="Arial"/>
          <w:sz w:val="16"/>
          <w:szCs w:val="16"/>
          <w:color w:val="0000EE"/>
        </w:rPr>
        <w:t>Indemnification Agreement (Guinta) (incorporated by reference to Exhibit 10.5 to the Registrant’s Form 8-K (File No.</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25">
        <w:r>
          <w:rPr>
            <w:rFonts w:ascii="Arial" w:cs="Arial" w:eastAsia="Arial" w:hAnsi="Arial"/>
            <w:sz w:val="18"/>
            <w:szCs w:val="18"/>
            <w:u w:val="single" w:color="auto"/>
            <w:color w:val="0000EE"/>
          </w:rPr>
          <w:t>10.16†</w:t>
        </w:r>
      </w:hyperlink>
      <w:r>
        <w:rPr>
          <w:rFonts w:ascii="Arial" w:cs="Arial" w:eastAsia="Arial" w:hAnsi="Arial"/>
          <w:sz w:val="18"/>
          <w:szCs w:val="18"/>
          <w:color w:val="0000EE"/>
        </w:rPr>
        <w:tab/>
      </w:r>
      <w:r>
        <w:rPr>
          <w:rFonts w:ascii="Arial" w:cs="Arial" w:eastAsia="Arial" w:hAnsi="Arial"/>
          <w:sz w:val="16"/>
          <w:szCs w:val="16"/>
          <w:color w:val="0000EE"/>
        </w:rPr>
        <w:t>Indemnification Agreement (Utsler) (incorporated by reference to Exhibit 10.6 to the Registrant’s Form 8-K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27">
        <w:r>
          <w:rPr>
            <w:rFonts w:ascii="Arial" w:cs="Arial" w:eastAsia="Arial" w:hAnsi="Arial"/>
            <w:sz w:val="18"/>
            <w:szCs w:val="18"/>
            <w:u w:val="single" w:color="auto"/>
            <w:color w:val="0000EE"/>
          </w:rPr>
          <w:t>10.17†</w:t>
        </w:r>
      </w:hyperlink>
      <w:r>
        <w:rPr>
          <w:rFonts w:ascii="Arial" w:cs="Arial" w:eastAsia="Arial" w:hAnsi="Arial"/>
          <w:sz w:val="18"/>
          <w:szCs w:val="18"/>
          <w:color w:val="0000EE"/>
        </w:rPr>
        <w:tab/>
      </w:r>
      <w:r>
        <w:rPr>
          <w:rFonts w:ascii="Arial" w:cs="Arial" w:eastAsia="Arial" w:hAnsi="Arial"/>
          <w:sz w:val="16"/>
          <w:szCs w:val="16"/>
          <w:color w:val="0000EE"/>
        </w:rPr>
        <w:t>Indemnification Agreement (Catterall) (incorporated by reference to Exhibit 10.7 to the Registrant’s Form 8-K (File No.</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28">
        <w:r>
          <w:rPr>
            <w:rFonts w:ascii="Arial" w:cs="Arial" w:eastAsia="Arial" w:hAnsi="Arial"/>
            <w:sz w:val="18"/>
            <w:szCs w:val="18"/>
            <w:u w:val="single" w:color="auto"/>
            <w:color w:val="0000EE"/>
          </w:rPr>
          <w:t>10.18†</w:t>
        </w:r>
      </w:hyperlink>
      <w:r>
        <w:rPr>
          <w:rFonts w:ascii="Arial" w:cs="Arial" w:eastAsia="Arial" w:hAnsi="Arial"/>
          <w:sz w:val="18"/>
          <w:szCs w:val="18"/>
          <w:color w:val="0000EE"/>
        </w:rPr>
        <w:tab/>
      </w:r>
      <w:r>
        <w:rPr>
          <w:rFonts w:ascii="Arial" w:cs="Arial" w:eastAsia="Arial" w:hAnsi="Arial"/>
          <w:sz w:val="16"/>
          <w:szCs w:val="16"/>
          <w:color w:val="0000EE"/>
        </w:rPr>
        <w:t>Indemnification Agreement (Grain) (incorporated by reference to Exhibit 10.8 to the Registrant’s Form 8-K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30">
        <w:r>
          <w:rPr>
            <w:rFonts w:ascii="Arial" w:cs="Arial" w:eastAsia="Arial" w:hAnsi="Arial"/>
            <w:sz w:val="18"/>
            <w:szCs w:val="18"/>
            <w:u w:val="single" w:color="auto"/>
            <w:color w:val="0000EE"/>
          </w:rPr>
          <w:t>10.19†</w:t>
        </w:r>
      </w:hyperlink>
      <w:r>
        <w:rPr>
          <w:rFonts w:ascii="Arial" w:cs="Arial" w:eastAsia="Arial" w:hAnsi="Arial"/>
          <w:sz w:val="18"/>
          <w:szCs w:val="18"/>
          <w:color w:val="0000EE"/>
        </w:rPr>
        <w:tab/>
      </w:r>
      <w:r>
        <w:rPr>
          <w:rFonts w:ascii="Arial" w:cs="Arial" w:eastAsia="Arial" w:hAnsi="Arial"/>
          <w:sz w:val="16"/>
          <w:szCs w:val="16"/>
          <w:color w:val="0000EE"/>
        </w:rPr>
        <w:t>Indemnification Agreement (Griffin) (incorporated by reference to Exhibit 10.9 to the Registrant’s Form 8-K (File No.</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31">
        <w:r>
          <w:rPr>
            <w:rFonts w:ascii="Arial" w:cs="Arial" w:eastAsia="Arial" w:hAnsi="Arial"/>
            <w:sz w:val="18"/>
            <w:szCs w:val="18"/>
            <w:u w:val="single" w:color="auto"/>
            <w:color w:val="0000EE"/>
          </w:rPr>
          <w:t>10.20†</w:t>
        </w:r>
      </w:hyperlink>
      <w:r>
        <w:rPr>
          <w:rFonts w:ascii="Arial" w:cs="Arial" w:eastAsia="Arial" w:hAnsi="Arial"/>
          <w:sz w:val="18"/>
          <w:szCs w:val="18"/>
          <w:color w:val="0000EE"/>
        </w:rPr>
        <w:tab/>
      </w:r>
      <w:r>
        <w:rPr>
          <w:rFonts w:ascii="Arial" w:cs="Arial" w:eastAsia="Arial" w:hAnsi="Arial"/>
          <w:sz w:val="16"/>
          <w:szCs w:val="16"/>
          <w:color w:val="0000EE"/>
        </w:rPr>
        <w:t>Indemnification Agreement (Mack) (incorporated by reference to Exhibit 10.10 to the Registrant’s Form 8-K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33">
        <w:r>
          <w:rPr>
            <w:rFonts w:ascii="Arial" w:cs="Arial" w:eastAsia="Arial" w:hAnsi="Arial"/>
            <w:sz w:val="18"/>
            <w:szCs w:val="18"/>
            <w:u w:val="single" w:color="auto"/>
            <w:color w:val="0000EE"/>
          </w:rPr>
          <w:t>10.21†</w:t>
        </w:r>
      </w:hyperlink>
      <w:r>
        <w:rPr>
          <w:rFonts w:ascii="Arial" w:cs="Arial" w:eastAsia="Arial" w:hAnsi="Arial"/>
          <w:sz w:val="18"/>
          <w:szCs w:val="18"/>
          <w:color w:val="0000EE"/>
        </w:rPr>
        <w:tab/>
      </w:r>
      <w:r>
        <w:rPr>
          <w:rFonts w:ascii="Arial" w:cs="Arial" w:eastAsia="Arial" w:hAnsi="Arial"/>
          <w:sz w:val="16"/>
          <w:szCs w:val="16"/>
          <w:color w:val="0000EE"/>
        </w:rPr>
        <w:t>Indemnification Agreement (Nardone) (incorporated by reference to Exhibit 10.11 to the Registrant’s Form 8-K (File No.</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spacing w:after="0"/>
        <w:tabs>
          <w:tab w:leader="none" w:pos="780" w:val="left"/>
        </w:tabs>
        <w:rPr>
          <w:rFonts w:ascii="Arial" w:cs="Arial" w:eastAsia="Arial" w:hAnsi="Arial"/>
          <w:sz w:val="18"/>
          <w:szCs w:val="18"/>
          <w:color w:val="0000EE"/>
        </w:rPr>
      </w:pPr>
      <w:hyperlink r:id="rId134">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6"/>
          <w:szCs w:val="16"/>
          <w:color w:val="0000EE"/>
        </w:rPr>
        <w:t>Indemnification Agreement (Wanner) (incorporated by reference to Exhibit 10.12 to the Registrant’s Form 8-K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001-38790), filed with the Commission on February 5, 2019)</w:t>
      </w:r>
    </w:p>
    <w:p>
      <w:pPr>
        <w:spacing w:after="0" w:line="22" w:lineRule="exact"/>
        <w:rPr>
          <w:sz w:val="20"/>
          <w:szCs w:val="20"/>
          <w:color w:val="auto"/>
        </w:rPr>
      </w:pPr>
    </w:p>
    <w:p>
      <w:pPr>
        <w:ind w:left="800" w:right="180" w:hanging="796"/>
        <w:spacing w:after="0" w:line="266" w:lineRule="auto"/>
        <w:tabs>
          <w:tab w:leader="none" w:pos="780" w:val="left"/>
        </w:tabs>
        <w:rPr>
          <w:rFonts w:ascii="Arial" w:cs="Arial" w:eastAsia="Arial" w:hAnsi="Arial"/>
          <w:sz w:val="18"/>
          <w:szCs w:val="18"/>
          <w:color w:val="0000EE"/>
        </w:rPr>
      </w:pPr>
      <w:hyperlink r:id="rId136">
        <w:r>
          <w:rPr>
            <w:rFonts w:ascii="Arial" w:cs="Arial" w:eastAsia="Arial" w:hAnsi="Arial"/>
            <w:sz w:val="18"/>
            <w:szCs w:val="18"/>
            <w:u w:val="single" w:color="auto"/>
            <w:color w:val="0000EE"/>
          </w:rPr>
          <w:t>10.23†</w:t>
        </w:r>
      </w:hyperlink>
      <w:r>
        <w:rPr>
          <w:rFonts w:ascii="Arial" w:cs="Arial" w:eastAsia="Arial" w:hAnsi="Arial"/>
          <w:sz w:val="18"/>
          <w:szCs w:val="18"/>
          <w:color w:val="0000EE"/>
        </w:rPr>
        <w:tab/>
        <w:t>Indemnification Agreement (Wilkinson) (incorporated by reference to Exhibit 10.13 to the Registrant’s Form 8-K (File No. 001-38790), filed with the Commission on February 5, 2019)</w:t>
      </w:r>
    </w:p>
    <w:p>
      <w:pPr>
        <w:ind w:left="800" w:right="160" w:hanging="796"/>
        <w:spacing w:after="0" w:line="290" w:lineRule="auto"/>
        <w:tabs>
          <w:tab w:leader="none" w:pos="780" w:val="left"/>
        </w:tabs>
        <w:rPr>
          <w:rFonts w:ascii="Arial" w:cs="Arial" w:eastAsia="Arial" w:hAnsi="Arial"/>
          <w:sz w:val="18"/>
          <w:szCs w:val="18"/>
          <w:color w:val="0000EE"/>
        </w:rPr>
      </w:pPr>
      <w:hyperlink r:id="rId137">
        <w:r>
          <w:rPr>
            <w:rFonts w:ascii="Arial" w:cs="Arial" w:eastAsia="Arial" w:hAnsi="Arial"/>
            <w:sz w:val="18"/>
            <w:szCs w:val="18"/>
            <w:u w:val="single" w:color="auto"/>
            <w:color w:val="0000EE"/>
          </w:rPr>
          <w:t>10.24</w:t>
        </w:r>
      </w:hyperlink>
      <w:r>
        <w:rPr>
          <w:rFonts w:ascii="Arial" w:cs="Arial" w:eastAsia="Arial" w:hAnsi="Arial"/>
          <w:sz w:val="18"/>
          <w:szCs w:val="18"/>
          <w:color w:val="0000EE"/>
        </w:rPr>
        <w:tab/>
      </w:r>
      <w:r>
        <w:rPr>
          <w:rFonts w:ascii="Arial" w:cs="Arial" w:eastAsia="Arial" w:hAnsi="Arial"/>
          <w:sz w:val="16"/>
          <w:szCs w:val="16"/>
          <w:color w:val="0000EE"/>
        </w:rPr>
        <w:t>Amendment Agreement to Credit Agreement, dated December 31, 2018, by and among New Fortress Energy Holdings LLC, NFE Atlantic Holdings LLC, as the borrower, Morgan Stanley Senior Funding, Inc., as administrative agent and the subsidiary guarantors and lenders parties thereto (incorporated by reference to Exhibit 10.15 to the Registrant’s Registration Statement on Form S-1/A (File No. 333-228339), filed with the Commission on 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-563245</wp:posOffset>
            </wp:positionV>
            <wp:extent cx="6071870" cy="5657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6071870" cy="565785"/>
                    </a:xfrm>
                    <a:prstGeom prst="rect">
                      <a:avLst/>
                    </a:prstGeom>
                    <a:noFill/>
                  </pic:spPr>
                </pic:pic>
              </a:graphicData>
            </a:graphic>
          </wp:anchor>
        </w:drawing>
      </w:r>
    </w:p>
    <w:p>
      <w:pPr>
        <w:ind w:left="800" w:right="220" w:hanging="796"/>
        <w:spacing w:after="0" w:line="258" w:lineRule="auto"/>
        <w:tabs>
          <w:tab w:leader="none" w:pos="780" w:val="left"/>
        </w:tabs>
        <w:rPr>
          <w:rFonts w:ascii="Arial" w:cs="Arial" w:eastAsia="Arial" w:hAnsi="Arial"/>
          <w:sz w:val="18"/>
          <w:szCs w:val="18"/>
          <w:color w:val="0000EE"/>
        </w:rPr>
      </w:pPr>
      <w:hyperlink w:anchor="page118">
        <w:r>
          <w:rPr>
            <w:rFonts w:ascii="Arial" w:cs="Arial" w:eastAsia="Arial" w:hAnsi="Arial"/>
            <w:sz w:val="18"/>
            <w:szCs w:val="18"/>
            <w:u w:val="single" w:color="auto"/>
            <w:color w:val="0000EE"/>
          </w:rPr>
          <w:t>10.25*</w:t>
        </w:r>
      </w:hyperlink>
      <w:r>
        <w:rPr>
          <w:rFonts w:ascii="Arial" w:cs="Arial" w:eastAsia="Arial" w:hAnsi="Arial"/>
          <w:sz w:val="18"/>
          <w:szCs w:val="18"/>
          <w:color w:val="0000EE"/>
        </w:rPr>
        <w:tab/>
        <w:t>Amendment Agreement, dated as of February 11, 2019 to Credit Agreement, dated as of August 15, 2018 and as amended and restated as of December 31, 2018, among New Fortress Intermediate LLC, NFE Atlantic Holdings LLC, the subsidiary guarantors from time to time party thereto, lenders parties thereto and Morgan Stanley Senior Funding, Inc., as administrative agent.</w:t>
      </w:r>
    </w:p>
    <w:p>
      <w:pPr>
        <w:spacing w:after="0" w:line="1" w:lineRule="exact"/>
        <w:rPr>
          <w:sz w:val="20"/>
          <w:szCs w:val="20"/>
          <w:color w:val="auto"/>
        </w:rPr>
      </w:pPr>
    </w:p>
    <w:p>
      <w:pPr>
        <w:ind w:left="800" w:hanging="796"/>
        <w:spacing w:after="0" w:line="259" w:lineRule="auto"/>
        <w:tabs>
          <w:tab w:leader="none" w:pos="780" w:val="left"/>
        </w:tabs>
        <w:rPr>
          <w:rFonts w:ascii="Arial" w:cs="Arial" w:eastAsia="Arial" w:hAnsi="Arial"/>
          <w:sz w:val="18"/>
          <w:szCs w:val="18"/>
          <w:color w:val="0000EE"/>
        </w:rPr>
      </w:pPr>
      <w:hyperlink w:anchor="page129">
        <w:r>
          <w:rPr>
            <w:rFonts w:ascii="Arial" w:cs="Arial" w:eastAsia="Arial" w:hAnsi="Arial"/>
            <w:sz w:val="18"/>
            <w:szCs w:val="18"/>
            <w:u w:val="single" w:color="auto"/>
            <w:color w:val="0000EE"/>
          </w:rPr>
          <w:t>10.26*</w:t>
        </w:r>
      </w:hyperlink>
      <w:r>
        <w:rPr>
          <w:rFonts w:ascii="Arial" w:cs="Arial" w:eastAsia="Arial" w:hAnsi="Arial"/>
          <w:sz w:val="18"/>
          <w:szCs w:val="18"/>
          <w:color w:val="0000EE"/>
        </w:rPr>
        <w:tab/>
        <w:t>Second Amendment Agreement, dated as of March 13, 2019 to the Credit Agreement, dated as of August 15, 2018 and as amended and restated as of December 31, 2018, and as amended as of February 11, 2019, among New Fortress Intermediate LLC, NFE Atlantic Holdings LLC, the subsidiary guarantors from time to time party thereto, lenders parties thereto and Morgan Stanley Senior Funding, Inc.,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071870" cy="565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6071870" cy="565785"/>
                    </a:xfrm>
                    <a:prstGeom prst="rect">
                      <a:avLst/>
                    </a:prstGeom>
                    <a:noFill/>
                  </pic:spPr>
                </pic:pic>
              </a:graphicData>
            </a:graphic>
          </wp:anchor>
        </w:drawing>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88" w:name="page89"/>
    <w:bookmarkEnd w:id="88"/>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6"/>
                <w:szCs w:val="16"/>
                <w:color w:val="auto"/>
              </w:rPr>
            </w:pPr>
          </w:p>
        </w:tc>
        <w:tc>
          <w:tcPr>
            <w:tcW w:w="8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auto"/>
            </w:tcBorders>
            <w:gridSpan w:val="2"/>
          </w:tcPr>
          <w:p>
            <w:pPr>
              <w:spacing w:after="0" w:line="182" w:lineRule="exact"/>
              <w:rPr>
                <w:rFonts w:ascii="Arial" w:cs="Arial" w:eastAsia="Arial" w:hAnsi="Arial"/>
                <w:sz w:val="18"/>
                <w:szCs w:val="18"/>
                <w:color w:val="0000EE"/>
                <w:w w:val="97"/>
              </w:rPr>
            </w:pPr>
            <w:hyperlink r:id="rId141">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27</w:t>
              </w:r>
            </w:hyperlink>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Master LNG Sale and Purchase Agreement, dated December 20, 2016, by and between Centrica LNG Company Limited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3"/>
              </w:rPr>
              <w:t>and NFE North Trading Limited (incorporated by reference to Exhibit 10.16 to the Registrant’s Registration Statement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on Form S-1/A (File No. 333-228339), filed with the Commission on January 14,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gridSpan w:val="2"/>
            <w:shd w:val="clear" w:color="auto" w:fill="CCEEFF"/>
          </w:tcPr>
          <w:p>
            <w:pPr>
              <w:spacing w:after="0" w:line="202"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28</w:t>
              </w:r>
            </w:hyperlink>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4"/>
              </w:rPr>
              <w:t>Engineering, Procurement and Construction Agreement for the Marcellus LNG Production Facility I, dated January 8,</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2"/>
              </w:rPr>
              <w:t>2019, by and between Bradford County Real Estate Partners LLC and Black &amp; Veatch Construction, Inc. (incorporated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by reference to Exhibit 10.17 to the Registrant’s Registration Statement on Form S-1/A (File No. 333-228339), filed with</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Commission on January 25, 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gridSpan w:val="4"/>
          </w:tcPr>
          <w:p>
            <w:pPr>
              <w:spacing w:after="0" w:line="189" w:lineRule="exact"/>
              <w:rPr>
                <w:rFonts w:ascii="Arial" w:cs="Arial" w:eastAsia="Arial" w:hAnsi="Arial"/>
                <w:sz w:val="18"/>
                <w:szCs w:val="18"/>
                <w:color w:val="0000EE"/>
              </w:rPr>
            </w:pPr>
            <w:hyperlink w:anchor="page140">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1"/>
              </w:rPr>
              <w:t>Indemnification Agreement, dated as of March 17, 2019, by and between New Fortress Energy LLC and Yunyoung Shin</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380" w:type="dxa"/>
            <w:vAlign w:val="bottom"/>
            <w:tcBorders>
              <w:bottom w:val="single" w:sz="8" w:color="0000EE"/>
            </w:tcBorders>
            <w:shd w:val="clear" w:color="auto" w:fill="CCEEFF"/>
          </w:tcPr>
          <w:p>
            <w:pPr>
              <w:spacing w:after="0" w:line="189" w:lineRule="exact"/>
              <w:rPr>
                <w:rFonts w:ascii="Arial" w:cs="Arial" w:eastAsia="Arial" w:hAnsi="Arial"/>
                <w:sz w:val="18"/>
                <w:szCs w:val="18"/>
                <w:color w:val="0000EE"/>
                <w:w w:val="85"/>
              </w:rPr>
            </w:pPr>
            <w:hyperlink w:anchor="page148">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80" w:type="dxa"/>
            <w:vAlign w:val="bottom"/>
            <w:tcBorders>
              <w:bottom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List of Subsidiaries of New Fortress Energy LLC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8"/>
              </w:rPr>
              <w:t>Certification by Chief Executive Officer pursuant to Rule 13a-14(a) and 15d-14(a) of the Exchange Act Rules, as</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1"/>
              </w:rPr>
              <w:t>Certification by Chief Financial Officer pursuant to Rule 13a-14(a) and 15d-14(a) of the Exchange Act Rules, as adopted</w:t>
            </w: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gridSpan w:val="3"/>
            <w:shd w:val="clear" w:color="auto" w:fill="CCEEFF"/>
          </w:tcPr>
          <w:p>
            <w:pPr>
              <w:spacing w:after="0" w:line="202" w:lineRule="exact"/>
              <w:rPr>
                <w:rFonts w:ascii="Arial" w:cs="Arial" w:eastAsia="Arial" w:hAnsi="Arial"/>
                <w:sz w:val="18"/>
                <w:szCs w:val="18"/>
                <w:color w:val="0000EE"/>
              </w:rPr>
            </w:pPr>
            <w:hyperlink w:anchor="page15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88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Certifications by Chief Executive Officer pursuant to Title 18 U.S.C. Section 1350, as adopted pursuant to Section 906 of</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8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gridSpan w:val="3"/>
          </w:tcPr>
          <w:p>
            <w:pPr>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0" w:type="dxa"/>
            <w:vAlign w:val="bottom"/>
          </w:tcPr>
          <w:p>
            <w:pPr>
              <w:spacing w:after="0"/>
              <w:rPr>
                <w:sz w:val="16"/>
                <w:szCs w:val="16"/>
                <w:color w:val="auto"/>
              </w:rPr>
            </w:pPr>
          </w:p>
        </w:tc>
        <w:tc>
          <w:tcPr>
            <w:tcW w:w="888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1"/>
              </w:rPr>
              <w:t>Certifications by Chief Financial Officer pursuant to Title 18 U.S.C. Section 1350, as adopted pursuant to Section 906 of</w:t>
            </w: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909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9" w:lineRule="exact"/>
        <w:rPr>
          <w:sz w:val="20"/>
          <w:szCs w:val="20"/>
          <w:color w:val="auto"/>
        </w:rPr>
      </w:pPr>
    </w:p>
    <w:p>
      <w:pPr>
        <w:ind w:left="347" w:hanging="347"/>
        <w:spacing w:after="0"/>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Filed as an exhibit to this Annual Report</w:t>
      </w:r>
    </w:p>
    <w:p>
      <w:pPr>
        <w:spacing w:after="0" w:line="109" w:lineRule="exact"/>
        <w:rPr>
          <w:sz w:val="20"/>
          <w:szCs w:val="20"/>
          <w:color w:val="auto"/>
        </w:rPr>
      </w:pPr>
    </w:p>
    <w:p>
      <w:pPr>
        <w:ind w:left="347" w:hanging="347"/>
        <w:spacing w:after="0"/>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Furnished as an exhibit to this Annual Report</w:t>
      </w:r>
    </w:p>
    <w:p>
      <w:pPr>
        <w:spacing w:after="0" w:line="109"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Compensatory plan or arrangement</w:t>
      </w:r>
    </w:p>
    <w:p>
      <w:pPr>
        <w:spacing w:after="0" w:line="109"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Confidential treatment was granted with respect to certain portions of this exhibit. Omitted portions filed separately with the SEC.</w:t>
      </w:r>
    </w:p>
    <w:p>
      <w:pPr>
        <w:spacing w:after="0" w:line="96" w:lineRule="exact"/>
        <w:rPr>
          <w:sz w:val="20"/>
          <w:szCs w:val="20"/>
          <w:color w:val="auto"/>
        </w:rPr>
      </w:pPr>
    </w:p>
    <w:p>
      <w:pPr>
        <w:ind w:left="7"/>
        <w:spacing w:after="0"/>
        <w:tabs>
          <w:tab w:leader="none" w:pos="786"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Pursuant to the requirements of 13 or 15(d) of the Securities Exchange Act of 1934, the registrant has duly caused this report to be signed on its behalf by the undersigned, thereunto duly authorized.</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NEW FORTRESS ENERGY LLC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2019</w:t>
      </w:r>
    </w:p>
    <w:p>
      <w:pPr>
        <w:spacing w:after="0" w:line="36"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Christopher S. Guinta</w:t>
            </w: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Pr>
          <w:p>
            <w:pPr>
              <w:ind w:left="140"/>
              <w:spacing w:after="0"/>
              <w:rPr>
                <w:sz w:val="20"/>
                <w:szCs w:val="20"/>
                <w:color w:val="auto"/>
              </w:rPr>
            </w:pPr>
            <w:r>
              <w:rPr>
                <w:rFonts w:ascii="Arial" w:cs="Arial" w:eastAsia="Arial" w:hAnsi="Arial"/>
                <w:sz w:val="18"/>
                <w:szCs w:val="18"/>
                <w:color w:val="auto"/>
              </w:rPr>
              <w:t>Christopher S. Guinta</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107"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r>
      <w:tr>
        <w:trPr>
          <w:trHeight w:val="480"/>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Wesley R. Edens</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88"/>
              </w:rPr>
              <w:t>Wesley R. Edens</w:t>
            </w:r>
          </w:p>
        </w:tc>
        <w:tc>
          <w:tcPr>
            <w:tcW w:w="1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S. Guinta</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0"/>
              </w:rPr>
              <w:t>Christopher S. Guinta</w:t>
            </w:r>
          </w:p>
        </w:tc>
        <w:tc>
          <w:tcPr>
            <w:tcW w:w="1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Yunyoung Shin</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1"/>
              </w:rPr>
              <w:t>Yunyoung Shin</w:t>
            </w:r>
          </w:p>
        </w:tc>
        <w:tc>
          <w:tcPr>
            <w:tcW w:w="1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Officer)</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Randal A. Nardone</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1"/>
              </w:rPr>
              <w:t>Randal A. Nardone</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 William Griffin</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8"/>
              </w:rPr>
              <w:t>C. William Griffin</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J. Mack</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0"/>
              </w:rPr>
              <w:t>John J. Mack</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Matthew Wilkinson</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5"/>
              </w:rPr>
              <w:t>Matthew Wilkinson</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J. Grain</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1"/>
              </w:rPr>
              <w:t>David J. Grain</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Desmond Iain Catterall</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1"/>
              </w:rPr>
              <w:t>Desmond Iain Catterall</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Katherine E. Wanner</w:t>
            </w:r>
          </w:p>
        </w:tc>
        <w:tc>
          <w:tcPr>
            <w:tcW w:w="1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26, 2019</w:t>
            </w:r>
          </w:p>
        </w:tc>
        <w:tc>
          <w:tcPr>
            <w:tcW w:w="20" w:type="dxa"/>
            <w:vAlign w:val="bottom"/>
          </w:tcPr>
          <w:p>
            <w:pPr>
              <w:spacing w:after="0"/>
              <w:rPr>
                <w:sz w:val="24"/>
                <w:szCs w:val="24"/>
                <w:color w:val="auto"/>
              </w:rPr>
            </w:pPr>
          </w:p>
        </w:tc>
      </w:tr>
      <w:tr>
        <w:trPr>
          <w:trHeight w:val="237"/>
        </w:trPr>
        <w:tc>
          <w:tcPr>
            <w:tcW w:w="3100" w:type="dxa"/>
            <w:vAlign w:val="bottom"/>
          </w:tcPr>
          <w:p>
            <w:pPr>
              <w:jc w:val="center"/>
              <w:spacing w:after="0"/>
              <w:rPr>
                <w:sz w:val="20"/>
                <w:szCs w:val="20"/>
                <w:color w:val="auto"/>
              </w:rPr>
            </w:pPr>
            <w:r>
              <w:rPr>
                <w:rFonts w:ascii="Arial" w:cs="Arial" w:eastAsia="Arial" w:hAnsi="Arial"/>
                <w:sz w:val="18"/>
                <w:szCs w:val="18"/>
                <w:color w:val="auto"/>
                <w:w w:val="90"/>
              </w:rPr>
              <w:t>Katherine E. Wanner</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3100" w:type="dxa"/>
            <w:vAlign w:val="bottom"/>
          </w:tcPr>
          <w:p>
            <w:pPr>
              <w:spacing w:after="0"/>
              <w:rPr>
                <w:sz w:val="24"/>
                <w:szCs w:val="24"/>
                <w:color w:val="auto"/>
              </w:rPr>
            </w:pPr>
          </w:p>
        </w:tc>
        <w:tc>
          <w:tcPr>
            <w:tcW w:w="4220" w:type="dxa"/>
            <w:vAlign w:val="bottom"/>
            <w:gridSpan w:val="2"/>
          </w:tcPr>
          <w:p>
            <w:pPr>
              <w:jc w:val="right"/>
              <w:ind w:right="237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3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5"/>
            <w:shd w:val="clear" w:color="auto" w:fill="CCEEFF"/>
          </w:tcPr>
          <w:p>
            <w:pPr>
              <w:spacing w:after="0" w:line="189"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Report of Independent Registered Public Accounting Firm</w:t>
              </w:r>
            </w:hyperlink>
          </w:p>
        </w:tc>
        <w:tc>
          <w:tcPr>
            <w:tcW w:w="4480" w:type="dxa"/>
            <w:vAlign w:val="bottom"/>
            <w:gridSpan w:val="2"/>
            <w:shd w:val="clear" w:color="auto" w:fill="CCEEFF"/>
          </w:tcPr>
          <w:p>
            <w:pPr>
              <w:spacing w:after="0"/>
              <w:rPr>
                <w:sz w:val="16"/>
                <w:szCs w:val="16"/>
                <w:color w:val="auto"/>
              </w:rPr>
            </w:pPr>
          </w:p>
        </w:tc>
        <w:tc>
          <w:tcPr>
            <w:tcW w:w="860" w:type="dxa"/>
            <w:vAlign w:val="bottom"/>
            <w:gridSpan w:val="3"/>
            <w:shd w:val="clear" w:color="auto" w:fill="CCEEFF"/>
          </w:tcPr>
          <w:p>
            <w:pPr>
              <w:ind w:left="520"/>
              <w:spacing w:after="0" w:line="189" w:lineRule="exact"/>
              <w:rPr>
                <w:rFonts w:ascii="Arial" w:cs="Arial" w:eastAsia="Arial" w:hAnsi="Arial"/>
                <w:sz w:val="18"/>
                <w:szCs w:val="18"/>
                <w:color w:val="0000EE"/>
              </w:rPr>
            </w:pPr>
            <w:hyperlink w:anchor="page92">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gridSpan w:val="5"/>
          </w:tcPr>
          <w:p>
            <w:pPr>
              <w:spacing w:after="0" w:line="189"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Balance Sheets</w:t>
              </w:r>
            </w:hyperlink>
          </w:p>
        </w:tc>
        <w:tc>
          <w:tcPr>
            <w:tcW w:w="4480" w:type="dxa"/>
            <w:vAlign w:val="bottom"/>
            <w:gridSpan w:val="2"/>
          </w:tcPr>
          <w:p>
            <w:pPr>
              <w:spacing w:after="0"/>
              <w:rPr>
                <w:sz w:val="16"/>
                <w:szCs w:val="16"/>
                <w:color w:val="auto"/>
              </w:rPr>
            </w:pPr>
          </w:p>
        </w:tc>
        <w:tc>
          <w:tcPr>
            <w:tcW w:w="860" w:type="dxa"/>
            <w:vAlign w:val="bottom"/>
            <w:gridSpan w:val="3"/>
          </w:tcPr>
          <w:p>
            <w:pPr>
              <w:ind w:left="520"/>
              <w:spacing w:after="0" w:line="189" w:lineRule="exact"/>
              <w:rPr>
                <w:rFonts w:ascii="Arial" w:cs="Arial" w:eastAsia="Arial" w:hAnsi="Arial"/>
                <w:sz w:val="18"/>
                <w:szCs w:val="18"/>
                <w:color w:val="0000EE"/>
              </w:rPr>
            </w:pPr>
            <w:hyperlink w:anchor="page93">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gridSpan w:val="6"/>
            <w:shd w:val="clear" w:color="auto" w:fill="CCEEFF"/>
          </w:tcPr>
          <w:p>
            <w:pPr>
              <w:spacing w:after="0" w:line="189"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Consolidated Statements of Operations and Comprehensive Loss</w:t>
              </w:r>
            </w:hyperlink>
          </w:p>
        </w:tc>
        <w:tc>
          <w:tcPr>
            <w:tcW w:w="40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20"/>
              <w:spacing w:after="0" w:line="189" w:lineRule="exact"/>
              <w:rPr>
                <w:rFonts w:ascii="Arial" w:cs="Arial" w:eastAsia="Arial" w:hAnsi="Arial"/>
                <w:sz w:val="18"/>
                <w:szCs w:val="18"/>
                <w:color w:val="0000EE"/>
              </w:rPr>
            </w:pPr>
            <w:hyperlink w:anchor="page94">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gridSpan w:val="6"/>
          </w:tcPr>
          <w:p>
            <w:pPr>
              <w:spacing w:after="0" w:line="189" w:lineRule="exact"/>
              <w:rPr>
                <w:rFonts w:ascii="Arial" w:cs="Arial" w:eastAsia="Arial" w:hAnsi="Arial"/>
                <w:sz w:val="18"/>
                <w:szCs w:val="18"/>
                <w:color w:val="0000EE"/>
              </w:rPr>
            </w:pPr>
            <w:hyperlink w:anchor="page95">
              <w:r>
                <w:rPr>
                  <w:rFonts w:ascii="Arial" w:cs="Arial" w:eastAsia="Arial" w:hAnsi="Arial"/>
                  <w:sz w:val="18"/>
                  <w:szCs w:val="18"/>
                  <w:color w:val="0000EE"/>
                </w:rPr>
                <w:t>Consolidated Statements of Changes in Members’ Equity</w:t>
              </w:r>
            </w:hyperlink>
          </w:p>
        </w:tc>
        <w:tc>
          <w:tcPr>
            <w:tcW w:w="4020" w:type="dxa"/>
            <w:vAlign w:val="bottom"/>
          </w:tcPr>
          <w:p>
            <w:pPr>
              <w:spacing w:after="0"/>
              <w:rPr>
                <w:sz w:val="16"/>
                <w:szCs w:val="16"/>
                <w:color w:val="auto"/>
              </w:rPr>
            </w:pPr>
          </w:p>
        </w:tc>
        <w:tc>
          <w:tcPr>
            <w:tcW w:w="860" w:type="dxa"/>
            <w:vAlign w:val="bottom"/>
            <w:gridSpan w:val="3"/>
          </w:tcPr>
          <w:p>
            <w:pPr>
              <w:ind w:left="520"/>
              <w:spacing w:after="0" w:line="189" w:lineRule="exact"/>
              <w:rPr>
                <w:rFonts w:ascii="Arial" w:cs="Arial" w:eastAsia="Arial" w:hAnsi="Arial"/>
                <w:sz w:val="18"/>
                <w:szCs w:val="18"/>
                <w:color w:val="0000EE"/>
              </w:rPr>
            </w:pPr>
            <w:hyperlink w:anchor="page95">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80" w:type="dxa"/>
            <w:vAlign w:val="bottom"/>
            <w:gridSpan w:val="7"/>
            <w:shd w:val="clear" w:color="auto" w:fill="CCEEFF"/>
          </w:tcPr>
          <w:p>
            <w:pPr>
              <w:spacing w:after="0" w:line="189"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Cash Flows</w:t>
              </w:r>
            </w:hyperlink>
          </w:p>
        </w:tc>
        <w:tc>
          <w:tcPr>
            <w:tcW w:w="860" w:type="dxa"/>
            <w:vAlign w:val="bottom"/>
            <w:gridSpan w:val="3"/>
            <w:shd w:val="clear" w:color="auto" w:fill="CCEEFF"/>
          </w:tcPr>
          <w:p>
            <w:pPr>
              <w:ind w:left="520"/>
              <w:spacing w:after="0" w:line="189" w:lineRule="exact"/>
              <w:rPr>
                <w:rFonts w:ascii="Arial" w:cs="Arial" w:eastAsia="Arial" w:hAnsi="Arial"/>
                <w:sz w:val="18"/>
                <w:szCs w:val="18"/>
                <w:color w:val="0000EE"/>
              </w:rPr>
            </w:pPr>
            <w:hyperlink w:anchor="page96">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80" w:type="dxa"/>
            <w:vAlign w:val="bottom"/>
            <w:gridSpan w:val="7"/>
          </w:tcPr>
          <w:p>
            <w:pPr>
              <w:spacing w:after="0" w:line="189" w:lineRule="exact"/>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860" w:type="dxa"/>
            <w:vAlign w:val="bottom"/>
            <w:gridSpan w:val="3"/>
          </w:tcPr>
          <w:p>
            <w:pPr>
              <w:ind w:left="520"/>
              <w:spacing w:after="0" w:line="189" w:lineRule="exact"/>
              <w:rPr>
                <w:rFonts w:ascii="Arial" w:cs="Arial" w:eastAsia="Arial" w:hAnsi="Arial"/>
                <w:sz w:val="18"/>
                <w:szCs w:val="18"/>
                <w:color w:val="0000EE"/>
              </w:rPr>
            </w:pPr>
            <w:hyperlink w:anchor="page97">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F-1</w:t>
            </w:r>
          </w:p>
        </w:tc>
        <w:tc>
          <w:tcPr>
            <w:tcW w:w="5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0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right="2540" w:firstLine="2528"/>
        <w:spacing w:after="0" w:line="44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New Fortress Energy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audited the accompanying consolidated balance sheets of New Fortress Energy Holdings LLC (the “Company”) as of December 31, 2018 and 2017, the related consolidated statements of operations and comprehensive loss, changes in members’ equity and cash flows for the three years in the period ended December 31, 2018,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three years in the period ended December 31, 2018,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auto"/>
        <w:rPr>
          <w:sz w:val="20"/>
          <w:szCs w:val="20"/>
          <w:color w:val="auto"/>
        </w:rPr>
      </w:pPr>
      <w:r>
        <w:rPr>
          <w:rFonts w:ascii="Arial" w:cs="Arial" w:eastAsia="Arial" w:hAnsi="Arial"/>
          <w:sz w:val="18"/>
          <w:szCs w:val="18"/>
          <w:b w:val="1"/>
          <w:bCs w:val="1"/>
          <w:color w:val="auto"/>
        </w:rPr>
        <w:t>As of December 31, 2018 and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 of allowances of $257 and $0, respectively</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Finance leases, net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 net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699,402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272,192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to affiliates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tax liability, net.</w:t>
            </w:r>
          </w:p>
        </w:tc>
        <w:tc>
          <w:tcPr>
            <w:tcW w:w="16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416,755</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contingences (Note 18)</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3"/>
              </w:rPr>
              <w:t>Members’ capital, no par value, 500,000,000 shares authorized, 67,983,095 shares issued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w w:val="92"/>
              </w:rPr>
              <w:t>and outstanding as of December 31, 2018; 65,665,037 shares issued and outstanding as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of December 31, 2017</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426,741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subscription receivable</w:t>
            </w:r>
          </w:p>
        </w:tc>
        <w:tc>
          <w:tcPr>
            <w:tcW w:w="1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(158,423)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(80,347)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268,307</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278,910</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282,647</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278,910</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699,402</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6" w:lineRule="exact"/>
        <w:rPr>
          <w:sz w:val="20"/>
          <w:szCs w:val="20"/>
          <w:color w:val="auto"/>
        </w:rPr>
      </w:pPr>
    </w:p>
    <w:p>
      <w:pPr>
        <w:ind w:right="4580"/>
        <w:spacing w:after="0" w:line="248" w:lineRule="auto"/>
        <w:rPr>
          <w:sz w:val="20"/>
          <w:szCs w:val="20"/>
          <w:color w:val="auto"/>
        </w:rPr>
      </w:pPr>
      <w:r>
        <w:rPr>
          <w:rFonts w:ascii="Arial" w:cs="Arial" w:eastAsia="Arial" w:hAnsi="Arial"/>
          <w:sz w:val="17"/>
          <w:szCs w:val="17"/>
          <w:b w:val="1"/>
          <w:bCs w:val="1"/>
          <w:color w:val="auto"/>
        </w:rPr>
        <w:t>Consolidated Statements of Operations and Comprehensive Loss For the years ended December 31, 2018,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96,906</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82,104</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112,301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97,262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78,692</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62,137</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170,789</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48,453</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(58,488)</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(24,990)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56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11,248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5700" w:type="dxa"/>
            <w:vAlign w:val="bottom"/>
            <w:gridSpan w:val="2"/>
          </w:tcPr>
          <w:p>
            <w:pPr>
              <w:spacing w:after="0"/>
              <w:rPr>
                <w:sz w:val="20"/>
                <w:szCs w:val="20"/>
                <w:color w:val="auto"/>
              </w:rPr>
            </w:pPr>
            <w:r>
              <w:rPr>
                <w:rFonts w:ascii="Arial" w:cs="Arial" w:eastAsia="Arial" w:hAnsi="Arial"/>
                <w:sz w:val="18"/>
                <w:szCs w:val="18"/>
                <w:color w:val="auto"/>
              </w:rPr>
              <w:t>Loss on extinguishment of debt, net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taxes</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(78,520)</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Tax (benefit) expense</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(78,182)</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37"/>
        </w:trPr>
        <w:tc>
          <w:tcPr>
            <w:tcW w:w="570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loss attributable to members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 attributable to members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67,932,825</w:t>
            </w:r>
          </w:p>
        </w:tc>
        <w:tc>
          <w:tcPr>
            <w:tcW w:w="18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65,006,140</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58,753,425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(78,182)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Unrealized loss/(gain) on available-for-sale investment, net of tax expense of</w:t>
            </w: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(80,859)</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(30,368)</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members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(80,753)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(30,368)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34" w:lineRule="auto"/>
        <w:rPr>
          <w:sz w:val="20"/>
          <w:szCs w:val="20"/>
          <w:color w:val="auto"/>
        </w:rPr>
      </w:pPr>
      <w:r>
        <w:rPr>
          <w:rFonts w:ascii="Arial" w:cs="Arial" w:eastAsia="Arial" w:hAnsi="Arial"/>
          <w:sz w:val="18"/>
          <w:szCs w:val="18"/>
          <w:b w:val="1"/>
          <w:bCs w:val="1"/>
          <w:color w:val="auto"/>
        </w:rPr>
        <w:t>For the years ended December 31, 2018,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2"/>
                <w:szCs w:val="12"/>
                <w:color w:val="auto"/>
              </w:rPr>
            </w:pPr>
          </w:p>
        </w:tc>
        <w:tc>
          <w:tcPr>
            <w:tcW w:w="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Members’</w:t>
            </w:r>
          </w:p>
        </w:tc>
        <w:tc>
          <w:tcPr>
            <w:tcW w:w="9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subscription</w:t>
            </w:r>
          </w:p>
        </w:tc>
        <w:tc>
          <w:tcPr>
            <w:tcW w:w="10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85"/>
              </w:rPr>
              <w:t>capital</w:t>
            </w:r>
          </w:p>
        </w:tc>
        <w:tc>
          <w:tcPr>
            <w:tcW w:w="1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1"/>
              </w:rPr>
              <w:t>receivable</w:t>
            </w:r>
          </w:p>
        </w:tc>
        <w:tc>
          <w:tcPr>
            <w:tcW w:w="18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deficit</w:t>
            </w:r>
          </w:p>
        </w:tc>
        <w:tc>
          <w:tcPr>
            <w:tcW w:w="1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1"/>
              </w:rPr>
              <w:t>income (loss)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January 1, 2016</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36,983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(15,750)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(32,926)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(32,926)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Capital contributions</w:t>
            </w:r>
          </w:p>
        </w:tc>
        <w:tc>
          <w:tcPr>
            <w:tcW w:w="820" w:type="dxa"/>
            <w:vAlign w:val="bottom"/>
          </w:tcPr>
          <w:p>
            <w:pPr>
              <w:jc w:val="right"/>
              <w:spacing w:after="0"/>
              <w:rPr>
                <w:sz w:val="20"/>
                <w:szCs w:val="20"/>
                <w:color w:val="auto"/>
              </w:rPr>
            </w:pPr>
            <w:r>
              <w:rPr>
                <w:rFonts w:ascii="Arial" w:cs="Arial" w:eastAsia="Arial" w:hAnsi="Arial"/>
                <w:sz w:val="15"/>
                <w:szCs w:val="15"/>
                <w:color w:val="auto"/>
              </w:rPr>
              <w:t>15,000,000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300,776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300,776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Cost of issuing capital</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Stock subscription receivable</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5"/>
                <w:szCs w:val="15"/>
                <w:b w:val="1"/>
                <w:bCs w:val="1"/>
                <w:color w:val="auto"/>
              </w:rPr>
              <w:t>Balance as of December 31, 2016</w:t>
            </w:r>
          </w:p>
        </w:tc>
        <w:tc>
          <w:tcPr>
            <w:tcW w:w="820" w:type="dxa"/>
            <w:vAlign w:val="bottom"/>
          </w:tcPr>
          <w:p>
            <w:pPr>
              <w:jc w:val="right"/>
              <w:spacing w:after="0"/>
              <w:rPr>
                <w:sz w:val="20"/>
                <w:szCs w:val="20"/>
                <w:color w:val="auto"/>
              </w:rPr>
            </w:pPr>
            <w:r>
              <w:rPr>
                <w:rFonts w:ascii="Arial" w:cs="Arial" w:eastAsia="Arial" w:hAnsi="Arial"/>
                <w:sz w:val="15"/>
                <w:szCs w:val="15"/>
                <w:color w:val="auto"/>
              </w:rPr>
              <w:t>65,000,000</w:t>
            </w:r>
          </w:p>
        </w:tc>
        <w:tc>
          <w:tcPr>
            <w:tcW w:w="1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336,683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(48,676)</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1,363</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289,370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(31,671)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(31,671)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Other comprehensive income</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Capital contributions</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2,317,252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Cost of issuing capital</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 subscription receivable</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(1,652,215)</w:t>
            </w:r>
          </w:p>
        </w:tc>
        <w:tc>
          <w:tcPr>
            <w:tcW w:w="1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(50,000)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2017</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65,665,037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406,591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(50,000)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(80,347)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278,910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(78,076)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(106)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(78,182)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comprehensive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(2,677)</w:t>
            </w: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Capital contributions</w:t>
            </w:r>
          </w:p>
        </w:tc>
        <w:tc>
          <w:tcPr>
            <w:tcW w:w="820" w:type="dxa"/>
            <w:vAlign w:val="bottom"/>
          </w:tcPr>
          <w:p>
            <w:pPr>
              <w:jc w:val="right"/>
              <w:spacing w:after="0"/>
              <w:rPr>
                <w:sz w:val="20"/>
                <w:szCs w:val="20"/>
                <w:color w:val="auto"/>
              </w:rPr>
            </w:pPr>
            <w:r>
              <w:rPr>
                <w:rFonts w:ascii="Arial" w:cs="Arial" w:eastAsia="Arial" w:hAnsi="Arial"/>
                <w:sz w:val="15"/>
                <w:szCs w:val="15"/>
                <w:color w:val="auto"/>
              </w:rPr>
              <w:t>665,843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20,150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20,150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 subscription receivable</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1,652,215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40" w:type="dxa"/>
            <w:vAlign w:val="bottom"/>
            <w:gridSpan w:val="2"/>
          </w:tcPr>
          <w:p>
            <w:pPr>
              <w:ind w:left="160"/>
              <w:spacing w:after="0"/>
              <w:rPr>
                <w:sz w:val="20"/>
                <w:szCs w:val="20"/>
                <w:color w:val="auto"/>
              </w:rPr>
            </w:pPr>
            <w:r>
              <w:rPr>
                <w:rFonts w:ascii="Arial" w:cs="Arial" w:eastAsia="Arial" w:hAnsi="Arial"/>
                <w:sz w:val="15"/>
                <w:szCs w:val="15"/>
                <w:color w:val="auto"/>
              </w:rPr>
              <w:t>Acquisition of Shannon LNG</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14,446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60" w:type="dxa"/>
            <w:vAlign w:val="bottom"/>
            <w:gridSpan w:val="3"/>
          </w:tcPr>
          <w:p>
            <w:pPr>
              <w:spacing w:after="0"/>
              <w:rPr>
                <w:sz w:val="20"/>
                <w:szCs w:val="20"/>
                <w:color w:val="auto"/>
              </w:rPr>
            </w:pPr>
            <w:r>
              <w:rPr>
                <w:rFonts w:ascii="Arial" w:cs="Arial" w:eastAsia="Arial" w:hAnsi="Arial"/>
                <w:sz w:val="15"/>
                <w:szCs w:val="15"/>
                <w:b w:val="1"/>
                <w:bCs w:val="1"/>
                <w:color w:val="auto"/>
              </w:rPr>
              <w:t>Balance as of December 31, 2018</w:t>
            </w:r>
          </w:p>
        </w:tc>
        <w:tc>
          <w:tcPr>
            <w:tcW w:w="820" w:type="dxa"/>
            <w:vAlign w:val="bottom"/>
          </w:tcPr>
          <w:p>
            <w:pPr>
              <w:jc w:val="right"/>
              <w:spacing w:after="0"/>
              <w:rPr>
                <w:sz w:val="20"/>
                <w:szCs w:val="20"/>
                <w:color w:val="auto"/>
              </w:rPr>
            </w:pPr>
            <w:r>
              <w:rPr>
                <w:rFonts w:ascii="Arial" w:cs="Arial" w:eastAsia="Arial" w:hAnsi="Arial"/>
                <w:sz w:val="15"/>
                <w:szCs w:val="15"/>
                <w:color w:val="auto"/>
              </w:rPr>
              <w:t>67,983,095</w:t>
            </w:r>
          </w:p>
        </w:tc>
        <w:tc>
          <w:tcPr>
            <w:tcW w:w="16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426,741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(158,423)</w:t>
            </w: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(11)</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14,340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282,647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auto"/>
        <w:rPr>
          <w:sz w:val="20"/>
          <w:szCs w:val="20"/>
          <w:color w:val="auto"/>
        </w:rPr>
      </w:pPr>
      <w:r>
        <w:rPr>
          <w:rFonts w:ascii="Arial" w:cs="Arial" w:eastAsia="Arial" w:hAnsi="Arial"/>
          <w:sz w:val="18"/>
          <w:szCs w:val="18"/>
          <w:b w:val="1"/>
          <w:bCs w:val="1"/>
          <w:color w:val="auto"/>
        </w:rPr>
        <w:t>For the years ended December 31, 2018,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(78,182)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for:</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receivables</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(9,516)</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(Increase) in inventories</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(4,807)</w:t>
            </w: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assets</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(28,338)</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(21,738)</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Increase (Decrease) in accounts payable/accrued liabilities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12,232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property tax payable</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Increase in amounts due to affiliates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other liabilities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(93,227)</w:t>
            </w: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(54,892)</w:t>
            </w:r>
          </w:p>
        </w:tc>
        <w:tc>
          <w:tcPr>
            <w:tcW w:w="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available-for-sale investment</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(1,667)</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Decrease (Increase) in restricted cash</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(22,538)</w:t>
            </w:r>
          </w:p>
        </w:tc>
        <w:tc>
          <w:tcPr>
            <w:tcW w:w="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(181,151)</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(28,727)</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Principal payments received on finance lease,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consolidated subsidiary</w:t>
            </w:r>
          </w:p>
        </w:tc>
        <w:tc>
          <w:tcPr>
            <w:tcW w:w="2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(4,028)</w:t>
            </w:r>
          </w:p>
        </w:tc>
        <w:tc>
          <w:tcPr>
            <w:tcW w:w="22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(177,486)</w:t>
            </w: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restricted cash</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Proceeds from borrowings of debt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280,600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deferred financing costs</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(14,026)</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(76,520)</w:t>
            </w: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(5,828)</w:t>
            </w:r>
          </w:p>
        </w:tc>
        <w:tc>
          <w:tcPr>
            <w:tcW w:w="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(65,853)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(and repayment of) Affiliate note</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Capital contributed from Members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20,100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stock issuance costs</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Collection of subscription receivable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264,306</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180" w:top="279" w:right="115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607187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607187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(6,407)</w:t>
            </w: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(95,942)</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130,166</w:t>
            </w:r>
          </w:p>
        </w:tc>
      </w:tr>
      <w:tr>
        <w:trPr>
          <w:trHeight w:val="243"/>
        </w:trPr>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180,650</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50,484</w:t>
            </w:r>
          </w:p>
        </w:tc>
      </w:tr>
      <w:tr>
        <w:trPr>
          <w:trHeight w:val="237"/>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78,301</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180,650</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720"/>
            <w:col w:w="3560"/>
          </w:cols>
          <w:pgMar w:left="1180" w:top="279" w:right="115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Supplemental disclosure of non-cash investing and financing activities:</w:t>
            </w:r>
          </w:p>
        </w:tc>
        <w:tc>
          <w:tcPr>
            <w:tcW w:w="6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8"/>
                <w:szCs w:val="18"/>
                <w:color w:val="auto"/>
                <w:w w:val="96"/>
              </w:rPr>
              <w:t>Changes in accrued construction in progress costs and property, plant and</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74,280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7,997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5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capitalized interest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4,329</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Cash paid for taxes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96" w:name="page97"/>
    <w:bookmarkEnd w:id="9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367"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(“New Fortress Energy Holdings,” together with its subsidiaries, the “Company”) is a Delaware limited liability company formed on September 11, 2015. The Company is an integrated gas-to-power company that seeks to use “stranded” natural gas to satisfy the world’s large and growing power needs. The Company currently sources “LNG” from a combination of its own liquefaction facility in Miami, Florida and purchases from third party suppliers. The Company has liquefaction and regasification operations in the United States and Jamaica. The Company is majority-owned by a private equity fund managed by an affiliate of Fortress Investment Group LLC (“Fortress”).</w:t>
      </w:r>
    </w:p>
    <w:p>
      <w:pPr>
        <w:spacing w:after="0" w:line="70" w:lineRule="exact"/>
        <w:rPr>
          <w:rFonts w:ascii="Arial" w:cs="Arial" w:eastAsia="Arial" w:hAnsi="Arial"/>
          <w:sz w:val="18"/>
          <w:szCs w:val="18"/>
          <w:b w:val="1"/>
          <w:bCs w:val="1"/>
          <w:color w:val="auto"/>
        </w:rPr>
      </w:pPr>
    </w:p>
    <w:p>
      <w:pPr>
        <w:ind w:left="367" w:right="2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 on the delivery of an integrated solution to our customers.</w:t>
      </w:r>
    </w:p>
    <w:p>
      <w:pPr>
        <w:spacing w:after="0" w:line="53" w:lineRule="exact"/>
        <w:rPr>
          <w:rFonts w:ascii="Arial" w:cs="Arial" w:eastAsia="Arial" w:hAnsi="Arial"/>
          <w:sz w:val="18"/>
          <w:szCs w:val="18"/>
          <w:b w:val="1"/>
          <w:bCs w:val="1"/>
          <w:color w:val="auto"/>
        </w:rPr>
      </w:pPr>
    </w:p>
    <w:p>
      <w:pPr>
        <w:ind w:left="347" w:hanging="347"/>
        <w:spacing w:after="0"/>
        <w:tabs>
          <w:tab w:leader="none" w:pos="347"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principle accounting policies adopted are set out below.</w:t>
      </w:r>
    </w:p>
    <w:p>
      <w:pPr>
        <w:spacing w:after="0" w:line="113" w:lineRule="exact"/>
        <w:rPr>
          <w:rFonts w:ascii="Arial" w:cs="Arial" w:eastAsia="Arial" w:hAnsi="Arial"/>
          <w:sz w:val="18"/>
          <w:szCs w:val="18"/>
          <w:b w:val="1"/>
          <w:bCs w:val="1"/>
          <w:color w:val="auto"/>
        </w:rPr>
      </w:pPr>
    </w:p>
    <w:p>
      <w:pPr>
        <w:ind w:left="707" w:hanging="356"/>
        <w:spacing w:after="0"/>
        <w:tabs>
          <w:tab w:leader="none" w:pos="707"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727" w:right="60"/>
        <w:spacing w:after="0" w:line="271" w:lineRule="auto"/>
        <w:rPr>
          <w:rFonts w:ascii="Arial" w:cs="Arial" w:eastAsia="Arial" w:hAnsi="Arial"/>
          <w:sz w:val="18"/>
          <w:szCs w:val="18"/>
          <w:color w:val="auto"/>
        </w:rPr>
      </w:pPr>
      <w:r>
        <w:rPr>
          <w:rFonts w:ascii="Arial" w:cs="Arial" w:eastAsia="Arial" w:hAnsi="Arial"/>
          <w:sz w:val="17"/>
          <w:szCs w:val="17"/>
          <w:color w:val="auto"/>
        </w:rPr>
        <w:t>The consolidated financial statements were prepared in accordance with US generally accepted accounting principles (“GAAP”). The accompanying consolidated financial statements contained herein reflect all normal and recurring adjustments which are, in the opinion of management, necessary to provide a fair statement of the financial position, results of operations, and cash flows of the Company for the periods presented. The consolidated financial statements include the accounts of the Company and its wholly-owned and majority-owned consolidated subsidiaries. The ownership interest of other investors in consolidated subsidiaries is recorded as non-controlling interest. See Note 4 for additional details about the increase in non-controlling interest in 2018. All significant intercompany transactions and balances have been eliminated on consolidation.</w:t>
      </w:r>
    </w:p>
    <w:p>
      <w:pPr>
        <w:spacing w:after="0" w:line="70" w:lineRule="exact"/>
        <w:rPr>
          <w:rFonts w:ascii="Arial" w:cs="Arial" w:eastAsia="Arial" w:hAnsi="Arial"/>
          <w:sz w:val="18"/>
          <w:szCs w:val="18"/>
          <w:color w:val="auto"/>
        </w:rPr>
      </w:pPr>
    </w:p>
    <w:p>
      <w:pPr>
        <w:ind w:left="727" w:right="20"/>
        <w:spacing w:after="0" w:line="270" w:lineRule="auto"/>
        <w:rPr>
          <w:rFonts w:ascii="Arial" w:cs="Arial" w:eastAsia="Arial" w:hAnsi="Arial"/>
          <w:sz w:val="18"/>
          <w:szCs w:val="18"/>
          <w:color w:val="auto"/>
        </w:rPr>
      </w:pPr>
      <w:r>
        <w:rPr>
          <w:rFonts w:ascii="Arial" w:cs="Arial" w:eastAsia="Arial" w:hAnsi="Arial"/>
          <w:sz w:val="17"/>
          <w:szCs w:val="17"/>
          <w:color w:val="auto"/>
        </w:rPr>
        <w:t>As described in more detail in Note 25, on February 4, 2019, New Fortress Energy LLC (“NFE”), an entity formed by the Company on August 6, 2018, completed an initial public offering (“IPO”) in which NFE issued and sold 20,000,000 Class A shares at an IPO price of $14.00 per share. NFE’s Class A shares began trading on the NASDAQ under the symbol “NFE” on January 31, 2019. Net proceeds from the IPO were $257.6 million, after deducting underwriting discounts and commissions and transaction costs. These proceeds were contributed in exchange for limited liability company units (“NFI LLC Units”) in New Fortress Intermediate LLC (“NFI”), an entity formed in conjunction with the IPO, at a price per unit equal to the IPO price. In addition, New Fortress Energy Holdings contributed all of its interests in consolidated subsidiaries that comprised substantially all of its historic operations, as well its limited assets and liabilities, to NFI in exchange for NFI LLC Units. New Fortress Energy Holdings has been determined to be NFE’s predecessor for accounting purposes.</w:t>
      </w:r>
    </w:p>
    <w:p>
      <w:pPr>
        <w:spacing w:after="0" w:line="69" w:lineRule="exact"/>
        <w:rPr>
          <w:rFonts w:ascii="Arial" w:cs="Arial" w:eastAsia="Arial" w:hAnsi="Arial"/>
          <w:sz w:val="18"/>
          <w:szCs w:val="18"/>
          <w:color w:val="auto"/>
        </w:rPr>
      </w:pPr>
    </w:p>
    <w:p>
      <w:pPr>
        <w:ind w:left="727" w:right="60"/>
        <w:spacing w:after="0" w:line="270" w:lineRule="auto"/>
        <w:rPr>
          <w:rFonts w:ascii="Arial" w:cs="Arial" w:eastAsia="Arial" w:hAnsi="Arial"/>
          <w:sz w:val="18"/>
          <w:szCs w:val="18"/>
          <w:color w:val="auto"/>
        </w:rPr>
      </w:pPr>
      <w:r>
        <w:rPr>
          <w:rFonts w:ascii="Arial" w:cs="Arial" w:eastAsia="Arial" w:hAnsi="Arial"/>
          <w:sz w:val="17"/>
          <w:szCs w:val="17"/>
          <w:color w:val="auto"/>
        </w:rPr>
        <w:t>NFE is a holding company whose principal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offering to NFI was treated as a reorganization of entities under common control. As a result, NFE will retrospectively present the consolidated balance sheets and statements of operations and comprehensive loss of New Fortress Energy Holdings for all current and comparative periods presented beginning with its financial statements for the quarter ended March 31, 2019. For periods after the IPO, the consolidated financial statements of NFE will report a non-controlling interest related to the portion of NFI LLC Units not owned by NFE. Prior to the IPO, NFE had no operations and had no assets or liabilities.</w:t>
      </w:r>
    </w:p>
    <w:p>
      <w:pPr>
        <w:spacing w:after="0" w:line="69" w:lineRule="exact"/>
        <w:rPr>
          <w:rFonts w:ascii="Arial" w:cs="Arial" w:eastAsia="Arial" w:hAnsi="Arial"/>
          <w:sz w:val="18"/>
          <w:szCs w:val="18"/>
          <w:color w:val="auto"/>
        </w:rPr>
      </w:pPr>
    </w:p>
    <w:p>
      <w:pPr>
        <w:ind w:left="707" w:hanging="356"/>
        <w:spacing w:after="0"/>
        <w:tabs>
          <w:tab w:leader="none" w:pos="707"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727"/>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relative fair value allocation between revenue and lease components of contracts with customers, as well as</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60"/>
        <w:spacing w:after="0" w:line="264" w:lineRule="auto"/>
        <w:rPr>
          <w:sz w:val="20"/>
          <w:szCs w:val="20"/>
          <w:color w:val="auto"/>
        </w:rPr>
      </w:pPr>
      <w:r>
        <w:rPr>
          <w:rFonts w:ascii="Arial" w:cs="Arial" w:eastAsia="Arial" w:hAnsi="Arial"/>
          <w:sz w:val="18"/>
          <w:szCs w:val="18"/>
          <w:color w:val="auto"/>
        </w:rPr>
        <w:t>total consideration and fair value of identifiable net assets related to acquisitions. Management evaluates its estimates and related assumptions regularly. Changes in facts and circumstances or additional information may result in revised estimates, and actual results may differ from these estimates.</w:t>
      </w:r>
    </w:p>
    <w:p>
      <w:pPr>
        <w:spacing w:after="0" w:line="69" w:lineRule="exact"/>
        <w:rPr>
          <w:sz w:val="20"/>
          <w:szCs w:val="20"/>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21" w:lineRule="exact"/>
        <w:rPr>
          <w:rFonts w:ascii="Arial" w:cs="Arial" w:eastAsia="Arial" w:hAnsi="Arial"/>
          <w:sz w:val="18"/>
          <w:szCs w:val="18"/>
          <w:color w:val="auto"/>
        </w:rPr>
      </w:pPr>
    </w:p>
    <w:p>
      <w:pPr>
        <w:ind w:left="720" w:right="40"/>
        <w:spacing w:after="0" w:line="255" w:lineRule="auto"/>
        <w:rPr>
          <w:rFonts w:ascii="Arial" w:cs="Arial" w:eastAsia="Arial" w:hAnsi="Arial"/>
          <w:sz w:val="18"/>
          <w:szCs w:val="18"/>
          <w:color w:val="auto"/>
        </w:rPr>
      </w:pPr>
      <w:r>
        <w:rPr>
          <w:rFonts w:ascii="Arial" w:cs="Arial" w:eastAsia="Arial" w:hAnsi="Arial"/>
          <w:sz w:val="18"/>
          <w:szCs w:val="18"/>
          <w:color w:val="auto"/>
        </w:rPr>
        <w:t>The Company has determined that the functional currency of several of the Company’s foreign subsidiaries is the local currency. All of the assets and liabilities of these subsidiaries are converted to U.S. dollars at the exchange rate in effect at the balance sheet date, income and expense accounts are translated at average rates for the period, and shareholder’s equity accounts are translated at historical rates. The effects of translating financial statements of foreign operations into our reporting currency are recognized as a cumulative translation adjustment in consolidated other comprehensive income (loss).</w:t>
      </w:r>
    </w:p>
    <w:p>
      <w:pPr>
        <w:spacing w:after="0" w:line="85" w:lineRule="exact"/>
        <w:rPr>
          <w:rFonts w:ascii="Arial" w:cs="Arial" w:eastAsia="Arial" w:hAnsi="Arial"/>
          <w:sz w:val="18"/>
          <w:szCs w:val="18"/>
          <w:color w:val="auto"/>
        </w:rPr>
      </w:pPr>
    </w:p>
    <w:p>
      <w:pPr>
        <w:ind w:left="720"/>
        <w:spacing w:after="0" w:line="276" w:lineRule="auto"/>
        <w:rPr>
          <w:rFonts w:ascii="Arial" w:cs="Arial" w:eastAsia="Arial" w:hAnsi="Arial"/>
          <w:sz w:val="18"/>
          <w:szCs w:val="18"/>
          <w:color w:val="auto"/>
        </w:rPr>
      </w:pPr>
      <w:r>
        <w:rPr>
          <w:rFonts w:ascii="Arial" w:cs="Arial" w:eastAsia="Arial" w:hAnsi="Arial"/>
          <w:sz w:val="17"/>
          <w:szCs w:val="17"/>
          <w:color w:val="auto"/>
        </w:rPr>
        <w:t>The Company also has foreign subsidiaries that have a functional currency of the U.S. dollar. Purchases and sales of assets and income and expense items denominated in foreign currencies are remeasured into U.S. dollar amounts on the respective dates of such transactions. Net realized foreign currency gains or losses relating to the differences between these recorded amounts and the U.S. dollar equivalent actually received or paid are included within Other (income), net in the consolidated statements of operations and comprehensive loss.</w:t>
      </w:r>
    </w:p>
    <w:p>
      <w:pPr>
        <w:spacing w:after="0" w:line="60"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720" w:right="460"/>
        <w:spacing w:after="0" w:line="277"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58"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720" w:right="500"/>
        <w:spacing w:after="0" w:line="277" w:lineRule="auto"/>
        <w:rPr>
          <w:rFonts w:ascii="Arial" w:cs="Arial" w:eastAsia="Arial" w:hAnsi="Arial"/>
          <w:sz w:val="18"/>
          <w:szCs w:val="18"/>
          <w:color w:val="auto"/>
        </w:rPr>
      </w:pPr>
      <w:r>
        <w:rPr>
          <w:rFonts w:ascii="Arial" w:cs="Arial" w:eastAsia="Arial" w:hAnsi="Arial"/>
          <w:sz w:val="18"/>
          <w:szCs w:val="18"/>
          <w:color w:val="auto"/>
        </w:rPr>
        <w:t>Restricted cash consists of funds that are contractually restricted as to usage or withdrawal and have been presented separately from cash and cash equivalents on the consolidated balance sheets.</w:t>
      </w:r>
    </w:p>
    <w:p>
      <w:pPr>
        <w:spacing w:after="0" w:line="58"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21" w:lineRule="exact"/>
        <w:rPr>
          <w:rFonts w:ascii="Arial" w:cs="Arial" w:eastAsia="Arial" w:hAnsi="Arial"/>
          <w:sz w:val="18"/>
          <w:szCs w:val="18"/>
          <w:color w:val="auto"/>
        </w:rPr>
      </w:pPr>
    </w:p>
    <w:p>
      <w:pPr>
        <w:ind w:left="720" w:right="60"/>
        <w:spacing w:after="0" w:line="273" w:lineRule="auto"/>
        <w:rPr>
          <w:rFonts w:ascii="Arial" w:cs="Arial" w:eastAsia="Arial" w:hAnsi="Arial"/>
          <w:sz w:val="18"/>
          <w:szCs w:val="18"/>
          <w:color w:val="auto"/>
        </w:rPr>
      </w:pPr>
      <w:r>
        <w:rPr>
          <w:rFonts w:ascii="Arial" w:cs="Arial" w:eastAsia="Arial" w:hAnsi="Arial"/>
          <w:sz w:val="17"/>
          <w:szCs w:val="17"/>
          <w:color w:val="auto"/>
        </w:rPr>
        <w:t>Receivables are reported net of allowances for doubtful accounts. The Company maintains allowances for doubtful accounts for estimated losses resulting from the inability of customers to make required payments. The Company estimates the allowance for doubtful accounts based on a variety of factors including the length of time receivables are past due, the financial health of our customers, unusual macroeconomic conditions and historical experience. For the year ended December 31, 2018, the Company recognized an allowance for doubtful accounts of $257. For the years ended December 31, 2017 and 2016 there was no allowance for doubtful accounts recognized.</w:t>
      </w:r>
    </w:p>
    <w:p>
      <w:pPr>
        <w:spacing w:after="0" w:line="66"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720" w:right="20"/>
        <w:spacing w:after="0" w:line="264" w:lineRule="auto"/>
        <w:rPr>
          <w:rFonts w:ascii="Arial" w:cs="Arial" w:eastAsia="Arial" w:hAnsi="Arial"/>
          <w:sz w:val="18"/>
          <w:szCs w:val="18"/>
          <w:color w:val="auto"/>
        </w:rPr>
      </w:pPr>
      <w:r>
        <w:rPr>
          <w:rFonts w:ascii="Arial" w:cs="Arial" w:eastAsia="Arial" w:hAnsi="Arial"/>
          <w:sz w:val="18"/>
          <w:szCs w:val="18"/>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consolidated balance sheets.</w:t>
      </w:r>
    </w:p>
    <w:p>
      <w:pPr>
        <w:spacing w:after="0" w:line="73" w:lineRule="exact"/>
        <w:rPr>
          <w:rFonts w:ascii="Arial" w:cs="Arial" w:eastAsia="Arial" w:hAnsi="Arial"/>
          <w:sz w:val="18"/>
          <w:szCs w:val="18"/>
          <w:color w:val="auto"/>
        </w:rPr>
      </w:pPr>
    </w:p>
    <w:p>
      <w:pPr>
        <w:ind w:left="720" w:right="160"/>
        <w:spacing w:after="0" w:line="264" w:lineRule="auto"/>
        <w:rPr>
          <w:rFonts w:ascii="Arial" w:cs="Arial" w:eastAsia="Arial" w:hAnsi="Arial"/>
          <w:sz w:val="18"/>
          <w:szCs w:val="18"/>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consolidated statements of operations and comprehensive loss. No adjustments were recorded during the years ended December 31, 2018, 2017, and 2016.</w:t>
      </w:r>
    </w:p>
    <w:p>
      <w:pPr>
        <w:spacing w:after="0" w:line="73" w:lineRule="exact"/>
        <w:rPr>
          <w:rFonts w:ascii="Arial" w:cs="Arial" w:eastAsia="Arial" w:hAnsi="Arial"/>
          <w:sz w:val="18"/>
          <w:szCs w:val="18"/>
          <w:color w:val="auto"/>
        </w:rPr>
      </w:pPr>
    </w:p>
    <w:p>
      <w:pPr>
        <w:ind w:left="720" w:right="240"/>
        <w:spacing w:after="0" w:line="259"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 in the period in which the loss occurs.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color w:val="auto"/>
        </w:rPr>
      </w:pPr>
    </w:p>
    <w:p>
      <w:pPr>
        <w:jc w:val="both"/>
        <w:ind w:left="720" w:right="80"/>
        <w:spacing w:after="0" w:line="312"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consolidated balance sheets. Depreciation is not recognized during the construction period.</w:t>
      </w:r>
    </w:p>
    <w:p>
      <w:pPr>
        <w:spacing w:after="0" w:line="38" w:lineRule="exact"/>
        <w:rPr>
          <w:rFonts w:ascii="Arial" w:cs="Arial" w:eastAsia="Arial" w:hAnsi="Arial"/>
          <w:sz w:val="18"/>
          <w:szCs w:val="18"/>
          <w:color w:val="auto"/>
        </w:rPr>
      </w:pPr>
    </w:p>
    <w:p>
      <w:pPr>
        <w:ind w:left="720" w:right="80"/>
        <w:spacing w:after="0" w:line="259"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$1,732, $0, and $3,517 was capitalized during the years ended December 31, 2018, 2017 and 2016, respectively, inclusive of amortized debt issuance costs disclosed in Note 2(n).</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color w:val="auto"/>
        </w:rPr>
      </w:pPr>
    </w:p>
    <w:p>
      <w:pPr>
        <w:ind w:left="720" w:right="80"/>
        <w:spacing w:after="0" w:line="276" w:lineRule="auto"/>
        <w:rPr>
          <w:rFonts w:ascii="Arial" w:cs="Arial" w:eastAsia="Arial" w:hAnsi="Arial"/>
          <w:sz w:val="18"/>
          <w:szCs w:val="18"/>
          <w:color w:val="auto"/>
        </w:rPr>
      </w:pPr>
      <w:r>
        <w:rPr>
          <w:rFonts w:ascii="Arial" w:cs="Arial" w:eastAsia="Arial" w:hAnsi="Arial"/>
          <w:sz w:val="17"/>
          <w:szCs w:val="17"/>
          <w:color w:val="auto"/>
        </w:rPr>
        <w:t>Property, plant and equipment is recorded at cost. Expenditures for construction activities, betterments that extend the useful life of the asset are capitalized, while expenditures for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life of the asset or lease term, whichever is shorter.</w:t>
      </w:r>
    </w:p>
    <w:p>
      <w:pPr>
        <w:spacing w:after="0" w:line="29"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Useful life (Yrs)</w:t>
            </w:r>
          </w:p>
        </w:tc>
      </w:tr>
      <w:tr>
        <w:trPr>
          <w:trHeight w:val="237"/>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80" w:type="dxa"/>
            <w:vAlign w:val="bottom"/>
            <w:shd w:val="clear" w:color="auto" w:fill="CCEEFF"/>
          </w:tcPr>
          <w:p>
            <w:pPr>
              <w:spacing w:after="0"/>
              <w:rPr>
                <w:sz w:val="20"/>
                <w:szCs w:val="20"/>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5-27</w:t>
            </w:r>
          </w:p>
        </w:tc>
        <w:tc>
          <w:tcPr>
            <w:tcW w:w="80" w:type="dxa"/>
            <w:vAlign w:val="bottom"/>
          </w:tcPr>
          <w:p>
            <w:pPr>
              <w:spacing w:after="0"/>
              <w:rPr>
                <w:sz w:val="20"/>
                <w:szCs w:val="20"/>
                <w:color w:val="auto"/>
              </w:rPr>
            </w:pPr>
          </w:p>
        </w:tc>
      </w:tr>
      <w:tr>
        <w:trPr>
          <w:trHeight w:val="24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ISO containers and other equipment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15-20</w:t>
            </w:r>
          </w:p>
        </w:tc>
        <w:tc>
          <w:tcPr>
            <w:tcW w:w="80" w:type="dxa"/>
            <w:vAlign w:val="bottom"/>
            <w:shd w:val="clear" w:color="auto" w:fill="CCEEFF"/>
          </w:tcPr>
          <w:p>
            <w:pPr>
              <w:spacing w:after="0"/>
              <w:rPr>
                <w:sz w:val="21"/>
                <w:szCs w:val="21"/>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Vehicles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0"/>
                <w:szCs w:val="20"/>
                <w:color w:val="auto"/>
              </w:rPr>
            </w:pPr>
          </w:p>
        </w:tc>
      </w:tr>
      <w:tr>
        <w:trPr>
          <w:trHeight w:val="24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CEEFF"/>
          </w:tcPr>
          <w:p>
            <w:pPr>
              <w:spacing w:after="0"/>
              <w:rPr>
                <w:sz w:val="21"/>
                <w:szCs w:val="21"/>
                <w:color w:val="auto"/>
              </w:rPr>
            </w:pPr>
          </w:p>
        </w:tc>
      </w:tr>
    </w:tbl>
    <w:p>
      <w:pPr>
        <w:spacing w:after="0" w:line="94" w:lineRule="exact"/>
        <w:rPr>
          <w:sz w:val="20"/>
          <w:szCs w:val="20"/>
          <w:color w:val="auto"/>
        </w:rPr>
      </w:pPr>
    </w:p>
    <w:p>
      <w:pPr>
        <w:ind w:left="720" w:right="160"/>
        <w:spacing w:after="0" w:line="277"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2" w:lineRule="exact"/>
        <w:rPr>
          <w:sz w:val="20"/>
          <w:szCs w:val="20"/>
          <w:color w:val="auto"/>
        </w:rPr>
      </w:pPr>
    </w:p>
    <w:p>
      <w:pPr>
        <w:ind w:left="720" w:right="80"/>
        <w:spacing w:after="0" w:line="264"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69" w:lineRule="exact"/>
        <w:rPr>
          <w:sz w:val="20"/>
          <w:szCs w:val="20"/>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21" w:lineRule="exact"/>
        <w:rPr>
          <w:rFonts w:ascii="Arial" w:cs="Arial" w:eastAsia="Arial" w:hAnsi="Arial"/>
          <w:sz w:val="18"/>
          <w:szCs w:val="18"/>
          <w:color w:val="auto"/>
        </w:rPr>
      </w:pPr>
    </w:p>
    <w:p>
      <w:pPr>
        <w:ind w:left="720" w:right="100"/>
        <w:spacing w:after="0" w:line="273" w:lineRule="auto"/>
        <w:rPr>
          <w:rFonts w:ascii="Arial" w:cs="Arial" w:eastAsia="Arial" w:hAnsi="Arial"/>
          <w:sz w:val="18"/>
          <w:szCs w:val="18"/>
          <w:color w:val="auto"/>
        </w:rPr>
      </w:pPr>
      <w:r>
        <w:rPr>
          <w:rFonts w:ascii="Arial" w:cs="Arial" w:eastAsia="Arial" w:hAnsi="Arial"/>
          <w:sz w:val="17"/>
          <w:szCs w:val="17"/>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0" w:lineRule="exact"/>
        <w:rPr>
          <w:rFonts w:ascii="Arial" w:cs="Arial" w:eastAsia="Arial" w:hAnsi="Arial"/>
          <w:sz w:val="18"/>
          <w:szCs w:val="18"/>
          <w:color w:val="auto"/>
        </w:rPr>
      </w:pPr>
    </w:p>
    <w:p>
      <w:pPr>
        <w:ind w:left="720" w:right="100"/>
        <w:spacing w:after="0" w:line="259" w:lineRule="auto"/>
        <w:rPr>
          <w:rFonts w:ascii="Arial" w:cs="Arial" w:eastAsia="Arial" w:hAnsi="Arial"/>
          <w:sz w:val="18"/>
          <w:szCs w:val="18"/>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 There were no settlements of AROs during the years ended December 31, 2018 and 2017.</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720"/>
        <w:spacing w:after="0" w:line="257"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312" w:lineRule="auto"/>
        <w:rPr>
          <w:sz w:val="20"/>
          <w:szCs w:val="20"/>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39" w:lineRule="exact"/>
        <w:rPr>
          <w:sz w:val="20"/>
          <w:szCs w:val="20"/>
          <w:color w:val="auto"/>
        </w:rPr>
      </w:pPr>
    </w:p>
    <w:p>
      <w:pPr>
        <w:ind w:left="720" w:right="60"/>
        <w:spacing w:after="0" w:line="312" w:lineRule="auto"/>
        <w:rPr>
          <w:sz w:val="20"/>
          <w:szCs w:val="20"/>
          <w:color w:val="auto"/>
        </w:rPr>
      </w:pPr>
      <w:r>
        <w:rPr>
          <w:rFonts w:ascii="Arial" w:cs="Arial" w:eastAsia="Arial" w:hAnsi="Arial"/>
          <w:sz w:val="16"/>
          <w:szCs w:val="16"/>
          <w:color w:val="auto"/>
        </w:rPr>
        <w:t>Management develops the assumptions used in the recoverability assessment based on active contracts, current and future expectations of the global demand for LNG and natural gas as well as information received from third party industry sources. The Company did not record an impairment during the years ended December 31, 2018, 2017 and 2016.</w:t>
      </w:r>
    </w:p>
    <w:p>
      <w:pPr>
        <w:spacing w:after="0" w:line="35"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21" w:lineRule="exact"/>
        <w:rPr>
          <w:rFonts w:ascii="Arial" w:cs="Arial" w:eastAsia="Arial" w:hAnsi="Arial"/>
          <w:sz w:val="18"/>
          <w:szCs w:val="18"/>
          <w:color w:val="auto"/>
        </w:rPr>
      </w:pPr>
    </w:p>
    <w:p>
      <w:pPr>
        <w:ind w:left="720" w:right="40"/>
        <w:spacing w:after="0" w:line="293" w:lineRule="auto"/>
        <w:rPr>
          <w:rFonts w:ascii="Arial" w:cs="Arial" w:eastAsia="Arial" w:hAnsi="Arial"/>
          <w:sz w:val="18"/>
          <w:szCs w:val="18"/>
          <w:color w:val="auto"/>
        </w:rPr>
      </w:pPr>
      <w:r>
        <w:rPr>
          <w:rFonts w:ascii="Arial" w:cs="Arial" w:eastAsia="Arial" w:hAnsi="Arial"/>
          <w:sz w:val="16"/>
          <w:szCs w:val="16"/>
          <w:color w:val="auto"/>
        </w:rPr>
        <w:t>The Company considers listed equity securities as available-for-sale securities recorded at fair value with unrealized gains or losses recorded in Other comprehensive income (loss) and realized gains or losses recorded in earnings in Other (income), net in the consolidated statements of operations and comprehensive loss. The Company’s basis on which the cost of the security sold or the amount reclassified out of Other comprehensive income (loss) into earnings is determined using specific identification. At each balance sheet date, the Company evaluates its available-for-sale securities with unrealized losses, if any, to determine if an other-than-temporary impairment has occurred (see Note 9).</w:t>
      </w:r>
    </w:p>
    <w:p>
      <w:pPr>
        <w:spacing w:after="0" w:line="5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color w:val="auto"/>
        </w:rPr>
      </w:pPr>
    </w:p>
    <w:p>
      <w:pPr>
        <w:ind w:left="720" w:right="2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accounts for intangible assets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Upon a business combination or asset acquisition, the Company may obtain identifiable intangible assets. Indefinite lived intangible assets are not amortized. Intangible assets with a finite life are amortized over the estimated useful life of the asset.</w:t>
      </w:r>
    </w:p>
    <w:p>
      <w:pPr>
        <w:spacing w:after="0" w:line="78" w:lineRule="exact"/>
        <w:rPr>
          <w:rFonts w:ascii="Arial" w:cs="Arial" w:eastAsia="Arial" w:hAnsi="Arial"/>
          <w:sz w:val="18"/>
          <w:szCs w:val="18"/>
          <w:color w:val="auto"/>
        </w:rPr>
      </w:pPr>
    </w:p>
    <w:p>
      <w:pPr>
        <w:ind w:left="720"/>
        <w:spacing w:after="0" w:line="302" w:lineRule="auto"/>
        <w:rPr>
          <w:rFonts w:ascii="Arial" w:cs="Arial" w:eastAsia="Arial" w:hAnsi="Arial"/>
          <w:sz w:val="18"/>
          <w:szCs w:val="18"/>
          <w:color w:val="auto"/>
        </w:rPr>
      </w:pPr>
      <w:r>
        <w:rPr>
          <w:rFonts w:ascii="Arial" w:cs="Arial" w:eastAsia="Arial" w:hAnsi="Arial"/>
          <w:sz w:val="16"/>
          <w:szCs w:val="16"/>
          <w:color w:val="auto"/>
        </w:rPr>
        <w:t>Finite lived intangible assets are generally amortized under the straight-line method. Intangible assets with an indefinite useful life are tested for impairment on an annual basis or more frequently if changes in circumstances indicate that the carrying amount may not be recoverable. If the intangible asset is impaired, it is written down to its realizable value with a corresponding expense reflected in the consolidated statements of operations and comprehensive loss.</w:t>
      </w:r>
    </w:p>
    <w:p>
      <w:pPr>
        <w:spacing w:after="0" w:line="4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21" w:lineRule="exact"/>
        <w:rPr>
          <w:rFonts w:ascii="Arial" w:cs="Arial" w:eastAsia="Arial" w:hAnsi="Arial"/>
          <w:sz w:val="18"/>
          <w:szCs w:val="18"/>
          <w:color w:val="auto"/>
        </w:rPr>
      </w:pPr>
    </w:p>
    <w:p>
      <w:pPr>
        <w:ind w:left="720" w:right="160"/>
        <w:spacing w:after="0" w:line="293" w:lineRule="auto"/>
        <w:rPr>
          <w:rFonts w:ascii="Arial" w:cs="Arial" w:eastAsia="Arial" w:hAnsi="Arial"/>
          <w:sz w:val="18"/>
          <w:szCs w:val="18"/>
          <w:color w:val="auto"/>
        </w:rPr>
      </w:pPr>
      <w:r>
        <w:rPr>
          <w:rFonts w:ascii="Arial" w:cs="Arial" w:eastAsia="Arial" w:hAnsi="Arial"/>
          <w:sz w:val="16"/>
          <w:szCs w:val="16"/>
          <w:color w:val="auto"/>
        </w:rPr>
        <w:t>The Company’s debt consists of credit facilities with banks. Costs directly related to the issuance of debt are reported on the consolidated balance sheets as a reduction from the carrying amount of the recognized debt liability and amortized over the term of the debt using the effective interest method. Interest and related amortization of debt issuance costs recognized during major development and construction projects are capitalized and included in the cost of the project. Amortization of debt issuance costs were $3,617, $696, and $1,464 for the years ended December 31, 2018, 2017 and 2016, respectively, of which $715, $0, and $689 were capitalized, respectively.</w:t>
      </w:r>
    </w:p>
    <w:p>
      <w:pPr>
        <w:spacing w:after="0" w:line="5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Legal and contingencies</w:t>
      </w:r>
    </w:p>
    <w:p>
      <w:pPr>
        <w:spacing w:after="0" w:line="121" w:lineRule="exact"/>
        <w:rPr>
          <w:rFonts w:ascii="Arial" w:cs="Arial" w:eastAsia="Arial" w:hAnsi="Arial"/>
          <w:sz w:val="18"/>
          <w:szCs w:val="18"/>
          <w:color w:val="auto"/>
        </w:rPr>
      </w:pPr>
    </w:p>
    <w:p>
      <w:pPr>
        <w:ind w:left="720" w:right="160"/>
        <w:spacing w:after="0" w:line="293" w:lineRule="auto"/>
        <w:rPr>
          <w:rFonts w:ascii="Arial" w:cs="Arial" w:eastAsia="Arial" w:hAnsi="Arial"/>
          <w:sz w:val="18"/>
          <w:szCs w:val="18"/>
          <w:color w:val="auto"/>
        </w:rPr>
      </w:pPr>
      <w:r>
        <w:rPr>
          <w:rFonts w:ascii="Arial" w:cs="Arial" w:eastAsia="Arial" w:hAnsi="Arial"/>
          <w:sz w:val="16"/>
          <w:szCs w:val="16"/>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consolidated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5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720" w:right="40"/>
        <w:spacing w:after="0" w:line="257"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520"/>
        <w:spacing w:after="0" w:line="286" w:lineRule="auto"/>
        <w:rPr>
          <w:sz w:val="20"/>
          <w:szCs w:val="20"/>
          <w:color w:val="auto"/>
        </w:rPr>
      </w:pPr>
      <w:r>
        <w:rPr>
          <w:rFonts w:ascii="Arial" w:cs="Arial" w:eastAsia="Arial" w:hAnsi="Arial"/>
          <w:sz w:val="17"/>
          <w:szCs w:val="17"/>
          <w:color w:val="auto"/>
        </w:rPr>
        <w:t>The Company collects sales taxes from its customers on sales of taxable products and remits such collections to the appropriate taxing authority. Sales tax collections are presented in the consolidated statements of operations and comprehensive loss on a net basis and, accordingly, are excluded from reported revenues.</w:t>
      </w:r>
    </w:p>
    <w:p>
      <w:pPr>
        <w:spacing w:after="0" w:line="57" w:lineRule="exact"/>
        <w:rPr>
          <w:sz w:val="20"/>
          <w:szCs w:val="20"/>
          <w:color w:val="auto"/>
        </w:rPr>
      </w:pPr>
    </w:p>
    <w:p>
      <w:pPr>
        <w:ind w:left="720" w:right="200"/>
        <w:spacing w:after="0" w:line="276" w:lineRule="auto"/>
        <w:rPr>
          <w:sz w:val="20"/>
          <w:szCs w:val="20"/>
          <w:color w:val="auto"/>
        </w:rPr>
      </w:pPr>
      <w:r>
        <w:rPr>
          <w:rFonts w:ascii="Arial" w:cs="Arial" w:eastAsia="Arial" w:hAnsi="Arial"/>
          <w:sz w:val="17"/>
          <w:szCs w:val="17"/>
          <w:color w:val="auto"/>
        </w:rPr>
        <w:t>The Company’s contracts with customers to supply LNG may contain a lease of equipment. The Company allocates consideration received from customers between lease and non-lease components based on the relative fair value of each component. The fair value of the lease component is estimated based on the market value of the same or similar equipment leased to the customer. The fair value of the non-lease component is estimated by estimating volumes and pricing of gas to be delivered to the customer over the lease term.</w:t>
      </w:r>
    </w:p>
    <w:p>
      <w:pPr>
        <w:spacing w:after="0" w:line="64" w:lineRule="exact"/>
        <w:rPr>
          <w:sz w:val="20"/>
          <w:szCs w:val="20"/>
          <w:color w:val="auto"/>
        </w:rPr>
      </w:pPr>
    </w:p>
    <w:p>
      <w:pPr>
        <w:ind w:left="720"/>
        <w:spacing w:after="0" w:line="271" w:lineRule="auto"/>
        <w:rPr>
          <w:sz w:val="20"/>
          <w:szCs w:val="20"/>
          <w:color w:val="auto"/>
        </w:rPr>
      </w:pPr>
      <w:r>
        <w:rPr>
          <w:rFonts w:ascii="Arial" w:cs="Arial" w:eastAsia="Arial" w:hAnsi="Arial"/>
          <w:sz w:val="17"/>
          <w:szCs w:val="17"/>
          <w:color w:val="auto"/>
        </w:rPr>
        <w:t>The leases of certain facilities and equipment to customers are accounted for as direct financing or operating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consolidated statements of operations and comprehensive loss is primarily comprised of such interest revenue. The principal components of the lease payment are reflected as a reduction to the net investment in the finance lease. For the Company’s operating leases, the amount allocated to the leasing component is recognized over the lease term as Other revenue in the consolidated statements of operations and comprehensive loss.</w:t>
      </w:r>
    </w:p>
    <w:p>
      <w:pPr>
        <w:spacing w:after="0" w:line="67" w:lineRule="exact"/>
        <w:rPr>
          <w:sz w:val="20"/>
          <w:szCs w:val="20"/>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color w:val="auto"/>
        </w:rPr>
      </w:pPr>
    </w:p>
    <w:p>
      <w:pPr>
        <w:ind w:left="720" w:right="60"/>
        <w:spacing w:after="0" w:line="312" w:lineRule="auto"/>
        <w:rPr>
          <w:rFonts w:ascii="Arial" w:cs="Arial" w:eastAsia="Arial" w:hAnsi="Arial"/>
          <w:sz w:val="18"/>
          <w:szCs w:val="18"/>
          <w:color w:val="auto"/>
        </w:rPr>
      </w:pPr>
      <w:r>
        <w:rPr>
          <w:rFonts w:ascii="Arial" w:cs="Arial" w:eastAsia="Arial" w:hAnsi="Arial"/>
          <w:sz w:val="16"/>
          <w:szCs w:val="16"/>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 All other leases are classified as operating leases.</w:t>
      </w:r>
    </w:p>
    <w:p>
      <w:pPr>
        <w:spacing w:after="0" w:line="38" w:lineRule="exact"/>
        <w:rPr>
          <w:rFonts w:ascii="Arial" w:cs="Arial" w:eastAsia="Arial" w:hAnsi="Arial"/>
          <w:sz w:val="18"/>
          <w:szCs w:val="18"/>
          <w:color w:val="auto"/>
        </w:rPr>
      </w:pPr>
    </w:p>
    <w:p>
      <w:pPr>
        <w:ind w:left="720" w:right="100"/>
        <w:spacing w:after="0" w:line="277"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consolidated statements of operations and comprehensive loss on a straight-line basis over the term of the relevant lease.</w:t>
      </w:r>
    </w:p>
    <w:p>
      <w:pPr>
        <w:spacing w:after="0" w:line="58"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12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Federal and state income taxes</w:t>
      </w:r>
    </w:p>
    <w:p>
      <w:pPr>
        <w:spacing w:after="0" w:line="117" w:lineRule="exact"/>
        <w:rPr>
          <w:rFonts w:ascii="Arial" w:cs="Arial" w:eastAsia="Arial" w:hAnsi="Arial"/>
          <w:sz w:val="18"/>
          <w:szCs w:val="18"/>
          <w:color w:val="auto"/>
        </w:rPr>
      </w:pPr>
    </w:p>
    <w:p>
      <w:pPr>
        <w:ind w:left="720"/>
        <w:spacing w:after="0" w:line="257" w:lineRule="auto"/>
        <w:rPr>
          <w:rFonts w:ascii="Arial" w:cs="Arial" w:eastAsia="Arial" w:hAnsi="Arial"/>
          <w:sz w:val="18"/>
          <w:szCs w:val="18"/>
          <w:color w:val="auto"/>
        </w:rPr>
      </w:pPr>
      <w:r>
        <w:rPr>
          <w:rFonts w:ascii="Arial" w:cs="Arial" w:eastAsia="Arial" w:hAnsi="Arial"/>
          <w:sz w:val="18"/>
          <w:szCs w:val="18"/>
          <w:color w:val="auto"/>
        </w:rPr>
        <w:t>New Fortress Energy Holdings is a limited liability company, which is considered a pass-through entity for federal income tax purposes, and thus no provision for federal income taxes has been recognized in these consolidated financial statements. The Company files tax returns in the U.S. federal jurisdiction and various state jurisdictions, as applicable. The tax returns filed by the Company since inception are subject to examination by the U.S. federal and state tax authorities.</w:t>
      </w:r>
    </w:p>
    <w:p>
      <w:pPr>
        <w:spacing w:after="0" w:line="80" w:lineRule="exact"/>
        <w:rPr>
          <w:rFonts w:ascii="Arial" w:cs="Arial" w:eastAsia="Arial" w:hAnsi="Arial"/>
          <w:sz w:val="18"/>
          <w:szCs w:val="18"/>
          <w:color w:val="auto"/>
        </w:rPr>
      </w:pPr>
    </w:p>
    <w:p>
      <w:pPr>
        <w:ind w:left="720" w:right="60"/>
        <w:spacing w:after="0" w:line="255" w:lineRule="auto"/>
        <w:rPr>
          <w:rFonts w:ascii="Arial" w:cs="Arial" w:eastAsia="Arial" w:hAnsi="Arial"/>
          <w:sz w:val="18"/>
          <w:szCs w:val="18"/>
          <w:color w:val="auto"/>
        </w:rPr>
      </w:pPr>
      <w:r>
        <w:rPr>
          <w:rFonts w:ascii="Arial" w:cs="Arial" w:eastAsia="Arial" w:hAnsi="Arial"/>
          <w:sz w:val="18"/>
          <w:szCs w:val="18"/>
          <w:color w:val="auto"/>
        </w:rPr>
        <w:t>In conjunction with the closing of the Company’s IPO, New Fortress Energy Holdings contributed all of its interests in its subsidiaries and its limited assets to a subsidiary of NFE. NFE has elected to be taxed as a corporation and will become subject to corporate U.S. federal and state income taxes following its IPO. However, the Company was not subject to corporate U.S. income tax for the year ended December 31, 2018. The Company’s subsidiaries incorporated in Jamaica are subject to income tax at a statutory tax rate of 25%. The Company’s tax (expense) benefit is entirely attributable to Jamaica.</w:t>
      </w:r>
    </w:p>
    <w:p>
      <w:pPr>
        <w:spacing w:after="0" w:line="85" w:lineRule="exact"/>
        <w:rPr>
          <w:rFonts w:ascii="Arial" w:cs="Arial" w:eastAsia="Arial" w:hAnsi="Arial"/>
          <w:sz w:val="18"/>
          <w:szCs w:val="18"/>
          <w:color w:val="auto"/>
        </w:rPr>
      </w:pPr>
    </w:p>
    <w:p>
      <w:pPr>
        <w:ind w:left="720" w:right="20"/>
        <w:spacing w:after="0" w:line="291" w:lineRule="auto"/>
        <w:rPr>
          <w:rFonts w:ascii="Arial" w:cs="Arial" w:eastAsia="Arial" w:hAnsi="Arial"/>
          <w:sz w:val="18"/>
          <w:szCs w:val="18"/>
          <w:color w:val="auto"/>
        </w:rPr>
      </w:pPr>
      <w:r>
        <w:rPr>
          <w:rFonts w:ascii="Arial" w:cs="Arial" w:eastAsia="Arial" w:hAnsi="Arial"/>
          <w:sz w:val="16"/>
          <w:szCs w:val="16"/>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 addressed in current Tax Act guidance. For the year ended December 31, 2018, NFE was not subject to corporate U.S. income tax. The Company’s tax (expense) benefit is entirely attributable to Jamaica. As such, the Tax Act has had no effect on these consolidated financial statements. The Company will continue to monitor the impact of the Tax Act and other applicable tax legislation on its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1" w:name="page102"/>
    <w:bookmarkEnd w:id="101"/>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727"/>
        <w:spacing w:after="0"/>
        <w:rPr>
          <w:sz w:val="20"/>
          <w:szCs w:val="20"/>
          <w:color w:val="auto"/>
        </w:rPr>
      </w:pPr>
      <w:r>
        <w:rPr>
          <w:rFonts w:ascii="Arial" w:cs="Arial" w:eastAsia="Arial" w:hAnsi="Arial"/>
          <w:sz w:val="18"/>
          <w:szCs w:val="18"/>
          <w:i w:val="1"/>
          <w:iCs w:val="1"/>
          <w:color w:val="auto"/>
        </w:rPr>
        <w:t>Foreign taxes</w:t>
      </w:r>
    </w:p>
    <w:p>
      <w:pPr>
        <w:spacing w:after="0" w:line="117" w:lineRule="exact"/>
        <w:rPr>
          <w:sz w:val="20"/>
          <w:szCs w:val="20"/>
          <w:color w:val="auto"/>
        </w:rPr>
      </w:pPr>
    </w:p>
    <w:p>
      <w:pPr>
        <w:ind w:left="727" w:right="40"/>
        <w:spacing w:after="0" w:line="277" w:lineRule="auto"/>
        <w:rPr>
          <w:sz w:val="20"/>
          <w:szCs w:val="20"/>
          <w:color w:val="auto"/>
        </w:rPr>
      </w:pPr>
      <w:r>
        <w:rPr>
          <w:rFonts w:ascii="Arial" w:cs="Arial" w:eastAsia="Arial" w:hAnsi="Arial"/>
          <w:sz w:val="18"/>
          <w:szCs w:val="18"/>
          <w:color w:val="auto"/>
        </w:rPr>
        <w:t>Certain subsidiaries of the Company are subject to income tax in the local jurisdiction in which they operate; foreign taxes are computed based on the taxable income and the local jurisdictional tax rate.</w:t>
      </w:r>
    </w:p>
    <w:p>
      <w:pPr>
        <w:spacing w:after="0" w:line="62" w:lineRule="exact"/>
        <w:rPr>
          <w:sz w:val="20"/>
          <w:szCs w:val="20"/>
          <w:color w:val="auto"/>
        </w:rPr>
      </w:pPr>
    </w:p>
    <w:p>
      <w:pPr>
        <w:ind w:left="727"/>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727" w:right="100"/>
        <w:spacing w:after="0" w:line="259" w:lineRule="auto"/>
        <w:rPr>
          <w:sz w:val="20"/>
          <w:szCs w:val="20"/>
          <w:color w:val="auto"/>
        </w:rPr>
      </w:pPr>
      <w:r>
        <w:rPr>
          <w:rFonts w:ascii="Arial" w:cs="Arial" w:eastAsia="Arial" w:hAnsi="Arial"/>
          <w:sz w:val="18"/>
          <w:szCs w:val="18"/>
          <w:color w:val="auto"/>
        </w:rPr>
        <w:t>Certain subsidiaries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consolidated statements of operations and comprehensive loss.</w:t>
      </w:r>
    </w:p>
    <w:p>
      <w:pPr>
        <w:spacing w:after="0" w:line="75" w:lineRule="exact"/>
        <w:rPr>
          <w:sz w:val="20"/>
          <w:szCs w:val="20"/>
          <w:color w:val="auto"/>
        </w:rPr>
      </w:pPr>
    </w:p>
    <w:p>
      <w:pPr>
        <w:ind w:left="707" w:hanging="356"/>
        <w:spacing w:after="0"/>
        <w:tabs>
          <w:tab w:leader="none" w:pos="707"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color w:val="auto"/>
        </w:rPr>
      </w:pPr>
    </w:p>
    <w:p>
      <w:pPr>
        <w:ind w:left="727"/>
        <w:spacing w:after="0" w:line="273" w:lineRule="auto"/>
        <w:rPr>
          <w:rFonts w:ascii="Arial" w:cs="Arial" w:eastAsia="Arial" w:hAnsi="Arial"/>
          <w:sz w:val="18"/>
          <w:szCs w:val="18"/>
          <w:color w:val="auto"/>
        </w:rPr>
      </w:pPr>
      <w:r>
        <w:rPr>
          <w:rFonts w:ascii="Arial" w:cs="Arial" w:eastAsia="Arial" w:hAnsi="Arial"/>
          <w:sz w:val="17"/>
          <w:szCs w:val="17"/>
          <w:color w:val="auto"/>
        </w:rPr>
        <w:t>Net loss per share (“EPS”) is computed in accordance with GAAP. Basic EPS is computed by dividing net loss attributable to members by the weighted average number of common shares outstanding during the period. Diluted EPS reflects potential dilution and is computed by dividing net loss attributable to members by the weighted average number of common shares outstanding during the period increased by the number of additional common shares that would have been outstanding if all potential common shares had been issued and were dilutive. For the years ended December 31, 2018, 2017 and 2016, there were no potentially dilutive shares outstanding.</w:t>
      </w:r>
    </w:p>
    <w:p>
      <w:pPr>
        <w:spacing w:after="0" w:line="66" w:lineRule="exact"/>
        <w:rPr>
          <w:rFonts w:ascii="Arial" w:cs="Arial" w:eastAsia="Arial" w:hAnsi="Arial"/>
          <w:sz w:val="18"/>
          <w:szCs w:val="18"/>
          <w:color w:val="auto"/>
        </w:rPr>
      </w:pPr>
    </w:p>
    <w:p>
      <w:pPr>
        <w:ind w:left="347" w:hanging="347"/>
        <w:spacing w:after="0"/>
        <w:tabs>
          <w:tab w:leader="none" w:pos="34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21" w:lineRule="exact"/>
        <w:rPr>
          <w:rFonts w:ascii="Arial" w:cs="Arial" w:eastAsia="Arial" w:hAnsi="Arial"/>
          <w:sz w:val="18"/>
          <w:szCs w:val="18"/>
          <w:b w:val="1"/>
          <w:bCs w:val="1"/>
          <w:color w:val="auto"/>
        </w:rPr>
      </w:pPr>
    </w:p>
    <w:p>
      <w:pPr>
        <w:ind w:left="367" w:right="2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 New standards, amendments and interpretations issued but not effective for the financial year beginning January 1, 2018 and not early adopted include:</w:t>
      </w:r>
    </w:p>
    <w:p>
      <w:pPr>
        <w:spacing w:after="0" w:line="64" w:lineRule="exact"/>
        <w:rPr>
          <w:sz w:val="20"/>
          <w:szCs w:val="20"/>
          <w:color w:val="auto"/>
        </w:rPr>
      </w:pPr>
    </w:p>
    <w:p>
      <w:pPr>
        <w:ind w:left="727" w:right="2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(“ASC 606” or the “new standard”)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In August 2015, the FASB issued ASU 2015-14, Revenue from Contracts with Customers (Topic 606): Deferral of the Effective Date, to defer the effective date of ASU 2014-09 by one year, making it effective for annual reporting periods beginning after December 15, 2018, and interim periods within annual periods beginning after December 15, 2019, while also providing for early adoption but not before the original effective date. We will adopt the new standard on January 1, 2019 using the modified retrospective method, which will require us to apply the new revenue standard to (i) all new revenue contracts entered into after January 1, 2019 and (ii) all existing revenue contracts as of January 1, 2019 through a cumulative adjustment to our retained earnings balance.</w:t>
      </w:r>
    </w:p>
    <w:p>
      <w:pPr>
        <w:spacing w:after="0" w:line="64" w:lineRule="exact"/>
        <w:rPr>
          <w:sz w:val="20"/>
          <w:szCs w:val="20"/>
          <w:color w:val="auto"/>
        </w:rPr>
      </w:pPr>
    </w:p>
    <w:p>
      <w:pPr>
        <w:ind w:left="727"/>
        <w:spacing w:after="0" w:line="290" w:lineRule="auto"/>
        <w:rPr>
          <w:sz w:val="20"/>
          <w:szCs w:val="20"/>
          <w:color w:val="auto"/>
        </w:rPr>
      </w:pPr>
      <w:r>
        <w:rPr>
          <w:rFonts w:ascii="Arial" w:cs="Arial" w:eastAsia="Arial" w:hAnsi="Arial"/>
          <w:sz w:val="16"/>
          <w:szCs w:val="16"/>
          <w:color w:val="auto"/>
        </w:rPr>
        <w:t>ASC 606 requires that our revenue recognition policy disclosure include further detail regarding our performance obligations as to the nature, amount, timing, and estimates of revenue and cash flows generated from our contracts with customers. The new standard will also require disclosure of significant changes in contract asset and contract liability balances period to period and the amount of the transaction price allocated to performance obligations that are unsatisfied (or partially unsatisfied) as of the end of the reporting period, as applicable. Our evaluation of the impact of the new standard is near completion. Based on our analysis to date, we have not identified any other material impacts of adopting the new standard other than disclosures. The cumulative effect of the adoption of the new standard as of January 1, 2019 is not expected to be material, though this expectation is subject to finalizing our assessment in the first quarter of 2019.</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89"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xml:space="preserve"> (Subtopic 825-10): Recognition and Measurement of Financial Assets and Financial Liabilities, which makes targeted improvements to the accounting for, 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 annual periods in fiscal years beginning after December 15, 2018. The Company will adopt this guidance for the year beginning January 1, 2019 and is currently evaluating the impact of adopting this new guidance on its consolidated financial statements.</w:t>
      </w:r>
    </w:p>
    <w:p>
      <w:pPr>
        <w:spacing w:after="0" w:line="59" w:lineRule="exact"/>
        <w:rPr>
          <w:sz w:val="20"/>
          <w:szCs w:val="20"/>
          <w:color w:val="auto"/>
        </w:rPr>
      </w:pPr>
    </w:p>
    <w:p>
      <w:pPr>
        <w:ind w:left="720" w:right="20"/>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The Company will adopt this guidance for the year beginning January 1, 2020 and is currently evaluating the impact of adopting this new guidance on its consolidated financial statements.</w:t>
      </w:r>
    </w:p>
    <w:p>
      <w:pPr>
        <w:spacing w:after="0" w:line="70" w:lineRule="exact"/>
        <w:rPr>
          <w:sz w:val="20"/>
          <w:szCs w:val="20"/>
          <w:color w:val="auto"/>
        </w:rPr>
      </w:pPr>
    </w:p>
    <w:p>
      <w:pPr>
        <w:ind w:left="720" w:right="180"/>
        <w:spacing w:after="0" w:line="27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Classification of Certain Cash Receipts and Cash Payments, which provides guidance on eight specific cash flow issues with an intention to reduce the existing diversity in practice. The Company will adopt this guidance for the year beginning January 1, 2019 and is currently evaluating the impact of adopting this new guidance on its consolidated financial statements.</w:t>
      </w:r>
    </w:p>
    <w:p>
      <w:pPr>
        <w:spacing w:after="0" w:line="63" w:lineRule="exact"/>
        <w:rPr>
          <w:sz w:val="20"/>
          <w:szCs w:val="20"/>
          <w:color w:val="auto"/>
        </w:rPr>
      </w:pPr>
    </w:p>
    <w:p>
      <w:pPr>
        <w:ind w:left="720"/>
        <w:spacing w:after="0" w:line="270"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a statement of cash flows explain the change during the period in the total of 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adoption of this standard will result in us no longer showing the changes in restricted cash balances as a component of cash flows from investing or financing activities but instead include the balances of both current and long-term restricted cash with cash and cash equivalents in total cash, cash equivalents and restricted cash for the beginning and end of the periods presented. The Company will adopt this guidance for the year beginning January 1, 2019 and is currently evaluating the impact of adopting this new guidance on its consolidated financial statements.</w:t>
      </w:r>
    </w:p>
    <w:p>
      <w:pPr>
        <w:spacing w:after="0" w:line="70" w:lineRule="exact"/>
        <w:rPr>
          <w:sz w:val="20"/>
          <w:szCs w:val="20"/>
          <w:color w:val="auto"/>
        </w:rPr>
      </w:pPr>
    </w:p>
    <w:p>
      <w:pPr>
        <w:ind w:left="720" w:right="60"/>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Reporting Comprehensive Income</w:t>
      </w:r>
      <w:r>
        <w:rPr>
          <w:rFonts w:ascii="Arial" w:cs="Arial" w:eastAsia="Arial" w:hAnsi="Arial"/>
          <w:sz w:val="16"/>
          <w:szCs w:val="16"/>
          <w:color w:val="auto"/>
        </w:rPr>
        <w:t xml:space="preserve"> (Topic 220) which allows a reclassification from accumulated other comprehensive income (loss) to retained earnings for stranded tax effects resulting from the Tax Act. The standard is effective for fiscal years beginning after December 15, 2018, including interim periods within those fiscal years. The Company will adopt this guidance for the year beginning January 1, 2019 and is currently evaluating the impact of adopting this new guidance on its consolidated financial statements.</w:t>
      </w:r>
    </w:p>
    <w:p>
      <w:pPr>
        <w:spacing w:after="0" w:line="50" w:lineRule="exact"/>
        <w:rPr>
          <w:sz w:val="20"/>
          <w:szCs w:val="20"/>
          <w:color w:val="auto"/>
        </w:rPr>
      </w:pPr>
    </w:p>
    <w:p>
      <w:pPr>
        <w:ind w:left="720" w:right="6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w:t>
      </w:r>
      <w:r>
        <w:rPr>
          <w:rFonts w:ascii="Arial" w:cs="Arial" w:eastAsia="Arial" w:hAnsi="Arial"/>
          <w:sz w:val="18"/>
          <w:szCs w:val="18"/>
          <w:color w:val="auto"/>
        </w:rPr>
        <w:t xml:space="preserve"> </w:t>
      </w:r>
      <w:r>
        <w:rPr>
          <w:rFonts w:ascii="Arial" w:cs="Arial" w:eastAsia="Arial" w:hAnsi="Arial"/>
          <w:sz w:val="18"/>
          <w:szCs w:val="18"/>
          <w:i w:val="1"/>
          <w:iCs w:val="1"/>
          <w:color w:val="auto"/>
        </w:rPr>
        <w:t>to the Disclosure Requirements for Fair Value Measurement</w:t>
      </w:r>
      <w:r>
        <w:rPr>
          <w:rFonts w:ascii="Arial" w:cs="Arial" w:eastAsia="Arial" w:hAnsi="Arial"/>
          <w:sz w:val="18"/>
          <w:szCs w:val="18"/>
          <w:color w:val="auto"/>
        </w:rPr>
        <w:t>, which provides additional guidance to improve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disclosure requirements on fair value measurement. The Company will adopt ASU 2018-13 during the year beginning January 1, 2020 and is currently evaluating the impact of adopting this new guidance on its consolidated financial statements.</w:t>
      </w:r>
    </w:p>
    <w:p>
      <w:pPr>
        <w:spacing w:after="0" w:line="80"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 xml:space="preserve">In September 2018, the FASB issued ASU 2018-07, </w:t>
      </w:r>
      <w:r>
        <w:rPr>
          <w:rFonts w:ascii="Arial" w:cs="Arial" w:eastAsia="Arial" w:hAnsi="Arial"/>
          <w:sz w:val="18"/>
          <w:szCs w:val="18"/>
          <w:i w:val="1"/>
          <w:iCs w:val="1"/>
          <w:color w:val="auto"/>
        </w:rPr>
        <w:t>Compensation - Stock Compensation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2018-07”), which simplifies the accounting for share-based payments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and services. Under ASU 2018-07, most of the guidance on such payments to nonemployees will be aligned with the requirements for share-based payments granted to employees. The Company will adopt ASU 2018-07 during the year beginning January 1, 2020 and is currently evaluating the impact of adopting this new guidance on its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3" w:name="page104"/>
    <w:bookmarkEnd w:id="10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21" w:lineRule="exact"/>
        <w:rPr>
          <w:rFonts w:ascii="Arial" w:cs="Arial" w:eastAsia="Arial" w:hAnsi="Arial"/>
          <w:sz w:val="18"/>
          <w:szCs w:val="18"/>
          <w:b w:val="1"/>
          <w:bCs w:val="1"/>
          <w:color w:val="auto"/>
        </w:rPr>
      </w:pPr>
    </w:p>
    <w:p>
      <w:pPr>
        <w:ind w:left="367"/>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November 9, 2018, the Company entered into an agreement to acquire the entire issued share capital of Shannon LNG Limited (“SLNG”) and Shannon LNG Energy Limited (“LNG Energy,” and, together with SLNG, “Shannon LNG”) in a transaction accounted for as an asset acquisition. On the same date, the Company acquired all of the Class A shares of Shannon LNG, representing a controlling financial interest. Shannon LNG was previously formed to acquire and develop assets comprising permissions, rights, licenses, leases, and other entitlements which would be used to construct and operate a terminal, pipeline, and related infrastructure, to import, process and deliver natural gas to downstream customers.</w:t>
      </w:r>
    </w:p>
    <w:p>
      <w:pPr>
        <w:spacing w:after="0" w:line="56" w:lineRule="exact"/>
        <w:rPr>
          <w:rFonts w:ascii="Arial" w:cs="Arial" w:eastAsia="Arial" w:hAnsi="Arial"/>
          <w:sz w:val="18"/>
          <w:szCs w:val="18"/>
          <w:b w:val="1"/>
          <w:bCs w:val="1"/>
          <w:color w:val="auto"/>
        </w:rPr>
      </w:pPr>
    </w:p>
    <w:p>
      <w:pPr>
        <w:ind w:left="367"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the date of acquisition, construction of the planned infrastructure had not commenced and the primary assets of Shannon comprised land, wayleaves and permits that would allow for future development. The purchase agreement required the Company to pay the following amounts:</w:t>
      </w:r>
    </w:p>
    <w:p>
      <w:pPr>
        <w:spacing w:after="0" w:line="38" w:lineRule="exact"/>
        <w:rPr>
          <w:sz w:val="20"/>
          <w:szCs w:val="20"/>
          <w:color w:val="auto"/>
        </w:rPr>
      </w:pPr>
    </w:p>
    <w:tbl>
      <w:tblPr>
        <w:tblLayout w:type="fixed"/>
        <w:tblInd w:w="36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9,</w:t>
            </w:r>
          </w:p>
        </w:tc>
      </w:tr>
      <w:tr>
        <w:trPr>
          <w:trHeight w:val="185"/>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7760" w:type="dxa"/>
            <w:vAlign w:val="bottom"/>
            <w:gridSpan w:val="3"/>
            <w:shd w:val="clear" w:color="auto" w:fill="CCEEFF"/>
          </w:tcPr>
          <w:p>
            <w:pPr>
              <w:spacing w:after="0" w:line="236" w:lineRule="exact"/>
              <w:rPr>
                <w:sz w:val="20"/>
                <w:szCs w:val="20"/>
                <w:color w:val="auto"/>
              </w:rPr>
            </w:pPr>
            <w:r>
              <w:rPr>
                <w:rFonts w:ascii="Arial" w:cs="Arial" w:eastAsia="Arial" w:hAnsi="Arial"/>
                <w:sz w:val="17"/>
                <w:szCs w:val="17"/>
                <w:color w:val="auto"/>
              </w:rPr>
              <w:t>Cash</w:t>
            </w:r>
            <w:r>
              <w:rPr>
                <w:rFonts w:ascii="Arial" w:cs="Arial" w:eastAsia="Arial" w:hAnsi="Arial"/>
                <w:sz w:val="27"/>
                <w:szCs w:val="2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760" w:type="dxa"/>
            <w:vAlign w:val="bottom"/>
            <w:gridSpan w:val="3"/>
          </w:tcPr>
          <w:p>
            <w:pPr>
              <w:spacing w:after="0" w:line="243" w:lineRule="exact"/>
              <w:rPr>
                <w:sz w:val="20"/>
                <w:szCs w:val="20"/>
                <w:color w:val="auto"/>
              </w:rPr>
            </w:pPr>
            <w:r>
              <w:rPr>
                <w:rFonts w:ascii="Arial" w:cs="Arial" w:eastAsia="Arial" w:hAnsi="Arial"/>
                <w:sz w:val="17"/>
                <w:szCs w:val="17"/>
                <w:color w:val="auto"/>
              </w:rPr>
              <w:t>Contingent consideration</w:t>
            </w:r>
            <w:r>
              <w:rPr>
                <w:rFonts w:ascii="Arial" w:cs="Arial" w:eastAsia="Arial" w:hAnsi="Arial"/>
                <w:sz w:val="28"/>
                <w:szCs w:val="28"/>
                <w:color w:val="auto"/>
                <w:vertAlign w:val="superscript"/>
              </w:rPr>
              <w:t>(2)</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6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Equity Agreement</w:t>
            </w:r>
            <w:r>
              <w:rPr>
                <w:rFonts w:ascii="Arial" w:cs="Arial" w:eastAsia="Arial" w:hAnsi="Arial"/>
                <w:sz w:val="28"/>
                <w:szCs w:val="28"/>
                <w:color w:val="auto"/>
                <w:vertAlign w:val="superscript"/>
              </w:rPr>
              <w:t>(3)</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7760" w:type="dxa"/>
            <w:vAlign w:val="bottom"/>
            <w:gridSpan w:val="3"/>
          </w:tcPr>
          <w:p>
            <w:pPr>
              <w:ind w:left="180"/>
              <w:spacing w:after="0"/>
              <w:rPr>
                <w:sz w:val="20"/>
                <w:szCs w:val="20"/>
                <w:color w:val="auto"/>
              </w:rPr>
            </w:pPr>
            <w:r>
              <w:rPr>
                <w:rFonts w:ascii="Arial" w:cs="Arial" w:eastAsia="Arial" w:hAnsi="Arial"/>
                <w:sz w:val="18"/>
                <w:szCs w:val="18"/>
                <w:color w:val="auto"/>
              </w:rPr>
              <w:t>Total consideration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45,233</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707" w:hanging="356"/>
        <w:spacing w:after="0"/>
        <w:tabs>
          <w:tab w:leader="none" w:pos="707"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Cash inclusive of repayment of Shannon LNG’s liabilities equal to approximately $2,857.</w:t>
      </w:r>
    </w:p>
    <w:p>
      <w:pPr>
        <w:spacing w:after="0" w:line="109" w:lineRule="exact"/>
        <w:rPr>
          <w:rFonts w:ascii="Arial" w:cs="Arial" w:eastAsia="Arial" w:hAnsi="Arial"/>
          <w:sz w:val="14"/>
          <w:szCs w:val="14"/>
          <w:color w:val="auto"/>
        </w:rPr>
      </w:pPr>
    </w:p>
    <w:p>
      <w:pPr>
        <w:ind w:left="707" w:hanging="356"/>
        <w:spacing w:after="0"/>
        <w:tabs>
          <w:tab w:leader="none" w:pos="707"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Consideration due to sellers once the first gas is exported from the terminal to be built.</w:t>
      </w:r>
    </w:p>
    <w:p>
      <w:pPr>
        <w:spacing w:after="0" w:line="109" w:lineRule="exact"/>
        <w:rPr>
          <w:rFonts w:ascii="Arial" w:cs="Arial" w:eastAsia="Arial" w:hAnsi="Arial"/>
          <w:sz w:val="14"/>
          <w:szCs w:val="14"/>
          <w:color w:val="auto"/>
        </w:rPr>
      </w:pPr>
    </w:p>
    <w:p>
      <w:pPr>
        <w:ind w:left="707" w:hanging="356"/>
        <w:spacing w:after="0"/>
        <w:tabs>
          <w:tab w:leader="none" w:pos="707" w:val="left"/>
        </w:tabs>
        <w:numPr>
          <w:ilvl w:val="0"/>
          <w:numId w:val="47"/>
        </w:numPr>
        <w:rPr>
          <w:rFonts w:ascii="Arial" w:cs="Arial" w:eastAsia="Arial" w:hAnsi="Arial"/>
          <w:sz w:val="14"/>
          <w:szCs w:val="14"/>
          <w:color w:val="auto"/>
        </w:rPr>
      </w:pPr>
      <w:r>
        <w:rPr>
          <w:rFonts w:ascii="Arial" w:cs="Arial" w:eastAsia="Arial" w:hAnsi="Arial"/>
          <w:sz w:val="14"/>
          <w:szCs w:val="14"/>
          <w:color w:val="auto"/>
        </w:rPr>
        <w:t>Paid in shares if an IPO has occurred prior to May 31, 2020, otherwise in cash.</w:t>
      </w:r>
    </w:p>
    <w:p>
      <w:pPr>
        <w:spacing w:after="0" w:line="100" w:lineRule="exact"/>
        <w:rPr>
          <w:sz w:val="20"/>
          <w:szCs w:val="20"/>
          <w:color w:val="auto"/>
        </w:rPr>
      </w:pPr>
    </w:p>
    <w:p>
      <w:pPr>
        <w:ind w:left="367" w:right="300"/>
        <w:spacing w:after="0" w:line="264" w:lineRule="auto"/>
        <w:rPr>
          <w:sz w:val="20"/>
          <w:szCs w:val="20"/>
          <w:color w:val="auto"/>
        </w:rPr>
      </w:pPr>
      <w:r>
        <w:rPr>
          <w:rFonts w:ascii="Arial" w:cs="Arial" w:eastAsia="Arial" w:hAnsi="Arial"/>
          <w:sz w:val="18"/>
          <w:szCs w:val="18"/>
          <w:color w:val="auto"/>
        </w:rPr>
        <w:t xml:space="preserve">The contingent consideration meets the definition of a derivative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See Note 5 for more detail. The Equity Agreement is an unconditional obligation and is recognized in Other current liabilities on the consolidated balance sheet as of December 31, 2018.</w:t>
      </w:r>
    </w:p>
    <w:p>
      <w:pPr>
        <w:spacing w:after="0" w:line="73" w:lineRule="exact"/>
        <w:rPr>
          <w:sz w:val="20"/>
          <w:szCs w:val="20"/>
          <w:color w:val="auto"/>
        </w:rPr>
      </w:pPr>
    </w:p>
    <w:p>
      <w:pPr>
        <w:ind w:left="367" w:right="100"/>
        <w:spacing w:after="0" w:line="259" w:lineRule="auto"/>
        <w:rPr>
          <w:sz w:val="20"/>
          <w:szCs w:val="20"/>
          <w:color w:val="auto"/>
        </w:rPr>
      </w:pPr>
      <w:r>
        <w:rPr>
          <w:rFonts w:ascii="Arial" w:cs="Arial" w:eastAsia="Arial" w:hAnsi="Arial"/>
          <w:sz w:val="18"/>
          <w:szCs w:val="18"/>
          <w:color w:val="auto"/>
        </w:rPr>
        <w:t>The purchase agreement included put and call options to allow or require the Company to acquire the remaining ownership interest of Shannon LNG. The options were deemed to be embedded equity-linked instruments within the non-controlling interest. The fair value of the non-controlling interest was estimated to be $14,446 based on the strike price of the call and put options.</w:t>
      </w:r>
    </w:p>
    <w:p>
      <w:pPr>
        <w:spacing w:after="0" w:line="79" w:lineRule="exact"/>
        <w:rPr>
          <w:sz w:val="20"/>
          <w:szCs w:val="20"/>
          <w:color w:val="auto"/>
        </w:rPr>
      </w:pPr>
    </w:p>
    <w:p>
      <w:pPr>
        <w:ind w:left="367" w:right="100"/>
        <w:spacing w:after="0" w:line="277" w:lineRule="auto"/>
        <w:rPr>
          <w:sz w:val="20"/>
          <w:szCs w:val="20"/>
          <w:color w:val="auto"/>
        </w:rPr>
      </w:pPr>
      <w:r>
        <w:rPr>
          <w:rFonts w:ascii="Arial" w:cs="Arial" w:eastAsia="Arial" w:hAnsi="Arial"/>
          <w:sz w:val="18"/>
          <w:szCs w:val="18"/>
          <w:color w:val="auto"/>
        </w:rPr>
        <w:t>The assets acquired in connection with the acquisition were recorded by the Company at their estimated relative fair values as follows:</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November 9,</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Useful life</w:t>
            </w:r>
          </w:p>
        </w:tc>
      </w:tr>
      <w:tr>
        <w:trPr>
          <w:trHeight w:val="178"/>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(Yrs)</w:t>
            </w: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Land</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20"/>
                <w:szCs w:val="20"/>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Indefinite life</w:t>
            </w: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Rights of way</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6"/>
              </w:rPr>
              <w:t>Indefinite life</w:t>
            </w: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Intangible assets – favorable lease agreements</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 – permits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42,947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assets acquired</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45,233</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367"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8" w:lineRule="exact"/>
        <w:rPr>
          <w:rFonts w:ascii="Arial" w:cs="Arial" w:eastAsia="Arial" w:hAnsi="Arial"/>
          <w:sz w:val="18"/>
          <w:szCs w:val="18"/>
          <w:b w:val="1"/>
          <w:bCs w:val="1"/>
          <w:color w:val="auto"/>
        </w:rPr>
      </w:pPr>
    </w:p>
    <w:p>
      <w:pPr>
        <w:ind w:left="707" w:hanging="356"/>
        <w:spacing w:after="0"/>
        <w:tabs>
          <w:tab w:leader="none" w:pos="7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707" w:right="80" w:hanging="356"/>
        <w:spacing w:after="0" w:line="277" w:lineRule="auto"/>
        <w:tabs>
          <w:tab w:leader="none" w:pos="7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62" w:lineRule="exact"/>
        <w:rPr>
          <w:rFonts w:ascii="Arial" w:cs="Arial" w:eastAsia="Arial" w:hAnsi="Arial"/>
          <w:sz w:val="18"/>
          <w:szCs w:val="18"/>
          <w:color w:val="auto"/>
        </w:rPr>
      </w:pPr>
    </w:p>
    <w:p>
      <w:pPr>
        <w:ind w:left="707" w:right="300" w:hanging="356"/>
        <w:spacing w:after="0" w:line="277" w:lineRule="auto"/>
        <w:tabs>
          <w:tab w:leader="none" w:pos="7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70"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700" w:right="38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approach – uses prices and other relevant information generated by market transactions involving identical or comparable assets or liabilities.</w:t>
      </w:r>
    </w:p>
    <w:p>
      <w:pPr>
        <w:spacing w:after="0" w:line="62" w:lineRule="exact"/>
        <w:rPr>
          <w:rFonts w:ascii="Arial" w:cs="Arial" w:eastAsia="Arial" w:hAnsi="Arial"/>
          <w:sz w:val="18"/>
          <w:szCs w:val="18"/>
          <w:color w:val="auto"/>
        </w:rPr>
      </w:pPr>
    </w:p>
    <w:p>
      <w:pPr>
        <w:ind w:left="700" w:right="38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discounted cash flow technique, to convert future amounts to a single present amount based on current market expectations about those future amounts.</w:t>
      </w:r>
    </w:p>
    <w:p>
      <w:pPr>
        <w:spacing w:after="0" w:line="62"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and financial liabilities that are measured at fair value as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December 31, 2018:</w:t>
      </w:r>
    </w:p>
    <w:p>
      <w:pPr>
        <w:spacing w:after="0" w:line="67"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78,301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78,301</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Market approach</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1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Market approach</w:t>
            </w:r>
          </w:p>
        </w:tc>
        <w:tc>
          <w:tcPr>
            <w:tcW w:w="0" w:type="dxa"/>
            <w:vAlign w:val="bottom"/>
          </w:tcPr>
          <w:p>
            <w:pPr>
              <w:spacing w:after="0"/>
              <w:rPr>
                <w:sz w:val="1"/>
                <w:szCs w:val="1"/>
                <w:color w:val="auto"/>
              </w:rPr>
            </w:pPr>
          </w:p>
        </w:tc>
      </w:tr>
      <w:tr>
        <w:trPr>
          <w:trHeight w:val="243"/>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Available-for-sale investment</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Market approach</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104,509</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104,509</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Borders>
              <w:top w:val="single" w:sz="8" w:color="CCEEFF"/>
            </w:tcBorders>
          </w:tcPr>
          <w:p>
            <w:pPr>
              <w:spacing w:after="0"/>
              <w:rPr>
                <w:sz w:val="21"/>
                <w:szCs w:val="21"/>
                <w:color w:val="auto"/>
              </w:rPr>
            </w:pPr>
          </w:p>
        </w:tc>
        <w:tc>
          <w:tcPr>
            <w:tcW w:w="23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5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Derivative liability</w:t>
            </w:r>
            <w:r>
              <w:rPr>
                <w:rFonts w:ascii="Arial" w:cs="Arial" w:eastAsia="Arial" w:hAnsi="Arial"/>
                <w:sz w:val="28"/>
                <w:szCs w:val="2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9,835</w:t>
            </w:r>
          </w:p>
        </w:tc>
        <w:tc>
          <w:tcPr>
            <w:tcW w:w="16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9,835</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Income approach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6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1340" w:type="dxa"/>
            <w:vAlign w:val="bottom"/>
            <w:tcBorders>
              <w:top w:val="single" w:sz="8" w:color="CCEEFF"/>
              <w:bottom w:val="single" w:sz="8" w:color="auto"/>
            </w:tcBorders>
          </w:tcPr>
          <w:p>
            <w:pPr>
              <w:spacing w:after="0"/>
              <w:rPr>
                <w:sz w:val="16"/>
                <w:szCs w:val="16"/>
                <w:color w:val="auto"/>
              </w:rPr>
            </w:pPr>
          </w:p>
        </w:tc>
        <w:tc>
          <w:tcPr>
            <w:tcW w:w="23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hanging="356"/>
        <w:spacing w:after="0"/>
        <w:tabs>
          <w:tab w:leader="none" w:pos="7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Consideration due to the sellers of Shannon LNG once first gas is exported from the terminal to be built.</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as of December 31, 2017:</w:t>
      </w:r>
    </w:p>
    <w:p>
      <w:pPr>
        <w:spacing w:after="0" w:line="93"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Valuation technique</w:t>
            </w:r>
          </w:p>
        </w:tc>
      </w:tr>
      <w:tr>
        <w:trPr>
          <w:trHeight w:val="243"/>
        </w:trPr>
        <w:tc>
          <w:tcPr>
            <w:tcW w:w="20" w:type="dxa"/>
            <w:vAlign w:val="bottom"/>
          </w:tcPr>
          <w:p>
            <w:pPr>
              <w:spacing w:after="0"/>
              <w:rPr>
                <w:sz w:val="21"/>
                <w:szCs w:val="2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84,708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84,708</w:t>
            </w:r>
          </w:p>
        </w:tc>
        <w:tc>
          <w:tcPr>
            <w:tcW w:w="1840" w:type="dxa"/>
            <w:vAlign w:val="bottom"/>
            <w:gridSpan w:val="3"/>
          </w:tcPr>
          <w:p>
            <w:pPr>
              <w:ind w:left="140"/>
              <w:spacing w:after="0"/>
              <w:rPr>
                <w:sz w:val="20"/>
                <w:szCs w:val="20"/>
                <w:color w:val="auto"/>
              </w:rPr>
            </w:pPr>
            <w:r>
              <w:rPr>
                <w:rFonts w:ascii="Arial" w:cs="Arial" w:eastAsia="Arial" w:hAnsi="Arial"/>
                <w:sz w:val="18"/>
                <w:szCs w:val="18"/>
                <w:color w:val="auto"/>
              </w:rPr>
              <w:t>Market approach</w:t>
            </w:r>
          </w:p>
        </w:tc>
      </w:tr>
      <w:tr>
        <w:trPr>
          <w:trHeight w:val="256"/>
        </w:trPr>
        <w:tc>
          <w:tcPr>
            <w:tcW w:w="20" w:type="dxa"/>
            <w:vAlign w:val="bottom"/>
          </w:tcPr>
          <w:p>
            <w:pPr>
              <w:spacing w:after="0"/>
              <w:rPr>
                <w:sz w:val="22"/>
                <w:szCs w:val="22"/>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Market approach</w:t>
            </w:r>
          </w:p>
        </w:tc>
      </w:tr>
      <w:tr>
        <w:trPr>
          <w:trHeight w:val="237"/>
        </w:trPr>
        <w:tc>
          <w:tcPr>
            <w:tcW w:w="3720" w:type="dxa"/>
            <w:vAlign w:val="bottom"/>
            <w:gridSpan w:val="2"/>
          </w:tcPr>
          <w:p>
            <w:pPr>
              <w:spacing w:after="0"/>
              <w:rPr>
                <w:sz w:val="20"/>
                <w:szCs w:val="20"/>
                <w:color w:val="auto"/>
              </w:rPr>
            </w:pPr>
            <w:r>
              <w:rPr>
                <w:rFonts w:ascii="Arial" w:cs="Arial" w:eastAsia="Arial" w:hAnsi="Arial"/>
                <w:sz w:val="18"/>
                <w:szCs w:val="18"/>
                <w:color w:val="auto"/>
              </w:rPr>
              <w:t>Available-for-sale investment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840" w:type="dxa"/>
            <w:vAlign w:val="bottom"/>
            <w:gridSpan w:val="3"/>
          </w:tcPr>
          <w:p>
            <w:pPr>
              <w:ind w:left="140"/>
              <w:spacing w:after="0"/>
              <w:rPr>
                <w:sz w:val="20"/>
                <w:szCs w:val="20"/>
                <w:color w:val="auto"/>
              </w:rPr>
            </w:pPr>
            <w:r>
              <w:rPr>
                <w:rFonts w:ascii="Arial" w:cs="Arial" w:eastAsia="Arial" w:hAnsi="Arial"/>
                <w:sz w:val="18"/>
                <w:szCs w:val="18"/>
                <w:color w:val="auto"/>
              </w:rPr>
              <w:t>Market approach</w:t>
            </w:r>
          </w:p>
        </w:tc>
      </w:tr>
      <w:tr>
        <w:trPr>
          <w:trHeight w:val="277"/>
        </w:trPr>
        <w:tc>
          <w:tcPr>
            <w:tcW w:w="2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124,664</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124,664</w:t>
            </w:r>
          </w:p>
        </w:tc>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The Company estimates fair value of the derivative liability using a discounted cash flows method with discount rates based on the average yield curve for bonds with similar credit ratings and matching terms to the discount periods as well as a probability of the contingent event occurring. There were no liabilities that were measured at fair value on a recurring basis as of December 31, 2017.</w:t>
      </w:r>
    </w:p>
    <w:p>
      <w:pPr>
        <w:spacing w:after="0" w:line="79" w:lineRule="exact"/>
        <w:rPr>
          <w:sz w:val="20"/>
          <w:szCs w:val="20"/>
          <w:color w:val="auto"/>
        </w:rPr>
      </w:pPr>
    </w:p>
    <w:p>
      <w:pPr>
        <w:ind w:left="360" w:right="120"/>
        <w:spacing w:after="0" w:line="259" w:lineRule="auto"/>
        <w:rPr>
          <w:sz w:val="20"/>
          <w:szCs w:val="20"/>
          <w:color w:val="auto"/>
        </w:rPr>
      </w:pPr>
      <w:r>
        <w:rPr>
          <w:rFonts w:ascii="Arial" w:cs="Arial" w:eastAsia="Arial" w:hAnsi="Arial"/>
          <w:sz w:val="18"/>
          <w:szCs w:val="18"/>
          <w:color w:val="auto"/>
        </w:rPr>
        <w:t>The Company estimates fair value of outstanding debt using a discounted cash flows method based on current market interest rates for debt issuances with similar remaining years to maturity and adjusted for credit risk. The Company has estimated that the carrying value of the Term Loan Facility (defined below) approximates fair value. The fair value estimate is classified as Level 3 in the fair value hierarchy.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05" w:name="page106"/>
    <w:bookmarkEnd w:id="105"/>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restricted cash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Collateral for LNG purchases</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r>
      <w:tr>
        <w:trPr>
          <w:trHeight w:val="25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for line of credit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22"/>
                <w:szCs w:val="22"/>
                <w:color w:val="auto"/>
              </w:rPr>
            </w:pPr>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Customs and performance bonds</w:t>
            </w:r>
          </w:p>
        </w:tc>
        <w:tc>
          <w:tcPr>
            <w:tcW w:w="100" w:type="dxa"/>
            <w:vAlign w:val="bottom"/>
          </w:tcPr>
          <w:p>
            <w:pPr>
              <w:spacing w:after="0"/>
              <w:rPr>
                <w:sz w:val="20"/>
                <w:szCs w:val="20"/>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r>
      <w:tr>
        <w:trPr>
          <w:trHeight w:val="249"/>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Total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tcPr>
          <w:p>
            <w:pPr>
              <w:spacing w:after="0"/>
              <w:rPr>
                <w:sz w:val="19"/>
                <w:szCs w:val="19"/>
                <w:color w:val="auto"/>
              </w:rPr>
            </w:pPr>
          </w:p>
        </w:tc>
      </w:tr>
      <w:tr>
        <w:trPr>
          <w:trHeight w:val="28"/>
        </w:trPr>
        <w:tc>
          <w:tcPr>
            <w:tcW w:w="66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Current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13,623</w:t>
            </w:r>
          </w:p>
        </w:tc>
        <w:tc>
          <w:tcPr>
            <w:tcW w:w="100" w:type="dxa"/>
            <w:vAlign w:val="bottom"/>
          </w:tcPr>
          <w:p>
            <w:pPr>
              <w:spacing w:after="0"/>
              <w:rPr>
                <w:sz w:val="20"/>
                <w:szCs w:val="20"/>
                <w:color w:val="auto"/>
              </w:rPr>
            </w:pPr>
          </w:p>
        </w:tc>
      </w:tr>
      <w:tr>
        <w:trPr>
          <w:trHeight w:val="249"/>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restricted cash</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1"/>
                <w:szCs w:val="21"/>
                <w:color w:val="auto"/>
              </w:rPr>
            </w:pPr>
          </w:p>
        </w:tc>
      </w:tr>
    </w:tbl>
    <w:p>
      <w:pPr>
        <w:spacing w:after="0" w:line="90" w:lineRule="exact"/>
        <w:rPr>
          <w:sz w:val="20"/>
          <w:szCs w:val="20"/>
          <w:color w:val="auto"/>
        </w:rPr>
      </w:pPr>
    </w:p>
    <w:p>
      <w:pPr>
        <w:ind w:left="347" w:hanging="347"/>
        <w:spacing w:after="0"/>
        <w:tabs>
          <w:tab w:leader="none" w:pos="34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inventory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00" w:type="dxa"/>
            <w:vAlign w:val="bottom"/>
            <w:shd w:val="clear" w:color="auto" w:fill="CCEEFF"/>
          </w:tcPr>
          <w:p>
            <w:pPr>
              <w:spacing w:after="0"/>
              <w:rPr>
                <w:sz w:val="20"/>
                <w:szCs w:val="20"/>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Materials, supplies and other</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r>
      <w:tr>
        <w:trPr>
          <w:trHeight w:val="271"/>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47" w:hanging="347"/>
        <w:spacing w:after="0"/>
        <w:tabs>
          <w:tab w:leader="none" w:pos="34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prepaid expenses and other current assets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100" w:type="dxa"/>
            <w:vAlign w:val="bottom"/>
            <w:shd w:val="clear" w:color="auto" w:fill="CCEEFF"/>
          </w:tcPr>
          <w:p>
            <w:pPr>
              <w:spacing w:after="0"/>
              <w:rPr>
                <w:sz w:val="20"/>
                <w:szCs w:val="20"/>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Prepaid charter costs</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0"/>
                <w:szCs w:val="20"/>
                <w:color w:val="auto"/>
              </w:rPr>
            </w:pPr>
          </w:p>
        </w:tc>
      </w:tr>
      <w:tr>
        <w:trPr>
          <w:trHeight w:val="25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22"/>
                <w:szCs w:val="22"/>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0"/>
                <w:szCs w:val="20"/>
                <w:color w:val="auto"/>
              </w:rPr>
            </w:pPr>
          </w:p>
        </w:tc>
      </w:tr>
      <w:tr>
        <w:trPr>
          <w:trHeight w:val="25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affiliate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2"/>
                <w:szCs w:val="22"/>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9,166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1"/>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30,017</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left="367" w:right="20"/>
        <w:spacing w:after="0" w:line="308" w:lineRule="auto"/>
        <w:rPr>
          <w:sz w:val="20"/>
          <w:szCs w:val="20"/>
          <w:color w:val="auto"/>
        </w:rPr>
      </w:pPr>
      <w:r>
        <w:rPr>
          <w:rFonts w:ascii="Arial" w:cs="Arial" w:eastAsia="Arial" w:hAnsi="Arial"/>
          <w:sz w:val="17"/>
          <w:szCs w:val="17"/>
          <w:color w:val="auto"/>
        </w:rPr>
        <w:t>Prepaid LNG as of December 31, 2018 and 2017 consist of payments for 17.0 million gallons (1,406,062 MMBtus) and 34.0 million gallons (2,808,587 MMBtus) of LNG, respectively, that have been prepaid by the Company.</w:t>
      </w:r>
    </w:p>
    <w:p>
      <w:pPr>
        <w:spacing w:after="0" w:line="38" w:lineRule="exact"/>
        <w:rPr>
          <w:sz w:val="20"/>
          <w:szCs w:val="20"/>
          <w:color w:val="auto"/>
        </w:rPr>
      </w:pPr>
    </w:p>
    <w:p>
      <w:pPr>
        <w:ind w:left="367" w:right="100"/>
        <w:spacing w:after="0" w:line="277" w:lineRule="auto"/>
        <w:rPr>
          <w:sz w:val="20"/>
          <w:szCs w:val="20"/>
          <w:color w:val="auto"/>
        </w:rPr>
      </w:pPr>
      <w:r>
        <w:rPr>
          <w:rFonts w:ascii="Arial" w:cs="Arial" w:eastAsia="Arial" w:hAnsi="Arial"/>
          <w:sz w:val="18"/>
          <w:szCs w:val="18"/>
          <w:color w:val="auto"/>
        </w:rPr>
        <w:t>Other current assets as of December 31, 2018 primarily consists of IPO issuance costs incurred which will be netted against issuance proceeds upon completion of the Offering.</w:t>
      </w:r>
    </w:p>
    <w:p>
      <w:pPr>
        <w:spacing w:after="0" w:line="170" w:lineRule="exact"/>
        <w:rPr>
          <w:sz w:val="20"/>
          <w:szCs w:val="20"/>
          <w:color w:val="auto"/>
        </w:rPr>
      </w:pPr>
    </w:p>
    <w:p>
      <w:pPr>
        <w:jc w:val="center"/>
        <w:ind w:right="-186"/>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67"/>
          </w:cols>
          <w:pgMar w:left="1173" w:top="279" w:right="1359" w:bottom="1440" w:gutter="0" w:footer="0" w:header="0"/>
        </w:sectPr>
      </w:pPr>
    </w:p>
    <w:bookmarkStart w:id="106" w:name="page107"/>
    <w:bookmarkEnd w:id="10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Available-for-sale-investment</w:t>
      </w:r>
    </w:p>
    <w:p>
      <w:pPr>
        <w:spacing w:after="0" w:line="121" w:lineRule="exact"/>
        <w:rPr>
          <w:rFonts w:ascii="Arial" w:cs="Arial" w:eastAsia="Arial" w:hAnsi="Arial"/>
          <w:sz w:val="18"/>
          <w:szCs w:val="18"/>
          <w:b w:val="1"/>
          <w:bCs w:val="1"/>
          <w:color w:val="auto"/>
        </w:rPr>
      </w:pPr>
    </w:p>
    <w:p>
      <w:pPr>
        <w:ind w:left="367"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Through December 31, 2018, the Company invested in equity securities of an international oil and gas drilling contractor. The following tables present the number of shares, cost and fair value of the investment:</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560" w:type="dxa"/>
            <w:vAlign w:val="bottom"/>
          </w:tcPr>
          <w:p>
            <w:pPr>
              <w:spacing w:after="0"/>
              <w:rPr>
                <w:sz w:val="13"/>
                <w:szCs w:val="13"/>
                <w:color w:val="auto"/>
              </w:rPr>
            </w:pPr>
          </w:p>
        </w:tc>
        <w:tc>
          <w:tcPr>
            <w:tcW w:w="1280" w:type="dxa"/>
            <w:vAlign w:val="bottom"/>
            <w:gridSpan w:val="2"/>
          </w:tcPr>
          <w:p>
            <w:pPr>
              <w:jc w:val="center"/>
              <w:ind w:right="88"/>
              <w:spacing w:after="0" w:line="160"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55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83"/>
        </w:trPr>
        <w:tc>
          <w:tcPr>
            <w:tcW w:w="5560" w:type="dxa"/>
            <w:vAlign w:val="bottom"/>
          </w:tcPr>
          <w:p>
            <w:pPr>
              <w:spacing w:after="0"/>
              <w:rPr>
                <w:sz w:val="15"/>
                <w:szCs w:val="15"/>
                <w:color w:val="auto"/>
              </w:rPr>
            </w:pPr>
          </w:p>
        </w:tc>
        <w:tc>
          <w:tcPr>
            <w:tcW w:w="34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0"/>
              </w:rPr>
              <w:t>(in thousands of U.S. dollars except shares)</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1,476,280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21"/>
                <w:szCs w:val="21"/>
                <w:color w:val="auto"/>
              </w:rPr>
            </w:pPr>
          </w:p>
        </w:tc>
      </w:tr>
      <w:tr>
        <w:trPr>
          <w:trHeight w:val="243"/>
        </w:trPr>
        <w:tc>
          <w:tcPr>
            <w:tcW w:w="55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60"/>
        </w:trPr>
        <w:tc>
          <w:tcPr>
            <w:tcW w:w="5560" w:type="dxa"/>
            <w:vAlign w:val="bottom"/>
          </w:tcPr>
          <w:p>
            <w:pPr>
              <w:spacing w:after="0"/>
              <w:rPr>
                <w:sz w:val="13"/>
                <w:szCs w:val="13"/>
                <w:color w:val="auto"/>
              </w:rPr>
            </w:pPr>
          </w:p>
        </w:tc>
        <w:tc>
          <w:tcPr>
            <w:tcW w:w="1280" w:type="dxa"/>
            <w:vAlign w:val="bottom"/>
            <w:gridSpan w:val="2"/>
          </w:tcPr>
          <w:p>
            <w:pPr>
              <w:jc w:val="center"/>
              <w:ind w:right="88"/>
              <w:spacing w:after="0" w:line="160"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55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83"/>
        </w:trPr>
        <w:tc>
          <w:tcPr>
            <w:tcW w:w="5560" w:type="dxa"/>
            <w:vAlign w:val="bottom"/>
          </w:tcPr>
          <w:p>
            <w:pPr>
              <w:spacing w:after="0"/>
              <w:rPr>
                <w:sz w:val="15"/>
                <w:szCs w:val="15"/>
                <w:color w:val="auto"/>
              </w:rPr>
            </w:pPr>
          </w:p>
        </w:tc>
        <w:tc>
          <w:tcPr>
            <w:tcW w:w="34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0"/>
              </w:rPr>
              <w:t>(in thousands of U.S. dollars except shares)</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1,476,280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21"/>
                <w:szCs w:val="21"/>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movement of available-for-sale investment during the years ended December 31, 2018 and 2017 is summarized below:</w:t>
      </w:r>
    </w:p>
    <w:p>
      <w:pPr>
        <w:spacing w:after="0" w:line="105"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20"/>
                <w:szCs w:val="20"/>
                <w:color w:val="auto"/>
              </w:rPr>
            </w:pPr>
          </w:p>
        </w:tc>
      </w:tr>
      <w:tr>
        <w:trPr>
          <w:trHeight w:val="237"/>
        </w:trPr>
        <w:tc>
          <w:tcPr>
            <w:tcW w:w="68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0"/>
                <w:szCs w:val="20"/>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0"/>
                <w:szCs w:val="20"/>
                <w:color w:val="auto"/>
              </w:rPr>
            </w:pPr>
          </w:p>
        </w:tc>
      </w:tr>
      <w:tr>
        <w:trPr>
          <w:trHeight w:val="249"/>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(2,677)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21"/>
                <w:szCs w:val="21"/>
                <w:color w:val="auto"/>
              </w:rPr>
            </w:pPr>
          </w:p>
        </w:tc>
      </w:tr>
      <w:tr>
        <w:trPr>
          <w:trHeight w:val="223"/>
        </w:trPr>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At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3,656</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00" w:type="dxa"/>
            <w:vAlign w:val="bottom"/>
            <w:tcBorders>
              <w:top w:val="single" w:sz="8" w:color="CCEEFF"/>
            </w:tcBorders>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7"/>
          <w:szCs w:val="17"/>
          <w:color w:val="auto"/>
        </w:rPr>
        <w:t>The Company’s construction in progress activity during the years ended December 31, 2018 and 2017 is detailed below:</w:t>
      </w:r>
    </w:p>
    <w:p>
      <w:pPr>
        <w:spacing w:after="0" w:line="93"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20"/>
                <w:szCs w:val="20"/>
                <w:color w:val="auto"/>
              </w:rPr>
            </w:pPr>
          </w:p>
        </w:tc>
      </w:tr>
      <w:tr>
        <w:trPr>
          <w:trHeight w:val="237"/>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224,871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36,017</w:t>
            </w:r>
          </w:p>
        </w:tc>
        <w:tc>
          <w:tcPr>
            <w:tcW w:w="100" w:type="dxa"/>
            <w:vAlign w:val="bottom"/>
          </w:tcPr>
          <w:p>
            <w:pPr>
              <w:spacing w:after="0"/>
              <w:rPr>
                <w:sz w:val="20"/>
                <w:szCs w:val="20"/>
                <w:color w:val="auto"/>
              </w:rPr>
            </w:pPr>
          </w:p>
        </w:tc>
      </w:tr>
      <w:tr>
        <w:trPr>
          <w:trHeight w:val="249"/>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Transferred to finance leases, net (Note 13)</w:t>
            </w:r>
          </w:p>
        </w:tc>
        <w:tc>
          <w:tcPr>
            <w:tcW w:w="22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(3,033)</w:t>
            </w:r>
          </w:p>
        </w:tc>
      </w:tr>
      <w:tr>
        <w:trPr>
          <w:trHeight w:val="237"/>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Transferred to property, plant and equipment, net (Note 11)</w:t>
            </w:r>
          </w:p>
        </w:tc>
        <w:tc>
          <w:tcPr>
            <w:tcW w:w="22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(5,584)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r>
      <w:tr>
        <w:trPr>
          <w:trHeight w:val="249"/>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Abandoned project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r>
      <w:tr>
        <w:trPr>
          <w:trHeight w:val="223"/>
        </w:trPr>
        <w:tc>
          <w:tcPr>
            <w:tcW w:w="6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254,700</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35,413</w:t>
            </w:r>
          </w:p>
        </w:tc>
        <w:tc>
          <w:tcPr>
            <w:tcW w:w="100" w:type="dxa"/>
            <w:vAlign w:val="bottom"/>
            <w:tcBorders>
              <w:top w:val="single" w:sz="8" w:color="CCEEFF"/>
            </w:tcBorders>
          </w:tcPr>
          <w:p>
            <w:pPr>
              <w:spacing w:after="0"/>
              <w:rPr>
                <w:sz w:val="19"/>
                <w:szCs w:val="19"/>
                <w:color w:val="auto"/>
              </w:rPr>
            </w:pPr>
          </w:p>
        </w:tc>
      </w:tr>
      <w:tr>
        <w:trPr>
          <w:trHeight w:val="21"/>
        </w:trPr>
        <w:tc>
          <w:tcPr>
            <w:tcW w:w="6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367" w:right="180"/>
        <w:spacing w:after="0" w:line="277" w:lineRule="auto"/>
        <w:rPr>
          <w:sz w:val="20"/>
          <w:szCs w:val="20"/>
          <w:color w:val="auto"/>
        </w:rPr>
      </w:pPr>
      <w:r>
        <w:rPr>
          <w:rFonts w:ascii="Arial" w:cs="Arial" w:eastAsia="Arial" w:hAnsi="Arial"/>
          <w:sz w:val="18"/>
          <w:szCs w:val="18"/>
          <w:color w:val="auto"/>
        </w:rPr>
        <w:t>Management determined it appropriate to expense $0 and $1,289 in 2018 and 2017, respectively, as the decision was made to abandon the related projects.</w:t>
      </w:r>
    </w:p>
    <w:p>
      <w:pPr>
        <w:spacing w:after="0" w:line="58" w:lineRule="exact"/>
        <w:rPr>
          <w:sz w:val="20"/>
          <w:szCs w:val="20"/>
          <w:color w:val="auto"/>
        </w:rPr>
      </w:pPr>
    </w:p>
    <w:p>
      <w:pPr>
        <w:ind w:left="347" w:hanging="347"/>
        <w:spacing w:after="0"/>
        <w:tabs>
          <w:tab w:leader="none" w:pos="347"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the Company’s property, plant and equipment, net consisted of the following:</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200" w:type="dxa"/>
            <w:vAlign w:val="bottom"/>
          </w:tcPr>
          <w:p>
            <w:pPr>
              <w:spacing w:after="0"/>
              <w:rPr>
                <w:sz w:val="14"/>
                <w:szCs w:val="14"/>
                <w:color w:val="auto"/>
              </w:rPr>
            </w:pPr>
          </w:p>
        </w:tc>
      </w:tr>
      <w:tr>
        <w:trPr>
          <w:trHeight w:val="185"/>
        </w:trPr>
        <w:tc>
          <w:tcPr>
            <w:tcW w:w="3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65,631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63,607</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ISO containers and other equipment</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15,873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r>
      <w:tr>
        <w:trPr>
          <w:trHeight w:val="230"/>
        </w:trPr>
        <w:tc>
          <w:tcPr>
            <w:tcW w:w="3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7,229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37"/>
        </w:trPr>
        <w:tc>
          <w:tcPr>
            <w:tcW w:w="3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Computer equipment</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38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(9,391)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(5,592)</w:t>
            </w:r>
          </w:p>
        </w:tc>
        <w:tc>
          <w:tcPr>
            <w:tcW w:w="200" w:type="dxa"/>
            <w:vAlign w:val="bottom"/>
          </w:tcPr>
          <w:p>
            <w:pPr>
              <w:spacing w:after="0"/>
              <w:rPr>
                <w:sz w:val="21"/>
                <w:szCs w:val="21"/>
                <w:color w:val="auto"/>
              </w:rPr>
            </w:pPr>
          </w:p>
        </w:tc>
      </w:tr>
      <w:tr>
        <w:trPr>
          <w:trHeight w:val="223"/>
        </w:trPr>
        <w:tc>
          <w:tcPr>
            <w:tcW w:w="380" w:type="dxa"/>
            <w:vAlign w:val="bottom"/>
          </w:tcPr>
          <w:p>
            <w:pPr>
              <w:spacing w:after="0"/>
              <w:rPr>
                <w:sz w:val="19"/>
                <w:szCs w:val="19"/>
                <w:color w:val="auto"/>
              </w:rPr>
            </w:pPr>
          </w:p>
        </w:tc>
        <w:tc>
          <w:tcPr>
            <w:tcW w:w="36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3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94,040</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69,350</w:t>
            </w:r>
          </w:p>
        </w:tc>
        <w:tc>
          <w:tcPr>
            <w:tcW w:w="100" w:type="dxa"/>
            <w:vAlign w:val="bottom"/>
            <w:tcBorders>
              <w:top w:val="single" w:sz="8" w:color="CCEEFF"/>
            </w:tcBorders>
          </w:tcPr>
          <w:p>
            <w:pPr>
              <w:spacing w:after="0"/>
              <w:rPr>
                <w:sz w:val="19"/>
                <w:szCs w:val="19"/>
                <w:color w:val="auto"/>
              </w:rPr>
            </w:pPr>
          </w:p>
        </w:tc>
        <w:tc>
          <w:tcPr>
            <w:tcW w:w="200" w:type="dxa"/>
            <w:vAlign w:val="bottom"/>
          </w:tcPr>
          <w:p>
            <w:pPr>
              <w:spacing w:after="0"/>
              <w:rPr>
                <w:sz w:val="19"/>
                <w:szCs w:val="19"/>
                <w:color w:val="auto"/>
              </w:rPr>
            </w:pPr>
          </w:p>
        </w:tc>
      </w:tr>
      <w:tr>
        <w:trPr>
          <w:trHeight w:val="21"/>
        </w:trPr>
        <w:tc>
          <w:tcPr>
            <w:tcW w:w="3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20" w:type="dxa"/>
            <w:vAlign w:val="bottom"/>
            <w:gridSpan w:val="2"/>
          </w:tcPr>
          <w:p>
            <w:pPr>
              <w:jc w:val="right"/>
              <w:ind w:right="2310"/>
              <w:spacing w:after="0"/>
              <w:rPr>
                <w:sz w:val="20"/>
                <w:szCs w:val="20"/>
                <w:color w:val="auto"/>
              </w:rPr>
            </w:pPr>
            <w:r>
              <w:rPr>
                <w:rFonts w:ascii="Arial" w:cs="Arial" w:eastAsia="Arial" w:hAnsi="Arial"/>
                <w:sz w:val="18"/>
                <w:szCs w:val="18"/>
                <w:color w:val="auto"/>
              </w:rPr>
              <w:t>F-17</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07" w:name="page108"/>
    <w:bookmarkEnd w:id="107"/>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320"/>
        <w:spacing w:after="0" w:line="264" w:lineRule="auto"/>
        <w:rPr>
          <w:sz w:val="20"/>
          <w:szCs w:val="20"/>
          <w:color w:val="auto"/>
        </w:rPr>
      </w:pPr>
      <w:r>
        <w:rPr>
          <w:rFonts w:ascii="Arial" w:cs="Arial" w:eastAsia="Arial" w:hAnsi="Arial"/>
          <w:sz w:val="18"/>
          <w:szCs w:val="18"/>
          <w:color w:val="auto"/>
        </w:rPr>
        <w:t>Depreciation for years ended December 31, 2018, 2017 and 2016 totaled $3,900, $3,214 and $2,389, respectively, of which $713, $453 and $48, respectively, is included within Cost of sales in the consolidated statements of operations and comprehensive loss.</w:t>
      </w:r>
    </w:p>
    <w:p>
      <w:pPr>
        <w:spacing w:after="0" w:line="69" w:lineRule="exact"/>
        <w:rPr>
          <w:sz w:val="20"/>
          <w:szCs w:val="20"/>
          <w:color w:val="auto"/>
        </w:rPr>
      </w:pPr>
    </w:p>
    <w:p>
      <w:pPr>
        <w:ind w:left="347" w:hanging="347"/>
        <w:spacing w:after="0"/>
        <w:tabs>
          <w:tab w:leader="none" w:pos="34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composition of intangible assets:</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December 31, 2018</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380" w:type="dxa"/>
            <w:vAlign w:val="bottom"/>
          </w:tcPr>
          <w:p>
            <w:pPr>
              <w:spacing w:after="0"/>
              <w:rPr>
                <w:sz w:val="13"/>
                <w:szCs w:val="13"/>
                <w:color w:val="auto"/>
              </w:rPr>
            </w:pPr>
          </w:p>
        </w:tc>
        <w:tc>
          <w:tcPr>
            <w:tcW w:w="130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Gross Carrying</w:t>
            </w:r>
          </w:p>
        </w:tc>
        <w:tc>
          <w:tcPr>
            <w:tcW w:w="1120" w:type="dxa"/>
            <w:vAlign w:val="bottom"/>
            <w:gridSpan w:val="4"/>
          </w:tcPr>
          <w:p>
            <w:pPr>
              <w:ind w:left="60"/>
              <w:spacing w:after="0" w:line="160"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Net Carrying</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tcPr>
          <w:p>
            <w:pPr>
              <w:spacing w:after="0"/>
              <w:rPr>
                <w:sz w:val="16"/>
                <w:szCs w:val="16"/>
                <w:color w:val="auto"/>
              </w:rPr>
            </w:pPr>
          </w:p>
        </w:tc>
      </w:tr>
      <w:tr>
        <w:trPr>
          <w:trHeight w:val="237"/>
        </w:trPr>
        <w:tc>
          <w:tcPr>
            <w:tcW w:w="4380" w:type="dxa"/>
            <w:vAlign w:val="bottom"/>
            <w:tcBorders>
              <w:bottom w:val="single" w:sz="8" w:color="CCEEFF"/>
            </w:tcBorders>
            <w:shd w:val="clear" w:color="auto" w:fill="CCEEFF"/>
          </w:tcPr>
          <w:p>
            <w:pPr>
              <w:jc w:val="center"/>
              <w:ind w:right="2290"/>
              <w:spacing w:after="0"/>
              <w:rPr>
                <w:sz w:val="20"/>
                <w:szCs w:val="20"/>
                <w:color w:val="auto"/>
              </w:rPr>
            </w:pPr>
            <w:r>
              <w:rPr>
                <w:rFonts w:ascii="Arial" w:cs="Arial" w:eastAsia="Arial" w:hAnsi="Arial"/>
                <w:sz w:val="18"/>
                <w:szCs w:val="18"/>
                <w:color w:val="auto"/>
                <w:w w:val="87"/>
              </w:rPr>
              <w:t>Shannon leases and permits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43,057</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40 to 91</w:t>
            </w:r>
          </w:p>
        </w:tc>
      </w:tr>
      <w:tr>
        <w:trPr>
          <w:trHeight w:val="223"/>
        </w:trPr>
        <w:tc>
          <w:tcPr>
            <w:tcW w:w="4380" w:type="dxa"/>
            <w:vAlign w:val="bottom"/>
          </w:tcPr>
          <w:p>
            <w:pPr>
              <w:jc w:val="center"/>
              <w:ind w:right="2330"/>
              <w:spacing w:after="0"/>
              <w:rPr>
                <w:sz w:val="20"/>
                <w:szCs w:val="20"/>
                <w:color w:val="auto"/>
              </w:rPr>
            </w:pPr>
            <w:r>
              <w:rPr>
                <w:rFonts w:ascii="Arial" w:cs="Arial" w:eastAsia="Arial" w:hAnsi="Arial"/>
                <w:sz w:val="18"/>
                <w:szCs w:val="18"/>
                <w:color w:val="auto"/>
                <w:w w:val="89"/>
              </w:rPr>
              <w:t>Total intangible assets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43,057</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weighted average amortization periods for the intangible assets is 40.29 years.</w:t>
      </w:r>
    </w:p>
    <w:p>
      <w:pPr>
        <w:spacing w:after="0" w:line="117" w:lineRule="exact"/>
        <w:rPr>
          <w:sz w:val="20"/>
          <w:szCs w:val="20"/>
          <w:color w:val="auto"/>
        </w:rPr>
      </w:pPr>
    </w:p>
    <w:p>
      <w:pPr>
        <w:ind w:left="367" w:right="20"/>
        <w:spacing w:after="0" w:line="277" w:lineRule="auto"/>
        <w:rPr>
          <w:sz w:val="20"/>
          <w:szCs w:val="20"/>
          <w:color w:val="auto"/>
        </w:rPr>
      </w:pPr>
      <w:r>
        <w:rPr>
          <w:rFonts w:ascii="Arial" w:cs="Arial" w:eastAsia="Arial" w:hAnsi="Arial"/>
          <w:sz w:val="18"/>
          <w:szCs w:val="18"/>
          <w:color w:val="auto"/>
        </w:rPr>
        <w:t>Amortization expense for the year ended December 31, 2018 was $134. The estimated aggregate amortization expense for each of the next five years is:</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6"/>
                <w:szCs w:val="16"/>
                <w:color w:val="auto"/>
              </w:rPr>
            </w:pPr>
          </w:p>
        </w:tc>
      </w:tr>
      <w:tr>
        <w:trPr>
          <w:trHeight w:val="23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1,076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  1,076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1,076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  1,076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1,076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w:t>
            </w:r>
          </w:p>
        </w:tc>
        <w:tc>
          <w:tcPr>
            <w:tcW w:w="100" w:type="dxa"/>
            <w:vAlign w:val="bottom"/>
            <w:shd w:val="clear" w:color="auto" w:fill="CCEEFF"/>
          </w:tcPr>
          <w:p>
            <w:pPr>
              <w:spacing w:after="0"/>
              <w:rPr>
                <w:sz w:val="20"/>
                <w:szCs w:val="20"/>
                <w:color w:val="auto"/>
              </w:rPr>
            </w:pPr>
          </w:p>
        </w:tc>
      </w:tr>
    </w:tbl>
    <w:p>
      <w:pPr>
        <w:spacing w:after="0" w:line="90" w:lineRule="exact"/>
        <w:rPr>
          <w:sz w:val="20"/>
          <w:szCs w:val="20"/>
          <w:color w:val="auto"/>
        </w:rPr>
      </w:pPr>
    </w:p>
    <w:p>
      <w:pPr>
        <w:ind w:left="347" w:hanging="347"/>
        <w:spacing w:after="0"/>
        <w:tabs>
          <w:tab w:leader="none" w:pos="347"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21" w:lineRule="exact"/>
        <w:rPr>
          <w:rFonts w:ascii="Arial" w:cs="Arial" w:eastAsia="Arial" w:hAnsi="Arial"/>
          <w:sz w:val="18"/>
          <w:szCs w:val="18"/>
          <w:b w:val="1"/>
          <w:bCs w:val="1"/>
          <w:color w:val="auto"/>
        </w:rPr>
      </w:pPr>
    </w:p>
    <w:p>
      <w:pPr>
        <w:ind w:left="367"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which are accounted for as direct finance leases. The components of the direct finance leases as of December 31, 2018 and 2017 are as follows:</w:t>
      </w:r>
    </w:p>
    <w:p>
      <w:pPr>
        <w:spacing w:after="0" w:line="43"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306,832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323,281</w:t>
            </w:r>
          </w:p>
        </w:tc>
        <w:tc>
          <w:tcPr>
            <w:tcW w:w="100" w:type="dxa"/>
            <w:vAlign w:val="bottom"/>
            <w:shd w:val="clear" w:color="auto" w:fill="CCEEFF"/>
          </w:tcPr>
          <w:p>
            <w:pPr>
              <w:spacing w:after="0"/>
              <w:rPr>
                <w:sz w:val="20"/>
                <w:szCs w:val="20"/>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Unearned income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(213,682)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(228,026)</w:t>
            </w:r>
          </w:p>
        </w:tc>
      </w:tr>
      <w:tr>
        <w:trPr>
          <w:trHeight w:val="271"/>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finance leases, net</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93,150</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43"/>
        </w:trPr>
        <w:tc>
          <w:tcPr>
            <w:tcW w:w="6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21"/>
                <w:szCs w:val="2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Non-current portion</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92,207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94,077</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left="367" w:right="240"/>
        <w:spacing w:after="0" w:line="264"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73" w:lineRule="exact"/>
        <w:rPr>
          <w:sz w:val="20"/>
          <w:szCs w:val="20"/>
          <w:color w:val="auto"/>
        </w:rPr>
      </w:pPr>
    </w:p>
    <w:p>
      <w:pPr>
        <w:ind w:left="367" w:right="400"/>
        <w:spacing w:after="0" w:line="277" w:lineRule="auto"/>
        <w:rPr>
          <w:sz w:val="20"/>
          <w:szCs w:val="20"/>
          <w:color w:val="auto"/>
        </w:rPr>
      </w:pPr>
      <w:r>
        <w:rPr>
          <w:rFonts w:ascii="Arial" w:cs="Arial" w:eastAsia="Arial" w:hAnsi="Arial"/>
          <w:sz w:val="18"/>
          <w:szCs w:val="18"/>
          <w:color w:val="auto"/>
        </w:rPr>
        <w:t>At December 31, 2018, future minimum lease payments to be received under direct finance leases for the remainder of the respective lease terms is as follows: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300" w:type="dxa"/>
            <w:vAlign w:val="bottom"/>
            <w:gridSpan w:val="2"/>
          </w:tcPr>
          <w:p>
            <w:pPr>
              <w:ind w:left="380"/>
              <w:spacing w:after="0"/>
              <w:rPr>
                <w:sz w:val="20"/>
                <w:szCs w:val="20"/>
                <w:color w:val="auto"/>
              </w:rPr>
            </w:pPr>
            <w:r>
              <w:rPr>
                <w:rFonts w:ascii="Arial" w:cs="Arial" w:eastAsia="Arial" w:hAnsi="Arial"/>
                <w:sz w:val="14"/>
                <w:szCs w:val="14"/>
                <w:b w:val="1"/>
                <w:bCs w:val="1"/>
                <w:color w:val="auto"/>
              </w:rPr>
              <w:t>Year ending December 31:</w:t>
            </w:r>
          </w:p>
        </w:tc>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660" w:type="dxa"/>
            <w:vAlign w:val="bottom"/>
            <w:tcBorders>
              <w:top w:val="single" w:sz="8" w:color="auto"/>
            </w:tcBorders>
            <w:shd w:val="clear" w:color="auto" w:fill="CCEEFF"/>
          </w:tcPr>
          <w:p>
            <w:pPr>
              <w:spacing w:after="0"/>
              <w:rPr>
                <w:sz w:val="20"/>
                <w:szCs w:val="20"/>
                <w:color w:val="auto"/>
              </w:rPr>
            </w:pP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2020</w:t>
            </w:r>
          </w:p>
        </w:tc>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10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3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2022</w:t>
            </w:r>
          </w:p>
        </w:tc>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10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43"/>
        </w:trPr>
        <w:tc>
          <w:tcPr>
            <w:tcW w:w="330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4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1"/>
        </w:trPr>
        <w:tc>
          <w:tcPr>
            <w:tcW w:w="38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82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Pr>
          <w:p>
            <w:pPr>
              <w:spacing w:after="0"/>
              <w:rPr>
                <w:sz w:val="23"/>
                <w:szCs w:val="23"/>
                <w:color w:val="auto"/>
              </w:rPr>
            </w:pPr>
          </w:p>
        </w:tc>
      </w:tr>
      <w:tr>
        <w:trPr>
          <w:trHeight w:val="432"/>
        </w:trPr>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140" w:type="dxa"/>
            <w:vAlign w:val="bottom"/>
            <w:gridSpan w:val="3"/>
          </w:tcPr>
          <w:p>
            <w:pPr>
              <w:jc w:val="right"/>
              <w:ind w:right="3410"/>
              <w:spacing w:after="0"/>
              <w:rPr>
                <w:sz w:val="20"/>
                <w:szCs w:val="20"/>
                <w:color w:val="auto"/>
              </w:rPr>
            </w:pPr>
            <w:r>
              <w:rPr>
                <w:rFonts w:ascii="Arial" w:cs="Arial" w:eastAsia="Arial" w:hAnsi="Arial"/>
                <w:sz w:val="18"/>
                <w:szCs w:val="18"/>
                <w:color w:val="auto"/>
              </w:rPr>
              <w:t>F-18</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2920" w:type="dxa"/>
            <w:vAlign w:val="bottom"/>
            <w:shd w:val="clear" w:color="auto" w:fill="000000"/>
          </w:tcPr>
          <w:p>
            <w:pPr>
              <w:spacing w:after="0"/>
              <w:rPr>
                <w:sz w:val="5"/>
                <w:szCs w:val="5"/>
                <w:color w:val="auto"/>
              </w:rPr>
            </w:pPr>
          </w:p>
        </w:tc>
        <w:tc>
          <w:tcPr>
            <w:tcW w:w="4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08" w:name="page109"/>
    <w:bookmarkEnd w:id="108"/>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other non-current assets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0"/>
                <w:szCs w:val="20"/>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Port access rights</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12,671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lease costs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Nonrefundable deposits for land</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Total other non-current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35,255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1"/>
        </w:trPr>
        <w:tc>
          <w:tcPr>
            <w:tcW w:w="6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line="276" w:lineRule="auto"/>
        <w:rPr>
          <w:sz w:val="20"/>
          <w:szCs w:val="20"/>
          <w:color w:val="auto"/>
        </w:rPr>
      </w:pPr>
      <w:r>
        <w:rPr>
          <w:rFonts w:ascii="Arial" w:cs="Arial" w:eastAsia="Arial" w:hAnsi="Arial"/>
          <w:sz w:val="17"/>
          <w:szCs w:val="17"/>
          <w:color w:val="auto"/>
        </w:rPr>
        <w:t>Port access rights related to the Company’s port lease in Baja California Sur, Mexico, represent capitalized initial direct costs of entering the lease and are amortized straight-line over the lease term as additional rent expense. Payments to incumbent tenants represent capitalized payments made to previous lessees to secure the Company’s port lease in San Juan, Puerto Rico, and are also amortized straight-line over the lease term as additional rent expense. Nonrefundable deposits are primarily related to deposits for planned land purchases in Pennsylvania and Ireland.</w:t>
      </w:r>
    </w:p>
    <w:p>
      <w:pPr>
        <w:spacing w:after="0" w:line="60" w:lineRule="exact"/>
        <w:rPr>
          <w:sz w:val="20"/>
          <w:szCs w:val="20"/>
          <w:color w:val="auto"/>
        </w:rPr>
      </w:pPr>
    </w:p>
    <w:p>
      <w:pPr>
        <w:ind w:left="347" w:hanging="347"/>
        <w:spacing w:after="0"/>
        <w:tabs>
          <w:tab w:leader="none" w:pos="34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accrued liabilities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construction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41,343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20"/>
                <w:szCs w:val="20"/>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Accrued initial public offering costs</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00" w:type="dxa"/>
            <w:vAlign w:val="bottom"/>
            <w:shd w:val="clear" w:color="auto" w:fill="CCEEFF"/>
          </w:tcPr>
          <w:p>
            <w:pPr>
              <w:spacing w:after="0"/>
              <w:rPr>
                <w:sz w:val="22"/>
                <w:szCs w:val="22"/>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8,291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1"/>
                <w:szCs w:val="21"/>
                <w:color w:val="auto"/>
              </w:rPr>
            </w:pPr>
          </w:p>
        </w:tc>
      </w:tr>
      <w:tr>
        <w:trPr>
          <w:trHeight w:val="271"/>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67,512</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47" w:hanging="347"/>
        <w:spacing w:after="0"/>
        <w:tabs>
          <w:tab w:leader="none" w:pos="347"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long-term debt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 due December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272,192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Montego Bay Loan, due June 2023</w:t>
            </w:r>
          </w:p>
        </w:tc>
        <w:tc>
          <w:tcPr>
            <w:tcW w:w="100" w:type="dxa"/>
            <w:vAlign w:val="bottom"/>
          </w:tcPr>
          <w:p>
            <w:pPr>
              <w:spacing w:after="0"/>
              <w:rPr>
                <w:sz w:val="20"/>
                <w:szCs w:val="20"/>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36,504</w:t>
            </w:r>
          </w:p>
        </w:tc>
        <w:tc>
          <w:tcPr>
            <w:tcW w:w="100" w:type="dxa"/>
            <w:vAlign w:val="bottom"/>
          </w:tcPr>
          <w:p>
            <w:pPr>
              <w:spacing w:after="0"/>
              <w:rPr>
                <w:sz w:val="20"/>
                <w:szCs w:val="20"/>
                <w:color w:val="auto"/>
              </w:rPr>
            </w:pPr>
          </w:p>
        </w:tc>
      </w:tr>
      <w:tr>
        <w:trPr>
          <w:trHeight w:val="249"/>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272,192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75,253</w:t>
            </w:r>
          </w:p>
        </w:tc>
        <w:tc>
          <w:tcPr>
            <w:tcW w:w="100" w:type="dxa"/>
            <w:vAlign w:val="bottom"/>
          </w:tcPr>
          <w:p>
            <w:pPr>
              <w:spacing w:after="0"/>
              <w:rPr>
                <w:sz w:val="19"/>
                <w:szCs w:val="19"/>
                <w:color w:val="auto"/>
              </w:rPr>
            </w:pPr>
          </w:p>
        </w:tc>
      </w:tr>
      <w:tr>
        <w:trPr>
          <w:trHeight w:val="28"/>
        </w:trPr>
        <w:tc>
          <w:tcPr>
            <w:tcW w:w="66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272,192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r>
      <w:tr>
        <w:trPr>
          <w:trHeight w:val="249"/>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portion of long-term debt</w:t>
            </w:r>
          </w:p>
        </w:tc>
        <w:tc>
          <w:tcPr>
            <w:tcW w:w="10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10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New Term Loan Facility</w:t>
      </w:r>
    </w:p>
    <w:p>
      <w:pPr>
        <w:spacing w:after="0" w:line="117" w:lineRule="exact"/>
        <w:rPr>
          <w:sz w:val="20"/>
          <w:szCs w:val="20"/>
          <w:color w:val="auto"/>
        </w:rPr>
      </w:pPr>
    </w:p>
    <w:p>
      <w:pPr>
        <w:ind w:left="367" w:right="120"/>
        <w:spacing w:after="0" w:line="264" w:lineRule="auto"/>
        <w:rPr>
          <w:sz w:val="20"/>
          <w:szCs w:val="20"/>
          <w:color w:val="auto"/>
        </w:rPr>
      </w:pPr>
      <w:r>
        <w:rPr>
          <w:rFonts w:ascii="Arial" w:cs="Arial" w:eastAsia="Arial" w:hAnsi="Arial"/>
          <w:sz w:val="18"/>
          <w:szCs w:val="18"/>
          <w:color w:val="auto"/>
        </w:rPr>
        <w:t>On December 31, 2018, the Company amended its Term Loan Facility (the “Term Loan Facility,” discussed below) to borrow up to an aggregate principal amount of $500,000 (the “New Term Loan Facility”) from a syndicate of two lenders. The Company initially borrowed $280,000 under the New Term Loan Facility.</w:t>
      </w:r>
    </w:p>
    <w:p>
      <w:pPr>
        <w:spacing w:after="0" w:line="73" w:lineRule="exact"/>
        <w:rPr>
          <w:sz w:val="20"/>
          <w:szCs w:val="20"/>
          <w:color w:val="auto"/>
        </w:rPr>
      </w:pPr>
    </w:p>
    <w:p>
      <w:pPr>
        <w:ind w:left="367"/>
        <w:spacing w:after="0" w:line="257" w:lineRule="auto"/>
        <w:rPr>
          <w:sz w:val="20"/>
          <w:szCs w:val="20"/>
          <w:color w:val="auto"/>
        </w:rPr>
      </w:pPr>
      <w:r>
        <w:rPr>
          <w:rFonts w:ascii="Arial" w:cs="Arial" w:eastAsia="Arial" w:hAnsi="Arial"/>
          <w:sz w:val="18"/>
          <w:szCs w:val="18"/>
          <w:color w:val="auto"/>
        </w:rPr>
        <w:t>All borrowings under the New Term Loan Facility bear interest at a rate selected by the Company of either (i) the LIBOR divided by one minus the applicable reserve requirement plus a spread of 4% or (ii) subject to a floor of 1%, a Base Rate equal to the higher of (a) the Prime Rate, (b) the Federal Funds Rate plus 1/2 of 1% or (c) the 1-month LIBOR rate plus 1.00% plus a spread of 3.0%. The New Term Loan Facility is set to mature on December 31, 2019 and is repayable in quarterly installments of $1,250, with a balloon</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20"/>
        <w:spacing w:after="0" w:line="312" w:lineRule="auto"/>
        <w:rPr>
          <w:sz w:val="20"/>
          <w:szCs w:val="20"/>
          <w:color w:val="auto"/>
        </w:rPr>
      </w:pPr>
      <w:r>
        <w:rPr>
          <w:rFonts w:ascii="Arial" w:cs="Arial" w:eastAsia="Arial" w:hAnsi="Arial"/>
          <w:sz w:val="16"/>
          <w:szCs w:val="16"/>
          <w:color w:val="auto"/>
        </w:rPr>
        <w:t>payment due at maturity. The Company has the option to extend the maturity date for two additional six-month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39" w:lineRule="exact"/>
        <w:rPr>
          <w:sz w:val="20"/>
          <w:szCs w:val="20"/>
          <w:color w:val="auto"/>
        </w:rPr>
      </w:pPr>
    </w:p>
    <w:p>
      <w:pPr>
        <w:ind w:left="360" w:right="160"/>
        <w:spacing w:after="0" w:line="257" w:lineRule="auto"/>
        <w:rPr>
          <w:sz w:val="20"/>
          <w:szCs w:val="20"/>
          <w:color w:val="auto"/>
        </w:rPr>
      </w:pPr>
      <w:r>
        <w:rPr>
          <w:rFonts w:ascii="Arial" w:cs="Arial" w:eastAsia="Arial" w:hAnsi="Arial"/>
          <w:sz w:val="18"/>
          <w:szCs w:val="18"/>
          <w:color w:val="auto"/>
        </w:rPr>
        <w:t>The New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on indebtedness, liens, acquisitions and investments, restricted payments and dispositions. The New Term Loan Facility also provides for customary events of default, prepayment and cure provisions.</w:t>
      </w:r>
    </w:p>
    <w:p>
      <w:pPr>
        <w:spacing w:after="0" w:line="80" w:lineRule="exact"/>
        <w:rPr>
          <w:sz w:val="20"/>
          <w:szCs w:val="20"/>
          <w:color w:val="auto"/>
        </w:rPr>
      </w:pPr>
    </w:p>
    <w:p>
      <w:pPr>
        <w:ind w:left="360" w:right="20"/>
        <w:spacing w:after="0" w:line="271" w:lineRule="auto"/>
        <w:rPr>
          <w:sz w:val="20"/>
          <w:szCs w:val="20"/>
          <w:color w:val="auto"/>
        </w:rPr>
      </w:pPr>
      <w:r>
        <w:rPr>
          <w:rFonts w:ascii="Arial" w:cs="Arial" w:eastAsia="Arial" w:hAnsi="Arial"/>
          <w:sz w:val="17"/>
          <w:szCs w:val="17"/>
          <w:color w:val="auto"/>
        </w:rPr>
        <w:t>The Company paid origination and other fees of $13,225 in connection with obtaining the New Term Loan Facility. Refinanced borrowings and associated fees from one lender were accounted for as a debt modification, while refinanced borrowings and associated fees from one lender were accounted for as a debt extinguishment. Financing costs of $9,200 were written off to Loss on extinguishment of debt in the consolidated statements of operations and comprehensive loss including $2,820 of unamortized deferred financing costs and $6,380 of financing fees incurred in connection with the amendment of the Term Loan Facility. Of the $13,225 of fees paid in conjunction with obtaining the New Term Loan Facility, the Company capitalized $5,640 as a reduction in current portion of long-term debt on the consolidated balance sheets, all of which was unamortized as of December 31, 2018.</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August 16, 2018, the Company entered into a Term Loan Facility to borrow up to an aggregate principal amount of</w:t>
      </w:r>
    </w:p>
    <w:p>
      <w:pPr>
        <w:spacing w:after="0" w:line="35" w:lineRule="exact"/>
        <w:rPr>
          <w:sz w:val="20"/>
          <w:szCs w:val="20"/>
          <w:color w:val="auto"/>
        </w:rPr>
      </w:pPr>
    </w:p>
    <w:p>
      <w:pPr>
        <w:ind w:left="360" w:right="40"/>
        <w:spacing w:after="0" w:line="290" w:lineRule="auto"/>
        <w:rPr>
          <w:sz w:val="20"/>
          <w:szCs w:val="20"/>
          <w:color w:val="auto"/>
        </w:rPr>
      </w:pPr>
      <w:r>
        <w:rPr>
          <w:rFonts w:ascii="Arial" w:cs="Arial" w:eastAsia="Arial" w:hAnsi="Arial"/>
          <w:sz w:val="16"/>
          <w:szCs w:val="16"/>
          <w:color w:val="auto"/>
        </w:rPr>
        <w:t>$240,000. Borrowings under the Term Loan Facility bore interest at a rate selected by the Company of either (i) a LIBOR based rate, plus a spread of 4.0%, or (ii) subject to a floor of 1%, a Base Rate equal to the higher of (a) the Prime Rate, (b) the Federal Funds Rate plus 1⁄2 of 1% or (c) the 1-month LIBOR rate plus the difference between the applicable LIBOR margin and Base Rate margin, plus a spread of 3.0%. The Term Loan Facility was set to mature on August 14, 2019 and was repayable in quarterly installments of $600, with a balloon payment due on the maturity date. The Term Loan Facility was secured by mortgages on certain properties owned by the Company’s subsidiaries, in addition to other collateral.</w:t>
      </w:r>
    </w:p>
    <w:p>
      <w:pPr>
        <w:spacing w:after="0" w:line="56" w:lineRule="exact"/>
        <w:rPr>
          <w:sz w:val="20"/>
          <w:szCs w:val="20"/>
          <w:color w:val="auto"/>
        </w:rPr>
      </w:pPr>
    </w:p>
    <w:p>
      <w:pPr>
        <w:ind w:left="360" w:right="40"/>
        <w:spacing w:after="0" w:line="293" w:lineRule="auto"/>
        <w:rPr>
          <w:sz w:val="20"/>
          <w:szCs w:val="20"/>
          <w:color w:val="auto"/>
        </w:rPr>
      </w:pPr>
      <w:r>
        <w:rPr>
          <w:rFonts w:ascii="Arial" w:cs="Arial" w:eastAsia="Arial" w:hAnsi="Arial"/>
          <w:sz w:val="16"/>
          <w:szCs w:val="16"/>
          <w:color w:val="auto"/>
        </w:rPr>
        <w:t>The proceeds from the Term Loan Facility were used to repay the MoBay Loan and Miami Loan (both defined below). The Mobay Loan was extinguished and the unamortized deferred financing costs at the time of repayment of $1,404, as well as a prepayment fee of $345, were recorded within Loss on extinguishment of debt in the consolidated statements of operations and comprehensive loss. The outstanding principal balance of the Miami Loan at the time of repayment was $38,707; the Company agreed to repay lenders $37,255 to extinguish the liability, and as such a gain on extinguishment of $1,452 was recorded within Loss on extinguishment of debt in the consolidated statements of operations and consolidated loss.</w:t>
      </w:r>
    </w:p>
    <w:p>
      <w:pPr>
        <w:spacing w:after="0" w:line="57" w:lineRule="exact"/>
        <w:rPr>
          <w:sz w:val="20"/>
          <w:szCs w:val="20"/>
          <w:color w:val="auto"/>
        </w:rPr>
      </w:pPr>
    </w:p>
    <w:p>
      <w:pPr>
        <w:jc w:val="both"/>
        <w:ind w:left="360" w:right="40"/>
        <w:spacing w:after="0" w:line="259" w:lineRule="auto"/>
        <w:rPr>
          <w:sz w:val="20"/>
          <w:szCs w:val="20"/>
          <w:color w:val="auto"/>
        </w:rPr>
      </w:pPr>
      <w:r>
        <w:rPr>
          <w:rFonts w:ascii="Arial" w:cs="Arial" w:eastAsia="Arial" w:hAnsi="Arial"/>
          <w:sz w:val="18"/>
          <w:szCs w:val="18"/>
          <w:color w:val="auto"/>
        </w:rPr>
        <w:t>The Company paid origination and other fees of $9,197. One lender participating in the Miami Loan continued to participate in the Term Loan Facility and the Company has accounted for fees associated with this lender as a modification. Of the fees paid in conjunction with obtaining the Term Loan Facility, $4,106 were recorded as a reduction in current portion of long-term debt on the consolidated balance sheets.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7" w:lineRule="exact"/>
        <w:rPr>
          <w:sz w:val="20"/>
          <w:szCs w:val="20"/>
          <w:color w:val="auto"/>
        </w:rPr>
      </w:pPr>
    </w:p>
    <w:p>
      <w:pPr>
        <w:jc w:val="both"/>
        <w:ind w:left="360"/>
        <w:spacing w:after="0" w:line="297" w:lineRule="auto"/>
        <w:rPr>
          <w:sz w:val="20"/>
          <w:szCs w:val="20"/>
          <w:color w:val="auto"/>
        </w:rPr>
      </w:pPr>
      <w:r>
        <w:rPr>
          <w:rFonts w:ascii="Arial" w:cs="Arial" w:eastAsia="Arial" w:hAnsi="Arial"/>
          <w:sz w:val="16"/>
          <w:szCs w:val="16"/>
          <w:color w:val="auto"/>
        </w:rPr>
        <w:t>In June 2016, NFE North Holdings Limited, a subsidiary, entered into a Syndicated Loan Agreement (the “MoBay Loan”) with National Commercial Bank Jamaica Limited for an aggregate amount of $44,000, maturing on June 5, 2023, in connection with the construction of the LNG terminal in Montego Bay, Jamaica. The MoBay Loan was to be repaid in 77 monthly payments of $452 commencing from December 6, 2016, and a final balloon payment of $9,172 due on the maturity date. Borrowings under the loan bore interest at 8.1%. The MoBay Loan was secured by the LNG terminal in Montego Bay, Jamaica.</w:t>
      </w:r>
    </w:p>
    <w:p>
      <w:pPr>
        <w:spacing w:after="0" w:line="50" w:lineRule="exact"/>
        <w:rPr>
          <w:sz w:val="20"/>
          <w:szCs w:val="20"/>
          <w:color w:val="auto"/>
        </w:rPr>
      </w:pPr>
    </w:p>
    <w:p>
      <w:pPr>
        <w:ind w:left="360" w:right="120"/>
        <w:spacing w:after="0" w:line="302" w:lineRule="auto"/>
        <w:rPr>
          <w:sz w:val="20"/>
          <w:szCs w:val="20"/>
          <w:color w:val="auto"/>
        </w:rPr>
      </w:pPr>
      <w:r>
        <w:rPr>
          <w:rFonts w:ascii="Arial" w:cs="Arial" w:eastAsia="Arial" w:hAnsi="Arial"/>
          <w:sz w:val="16"/>
          <w:szCs w:val="16"/>
          <w:color w:val="auto"/>
        </w:rPr>
        <w:t>During the construction period of certain projects in 2016, related interest expense and borrowings costs were capitalized as such costs were directly attributed to the construction. The capitalized interest was amortized as part of the capitalized cost of the asset that is subject to a direct finance lease upon its completion. Interest expense, inclusive of amortized debt fees, for the year ended December 31, 2018, 2017 and 2016 totaled $2,402, $3,611 and $1,990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0" w:name="page111"/>
    <w:bookmarkEnd w:id="11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7"/>
          <w:szCs w:val="17"/>
          <w:color w:val="auto"/>
        </w:rPr>
        <w:t>The Company used the net proceeds of the Term Loan Facility entered into in August 2018 to repay the MoBay Loan.</w:t>
      </w:r>
    </w:p>
    <w:p>
      <w:pPr>
        <w:spacing w:after="0" w:line="23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Miami Loan</w:t>
      </w:r>
    </w:p>
    <w:p>
      <w:pPr>
        <w:spacing w:after="0" w:line="117" w:lineRule="exact"/>
        <w:rPr>
          <w:sz w:val="20"/>
          <w:szCs w:val="20"/>
          <w:color w:val="auto"/>
        </w:rPr>
      </w:pPr>
    </w:p>
    <w:p>
      <w:pPr>
        <w:ind w:left="367"/>
        <w:spacing w:after="0" w:line="270" w:lineRule="auto"/>
        <w:rPr>
          <w:sz w:val="20"/>
          <w:szCs w:val="20"/>
          <w:color w:val="auto"/>
        </w:rPr>
      </w:pPr>
      <w:r>
        <w:rPr>
          <w:rFonts w:ascii="Arial" w:cs="Arial" w:eastAsia="Arial" w:hAnsi="Arial"/>
          <w:sz w:val="17"/>
          <w:szCs w:val="17"/>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Miami Loan bore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could be extended for an additional term of up to 18 months. If the Miami Loan was extended past the original maturity date, the spread on LIBOR and Base Rate increases to 5.50% and 4.50%, respectively. The Miami Loan also required unused commitment fees of 1.25% per annum on undrawn amounts. The Miami Loan was secured by all of the assets of LHFL, which consists primarily of the Miami Facility.</w:t>
      </w:r>
    </w:p>
    <w:p>
      <w:pPr>
        <w:spacing w:after="0" w:line="70" w:lineRule="exact"/>
        <w:rPr>
          <w:sz w:val="20"/>
          <w:szCs w:val="20"/>
          <w:color w:val="auto"/>
        </w:rPr>
      </w:pPr>
    </w:p>
    <w:p>
      <w:pPr>
        <w:ind w:left="367"/>
        <w:spacing w:after="0" w:line="290" w:lineRule="auto"/>
        <w:rPr>
          <w:sz w:val="20"/>
          <w:szCs w:val="20"/>
          <w:color w:val="auto"/>
        </w:rPr>
      </w:pPr>
      <w:r>
        <w:rPr>
          <w:rFonts w:ascii="Arial" w:cs="Arial" w:eastAsia="Arial" w:hAnsi="Arial"/>
          <w:sz w:val="16"/>
          <w:szCs w:val="16"/>
          <w:color w:val="auto"/>
        </w:rPr>
        <w:t>The Miami Loan required periodic payments of interest on either a monthly, quarterly or semi-annual basis, depending upon the interest rate option selected by LHFL. In addition, with respect to LIBOR based borrowings, LHFL, at its option, could elect to defer up to ten interest periods outstanding at any point in time. The Miami Loan also required annual amortization in an amount equal to 1% of the amount outstanding. The Miami Loan could be prepaid without penalty after the first anniversary of the closing of the Miami Loan. At the time of the extinguishment of the debt in August 2018 and as of December 31, 2017 and 2016, interest was calculated on the borrowing based on a one-month LIBOR rate (1% floor) plus a spread of 5%, bearing a total interest rate of 7.58%, 6.57% and 6.00%, respectively. Interest expense, inclusive of amortized debt fees for the years ended December 31, 2018, 2017 and 2016, totaled $1,987, $2,845 and $2,740 respectively.</w:t>
      </w:r>
    </w:p>
    <w:p>
      <w:pPr>
        <w:spacing w:after="0" w:line="58" w:lineRule="exact"/>
        <w:rPr>
          <w:sz w:val="20"/>
          <w:szCs w:val="20"/>
          <w:color w:val="auto"/>
        </w:rPr>
      </w:pPr>
    </w:p>
    <w:p>
      <w:pPr>
        <w:ind w:left="367" w:right="4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the time.</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7"/>
          <w:szCs w:val="17"/>
          <w:color w:val="auto"/>
        </w:rPr>
        <w:t>The Company used the net proceeds of the Term Loan Facility entered into in August 2018 to repay the Miami Loan.</w:t>
      </w:r>
    </w:p>
    <w:p>
      <w:pPr>
        <w:spacing w:after="0" w:line="125" w:lineRule="exact"/>
        <w:rPr>
          <w:sz w:val="20"/>
          <w:szCs w:val="20"/>
          <w:color w:val="auto"/>
        </w:rPr>
      </w:pPr>
    </w:p>
    <w:p>
      <w:pPr>
        <w:ind w:left="347" w:hanging="347"/>
        <w:spacing w:after="0"/>
        <w:tabs>
          <w:tab w:leader="none" w:pos="34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3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multiple foreign jurisdictions. As a pass-through entity for U.S. federal tax purposes, no income tax provision or benefit for U.S. income taxes has been recorded for the periods presented.</w:t>
      </w:r>
    </w:p>
    <w:p>
      <w:pPr>
        <w:spacing w:after="0" w:line="17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7" w:lineRule="exact"/>
        <w:rPr>
          <w:rFonts w:ascii="Arial" w:cs="Arial" w:eastAsia="Arial" w:hAnsi="Arial"/>
          <w:sz w:val="18"/>
          <w:szCs w:val="18"/>
          <w:b w:val="1"/>
          <w:bCs w:val="1"/>
          <w:color w:val="auto"/>
        </w:rPr>
      </w:pPr>
    </w:p>
    <w:p>
      <w:pPr>
        <w:ind w:left="367"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62"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provision / (benefit) for the taxes on income consists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December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Deferred income tax</w:t>
            </w:r>
          </w:p>
        </w:tc>
        <w:tc>
          <w:tcPr>
            <w:tcW w:w="1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0"/>
        </w:trPr>
        <w:tc>
          <w:tcPr>
            <w:tcW w:w="57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5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7"/>
        </w:trPr>
        <w:tc>
          <w:tcPr>
            <w:tcW w:w="57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left="367" w:right="40"/>
        <w:spacing w:after="0" w:line="257" w:lineRule="auto"/>
        <w:rPr>
          <w:sz w:val="20"/>
          <w:szCs w:val="20"/>
          <w:color w:val="auto"/>
        </w:rPr>
      </w:pPr>
      <w:r>
        <w:rPr>
          <w:rFonts w:ascii="Arial" w:cs="Arial" w:eastAsia="Arial" w:hAnsi="Arial"/>
          <w:sz w:val="18"/>
          <w:szCs w:val="18"/>
          <w:color w:val="auto"/>
        </w:rPr>
        <w:t>The effective tax rate for the year-ended December 31, 2018, 2017 and 2016 was 0.4%, (1.7%) and 1.1%, respectively. As a pass through entity, the Company’s statutory rate is 0% and the entire difference between the statutory and effective rate is attributable to foreign taxes. Deferred income tax assets are recognized for tax loss carry-forwards in certain of the Company’s foreign subsidiaries to the extent that it is more likely than not that the Company will realize the related tax benefit through future taxable profits. Management,</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11" w:name="page112"/>
    <w:bookmarkEnd w:id="111"/>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20"/>
        <w:spacing w:after="0" w:line="279" w:lineRule="auto"/>
        <w:rPr>
          <w:sz w:val="20"/>
          <w:szCs w:val="20"/>
          <w:color w:val="auto"/>
        </w:rPr>
      </w:pPr>
      <w:r>
        <w:rPr>
          <w:rFonts w:ascii="Arial" w:cs="Arial" w:eastAsia="Arial" w:hAnsi="Arial"/>
          <w:sz w:val="17"/>
          <w:szCs w:val="17"/>
          <w:color w:val="auto"/>
        </w:rPr>
        <w:t>through the reversal of temporary differences, tax-planning assessment and consideration of the relevant subsidiaries fixed revenue streams, believes that it is more likely than not that tax loss carry-forwards will be fully utilized by all but one of the subsidiaries in future reporting periods. These tax loss carry-forwards do not expire. For the year ended December 31, 2018 we have provided a valuation allowance of $241 on the deferred tax asset relating to tax loss carry-forwards.</w:t>
      </w:r>
    </w:p>
    <w:p>
      <w:pPr>
        <w:spacing w:after="0" w:line="63" w:lineRule="exact"/>
        <w:rPr>
          <w:sz w:val="20"/>
          <w:szCs w:val="20"/>
          <w:color w:val="auto"/>
        </w:rPr>
      </w:pPr>
    </w:p>
    <w:p>
      <w:pPr>
        <w:ind w:left="367" w:right="80"/>
        <w:spacing w:after="0" w:line="277" w:lineRule="auto"/>
        <w:rPr>
          <w:sz w:val="20"/>
          <w:szCs w:val="20"/>
          <w:color w:val="auto"/>
        </w:rPr>
      </w:pPr>
      <w:r>
        <w:rPr>
          <w:rFonts w:ascii="Arial" w:cs="Arial" w:eastAsia="Arial" w:hAnsi="Arial"/>
          <w:sz w:val="18"/>
          <w:szCs w:val="18"/>
          <w:color w:val="auto"/>
        </w:rPr>
        <w:t>The following represents the approximate tax effect of each significant type of temporary difference giving rise to the deferred income tax asset (liability):</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1"/>
              </w:rPr>
              <w:t>Accelerated tax depreciation taken on PPE/finance lease and other temporary differences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66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gridSpan w:val="2"/>
          </w:tcPr>
          <w:p>
            <w:pPr>
              <w:spacing w:after="0"/>
              <w:rPr>
                <w:sz w:val="20"/>
                <w:szCs w:val="20"/>
                <w:color w:val="auto"/>
              </w:rPr>
            </w:pPr>
            <w:r>
              <w:rPr>
                <w:rFonts w:ascii="Arial" w:cs="Arial" w:eastAsia="Arial" w:hAnsi="Arial"/>
                <w:sz w:val="18"/>
                <w:szCs w:val="18"/>
                <w:color w:val="auto"/>
              </w:rPr>
              <w:t>Future interest deduction</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6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tax asset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left="367"/>
        <w:spacing w:after="0" w:line="312" w:lineRule="auto"/>
        <w:rPr>
          <w:sz w:val="20"/>
          <w:szCs w:val="20"/>
          <w:color w:val="auto"/>
        </w:rPr>
      </w:pPr>
      <w:r>
        <w:rPr>
          <w:rFonts w:ascii="Arial" w:cs="Arial" w:eastAsia="Arial" w:hAnsi="Arial"/>
          <w:sz w:val="16"/>
          <w:szCs w:val="16"/>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the period 2035.</w:t>
      </w:r>
    </w:p>
    <w:p>
      <w:pPr>
        <w:spacing w:after="0" w:line="35" w:lineRule="exact"/>
        <w:rPr>
          <w:sz w:val="20"/>
          <w:szCs w:val="20"/>
          <w:color w:val="auto"/>
        </w:rPr>
      </w:pPr>
    </w:p>
    <w:p>
      <w:pPr>
        <w:ind w:left="347" w:hanging="347"/>
        <w:spacing w:after="0"/>
        <w:tabs>
          <w:tab w:leader="none" w:pos="347"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367"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conjunction with its principal business activities, the Company enters into various firm commitments in the purchase, production and transportation of LNG and natural gas. Such agreements may include options related to the price of quantities of natural gas under gas purchase and sale agreements, LNG purchase agreements, or options related to the duration of time charters for shipping cargoes. The exercise of these options is dependent upon conditions being fulfilled by the option’s holder and future LNG market levels. At the balance sheet date, the estimated future cash payments related to outstanding contractual commitments, at market prices as of December 31, 2018, is summarized as follows:</w:t>
      </w:r>
    </w:p>
    <w:p>
      <w:pPr>
        <w:spacing w:after="0" w:line="35"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LNG inventory purchases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   171,489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452,893</w:t>
            </w:r>
          </w:p>
        </w:tc>
        <w:tc>
          <w:tcPr>
            <w:tcW w:w="1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  $  —  $   —</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Gas inventory purchases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4,007</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3,210</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LNG inventory purchases and other</w:t>
      </w:r>
    </w:p>
    <w:p>
      <w:pPr>
        <w:spacing w:after="0" w:line="117" w:lineRule="exact"/>
        <w:rPr>
          <w:sz w:val="20"/>
          <w:szCs w:val="20"/>
          <w:color w:val="auto"/>
        </w:rPr>
      </w:pPr>
    </w:p>
    <w:p>
      <w:pPr>
        <w:ind w:left="367"/>
        <w:spacing w:after="0" w:line="257" w:lineRule="auto"/>
        <w:rPr>
          <w:sz w:val="20"/>
          <w:szCs w:val="20"/>
          <w:color w:val="auto"/>
        </w:rPr>
      </w:pPr>
      <w:r>
        <w:rPr>
          <w:rFonts w:ascii="Arial" w:cs="Arial" w:eastAsia="Arial" w:hAnsi="Arial"/>
          <w:sz w:val="18"/>
          <w:szCs w:val="18"/>
          <w:color w:val="auto"/>
        </w:rPr>
        <w:t>The future cash payments summarized above represent the Company’s minimum firm purchase commitment as of December 31, 2018. The 2019 commitment for LNG inventory purchases excludes the $16,170 prepaid balance as of December 31, 2018. The amounts disclosed above is for the 29 firm cargoes of 1.05 million gallons of LNG (86.7 million MMBtu) and excludes the two optional cargoes. During the years ended December 31, 2018 and 2017, the Company made purchases of $72,161 and $74,278 under unconditional purchase agreements, respectively.</w:t>
      </w:r>
    </w:p>
    <w:p>
      <w:pPr>
        <w:spacing w:after="0" w:line="18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Natural gas supply purchase obligations</w:t>
      </w:r>
    </w:p>
    <w:p>
      <w:pPr>
        <w:spacing w:after="0" w:line="117" w:lineRule="exact"/>
        <w:rPr>
          <w:sz w:val="20"/>
          <w:szCs w:val="20"/>
          <w:color w:val="auto"/>
        </w:rPr>
      </w:pPr>
    </w:p>
    <w:p>
      <w:pPr>
        <w:ind w:left="367" w:right="560"/>
        <w:spacing w:after="0" w:line="264" w:lineRule="auto"/>
        <w:rPr>
          <w:sz w:val="20"/>
          <w:szCs w:val="20"/>
          <w:color w:val="auto"/>
        </w:rPr>
      </w:pPr>
      <w:r>
        <w:rPr>
          <w:rFonts w:ascii="Arial" w:cs="Arial" w:eastAsia="Arial" w:hAnsi="Arial"/>
          <w:sz w:val="18"/>
          <w:szCs w:val="18"/>
          <w:color w:val="auto"/>
        </w:rPr>
        <w:t>As of December 31, 2018, the Company was a party to a contractual purchase commitment with a remaining term of 22 months. These commitments are designed to assure sources of supply and are not expected to be in excess of normal requirements. For agreements for supply where there is an active</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12" w:name="page113"/>
    <w:bookmarkEnd w:id="112"/>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100"/>
        <w:spacing w:after="0" w:line="308" w:lineRule="auto"/>
        <w:rPr>
          <w:sz w:val="20"/>
          <w:szCs w:val="20"/>
          <w:color w:val="auto"/>
        </w:rPr>
      </w:pPr>
      <w:r>
        <w:rPr>
          <w:rFonts w:ascii="Arial" w:cs="Arial" w:eastAsia="Arial" w:hAnsi="Arial"/>
          <w:sz w:val="17"/>
          <w:szCs w:val="17"/>
          <w:color w:val="auto"/>
        </w:rPr>
        <w:t>markets, such agreements qualify for and the Company elected the normal purchase exception under the derivatives guidance; therefore, the purchases under these contracts are included in Inventory and Cost of sales as incurred.</w:t>
      </w:r>
    </w:p>
    <w:p>
      <w:pPr>
        <w:spacing w:after="0" w:line="38"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Company’s lease obligations are discussed in Note 21, Leases, as lessee.</w:t>
      </w:r>
    </w:p>
    <w:p>
      <w:pPr>
        <w:spacing w:after="0" w:line="117" w:lineRule="exact"/>
        <w:rPr>
          <w:sz w:val="20"/>
          <w:szCs w:val="20"/>
          <w:color w:val="auto"/>
        </w:rPr>
      </w:pPr>
    </w:p>
    <w:p>
      <w:pPr>
        <w:ind w:left="367" w:right="200"/>
        <w:spacing w:after="0" w:line="302" w:lineRule="auto"/>
        <w:rPr>
          <w:sz w:val="20"/>
          <w:szCs w:val="20"/>
          <w:color w:val="auto"/>
        </w:rPr>
      </w:pPr>
      <w:r>
        <w:rPr>
          <w:rFonts w:ascii="Arial" w:cs="Arial" w:eastAsia="Arial" w:hAnsi="Arial"/>
          <w:sz w:val="16"/>
          <w:szCs w:val="16"/>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PPA and SSA were executed, obligating the Company to complete the development subject to the conditions set forth in those agreements.</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left="367"/>
        <w:spacing w:after="0" w:line="297" w:lineRule="auto"/>
        <w:rPr>
          <w:sz w:val="20"/>
          <w:szCs w:val="20"/>
          <w:color w:val="auto"/>
        </w:rPr>
      </w:pPr>
      <w:r>
        <w:rPr>
          <w:rFonts w:ascii="Arial" w:cs="Arial" w:eastAsia="Arial" w:hAnsi="Arial"/>
          <w:sz w:val="16"/>
          <w:szCs w:val="16"/>
          <w:color w:val="auto"/>
        </w:rPr>
        <w:t>As of December 31, 2016, the Company had accrued for $1,204 of tangible personal property tax levied in the State of Florida in respect of the LNG Plant in Hialeah, Florida. During 2017, the Company paid this amount in full and subsequently took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50" w:lineRule="exact"/>
        <w:rPr>
          <w:sz w:val="20"/>
          <w:szCs w:val="20"/>
          <w:color w:val="auto"/>
        </w:rPr>
      </w:pPr>
    </w:p>
    <w:p>
      <w:pPr>
        <w:ind w:left="367" w:right="120"/>
        <w:spacing w:after="0" w:line="264" w:lineRule="auto"/>
        <w:rPr>
          <w:sz w:val="20"/>
          <w:szCs w:val="20"/>
          <w:color w:val="auto"/>
        </w:rPr>
      </w:pPr>
      <w:r>
        <w:rPr>
          <w:rFonts w:ascii="Arial" w:cs="Arial" w:eastAsia="Arial" w:hAnsi="Arial"/>
          <w:sz w:val="18"/>
          <w:szCs w:val="18"/>
          <w:color w:val="auto"/>
        </w:rPr>
        <w:t>As of the date at which these consolidated financial statements were issued, the appeal has not been concluded. Should the State of Florida lose the appeal the Company expects a full refund which will be recognized as a gain contingency recognized in earnings when the cash is received.</w:t>
      </w:r>
    </w:p>
    <w:p>
      <w:pPr>
        <w:spacing w:after="0" w:line="69" w:lineRule="exact"/>
        <w:rPr>
          <w:sz w:val="20"/>
          <w:szCs w:val="20"/>
          <w:color w:val="auto"/>
        </w:rPr>
      </w:pPr>
    </w:p>
    <w:p>
      <w:pPr>
        <w:ind w:left="347" w:hanging="347"/>
        <w:spacing w:after="0"/>
        <w:tabs>
          <w:tab w:leader="none" w:pos="34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In February 2017, an existing Member purchased 2,500 additional shares for $50.</w:t>
      </w:r>
    </w:p>
    <w:p>
      <w:pPr>
        <w:spacing w:after="0" w:line="117" w:lineRule="exact"/>
        <w:rPr>
          <w:rFonts w:ascii="Arial" w:cs="Arial" w:eastAsia="Arial" w:hAnsi="Arial"/>
          <w:sz w:val="18"/>
          <w:szCs w:val="18"/>
          <w:b w:val="1"/>
          <w:bCs w:val="1"/>
          <w:color w:val="auto"/>
        </w:rPr>
      </w:pPr>
    </w:p>
    <w:p>
      <w:pPr>
        <w:ind w:left="36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December 29, 2017, 2,314,752 common shares (no par value) were subscribed for consideration of $70,050 and recorded within Members’ capital on the consolidated balance sheets. Of the total amount subscribed, $20,050 was received during 2017 and $50,000 was received after December 31, 2017 which was recorded as Stock subscriptions receivable offsetting Members’ capital on the consolidated balance sheets.</w:t>
      </w:r>
    </w:p>
    <w:p>
      <w:pPr>
        <w:spacing w:after="0" w:line="78"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In January 2018, the Company issued 665,843 common shares (no par value) for $20,150 in proceeds.</w:t>
      </w:r>
    </w:p>
    <w:p>
      <w:pPr>
        <w:spacing w:after="0" w:line="113" w:lineRule="exact"/>
        <w:rPr>
          <w:rFonts w:ascii="Arial" w:cs="Arial" w:eastAsia="Arial" w:hAnsi="Arial"/>
          <w:sz w:val="18"/>
          <w:szCs w:val="18"/>
          <w:b w:val="1"/>
          <w:bCs w:val="1"/>
          <w:color w:val="auto"/>
        </w:rPr>
      </w:pPr>
    </w:p>
    <w:p>
      <w:pPr>
        <w:ind w:left="347" w:hanging="347"/>
        <w:spacing w:after="0"/>
        <w:tabs>
          <w:tab w:leader="none" w:pos="34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367"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operates a defined contribution plan through a Jamaican service provider for Jamaican employees. For the years ended December 31, 2018, 2017 and 2016, expense for the defined contribution plan totaled $50, $46 and $27, respectively, and is included within Cost of sales in the consolidated statements of operations and comprehensive loss.</w:t>
      </w:r>
    </w:p>
    <w:p>
      <w:pPr>
        <w:spacing w:after="0" w:line="34" w:lineRule="exact"/>
        <w:rPr>
          <w:rFonts w:ascii="Arial" w:cs="Arial" w:eastAsia="Arial" w:hAnsi="Arial"/>
          <w:sz w:val="18"/>
          <w:szCs w:val="18"/>
          <w:b w:val="1"/>
          <w:bCs w:val="1"/>
          <w:color w:val="auto"/>
        </w:rPr>
      </w:pPr>
    </w:p>
    <w:p>
      <w:pPr>
        <w:ind w:left="347" w:hanging="347"/>
        <w:spacing w:after="0"/>
        <w:tabs>
          <w:tab w:leader="none" w:pos="34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b w:val="1"/>
          <w:bCs w:val="1"/>
          <w:color w:val="auto"/>
        </w:rPr>
      </w:pPr>
    </w:p>
    <w:p>
      <w:pPr>
        <w:ind w:left="367"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2018, 2017 and 2016, the Company recognized rental expense for all operating leases of $23,687, $17,369 and $3,539, respectively, related primarily to LNG vessel time charters, office space, a land site lease and marine port berth leases.</w:t>
      </w:r>
    </w:p>
    <w:p>
      <w:pPr>
        <w:spacing w:after="0" w:line="73" w:lineRule="exact"/>
        <w:rPr>
          <w:rFonts w:ascii="Arial" w:cs="Arial" w:eastAsia="Arial" w:hAnsi="Arial"/>
          <w:sz w:val="18"/>
          <w:szCs w:val="18"/>
          <w:b w:val="1"/>
          <w:bCs w:val="1"/>
          <w:color w:val="auto"/>
        </w:rPr>
      </w:pPr>
    </w:p>
    <w:p>
      <w:pPr>
        <w:ind w:left="36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One of the land site leases is held with an affiliate (see Note 22) of the Company and has an initial term up to five years with a renewal for an additional five years and a 2.5% annual lease payment escalation. The marine port berth lease has an initial term up to 10 years with a 12-year renewal option and a 15% annual lease payment escalation after year five. One of the LNG vessel time charters contains a three-month renewal option and the second contains no renewal option and a 2% annual lease payment escalation in year three. Leased office space in Miami contains two additional renewal options for five years each and a 3% annual lease payment escalation. Leased office space in Montego Bay contains a one-year renewal option and 5% annual lease payment escalation.</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13" w:name="page114"/>
    <w:bookmarkEnd w:id="11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Future minimum lease payments under non-cancellable operating leases are as follows:</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13,361</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6,442</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22"/>
                <w:szCs w:val="22"/>
                <w:color w:val="auto"/>
              </w:rPr>
            </w:pPr>
          </w:p>
        </w:tc>
      </w:tr>
      <w:tr>
        <w:trPr>
          <w:trHeight w:val="243"/>
        </w:trPr>
        <w:tc>
          <w:tcPr>
            <w:tcW w:w="7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67" w:right="7120" w:hanging="367"/>
        <w:spacing w:after="0" w:line="425" w:lineRule="auto"/>
        <w:tabs>
          <w:tab w:leader="none" w:pos="358"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7" w:right="20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$5,741, $3,866 and $2,214 for years ended December 31, 2018, 2017 and 2016, respectively, and are included within Selling, general and administrative in the consolidated statements of operations and comprehensive loss. As of December 31, 2018 and 2017, $3,884 and $2,054 were due to Fortress, respectively.</w:t>
      </w:r>
    </w:p>
    <w:p>
      <w:pPr>
        <w:spacing w:after="0" w:line="80" w:lineRule="exact"/>
        <w:rPr>
          <w:rFonts w:ascii="Arial" w:cs="Arial" w:eastAsia="Arial" w:hAnsi="Arial"/>
          <w:sz w:val="16"/>
          <w:szCs w:val="16"/>
          <w:b w:val="1"/>
          <w:bCs w:val="1"/>
          <w:color w:val="auto"/>
        </w:rPr>
      </w:pPr>
    </w:p>
    <w:p>
      <w:pPr>
        <w:ind w:left="367"/>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an aircraft that the Company chartered from a third-party aircraft operator for business purposes in the course of operations. The Company paid the aircraft operator market rates for the charters of $1,873, $2,917 and $1,592 for the years ended December 31, 2018, 2017 and 2016,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and office lease</w:t>
      </w:r>
    </w:p>
    <w:p>
      <w:pPr>
        <w:spacing w:after="0" w:line="117" w:lineRule="exact"/>
        <w:rPr>
          <w:rFonts w:ascii="Arial" w:cs="Arial" w:eastAsia="Arial" w:hAnsi="Arial"/>
          <w:sz w:val="16"/>
          <w:szCs w:val="16"/>
          <w:b w:val="1"/>
          <w:bCs w:val="1"/>
          <w:color w:val="auto"/>
        </w:rPr>
      </w:pPr>
    </w:p>
    <w:p>
      <w:pPr>
        <w:ind w:left="367" w:right="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has a land and office lease with Florida East Coast Industries, LLC (“FECI”) an affiliate of the Company. The expense for the years ended December 31, 2018, 2017 and 2016 totaled $260, $285 and $302, respectively, and is included within Operations and maintenance in the consolidated statements of operations and comprehensive loss. As of December 31, 2018 and 2017, $597 and $37 were due to FECI, respectively.</w:t>
      </w:r>
    </w:p>
    <w:p>
      <w:pPr>
        <w:spacing w:after="0" w:line="186"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DevTech Investment</w:t>
      </w:r>
    </w:p>
    <w:p>
      <w:pPr>
        <w:spacing w:after="0" w:line="117" w:lineRule="exact"/>
        <w:rPr>
          <w:rFonts w:ascii="Arial" w:cs="Arial" w:eastAsia="Arial" w:hAnsi="Arial"/>
          <w:sz w:val="16"/>
          <w:szCs w:val="16"/>
          <w:b w:val="1"/>
          <w:bCs w:val="1"/>
          <w:color w:val="auto"/>
        </w:rPr>
      </w:pPr>
    </w:p>
    <w:p>
      <w:pPr>
        <w:ind w:left="367"/>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consolidated financial statements. Additionally, DevTech purchased 10% of a note payable due to an affiliate of the Company for $755. The outstanding note payable due to DevTech is included in Other long-term liabilities in the consolidated balance sheet as of December 31, 2018. For the year ended December 31, 2018, interest expense on the note payable due to DevTech was $18.</w:t>
      </w:r>
    </w:p>
    <w:p>
      <w:pPr>
        <w:spacing w:after="0" w:line="189"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Florida East Coast Railway (“FECR”)</w:t>
      </w:r>
    </w:p>
    <w:p>
      <w:pPr>
        <w:spacing w:after="0" w:line="117" w:lineRule="exact"/>
        <w:rPr>
          <w:rFonts w:ascii="Arial" w:cs="Arial" w:eastAsia="Arial" w:hAnsi="Arial"/>
          <w:sz w:val="16"/>
          <w:szCs w:val="16"/>
          <w:b w:val="1"/>
          <w:bCs w:val="1"/>
          <w:color w:val="auto"/>
        </w:rPr>
      </w:pPr>
    </w:p>
    <w:p>
      <w:pPr>
        <w:ind w:left="367" w:right="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 was affiliated with FECR, an entity previously majority-owned by an affiliate of Fortress, and sells LNG to FECR under a purchase and sale agreement entered into in December 2016. FECR was sold by Fortress on June 30, 2017, and from that date FECR was no longer considered to be affiliated with the Company. During the six months ended June 30, 2017 and the year ended December 31, 2016, the Company made sales of LNG to FECR totaling $1,618 and $329, respectively, for the period FECR was affiliated with the Company.</w:t>
      </w:r>
    </w:p>
    <w:p>
      <w:pPr>
        <w:spacing w:after="0" w:line="188"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114" w:name="page115"/>
    <w:bookmarkEnd w:id="114"/>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Fortress affiliated entities</w:t>
      </w:r>
    </w:p>
    <w:p>
      <w:pPr>
        <w:spacing w:after="0" w:line="117" w:lineRule="exact"/>
        <w:rPr>
          <w:sz w:val="20"/>
          <w:szCs w:val="20"/>
          <w:color w:val="auto"/>
        </w:rPr>
      </w:pPr>
    </w:p>
    <w:p>
      <w:pPr>
        <w:ind w:left="367"/>
        <w:spacing w:after="0" w:line="312" w:lineRule="auto"/>
        <w:rPr>
          <w:sz w:val="20"/>
          <w:szCs w:val="20"/>
          <w:color w:val="auto"/>
        </w:rPr>
      </w:pPr>
      <w:r>
        <w:rPr>
          <w:rFonts w:ascii="Arial" w:cs="Arial" w:eastAsia="Arial" w:hAnsi="Arial"/>
          <w:sz w:val="16"/>
          <w:szCs w:val="16"/>
          <w:color w:val="auto"/>
        </w:rPr>
        <w:t>Beginning in 2017, the Company provides certain administrative services to related parties including Fortress Energy Partners (“FEP”) that is billed on a yearly basis. As of December 31, 2018 and 2017, $525 and $131 were due from affiliates, respectively. There are no costs incurred by the Company as we are fully reimbursed, and is currently a receivable outstanding.</w:t>
      </w:r>
    </w:p>
    <w:p>
      <w:pPr>
        <w:spacing w:after="0" w:line="14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Due to/from Affiliates</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tables below summarizes the balances outstanding with affiliates at December 31, 2018 and 2017:</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Amounts due from affiliates</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r>
    </w:tbl>
    <w:p>
      <w:pPr>
        <w:spacing w:after="0" w:line="102" w:lineRule="exact"/>
        <w:rPr>
          <w:sz w:val="20"/>
          <w:szCs w:val="20"/>
          <w:color w:val="auto"/>
        </w:rPr>
      </w:pPr>
    </w:p>
    <w:p>
      <w:pPr>
        <w:ind w:left="347" w:hanging="347"/>
        <w:spacing w:after="0"/>
        <w:tabs>
          <w:tab w:leader="none" w:pos="34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Customer concentrations</w:t>
      </w:r>
    </w:p>
    <w:p>
      <w:pPr>
        <w:spacing w:after="0" w:line="121" w:lineRule="exact"/>
        <w:rPr>
          <w:rFonts w:ascii="Arial" w:cs="Arial" w:eastAsia="Arial" w:hAnsi="Arial"/>
          <w:sz w:val="18"/>
          <w:szCs w:val="18"/>
          <w:b w:val="1"/>
          <w:bCs w:val="1"/>
          <w:color w:val="auto"/>
        </w:rPr>
      </w:pPr>
    </w:p>
    <w:p>
      <w:pPr>
        <w:ind w:left="367"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For the years ended and as of December 31, 2018, 2017 and 2016, revenue from a significant customer constituted 87%, 92% and 61% of total revenues, respectively, and 88%, 92% and 96% of total receivables, respectively. In addition to trade receivables, the Company has primarily leased facilities under direct financing leases to this customer.</w:t>
      </w:r>
    </w:p>
    <w:p>
      <w:pPr>
        <w:spacing w:after="0" w:line="57" w:lineRule="exact"/>
        <w:rPr>
          <w:rFonts w:ascii="Arial" w:cs="Arial" w:eastAsia="Arial" w:hAnsi="Arial"/>
          <w:sz w:val="18"/>
          <w:szCs w:val="18"/>
          <w:b w:val="1"/>
          <w:bCs w:val="1"/>
          <w:color w:val="auto"/>
        </w:rPr>
      </w:pPr>
    </w:p>
    <w:p>
      <w:pPr>
        <w:ind w:left="36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2017 and 2016, 98%, 97% and 100% of the Finance leases, net balance was attributed to this customer, respectively. During the years ended December 31, 2018, 2017 and 2016, revenues from external customers that were derived from customers located in the United States were $7,214, $4,935 and $319, respectively, and from customers outside of the United States were $105,087, $92,327 and $21,076, respectively, all of which was derived from customers in the Caribbean. The Company attributes revenues from external customers to the country in which the party to the applicable agreement has its principal place of business.</w:t>
      </w:r>
    </w:p>
    <w:p>
      <w:pPr>
        <w:spacing w:after="0" w:line="85" w:lineRule="exact"/>
        <w:rPr>
          <w:rFonts w:ascii="Arial" w:cs="Arial" w:eastAsia="Arial" w:hAnsi="Arial"/>
          <w:sz w:val="18"/>
          <w:szCs w:val="18"/>
          <w:b w:val="1"/>
          <w:bCs w:val="1"/>
          <w:color w:val="auto"/>
        </w:rPr>
      </w:pPr>
    </w:p>
    <w:p>
      <w:pPr>
        <w:ind w:left="367"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2017 and 2016, long lived assets, which are all non-current assets excluding deferred tax assets, intangible assets and available-for-sale securities, located in the United States were $151,729, $88,604 and $76,591, respectively, and long lived assets located outside of the United States was $325,416, $131,300 and $96,859, respectively, primarily located in the Caribbean.</w:t>
      </w:r>
    </w:p>
    <w:p>
      <w:pPr>
        <w:spacing w:after="0" w:line="74" w:lineRule="exact"/>
        <w:rPr>
          <w:rFonts w:ascii="Arial" w:cs="Arial" w:eastAsia="Arial" w:hAnsi="Arial"/>
          <w:sz w:val="18"/>
          <w:szCs w:val="18"/>
          <w:b w:val="1"/>
          <w:bCs w:val="1"/>
          <w:color w:val="auto"/>
        </w:rPr>
      </w:pPr>
    </w:p>
    <w:p>
      <w:pPr>
        <w:ind w:left="347" w:hanging="347"/>
        <w:spacing w:after="0"/>
        <w:tabs>
          <w:tab w:leader="none" w:pos="34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financial data</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Summarized quarterly financial data for the years ended December 31, 2018 and 2017 are as follows:</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11"/>
          </w:tcPr>
          <w:p>
            <w:pPr>
              <w:jc w:val="right"/>
              <w:ind w:right="720"/>
              <w:spacing w:after="0"/>
              <w:rPr>
                <w:sz w:val="20"/>
                <w:szCs w:val="20"/>
                <w:color w:val="auto"/>
              </w:rPr>
            </w:pPr>
            <w:r>
              <w:rPr>
                <w:rFonts w:ascii="Arial" w:cs="Arial" w:eastAsia="Arial" w:hAnsi="Arial"/>
                <w:sz w:val="14"/>
                <w:szCs w:val="14"/>
                <w:b w:val="1"/>
                <w:bCs w:val="1"/>
                <w:color w:val="auto"/>
              </w:rPr>
              <w:t>(in thousands of U.S. dollars, except per share data)</w:t>
            </w:r>
          </w:p>
        </w:tc>
      </w:tr>
      <w:tr>
        <w:trPr>
          <w:trHeight w:val="243"/>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31,369</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(17,141)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(21,960)</w:t>
            </w:r>
          </w:p>
        </w:tc>
      </w:tr>
      <w:tr>
        <w:trPr>
          <w:trHeight w:val="256"/>
        </w:trPr>
        <w:tc>
          <w:tcPr>
            <w:tcW w:w="20" w:type="dxa"/>
            <w:vAlign w:val="bottom"/>
          </w:tcPr>
          <w:p>
            <w:pPr>
              <w:spacing w:after="0"/>
              <w:rPr>
                <w:sz w:val="22"/>
                <w:szCs w:val="22"/>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members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(34,729)</w:t>
            </w: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r>
      <w:tr>
        <w:trPr>
          <w:trHeight w:val="242"/>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78"/>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(11,182)</w:t>
            </w:r>
          </w:p>
        </w:tc>
      </w:tr>
      <w:tr>
        <w:trPr>
          <w:trHeight w:val="256"/>
        </w:trPr>
        <w:tc>
          <w:tcPr>
            <w:tcW w:w="20" w:type="dxa"/>
            <w:vAlign w:val="bottom"/>
          </w:tcPr>
          <w:p>
            <w:pPr>
              <w:spacing w:after="0"/>
              <w:rPr>
                <w:sz w:val="22"/>
                <w:szCs w:val="22"/>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members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(12,269)</w:t>
            </w: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bl>
    <w:p>
      <w:pPr>
        <w:spacing w:after="0" w:line="214"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115" w:name="page116"/>
    <w:bookmarkEnd w:id="115"/>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7" w:right="7420" w:hanging="367"/>
        <w:spacing w:after="0" w:line="425" w:lineRule="auto"/>
        <w:tabs>
          <w:tab w:leader="none" w:pos="358"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i w:val="1"/>
          <w:iCs w:val="1"/>
          <w:color w:val="auto"/>
        </w:rPr>
        <w:t>Formation Transactions</w:t>
      </w:r>
    </w:p>
    <w:p>
      <w:pPr>
        <w:ind w:left="367" w:right="480"/>
        <w:spacing w:after="0" w:line="375" w:lineRule="auto"/>
        <w:rPr>
          <w:rFonts w:ascii="Arial" w:cs="Arial" w:eastAsia="Arial" w:hAnsi="Arial"/>
          <w:sz w:val="16"/>
          <w:szCs w:val="16"/>
          <w:b w:val="1"/>
          <w:bCs w:val="1"/>
          <w:color w:val="auto"/>
        </w:rPr>
      </w:pPr>
      <w:r>
        <w:rPr>
          <w:rFonts w:ascii="Arial" w:cs="Arial" w:eastAsia="Arial" w:hAnsi="Arial"/>
          <w:sz w:val="18"/>
          <w:szCs w:val="18"/>
          <w:color w:val="auto"/>
        </w:rPr>
        <w:t>On January 30, 2019, NFE completed its IPO and a series of other transactions (together, the “Formation Transactions”). The Formation Transactions consisted of the following:</w:t>
      </w:r>
    </w:p>
    <w:p>
      <w:pPr>
        <w:spacing w:after="0" w:line="1" w:lineRule="exact"/>
        <w:rPr>
          <w:rFonts w:ascii="Arial" w:cs="Arial" w:eastAsia="Arial" w:hAnsi="Arial"/>
          <w:sz w:val="16"/>
          <w:szCs w:val="16"/>
          <w:b w:val="1"/>
          <w:bCs w:val="1"/>
          <w:color w:val="auto"/>
        </w:rPr>
      </w:pPr>
    </w:p>
    <w:p>
      <w:pPr>
        <w:ind w:left="707" w:right="580" w:hanging="356"/>
        <w:spacing w:after="0" w:line="277" w:lineRule="auto"/>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color w:val="auto"/>
        </w:rPr>
        <w:t>New Fortress Energy Holdings contributed all of its interests in its operating subsidiaries and its limited assets and liabilities to NFI in exchange for NFI LLC Units;</w:t>
      </w:r>
    </w:p>
    <w:p>
      <w:pPr>
        <w:spacing w:after="0" w:line="62" w:lineRule="exact"/>
        <w:rPr>
          <w:rFonts w:ascii="Arial" w:cs="Arial" w:eastAsia="Arial" w:hAnsi="Arial"/>
          <w:sz w:val="18"/>
          <w:szCs w:val="18"/>
          <w:color w:val="auto"/>
        </w:rPr>
      </w:pPr>
    </w:p>
    <w:p>
      <w:pPr>
        <w:ind w:left="707" w:right="460" w:hanging="356"/>
        <w:spacing w:after="0" w:line="277" w:lineRule="auto"/>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color w:val="auto"/>
        </w:rPr>
        <w:t>NFE issued 20,000,000 Class A shares in the IPO, representing limited liability company interests with 100% of the economics rights in NFE, at an IPO price of $14.00 per Class A share;</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color w:val="auto"/>
        </w:rPr>
        <w:t>NFE contributed the net proceeds from the IPO to NFI in exchange for 20,000,000 NFI LLC Units; and</w:t>
      </w:r>
    </w:p>
    <w:p>
      <w:pPr>
        <w:spacing w:after="0" w:line="117" w:lineRule="exact"/>
        <w:rPr>
          <w:rFonts w:ascii="Arial" w:cs="Arial" w:eastAsia="Arial" w:hAnsi="Arial"/>
          <w:sz w:val="18"/>
          <w:szCs w:val="18"/>
          <w:color w:val="auto"/>
        </w:rPr>
      </w:pPr>
    </w:p>
    <w:p>
      <w:pPr>
        <w:ind w:left="707" w:right="80" w:hanging="356"/>
        <w:spacing w:after="0" w:line="277" w:lineRule="auto"/>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color w:val="auto"/>
        </w:rPr>
        <w:t>New Fortress Energy Holdings received 147,048,824 of Class B shares of NFE which is equal to the number of NFI LLC Units held by the Company immediately following the IPO.</w:t>
      </w:r>
    </w:p>
    <w:p>
      <w:pPr>
        <w:spacing w:after="0" w:line="62" w:lineRule="exact"/>
        <w:rPr>
          <w:sz w:val="20"/>
          <w:szCs w:val="20"/>
          <w:color w:val="auto"/>
        </w:rPr>
      </w:pPr>
    </w:p>
    <w:p>
      <w:pPr>
        <w:ind w:left="367" w:right="60"/>
        <w:spacing w:after="0" w:line="279" w:lineRule="auto"/>
        <w:rPr>
          <w:sz w:val="20"/>
          <w:szCs w:val="20"/>
          <w:color w:val="auto"/>
        </w:rPr>
      </w:pPr>
      <w:r>
        <w:rPr>
          <w:rFonts w:ascii="Arial" w:cs="Arial" w:eastAsia="Arial" w:hAnsi="Arial"/>
          <w:sz w:val="17"/>
          <w:szCs w:val="17"/>
          <w:color w:val="auto"/>
        </w:rPr>
        <w:t>Following the Formation Transactions, NFE became a publicly-traded holding company whose only material asset consists of membership interests in NFI, which will own all of the outstanding membership interests in the operating subsidiaries contributed by New Fortress Energy Holdings. NFE became the sole managing member of NFI, and will be responsible for all operational, management and administrative decisions relating to NFI’s business.</w:t>
      </w:r>
    </w:p>
    <w:p>
      <w:pPr>
        <w:spacing w:after="0" w:line="63" w:lineRule="exact"/>
        <w:rPr>
          <w:sz w:val="20"/>
          <w:szCs w:val="20"/>
          <w:color w:val="auto"/>
        </w:rPr>
      </w:pPr>
    </w:p>
    <w:p>
      <w:pPr>
        <w:ind w:left="367" w:right="20"/>
        <w:spacing w:after="0" w:line="279" w:lineRule="auto"/>
        <w:rPr>
          <w:sz w:val="20"/>
          <w:szCs w:val="20"/>
          <w:color w:val="auto"/>
        </w:rPr>
      </w:pPr>
      <w:r>
        <w:rPr>
          <w:rFonts w:ascii="Arial" w:cs="Arial" w:eastAsia="Arial" w:hAnsi="Arial"/>
          <w:sz w:val="17"/>
          <w:szCs w:val="17"/>
          <w:color w:val="auto"/>
        </w:rPr>
        <w:t>The contribution of the assets of New Fortress Energy Holdings and net proceeds from the Offering to NFI was treated as a reorganization of entities under common control. As a result, NFE will retrospectively present the consolidated balances sheets and statements of operations and comprehensive loss of New Fortress Energy Holdings for all current and comparative periods presented beginning with its first quarter 2019 financial statements.</w:t>
      </w:r>
    </w:p>
    <w:p>
      <w:pPr>
        <w:spacing w:after="0" w:line="63" w:lineRule="exact"/>
        <w:rPr>
          <w:sz w:val="20"/>
          <w:szCs w:val="20"/>
          <w:color w:val="auto"/>
        </w:rPr>
      </w:pPr>
    </w:p>
    <w:p>
      <w:pPr>
        <w:ind w:left="367" w:right="20"/>
        <w:spacing w:after="0" w:line="312" w:lineRule="auto"/>
        <w:rPr>
          <w:sz w:val="20"/>
          <w:szCs w:val="20"/>
          <w:color w:val="auto"/>
        </w:rPr>
      </w:pPr>
      <w:r>
        <w:rPr>
          <w:rFonts w:ascii="Arial" w:cs="Arial" w:eastAsia="Arial" w:hAnsi="Arial"/>
          <w:sz w:val="16"/>
          <w:szCs w:val="16"/>
          <w:color w:val="auto"/>
        </w:rPr>
        <w:t>On March 1, 2019, the underwriters exercised their option to purchase an additional 837,272 Class A shares at the IPO price of $14.00 per share, less underwriting discounts, which resulted in $11.0 million in additional net proceeds after deducting $0.7 million of underwriting discounts and commissions, such that there are 20,837,272 outstanding Class A shares.</w:t>
      </w:r>
    </w:p>
    <w:p>
      <w:pPr>
        <w:spacing w:after="0" w:line="39" w:lineRule="exact"/>
        <w:rPr>
          <w:sz w:val="20"/>
          <w:szCs w:val="20"/>
          <w:color w:val="auto"/>
        </w:rPr>
      </w:pPr>
    </w:p>
    <w:p>
      <w:pPr>
        <w:ind w:left="367" w:right="60"/>
        <w:spacing w:after="0" w:line="276" w:lineRule="auto"/>
        <w:rPr>
          <w:sz w:val="20"/>
          <w:szCs w:val="20"/>
          <w:color w:val="auto"/>
        </w:rPr>
      </w:pPr>
      <w:r>
        <w:rPr>
          <w:rFonts w:ascii="Arial" w:cs="Arial" w:eastAsia="Arial" w:hAnsi="Arial"/>
          <w:sz w:val="17"/>
          <w:szCs w:val="17"/>
          <w:color w:val="auto"/>
        </w:rPr>
        <w:t>On March 5, 2019, the Company entered into a contract with the Puerto Rico Electric Power Authority (“PREPA”) for the supply of natural gas and conversion of Units 5 and 6 of the San Juan Combined Cycle Power Plant. The initial term of the contract is five years, with options for PREPA to extend for three additional five-year periods. The Company will supply natural gas to the power plant from its micro fuel handling facility in the Port of San Juan. The conversion of San Juan Units 5 and 6 and the development of the micro fuel handling facility are anticipated to be complete by mid-2019.</w:t>
      </w:r>
    </w:p>
    <w:p>
      <w:pPr>
        <w:spacing w:after="0" w:line="64" w:lineRule="exact"/>
        <w:rPr>
          <w:sz w:val="20"/>
          <w:szCs w:val="20"/>
          <w:color w:val="auto"/>
        </w:rPr>
      </w:pPr>
    </w:p>
    <w:p>
      <w:pPr>
        <w:ind w:left="367"/>
        <w:spacing w:after="0" w:line="257" w:lineRule="auto"/>
        <w:rPr>
          <w:sz w:val="20"/>
          <w:szCs w:val="20"/>
          <w:color w:val="auto"/>
        </w:rPr>
      </w:pPr>
      <w:r>
        <w:rPr>
          <w:rFonts w:ascii="Arial" w:cs="Arial" w:eastAsia="Arial" w:hAnsi="Arial"/>
          <w:sz w:val="18"/>
          <w:szCs w:val="18"/>
          <w:color w:val="auto"/>
        </w:rPr>
        <w:t>On March 21, 2019, the Company drew an additional $220 million on the Term Loan Facility. Total principal amounts outstanding after this draw are $500 million. The Company has the option to extend the maturity date for two additional six-month periods; upon the exercise of each extension option, the spread on LIBOR and Base Rate increases by 0.5%. To exercise the extension option, the Company would pay a fee equal to 1.0% of the outstanding principal balance at the time of the exercise of the option.</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16" w:name="page117"/>
    <w:bookmarkEnd w:id="11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Schedule II</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Additions</w:t>
            </w:r>
            <w:r>
              <w:rPr>
                <w:rFonts w:ascii="Arial" w:cs="Arial" w:eastAsia="Arial" w:hAnsi="Arial"/>
                <w:sz w:val="24"/>
                <w:szCs w:val="24"/>
                <w:b w:val="1"/>
                <w:bCs w:val="1"/>
                <w:color w:val="auto"/>
                <w:w w:val="92"/>
                <w:vertAlign w:val="superscript"/>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78"/>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09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4" w:lineRule="exact"/>
        <w:rPr>
          <w:sz w:val="20"/>
          <w:szCs w:val="20"/>
          <w:color w:val="auto"/>
        </w:rPr>
      </w:pPr>
    </w:p>
    <w:p>
      <w:pPr>
        <w:ind w:left="347" w:hanging="347"/>
        <w:spacing w:after="0"/>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 expensed is included within Selling, general and administrative.</w:t>
      </w:r>
    </w:p>
    <w:p>
      <w:pPr>
        <w:spacing w:after="0" w:line="100" w:lineRule="exact"/>
        <w:rPr>
          <w:sz w:val="20"/>
          <w:szCs w:val="20"/>
          <w:color w:val="auto"/>
        </w:rPr>
      </w:pPr>
    </w:p>
    <w:p>
      <w:pPr>
        <w:ind w:left="7" w:right="20"/>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of the Company or the notes thereto.</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7" w:name="page118"/>
    <w:bookmarkEnd w:id="117"/>
    <w:p>
      <w:pPr>
        <w:ind w:left="8540"/>
        <w:spacing w:after="0"/>
        <w:rPr>
          <w:sz w:val="20"/>
          <w:szCs w:val="20"/>
          <w:color w:val="auto"/>
        </w:rPr>
      </w:pPr>
      <w:r>
        <w:rPr>
          <w:rFonts w:ascii="Arial" w:cs="Arial" w:eastAsia="Arial" w:hAnsi="Arial"/>
          <w:sz w:val="16"/>
          <w:szCs w:val="16"/>
          <w:b w:val="1"/>
          <w:bCs w:val="1"/>
          <w:color w:val="auto"/>
        </w:rPr>
        <w:t>Exhibit 10.25</w:t>
      </w:r>
    </w:p>
    <w:p>
      <w:pPr>
        <w:spacing w:after="0" w:line="140" w:lineRule="exact"/>
        <w:rPr>
          <w:sz w:val="20"/>
          <w:szCs w:val="20"/>
          <w:color w:val="auto"/>
        </w:rPr>
      </w:pPr>
    </w:p>
    <w:p>
      <w:pPr>
        <w:ind w:left="1440" w:right="40" w:firstLine="360"/>
        <w:spacing w:after="0" w:line="291" w:lineRule="auto"/>
        <w:rPr>
          <w:sz w:val="20"/>
          <w:szCs w:val="20"/>
          <w:color w:val="auto"/>
        </w:rPr>
      </w:pPr>
      <w:r>
        <w:rPr>
          <w:rFonts w:ascii="Arial" w:cs="Arial" w:eastAsia="Arial" w:hAnsi="Arial"/>
          <w:sz w:val="16"/>
          <w:szCs w:val="16"/>
          <w:color w:val="auto"/>
        </w:rPr>
        <w:t>AMENDMENT AGREEMENT dated as of February 11, 2019 (this “</w:t>
      </w:r>
      <w:r>
        <w:rPr>
          <w:rFonts w:ascii="Arial" w:cs="Arial" w:eastAsia="Arial" w:hAnsi="Arial"/>
          <w:sz w:val="16"/>
          <w:szCs w:val="16"/>
          <w:b w:val="1"/>
          <w:bCs w:val="1"/>
          <w:color w:val="auto"/>
        </w:rPr>
        <w:t>Amendment</w:t>
      </w:r>
      <w:r>
        <w:rPr>
          <w:rFonts w:ascii="Arial" w:cs="Arial" w:eastAsia="Arial" w:hAnsi="Arial"/>
          <w:sz w:val="16"/>
          <w:szCs w:val="16"/>
          <w:color w:val="auto"/>
        </w:rPr>
        <w:t>”), to the Credit Agreement dated as of August 15, 2018 and as amended and restated as of December 31, 2018 (as further amended, restated, supplemented or otherwise modified prior to the date hereof, the “</w:t>
      </w:r>
      <w:r>
        <w:rPr>
          <w:rFonts w:ascii="Arial" w:cs="Arial" w:eastAsia="Arial" w:hAnsi="Arial"/>
          <w:sz w:val="16"/>
          <w:szCs w:val="16"/>
          <w:b w:val="1"/>
          <w:bCs w:val="1"/>
          <w:color w:val="auto"/>
        </w:rPr>
        <w:t>Credit Agreement</w:t>
      </w:r>
      <w:r>
        <w:rPr>
          <w:rFonts w:ascii="Arial" w:cs="Arial" w:eastAsia="Arial" w:hAnsi="Arial"/>
          <w:sz w:val="16"/>
          <w:szCs w:val="16"/>
          <w:color w:val="auto"/>
        </w:rPr>
        <w:t>”), among NEW FORTRESS INTERMEDIATE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NFE ATLANTIC HOLDINGS LLC, a Delaware limited liability company (the “</w:t>
      </w:r>
      <w:r>
        <w:rPr>
          <w:rFonts w:ascii="Arial" w:cs="Arial" w:eastAsia="Arial" w:hAnsi="Arial"/>
          <w:sz w:val="16"/>
          <w:szCs w:val="16"/>
          <w:b w:val="1"/>
          <w:bCs w:val="1"/>
          <w:color w:val="auto"/>
        </w:rPr>
        <w:t>Borrower</w:t>
      </w:r>
      <w:r>
        <w:rPr>
          <w:rFonts w:ascii="Arial" w:cs="Arial" w:eastAsia="Arial" w:hAnsi="Arial"/>
          <w:sz w:val="16"/>
          <w:szCs w:val="16"/>
          <w:color w:val="auto"/>
        </w:rPr>
        <w:t>”), the SUBSIDIARY GUARANTORS (as defined in Section 1.1 of the Credit Agreement) from time to time party thereto, the LENDERS (as defined in the preamble to the Credit Agreement) from time to time party thereto and MORGAN STANLEY SENIOR FUNDING, INC., as administrative agent (in such capacity, the “</w:t>
      </w:r>
      <w:r>
        <w:rPr>
          <w:rFonts w:ascii="Arial" w:cs="Arial" w:eastAsia="Arial" w:hAnsi="Arial"/>
          <w:sz w:val="16"/>
          <w:szCs w:val="16"/>
          <w:b w:val="1"/>
          <w:bCs w:val="1"/>
          <w:color w:val="auto"/>
        </w:rPr>
        <w:t>Administrative Agent</w:t>
      </w:r>
      <w:r>
        <w:rPr>
          <w:rFonts w:ascii="Arial" w:cs="Arial" w:eastAsia="Arial" w:hAnsi="Arial"/>
          <w:sz w:val="16"/>
          <w:szCs w:val="16"/>
          <w:color w:val="auto"/>
        </w:rPr>
        <w:t>”).</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parties hereto desire to amend the Credit Agreement as set forth herein.</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sufficiency and receipt of which are hereby acknowledged, the parties hereto agree as follows:</w:t>
      </w:r>
    </w:p>
    <w:p>
      <w:pPr>
        <w:spacing w:after="0" w:line="6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 References</w:t>
      </w:r>
      <w:r>
        <w:rPr>
          <w:rFonts w:ascii="Arial" w:cs="Arial" w:eastAsia="Arial" w:hAnsi="Arial"/>
          <w:sz w:val="18"/>
          <w:szCs w:val="18"/>
          <w:color w:val="auto"/>
        </w:rPr>
        <w:t xml:space="preserve">. Capitalized terms used but not defined herein shall have the meanings assigned to them in the Credit Agreement. The provisions of Section 1.2 of the Credit Agreement are hereby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b w:val="1"/>
          <w:bCs w:val="1"/>
          <w:color w:val="auto"/>
        </w:rPr>
        <w:t>.</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 to the Credit Agreement</w:t>
      </w:r>
      <w:r>
        <w:rPr>
          <w:rFonts w:ascii="Arial" w:cs="Arial" w:eastAsia="Arial" w:hAnsi="Arial"/>
          <w:sz w:val="18"/>
          <w:szCs w:val="18"/>
          <w:color w:val="auto"/>
        </w:rPr>
        <w:t>. Subject to Section 4 hereof, effective as of the Amendment Effective Date, the definition of “Commitment Termination Date” in Section 1.1 of the Credit Agreement is amended and restated in its entirety to read as follows: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March 15, 2019.</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To induce the other parties hereto to enter into this Amendment, each of Holdings, the Borrower and each other Loan Party hereby represents and warrants to each of the Lenders and the Administrative Agent that, as of the Amendment Effective Date: (i) this Amendment (A) has been duly authorized by all necessary corporate or other organizational and, if required, member or shareholder action of such Person, (B) has been duly executed and delivered by such Person and (C) constitutes a legal, valid and binding obligation of such Person enforceable against each of them in accordance with its terms, except as enforceability may be limited by applicable bankruptcy, insolvency, reorganization, moratorium or similar laws affecting the enforcement of creditors’ rights generally and by equitable principles (whether enforcement is sought by proceedings in equity or at law), (ii)(A) the representations and warranties set forth in Section 3 of the Credit Agreement or in any other Loan Document are true and correct in all material respects on and as of the Amendment Effective Date to the same extent as though made on and as of that date, except to the extent such representations and warranties specifically relate to an earlier date, in which case such representations and warranties are true and correct in all material respects on and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such materiality qualifier shall not be applicable to any representations and warranties that already are qualified or modified by materiality in the text thereof and (B) after giving effect to this Amendment, no Default or Event of Default has occurred and is continuing.</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Effectiveness</w:t>
      </w:r>
      <w:r>
        <w:rPr>
          <w:rFonts w:ascii="Arial" w:cs="Arial" w:eastAsia="Arial" w:hAnsi="Arial"/>
          <w:sz w:val="17"/>
          <w:szCs w:val="17"/>
          <w:color w:val="auto"/>
        </w:rPr>
        <w:t>. This Amendment shall become effective as of the first date (such date being referred to as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 Effective Date</w:t>
      </w:r>
      <w:r>
        <w:rPr>
          <w:rFonts w:ascii="Arial" w:cs="Arial" w:eastAsia="Arial" w:hAnsi="Arial"/>
          <w:sz w:val="16"/>
          <w:szCs w:val="16"/>
          <w:color w:val="auto"/>
        </w:rPr>
        <w:t>”) that the Administrative Agent (or its counsel) shall have received this Amendment, executed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delivered by a duly authorized officer or signatory of Holdings, the Borrower and the Required Lenders.</w:t>
      </w:r>
    </w:p>
    <w:p>
      <w:pPr>
        <w:spacing w:after="0" w:line="103"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Administrative Agent shall notify the Borrower and the Lenders of the Amendment Effective Date, and such notice shall be conclusive and binding.</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to this Amendment on any number of counterparts, and all of said counterparts taken together shall be deemed to constitute one and the same instrument. Delivery of an executed signature page to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118" w:name="page119"/>
    <w:bookmarkEnd w:id="118"/>
    <w:p>
      <w:pPr>
        <w:ind w:right="60" w:firstLine="360"/>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RIGHTS AND OBLIGATIONS OF THE PARTIES UNDER THIS AMENDMENT SHALL BE GOVERNED BY, AND CONSTRUED IN ACCORDANCE WITH, THE LAW OF THE STATE OF NEW YORK.</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party hereto hereby irrevocably and unconditionally:</w:t>
      </w:r>
    </w:p>
    <w:p>
      <w:pPr>
        <w:spacing w:after="0" w:line="117" w:lineRule="exact"/>
        <w:rPr>
          <w:sz w:val="20"/>
          <w:szCs w:val="20"/>
          <w:color w:val="auto"/>
        </w:rPr>
      </w:pPr>
    </w:p>
    <w:p>
      <w:pPr>
        <w:ind w:left="700" w:right="140" w:hanging="356"/>
        <w:spacing w:after="0" w:line="259"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Amendment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and appellate courts from any thereof;</w:t>
      </w:r>
    </w:p>
    <w:p>
      <w:pPr>
        <w:spacing w:after="0" w:line="78" w:lineRule="exact"/>
        <w:rPr>
          <w:rFonts w:ascii="Arial" w:cs="Arial" w:eastAsia="Arial" w:hAnsi="Arial"/>
          <w:sz w:val="18"/>
          <w:szCs w:val="18"/>
          <w:color w:val="auto"/>
        </w:rPr>
      </w:pPr>
    </w:p>
    <w:p>
      <w:pPr>
        <w:ind w:left="700" w:right="240" w:hanging="356"/>
        <w:spacing w:after="0" w:line="26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3" w:lineRule="exact"/>
        <w:rPr>
          <w:rFonts w:ascii="Arial" w:cs="Arial" w:eastAsia="Arial" w:hAnsi="Arial"/>
          <w:sz w:val="18"/>
          <w:szCs w:val="18"/>
          <w:color w:val="auto"/>
        </w:rPr>
      </w:pPr>
    </w:p>
    <w:p>
      <w:pPr>
        <w:ind w:left="700" w:right="60" w:hanging="356"/>
        <w:spacing w:after="0" w:line="312"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agrees that service of process in any such action or proceeding may be effected by mailing a copy thereof by registered or certified mail (or any substantially similar form of mail), postage prepaid, to its address set forth in Section 9.2 of the Credit Agreement or at such other address of which the Administrative Agent shall have been notified pursuant thereto;</w:t>
      </w:r>
    </w:p>
    <w:p>
      <w:pPr>
        <w:spacing w:after="0" w:line="38" w:lineRule="exact"/>
        <w:rPr>
          <w:rFonts w:ascii="Arial" w:cs="Arial" w:eastAsia="Arial" w:hAnsi="Arial"/>
          <w:sz w:val="16"/>
          <w:szCs w:val="16"/>
          <w:color w:val="auto"/>
        </w:rPr>
      </w:pPr>
    </w:p>
    <w:p>
      <w:pPr>
        <w:ind w:left="700" w:right="200" w:hanging="356"/>
        <w:spacing w:after="0" w:line="26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agrees that the Administrative Agent and the Lenders retain the right to bring proceedings against any Loan Party in the courts of any other jurisdiction in connection with the exercise of any rights under any Security Document or the enforcement of any judgment;</w:t>
      </w:r>
    </w:p>
    <w:p>
      <w:pPr>
        <w:spacing w:after="0" w:line="73"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62" w:lineRule="exact"/>
        <w:rPr>
          <w:rFonts w:ascii="Arial" w:cs="Arial" w:eastAsia="Arial" w:hAnsi="Arial"/>
          <w:sz w:val="18"/>
          <w:szCs w:val="18"/>
          <w:color w:val="auto"/>
        </w:rPr>
      </w:pPr>
    </w:p>
    <w:p>
      <w:pPr>
        <w:ind w:left="700" w:right="400" w:hanging="356"/>
        <w:spacing w:after="0" w:line="308"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waives, to the maximum extent not prohibited by law, any right it may have to claim or recover in any legal action or proceeding referred to in this Section 7 any special, exemplary, punitive or consequential damages.</w:t>
      </w:r>
    </w:p>
    <w:p>
      <w:pPr>
        <w:spacing w:after="0" w:line="38"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Amendment are for purposes of reference only and shall not limit or otherwise affect the meaning hereof.</w:t>
      </w:r>
    </w:p>
    <w:p>
      <w:pPr>
        <w:spacing w:after="0" w:line="62"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expressly set forth herein, this Amendment shall not by implication or otherwise limit, impair, constitute a waiver of, or otherwise affect the rights and remedies of the Lenders, the Administrative Agent, or the Loan Parties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This Amendment shall apply and be effective only with respect to the provision of the Credit Agreement specifically referred to herein. After the date hereof, any reference to the Credit Agreement shall mean the Credit Agreement, as modified hereby, and this Amendment shall constitute a “Loan Document” for all purposes under the Credit Agreement and the other Loan Documents.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33" w:right="1199" w:bottom="1440" w:gutter="0" w:footer="0" w:header="0"/>
        </w:sectPr>
      </w:pPr>
    </w:p>
    <w:bookmarkStart w:id="119" w:name="page120"/>
    <w:bookmarkEnd w:id="119"/>
    <w:p>
      <w:pPr>
        <w:ind w:right="299" w:firstLine="360"/>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duly authorized officers, all as of the date and year first above written.</w:t>
      </w:r>
    </w:p>
    <w:p>
      <w:pPr>
        <w:spacing w:after="0" w:line="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NEW FORTRESS INTERMEDIATE LLC</w:t>
      </w:r>
    </w:p>
    <w:p>
      <w:pPr>
        <w:spacing w:after="0" w:line="283" w:lineRule="exact"/>
        <w:rPr>
          <w:sz w:val="20"/>
          <w:szCs w:val="20"/>
          <w:color w:val="auto"/>
        </w:rPr>
      </w:pPr>
    </w:p>
    <w:tbl>
      <w:tblPr>
        <w:tblLayout w:type="fixed"/>
        <w:tblInd w:w="25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Christopher Guinta</w:t>
            </w:r>
          </w:p>
        </w:tc>
      </w:tr>
      <w:tr>
        <w:trPr>
          <w:trHeight w:val="237"/>
        </w:trPr>
        <w:tc>
          <w:tcPr>
            <w:tcW w:w="4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Name:</w:t>
            </w:r>
          </w:p>
        </w:tc>
        <w:tc>
          <w:tcPr>
            <w:tcW w:w="2900" w:type="dxa"/>
            <w:vAlign w:val="bottom"/>
          </w:tcPr>
          <w:p>
            <w:pPr>
              <w:ind w:left="120"/>
              <w:spacing w:after="0"/>
              <w:rPr>
                <w:sz w:val="20"/>
                <w:szCs w:val="20"/>
                <w:color w:val="auto"/>
              </w:rPr>
            </w:pPr>
            <w:r>
              <w:rPr>
                <w:rFonts w:ascii="Arial" w:cs="Arial" w:eastAsia="Arial" w:hAnsi="Arial"/>
                <w:sz w:val="18"/>
                <w:szCs w:val="18"/>
                <w:color w:val="auto"/>
              </w:rPr>
              <w:t>Christopher Guinta</w:t>
            </w:r>
          </w:p>
        </w:tc>
      </w:tr>
      <w:tr>
        <w:trPr>
          <w:trHeight w:val="243"/>
        </w:trPr>
        <w:tc>
          <w:tcPr>
            <w:tcW w:w="4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29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NFE ATLANTIC HOLDINGS LLC</w:t>
            </w:r>
          </w:p>
        </w:tc>
      </w:tr>
      <w:tr>
        <w:trPr>
          <w:trHeight w:val="48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Christopher Guinta</w:t>
            </w:r>
          </w:p>
        </w:tc>
      </w:tr>
      <w:tr>
        <w:trPr>
          <w:trHeight w:val="237"/>
        </w:trPr>
        <w:tc>
          <w:tcPr>
            <w:tcW w:w="4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Name:</w:t>
            </w:r>
          </w:p>
        </w:tc>
        <w:tc>
          <w:tcPr>
            <w:tcW w:w="2900" w:type="dxa"/>
            <w:vAlign w:val="bottom"/>
          </w:tcPr>
          <w:p>
            <w:pPr>
              <w:ind w:left="120"/>
              <w:spacing w:after="0"/>
              <w:rPr>
                <w:sz w:val="20"/>
                <w:szCs w:val="20"/>
                <w:color w:val="auto"/>
              </w:rPr>
            </w:pPr>
            <w:r>
              <w:rPr>
                <w:rFonts w:ascii="Arial" w:cs="Arial" w:eastAsia="Arial" w:hAnsi="Arial"/>
                <w:sz w:val="18"/>
                <w:szCs w:val="18"/>
                <w:color w:val="auto"/>
              </w:rPr>
              <w:t>Christopher Guinta</w:t>
            </w:r>
          </w:p>
        </w:tc>
      </w:tr>
      <w:tr>
        <w:trPr>
          <w:trHeight w:val="243"/>
        </w:trPr>
        <w:tc>
          <w:tcPr>
            <w:tcW w:w="4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29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[NFE Amendment Agreement]</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33" w:right="1440" w:bottom="1440" w:gutter="0" w:footer="0" w:header="0"/>
        </w:sectPr>
      </w:pPr>
    </w:p>
    <w:bookmarkStart w:id="120" w:name="page121"/>
    <w:bookmarkEnd w:id="120"/>
    <w:p>
      <w:pPr>
        <w:ind w:left="2540"/>
        <w:spacing w:after="0"/>
        <w:rPr>
          <w:sz w:val="20"/>
          <w:szCs w:val="20"/>
          <w:color w:val="auto"/>
        </w:rPr>
      </w:pPr>
      <w:r>
        <w:rPr>
          <w:rFonts w:ascii="Arial" w:cs="Arial" w:eastAsia="Arial" w:hAnsi="Arial"/>
          <w:sz w:val="18"/>
          <w:szCs w:val="18"/>
          <w:b w:val="1"/>
          <w:bCs w:val="1"/>
          <w:color w:val="auto"/>
        </w:rPr>
        <w:t>AMERICAN LNG MARKETING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AMERICAN NATURAL GAS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ATLANTIC ENERGY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DEVELOPMENT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GPF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GPF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POWER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POWER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REAL ESTATE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REAL ESTATE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TRANSPORT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BRADFORD COUNTY TRANSPORT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ENERGY TRANSPORT SOLUTIONS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ISLAND LNG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LNG HOLDINGS (FLORIDA)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LNG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NEW FORTRESS ENERGY MARKETING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BCS HOLDINGS (A)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BCS HOLDINGS (B)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EQUIPMENT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EQUIPMENT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ISO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ISO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LOGISTICS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MANAGEMENT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MEXICO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PLANT DEVELOPMENT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SOUTH POWER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TRANSPORT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TRANSPORT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TICO DEVELOPMENT PARTNERS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TICO DEVELOPMENT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GHANA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GHANA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AMERICAN ENERGY LOGISTICS SOLUTIONS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LA DEVELOPMENT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LA REAL ESTATE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LA REAL ESTATE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PA DEVELOPMENT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PA REAL ESTATE HOLDINGS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PA REAL ESTATE PARTNERS LLC</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NFE HONDURAS HOLDINGS LLC</w:t>
      </w:r>
    </w:p>
    <w:p>
      <w:pPr>
        <w:spacing w:after="0" w:line="283" w:lineRule="exact"/>
        <w:rPr>
          <w:sz w:val="20"/>
          <w:szCs w:val="20"/>
          <w:color w:val="auto"/>
        </w:rPr>
      </w:pPr>
    </w:p>
    <w:p>
      <w:pPr>
        <w:ind w:left="2540"/>
        <w:spacing w:after="0"/>
        <w:tabs>
          <w:tab w:leader="none" w:pos="300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23583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ind w:left="3020"/>
              <w:spacing w:after="0"/>
              <w:rPr>
                <w:sz w:val="20"/>
                <w:szCs w:val="20"/>
                <w:color w:val="auto"/>
              </w:rPr>
            </w:pPr>
            <w:r>
              <w:rPr>
                <w:rFonts w:ascii="Arial" w:cs="Arial" w:eastAsia="Arial" w:hAnsi="Arial"/>
                <w:sz w:val="18"/>
                <w:szCs w:val="18"/>
                <w:color w:val="auto"/>
              </w:rPr>
              <w:t>Name:</w:t>
            </w:r>
          </w:p>
        </w:tc>
        <w:tc>
          <w:tcPr>
            <w:tcW w:w="5980" w:type="dxa"/>
            <w:vAlign w:val="bottom"/>
          </w:tcPr>
          <w:p>
            <w:pPr>
              <w:ind w:left="140"/>
              <w:spacing w:after="0"/>
              <w:rPr>
                <w:sz w:val="20"/>
                <w:szCs w:val="20"/>
                <w:color w:val="auto"/>
              </w:rPr>
            </w:pPr>
            <w:r>
              <w:rPr>
                <w:rFonts w:ascii="Arial" w:cs="Arial" w:eastAsia="Arial" w:hAnsi="Arial"/>
                <w:sz w:val="18"/>
                <w:szCs w:val="18"/>
                <w:color w:val="auto"/>
              </w:rPr>
              <w:t>Christopher Guinta</w:t>
            </w:r>
          </w:p>
        </w:tc>
      </w:tr>
      <w:tr>
        <w:trPr>
          <w:trHeight w:val="243"/>
        </w:trPr>
        <w:tc>
          <w:tcPr>
            <w:tcW w:w="3580" w:type="dxa"/>
            <w:vAlign w:val="bottom"/>
          </w:tcPr>
          <w:p>
            <w:pPr>
              <w:ind w:left="3020"/>
              <w:spacing w:after="0"/>
              <w:rPr>
                <w:sz w:val="20"/>
                <w:szCs w:val="20"/>
                <w:color w:val="auto"/>
              </w:rPr>
            </w:pPr>
            <w:r>
              <w:rPr>
                <w:rFonts w:ascii="Arial" w:cs="Arial" w:eastAsia="Arial" w:hAnsi="Arial"/>
                <w:sz w:val="18"/>
                <w:szCs w:val="18"/>
                <w:color w:val="auto"/>
              </w:rPr>
              <w:t>Title:</w:t>
            </w:r>
          </w:p>
        </w:tc>
        <w:tc>
          <w:tcPr>
            <w:tcW w:w="59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446"/>
        </w:trPr>
        <w:tc>
          <w:tcPr>
            <w:tcW w:w="3580" w:type="dxa"/>
            <w:vAlign w:val="bottom"/>
          </w:tcPr>
          <w:p>
            <w:pPr>
              <w:spacing w:after="0"/>
              <w:rPr>
                <w:sz w:val="24"/>
                <w:szCs w:val="24"/>
                <w:color w:val="auto"/>
              </w:rPr>
            </w:pPr>
          </w:p>
        </w:tc>
        <w:tc>
          <w:tcPr>
            <w:tcW w:w="5980" w:type="dxa"/>
            <w:vAlign w:val="bottom"/>
          </w:tcPr>
          <w:p>
            <w:pPr>
              <w:jc w:val="center"/>
              <w:ind w:right="3490"/>
              <w:spacing w:after="0"/>
              <w:rPr>
                <w:sz w:val="20"/>
                <w:szCs w:val="20"/>
                <w:color w:val="auto"/>
              </w:rPr>
            </w:pPr>
            <w:r>
              <w:rPr>
                <w:rFonts w:ascii="Arial" w:cs="Arial" w:eastAsia="Arial" w:hAnsi="Arial"/>
                <w:sz w:val="18"/>
                <w:szCs w:val="18"/>
                <w:color w:val="auto"/>
                <w:w w:val="92"/>
              </w:rPr>
              <w:t>[NFE Amendment Agreement]</w:t>
            </w:r>
          </w:p>
        </w:tc>
      </w:tr>
      <w:tr>
        <w:trPr>
          <w:trHeight w:val="432"/>
        </w:trPr>
        <w:tc>
          <w:tcPr>
            <w:tcW w:w="3580" w:type="dxa"/>
            <w:vAlign w:val="bottom"/>
          </w:tcPr>
          <w:p>
            <w:pPr>
              <w:spacing w:after="0"/>
              <w:rPr>
                <w:sz w:val="24"/>
                <w:szCs w:val="24"/>
                <w:color w:val="auto"/>
              </w:rPr>
            </w:pPr>
          </w:p>
        </w:tc>
        <w:tc>
          <w:tcPr>
            <w:tcW w:w="5980" w:type="dxa"/>
            <w:vAlign w:val="bottom"/>
          </w:tcPr>
          <w:p>
            <w:pPr>
              <w:jc w:val="right"/>
              <w:ind w:right="4650"/>
              <w:spacing w:after="0"/>
              <w:rPr>
                <w:sz w:val="20"/>
                <w:szCs w:val="20"/>
                <w:color w:val="auto"/>
              </w:rPr>
            </w:pPr>
            <w:r>
              <w:rPr>
                <w:rFonts w:ascii="Arial" w:cs="Arial" w:eastAsia="Arial" w:hAnsi="Arial"/>
                <w:sz w:val="18"/>
                <w:szCs w:val="18"/>
                <w:color w:val="auto"/>
              </w:rPr>
              <w:t>4</w:t>
            </w:r>
          </w:p>
        </w:tc>
      </w:tr>
      <w:tr>
        <w:trPr>
          <w:trHeight w:val="446"/>
        </w:trPr>
        <w:tc>
          <w:tcPr>
            <w:tcW w:w="358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68"/>
        </w:trPr>
        <w:tc>
          <w:tcPr>
            <w:tcW w:w="3580" w:type="dxa"/>
            <w:vAlign w:val="bottom"/>
            <w:shd w:val="clear" w:color="auto" w:fill="000000"/>
          </w:tcPr>
          <w:p>
            <w:pPr>
              <w:spacing w:after="0"/>
              <w:rPr>
                <w:sz w:val="5"/>
                <w:szCs w:val="5"/>
                <w:color w:val="auto"/>
              </w:rPr>
            </w:pPr>
          </w:p>
        </w:tc>
        <w:tc>
          <w:tcPr>
            <w:tcW w:w="59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189" w:right="1159" w:bottom="1440" w:gutter="0" w:footer="0" w:header="0"/>
        </w:sectPr>
      </w:pPr>
    </w:p>
    <w:bookmarkStart w:id="121" w:name="page122"/>
    <w:bookmarkEnd w:id="121"/>
    <w:p>
      <w:pPr>
        <w:ind w:left="2280"/>
        <w:spacing w:after="0"/>
        <w:rPr>
          <w:sz w:val="20"/>
          <w:szCs w:val="20"/>
          <w:color w:val="auto"/>
        </w:rPr>
      </w:pPr>
      <w:r>
        <w:rPr>
          <w:rFonts w:ascii="Arial" w:cs="Arial" w:eastAsia="Arial" w:hAnsi="Arial"/>
          <w:sz w:val="18"/>
          <w:szCs w:val="18"/>
          <w:b w:val="1"/>
          <w:bCs w:val="1"/>
          <w:color w:val="auto"/>
        </w:rPr>
        <w:t>ATLANTIC DISTRIBUTION HOLDINGS SRL</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ENERGY HOLDINGS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POWER HOLDINGS SRL</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TERMINAL HOLDINGS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POWER HOLDINGS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HOLDINGS LIMITED [BERMUDA]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INFRASTRUCTURE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TRADING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HOLDINGS LIMITED [BERMUDA]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POWER TRADING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TRADING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DISTRIBUTION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HOLDINGS LIMITED [JAMAICA]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TRANSPORT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HOLDINGS LIMITED [JAMAICA]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POWER HOLDINGS LIMITED</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[NFE 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2" w:name="page123"/>
    <w:bookmarkEnd w:id="122"/>
    <w:p>
      <w:pPr>
        <w:ind w:left="2280"/>
        <w:spacing w:after="0"/>
        <w:rPr>
          <w:sz w:val="20"/>
          <w:szCs w:val="20"/>
          <w:color w:val="auto"/>
        </w:rPr>
      </w:pPr>
      <w:r>
        <w:rPr>
          <w:rFonts w:ascii="Arial" w:cs="Arial" w:eastAsia="Arial" w:hAnsi="Arial"/>
          <w:sz w:val="18"/>
          <w:szCs w:val="18"/>
          <w:b w:val="1"/>
          <w:bCs w:val="1"/>
          <w:color w:val="auto"/>
        </w:rPr>
        <w:t>AMAUNET S. DE R.L. DE C.V.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NFENERGIA MEXICO S. DE R.L. DE C.V.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PACIFICO LAP S. DE R.L. DE C.V.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NFENERGIA GN DE BCS, S. DE R.L. DE C.V.</w:t>
      </w:r>
    </w:p>
    <w:p>
      <w:pPr>
        <w:spacing w:after="0" w:line="295"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Legal Representative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[NFE 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3" w:name="page124"/>
    <w:bookmarkEnd w:id="123"/>
    <w:p>
      <w:pPr>
        <w:ind w:left="2280"/>
        <w:spacing w:after="0"/>
        <w:rPr>
          <w:sz w:val="20"/>
          <w:szCs w:val="20"/>
          <w:color w:val="auto"/>
        </w:rPr>
      </w:pPr>
      <w:r>
        <w:rPr>
          <w:rFonts w:ascii="Arial" w:cs="Arial" w:eastAsia="Arial" w:hAnsi="Arial"/>
          <w:sz w:val="18"/>
          <w:szCs w:val="18"/>
          <w:b w:val="1"/>
          <w:bCs w:val="1"/>
          <w:color w:val="auto"/>
        </w:rPr>
        <w:t>NFE MEXICO HOLDINGS B.V.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MEXICO HOLDINGS PARENT B.V.</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[NFE Amendment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4" w:name="page125"/>
    <w:bookmarkEnd w:id="124"/>
    <w:p>
      <w:pPr>
        <w:ind w:left="2280"/>
        <w:spacing w:after="0"/>
        <w:rPr>
          <w:sz w:val="20"/>
          <w:szCs w:val="20"/>
          <w:color w:val="auto"/>
        </w:rPr>
      </w:pPr>
      <w:r>
        <w:rPr>
          <w:rFonts w:ascii="Arial" w:cs="Arial" w:eastAsia="Arial" w:hAnsi="Arial"/>
          <w:sz w:val="18"/>
          <w:szCs w:val="18"/>
          <w:b w:val="1"/>
          <w:bCs w:val="1"/>
          <w:color w:val="auto"/>
        </w:rPr>
        <w:t>NFENERGIA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SOLUCIONES DE ENERGIA LIMPIA PR LLC</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[NFE 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5" w:name="page126"/>
    <w:bookmarkEnd w:id="125"/>
    <w:p>
      <w:pPr>
        <w:ind w:left="2280"/>
        <w:spacing w:after="0"/>
        <w:rPr>
          <w:sz w:val="20"/>
          <w:szCs w:val="20"/>
          <w:color w:val="auto"/>
        </w:rPr>
      </w:pPr>
      <w:r>
        <w:rPr>
          <w:rFonts w:ascii="Arial" w:cs="Arial" w:eastAsia="Arial" w:hAnsi="Arial"/>
          <w:sz w:val="18"/>
          <w:szCs w:val="18"/>
          <w:b w:val="1"/>
          <w:bCs w:val="1"/>
          <w:color w:val="auto"/>
        </w:rPr>
        <w:t>NFENERGIA HONDURAS S. DE R.L.</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[NFE Amendment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6" w:name="page127"/>
    <w:bookmarkEnd w:id="126"/>
    <w:p>
      <w:pPr>
        <w:ind w:left="2280" w:right="1279"/>
        <w:spacing w:after="0" w:line="317" w:lineRule="auto"/>
        <w:rPr>
          <w:sz w:val="20"/>
          <w:szCs w:val="20"/>
          <w:color w:val="auto"/>
        </w:rPr>
      </w:pPr>
      <w:r>
        <w:rPr>
          <w:rFonts w:ascii="Arial" w:cs="Arial" w:eastAsia="Arial" w:hAnsi="Arial"/>
          <w:sz w:val="18"/>
          <w:szCs w:val="18"/>
          <w:b w:val="1"/>
          <w:bCs w:val="1"/>
          <w:color w:val="auto"/>
        </w:rPr>
        <w:t>NFE IRELAND FINANCING DESIGNATED ACTIVITY COMPANY NFE SHANNON HOLDINGS LIMITED SHANNON LNG LIMITED</w:t>
      </w:r>
    </w:p>
    <w:p>
      <w:pPr>
        <w:spacing w:after="0" w:line="182"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SHANNON LNG ENERGY LIMITED</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[NFE Amendment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7" w:name="page128"/>
    <w:bookmarkEnd w:id="127"/>
    <w:p>
      <w:pPr>
        <w:ind w:left="2280"/>
        <w:spacing w:after="0"/>
        <w:rPr>
          <w:sz w:val="20"/>
          <w:szCs w:val="20"/>
          <w:color w:val="auto"/>
        </w:rPr>
      </w:pPr>
      <w:r>
        <w:rPr>
          <w:rFonts w:ascii="Arial" w:cs="Arial" w:eastAsia="Arial" w:hAnsi="Arial"/>
          <w:sz w:val="17"/>
          <w:szCs w:val="17"/>
          <w:b w:val="1"/>
          <w:bCs w:val="1"/>
          <w:color w:val="auto"/>
        </w:rPr>
        <w:t>MORGAN STANLEY SENIOR FUNDING, INC.</w:t>
      </w:r>
      <w:r>
        <w:rPr>
          <w:rFonts w:ascii="Arial" w:cs="Arial" w:eastAsia="Arial" w:hAnsi="Arial"/>
          <w:sz w:val="17"/>
          <w:szCs w:val="17"/>
          <w:color w:val="auto"/>
        </w:rPr>
        <w:t>, as</w:t>
      </w:r>
    </w:p>
    <w:p>
      <w:pPr>
        <w:spacing w:after="0" w:line="3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Administrative Agent and a Lender</w:t>
      </w:r>
    </w:p>
    <w:p>
      <w:pPr>
        <w:spacing w:after="0" w:line="265"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Chance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Chance Moreland</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[NFE 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8" w:name="page129"/>
    <w:bookmarkEnd w:id="128"/>
    <w:p>
      <w:pPr>
        <w:ind w:left="8540"/>
        <w:spacing w:after="0"/>
        <w:rPr>
          <w:sz w:val="20"/>
          <w:szCs w:val="20"/>
          <w:color w:val="auto"/>
        </w:rPr>
      </w:pPr>
      <w:r>
        <w:rPr>
          <w:rFonts w:ascii="Arial" w:cs="Arial" w:eastAsia="Arial" w:hAnsi="Arial"/>
          <w:sz w:val="16"/>
          <w:szCs w:val="16"/>
          <w:b w:val="1"/>
          <w:bCs w:val="1"/>
          <w:color w:val="auto"/>
        </w:rPr>
        <w:t>Exhibit 10.26</w:t>
      </w:r>
    </w:p>
    <w:p>
      <w:pPr>
        <w:spacing w:after="0" w:line="140" w:lineRule="exact"/>
        <w:rPr>
          <w:sz w:val="20"/>
          <w:szCs w:val="20"/>
          <w:color w:val="auto"/>
        </w:rPr>
      </w:pPr>
    </w:p>
    <w:p>
      <w:pPr>
        <w:ind w:left="1440" w:right="20" w:firstLine="360"/>
        <w:spacing w:after="0" w:line="271" w:lineRule="auto"/>
        <w:rPr>
          <w:sz w:val="20"/>
          <w:szCs w:val="20"/>
          <w:color w:val="auto"/>
        </w:rPr>
      </w:pPr>
      <w:r>
        <w:rPr>
          <w:rFonts w:ascii="Arial" w:cs="Arial" w:eastAsia="Arial" w:hAnsi="Arial"/>
          <w:sz w:val="17"/>
          <w:szCs w:val="17"/>
          <w:color w:val="auto"/>
        </w:rPr>
        <w:t>SECOND AMENDMENT AGREEMENT dated as of March 13, 2019 (this “</w:t>
      </w:r>
      <w:r>
        <w:rPr>
          <w:rFonts w:ascii="Arial" w:cs="Arial" w:eastAsia="Arial" w:hAnsi="Arial"/>
          <w:sz w:val="17"/>
          <w:szCs w:val="17"/>
          <w:b w:val="1"/>
          <w:bCs w:val="1"/>
          <w:color w:val="auto"/>
        </w:rPr>
        <w:t>Second Amendment</w:t>
      </w:r>
      <w:r>
        <w:rPr>
          <w:rFonts w:ascii="Arial" w:cs="Arial" w:eastAsia="Arial" w:hAnsi="Arial"/>
          <w:sz w:val="17"/>
          <w:szCs w:val="17"/>
          <w:color w:val="auto"/>
        </w:rPr>
        <w:t>”), to the Credit Agreement dated as of August 15, 2018 and as amended and restated as of December 31, 2018 and as amended as of February 11, 2019 (as further amended, restated, supplemented or otherwise modified prior to the date hereof, the “</w:t>
      </w:r>
      <w:r>
        <w:rPr>
          <w:rFonts w:ascii="Arial" w:cs="Arial" w:eastAsia="Arial" w:hAnsi="Arial"/>
          <w:sz w:val="17"/>
          <w:szCs w:val="17"/>
          <w:b w:val="1"/>
          <w:bCs w:val="1"/>
          <w:color w:val="auto"/>
        </w:rPr>
        <w:t>Credit Agreement</w:t>
      </w:r>
      <w:r>
        <w:rPr>
          <w:rFonts w:ascii="Arial" w:cs="Arial" w:eastAsia="Arial" w:hAnsi="Arial"/>
          <w:sz w:val="17"/>
          <w:szCs w:val="17"/>
          <w:color w:val="auto"/>
        </w:rPr>
        <w:t>”), among NEW FORTRESS INTERMEDIATE LLC, a Delaware limited liability company (“</w:t>
      </w:r>
      <w:r>
        <w:rPr>
          <w:rFonts w:ascii="Arial" w:cs="Arial" w:eastAsia="Arial" w:hAnsi="Arial"/>
          <w:sz w:val="17"/>
          <w:szCs w:val="17"/>
          <w:b w:val="1"/>
          <w:bCs w:val="1"/>
          <w:color w:val="auto"/>
        </w:rPr>
        <w:t>Holdings</w:t>
      </w:r>
      <w:r>
        <w:rPr>
          <w:rFonts w:ascii="Arial" w:cs="Arial" w:eastAsia="Arial" w:hAnsi="Arial"/>
          <w:sz w:val="17"/>
          <w:szCs w:val="17"/>
          <w:color w:val="auto"/>
        </w:rPr>
        <w:t>”), NFE ATLANTIC HOLDINGS LLC, a Delaware limited liability company (the “</w:t>
      </w:r>
      <w:r>
        <w:rPr>
          <w:rFonts w:ascii="Arial" w:cs="Arial" w:eastAsia="Arial" w:hAnsi="Arial"/>
          <w:sz w:val="17"/>
          <w:szCs w:val="17"/>
          <w:b w:val="1"/>
          <w:bCs w:val="1"/>
          <w:color w:val="auto"/>
        </w:rPr>
        <w:t>Borrower</w:t>
      </w:r>
      <w:r>
        <w:rPr>
          <w:rFonts w:ascii="Arial" w:cs="Arial" w:eastAsia="Arial" w:hAnsi="Arial"/>
          <w:sz w:val="17"/>
          <w:szCs w:val="17"/>
          <w:color w:val="auto"/>
        </w:rPr>
        <w:t>”), the SUBSIDIARY GUARANTORS (as defined in Section 1.1 of the Credit Agreement) from time to time party thereto, the LENDERS (as defined in the preamble to the Credit Agreement) from time to time party thereto and MORGAN STANLEY SENIOR FUNDING, INC., as administrative agent (in such capacity, the “</w:t>
      </w:r>
      <w:r>
        <w:rPr>
          <w:rFonts w:ascii="Arial" w:cs="Arial" w:eastAsia="Arial" w:hAnsi="Arial"/>
          <w:sz w:val="17"/>
          <w:szCs w:val="17"/>
          <w:b w:val="1"/>
          <w:bCs w:val="1"/>
          <w:color w:val="auto"/>
        </w:rPr>
        <w:t>Administrative Agent</w:t>
      </w:r>
      <w:r>
        <w:rPr>
          <w:rFonts w:ascii="Arial" w:cs="Arial" w:eastAsia="Arial" w:hAnsi="Arial"/>
          <w:sz w:val="17"/>
          <w:szCs w:val="17"/>
          <w:color w:val="auto"/>
        </w:rPr>
        <w: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parties hereto desire to amend the Credit Agreement as set forth herein.</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sufficiency and receipt of which are hereby acknowledged, the parties hereto agree as follows:</w:t>
      </w:r>
    </w:p>
    <w:p>
      <w:pPr>
        <w:spacing w:after="0" w:line="6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 References</w:t>
      </w:r>
      <w:r>
        <w:rPr>
          <w:rFonts w:ascii="Arial" w:cs="Arial" w:eastAsia="Arial" w:hAnsi="Arial"/>
          <w:sz w:val="18"/>
          <w:szCs w:val="18"/>
          <w:color w:val="auto"/>
        </w:rPr>
        <w:t xml:space="preserve">. Capitalized terms used but not defined herein shall have the meanings assigned to them in the Credit Agreement. The provisions of Section 1.2 of the Credit Agreement are hereby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b w:val="1"/>
          <w:bCs w:val="1"/>
          <w:color w:val="auto"/>
        </w:rPr>
        <w:t>.</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Second Amendment to the Credit Agreement</w:t>
      </w:r>
      <w:r>
        <w:rPr>
          <w:rFonts w:ascii="Arial" w:cs="Arial" w:eastAsia="Arial" w:hAnsi="Arial"/>
          <w:sz w:val="18"/>
          <w:szCs w:val="18"/>
          <w:color w:val="auto"/>
        </w:rPr>
        <w:t>. Subject to Section 4 hereof, effective as of the Second Amendment Effective Date, the definition of “Commitment Termination Date” in Section 1.1 of the Credit Agreement is amended and restated in its entirety to read as follows: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March 30, 2019.</w:t>
      </w:r>
    </w:p>
    <w:p>
      <w:pPr>
        <w:spacing w:after="0" w:line="11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To induce the other parties hereto to enter into this Second Amendment, each of Holdings, the Borrower and each other Loan Party hereby represents and warrants to each of the Lenders and the Administrative Agent that, as of the Second Amendment Effective Date: (i) this Second Amendment (A) has been duly authorized by all necessary corporate or other organizational and, if required, member or shareholder action of such Person, (B) has been duly executed and delivered by such Person and (C) constitutes a legal, valid and binding obligation of such Person enforceable against each of them in accordance with its terms, except as enforceability may be limited by applicable bankruptcy, insolvency, reorganization, moratorium or similar laws affecting the enforcement of creditors’ rights generally and by equitable principles (whether enforcement is sought by proceedings in equity or at law), (ii)(A) the representations and warranties set forth in Section 3 of the Credit Agreement or in any other Loan Document are true and correct in all material respects on and as of the Second Amendment Effective Date to the same extent as though made on and as of that date, except to the extent such representations and warranties specifically relate to an earlier date, in which case such representations and warranties are true and correct in all material respects on and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such materiality qualifier shall not be applicable to any representations and warranties that already are qualified or modified by materiality in the text thereof and (B) after giving effect to this Second Amendment, no Default or Event of Default has occurred and is continuing.</w:t>
      </w:r>
    </w:p>
    <w:p>
      <w:pPr>
        <w:spacing w:after="0" w:line="64"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Effectiveness</w:t>
      </w:r>
      <w:r>
        <w:rPr>
          <w:rFonts w:ascii="Arial" w:cs="Arial" w:eastAsia="Arial" w:hAnsi="Arial"/>
          <w:sz w:val="16"/>
          <w:szCs w:val="16"/>
          <w:color w:val="auto"/>
        </w:rPr>
        <w:t>. This Second Amendment shall become effective as of the first date (such date being referred to as the “</w:t>
      </w:r>
      <w:r>
        <w:rPr>
          <w:rFonts w:ascii="Arial" w:cs="Arial" w:eastAsia="Arial" w:hAnsi="Arial"/>
          <w:sz w:val="16"/>
          <w:szCs w:val="16"/>
          <w:b w:val="1"/>
          <w:bCs w:val="1"/>
          <w:color w:val="auto"/>
        </w:rPr>
        <w:t>Second Amendment Effective Date</w:t>
      </w:r>
      <w:r>
        <w:rPr>
          <w:rFonts w:ascii="Arial" w:cs="Arial" w:eastAsia="Arial" w:hAnsi="Arial"/>
          <w:sz w:val="16"/>
          <w:szCs w:val="16"/>
          <w:color w:val="auto"/>
        </w:rPr>
        <w:t>”) that the Administrative Agent (or its counsel) shall have received this Second Amendment, executed and delivered by a duly authorized officer or signatory of Holdings, the Borrower and the Required Lenders.</w:t>
      </w:r>
    </w:p>
    <w:p>
      <w:pPr>
        <w:spacing w:after="0" w:line="39"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 Administrative Agent shall notify the Borrower and the Lenders of the Second Amendment Effective Date, and such notice shall be conclusive and binding.</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Second Amendment may be executed by one or more of the parties to this Second Amendment on any number of counterparts, and all of said counterparts taken together shall be deemed to constitute one and the same instrument. Delivery of an executed signature page to this Second Amendment by facsimile or other electronic transmission shall be effective as delivery of a manually executed counterpart hereof. A set of the copies of this Second Amendment signed by all the parties shall be lodged with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129" w:name="page130"/>
    <w:bookmarkEnd w:id="129"/>
    <w:p>
      <w:pPr>
        <w:ind w:right="380" w:firstLine="360"/>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SECOND AMENDMENT AND THE RIGHTS AND OBLIGATIONS OF THE PARTIES UNDER THIS SECOND AMENDMENT SHALL BE GOVERNED BY, AND CONSTRUED IN ACCORDANCE WITH, THE LAW OF THE STATE OF NEW YORK.</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party hereto hereby irrevocably and unconditionally:</w:t>
      </w:r>
    </w:p>
    <w:p>
      <w:pPr>
        <w:spacing w:after="0" w:line="117" w:lineRule="exact"/>
        <w:rPr>
          <w:sz w:val="20"/>
          <w:szCs w:val="20"/>
          <w:color w:val="auto"/>
        </w:rPr>
      </w:pPr>
    </w:p>
    <w:p>
      <w:pPr>
        <w:ind w:left="700" w:hanging="356"/>
        <w:spacing w:after="0" w:line="259"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Second Amendment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and appellate courts from any thereof;</w:t>
      </w:r>
    </w:p>
    <w:p>
      <w:pPr>
        <w:spacing w:after="0" w:line="78"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3" w:lineRule="exact"/>
        <w:rPr>
          <w:rFonts w:ascii="Arial" w:cs="Arial" w:eastAsia="Arial" w:hAnsi="Arial"/>
          <w:sz w:val="18"/>
          <w:szCs w:val="18"/>
          <w:color w:val="auto"/>
        </w:rPr>
      </w:pPr>
    </w:p>
    <w:p>
      <w:pPr>
        <w:ind w:left="700" w:right="40" w:hanging="356"/>
        <w:spacing w:after="0" w:line="312"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agrees that service of process in any such action or proceeding may be effected by mailing a copy thereof by registered or certified mail (or any substantially similar form of mail), postage prepaid, to its address set forth in Section 9.2 of the Credit Agreement or at such other address of which the Administrative Agent shall have been notified pursuant thereto;</w:t>
      </w:r>
    </w:p>
    <w:p>
      <w:pPr>
        <w:spacing w:after="0" w:line="38" w:lineRule="exact"/>
        <w:rPr>
          <w:rFonts w:ascii="Arial" w:cs="Arial" w:eastAsia="Arial" w:hAnsi="Arial"/>
          <w:sz w:val="16"/>
          <w:szCs w:val="16"/>
          <w:color w:val="auto"/>
        </w:rPr>
      </w:pPr>
    </w:p>
    <w:p>
      <w:pPr>
        <w:ind w:left="700" w:right="180" w:hanging="356"/>
        <w:spacing w:after="0" w:line="264"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agrees that the Administrative Agent and the Lenders retain the right to bring proceedings against any Loan Party in the courts of any other jurisdiction in connection with the exercise of any rights under any Security Document or the enforcement of any judgment;</w:t>
      </w:r>
    </w:p>
    <w:p>
      <w:pPr>
        <w:spacing w:after="0" w:line="73"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62" w:lineRule="exact"/>
        <w:rPr>
          <w:rFonts w:ascii="Arial" w:cs="Arial" w:eastAsia="Arial" w:hAnsi="Arial"/>
          <w:sz w:val="18"/>
          <w:szCs w:val="18"/>
          <w:color w:val="auto"/>
        </w:rPr>
      </w:pPr>
    </w:p>
    <w:p>
      <w:pPr>
        <w:ind w:left="700" w:right="380" w:hanging="356"/>
        <w:spacing w:after="0" w:line="308"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waives, to the maximum extent not prohibited by law, any right it may have to claim or recover in any legal action or proceeding referred to in this Section 7 any special, exemplary, punitive or consequential damages.</w:t>
      </w:r>
    </w:p>
    <w:p>
      <w:pPr>
        <w:spacing w:after="0" w:line="38"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Second Amendment are for purposes of reference only and shall not limit or otherwise affect the meaning hereof.</w:t>
      </w:r>
    </w:p>
    <w:p>
      <w:pPr>
        <w:spacing w:after="0" w:line="62"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Effect of Second Amendment</w:t>
      </w:r>
      <w:r>
        <w:rPr>
          <w:rFonts w:ascii="Arial" w:cs="Arial" w:eastAsia="Arial" w:hAnsi="Arial"/>
          <w:sz w:val="17"/>
          <w:szCs w:val="17"/>
          <w:color w:val="auto"/>
        </w:rPr>
        <w:t>. Except as expressly set forth herein, this Second Amendment shall not by implication or otherwise limit, impair, constitute a waiver of, or otherwise affect the rights and remedies of the Lenders, the Administrative Agent, or the Loan Parties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This Second Amendment shall apply and be effective only with respect to the provision of the Credit Agreement specifically referred to herein. After the date hereof, any reference to the Credit Agreement shall mean the Credit Agreement, as modified hereby, and this Second Amendment shall constitute a “Loan Document” for all purposes under the Credit Agreement and the other Loan Documents.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33" w:right="1219" w:bottom="1440" w:gutter="0" w:footer="0" w:header="0"/>
        </w:sectPr>
      </w:pPr>
    </w:p>
    <w:bookmarkStart w:id="130" w:name="page131"/>
    <w:bookmarkEnd w:id="130"/>
    <w:p>
      <w:pPr>
        <w:ind w:firstLine="360"/>
        <w:spacing w:after="0" w:line="277" w:lineRule="auto"/>
        <w:rPr>
          <w:sz w:val="20"/>
          <w:szCs w:val="20"/>
          <w:color w:val="auto"/>
        </w:rPr>
      </w:pPr>
      <w:r>
        <w:rPr>
          <w:rFonts w:ascii="Arial" w:cs="Arial" w:eastAsia="Arial" w:hAnsi="Arial"/>
          <w:sz w:val="18"/>
          <w:szCs w:val="18"/>
          <w:color w:val="auto"/>
        </w:rPr>
        <w:t>IN WITNESS WHEREOF, the parties hereto have caused this Second Amendment to be duly executed by their duly authorized officers, all as of the date and year first above written.</w:t>
      </w:r>
    </w:p>
    <w:p>
      <w:pPr>
        <w:spacing w:after="0" w:line="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NEW FORTRESS INTERMEDIATE LLC</w:t>
      </w:r>
    </w:p>
    <w:p>
      <w:pPr>
        <w:spacing w:after="0" w:line="283" w:lineRule="exact"/>
        <w:rPr>
          <w:sz w:val="20"/>
          <w:szCs w:val="20"/>
          <w:color w:val="auto"/>
        </w:rPr>
      </w:pPr>
    </w:p>
    <w:tbl>
      <w:tblPr>
        <w:tblLayout w:type="fixed"/>
        <w:tblInd w:w="25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Christopher Guinta</w:t>
            </w:r>
          </w:p>
        </w:tc>
      </w:tr>
      <w:tr>
        <w:trPr>
          <w:trHeight w:val="237"/>
        </w:trPr>
        <w:tc>
          <w:tcPr>
            <w:tcW w:w="4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Name:</w:t>
            </w:r>
          </w:p>
        </w:tc>
        <w:tc>
          <w:tcPr>
            <w:tcW w:w="3080" w:type="dxa"/>
            <w:vAlign w:val="bottom"/>
          </w:tcPr>
          <w:p>
            <w:pPr>
              <w:ind w:left="120"/>
              <w:spacing w:after="0"/>
              <w:rPr>
                <w:sz w:val="20"/>
                <w:szCs w:val="20"/>
                <w:color w:val="auto"/>
              </w:rPr>
            </w:pPr>
            <w:r>
              <w:rPr>
                <w:rFonts w:ascii="Arial" w:cs="Arial" w:eastAsia="Arial" w:hAnsi="Arial"/>
                <w:sz w:val="18"/>
                <w:szCs w:val="18"/>
                <w:color w:val="auto"/>
              </w:rPr>
              <w:t>Christopher Guinta</w:t>
            </w:r>
          </w:p>
        </w:tc>
      </w:tr>
      <w:tr>
        <w:trPr>
          <w:trHeight w:val="243"/>
        </w:trPr>
        <w:tc>
          <w:tcPr>
            <w:tcW w:w="4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3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NFE ATLANTIC HOLDINGS LLC</w:t>
            </w:r>
          </w:p>
        </w:tc>
      </w:tr>
      <w:tr>
        <w:trPr>
          <w:trHeight w:val="48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Christopher Guinta</w:t>
            </w:r>
          </w:p>
        </w:tc>
      </w:tr>
      <w:tr>
        <w:trPr>
          <w:trHeight w:val="237"/>
        </w:trPr>
        <w:tc>
          <w:tcPr>
            <w:tcW w:w="4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Name:</w:t>
            </w:r>
          </w:p>
        </w:tc>
        <w:tc>
          <w:tcPr>
            <w:tcW w:w="3080" w:type="dxa"/>
            <w:vAlign w:val="bottom"/>
          </w:tcPr>
          <w:p>
            <w:pPr>
              <w:ind w:left="120"/>
              <w:spacing w:after="0"/>
              <w:rPr>
                <w:sz w:val="20"/>
                <w:szCs w:val="20"/>
                <w:color w:val="auto"/>
              </w:rPr>
            </w:pPr>
            <w:r>
              <w:rPr>
                <w:rFonts w:ascii="Arial" w:cs="Arial" w:eastAsia="Arial" w:hAnsi="Arial"/>
                <w:sz w:val="18"/>
                <w:szCs w:val="18"/>
                <w:color w:val="auto"/>
              </w:rPr>
              <w:t>Christopher Guinta</w:t>
            </w:r>
          </w:p>
        </w:tc>
      </w:tr>
      <w:tr>
        <w:trPr>
          <w:trHeight w:val="243"/>
        </w:trPr>
        <w:tc>
          <w:tcPr>
            <w:tcW w:w="4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3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[NFE Second 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33" w:right="1159" w:bottom="1440" w:gutter="0" w:footer="0" w:header="0"/>
        </w:sectPr>
      </w:pPr>
    </w:p>
    <w:bookmarkStart w:id="131" w:name="page132"/>
    <w:bookmarkEnd w:id="131"/>
    <w:p>
      <w:pPr>
        <w:ind w:left="2280"/>
        <w:spacing w:after="0"/>
        <w:rPr>
          <w:sz w:val="20"/>
          <w:szCs w:val="20"/>
          <w:color w:val="auto"/>
        </w:rPr>
      </w:pPr>
      <w:r>
        <w:rPr>
          <w:rFonts w:ascii="Arial" w:cs="Arial" w:eastAsia="Arial" w:hAnsi="Arial"/>
          <w:sz w:val="18"/>
          <w:szCs w:val="18"/>
          <w:b w:val="1"/>
          <w:bCs w:val="1"/>
          <w:color w:val="auto"/>
        </w:rPr>
        <w:t>AMERICAN LNG MARKETING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AMERICAN NATURAL GAS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ENERGY HOLDINGS LLC</w:t>
      </w:r>
    </w:p>
    <w:p>
      <w:pPr>
        <w:spacing w:after="0" w:line="36" w:lineRule="exact"/>
        <w:rPr>
          <w:sz w:val="20"/>
          <w:szCs w:val="20"/>
          <w:color w:val="auto"/>
        </w:rPr>
      </w:pPr>
    </w:p>
    <w:p>
      <w:pPr>
        <w:ind w:left="2280" w:right="2019"/>
        <w:spacing w:after="0" w:line="281" w:lineRule="auto"/>
        <w:rPr>
          <w:sz w:val="20"/>
          <w:szCs w:val="20"/>
          <w:color w:val="auto"/>
        </w:rPr>
      </w:pPr>
      <w:r>
        <w:rPr>
          <w:rFonts w:ascii="Arial" w:cs="Arial" w:eastAsia="Arial" w:hAnsi="Arial"/>
          <w:sz w:val="18"/>
          <w:szCs w:val="18"/>
          <w:b w:val="1"/>
          <w:bCs w:val="1"/>
          <w:color w:val="auto"/>
        </w:rPr>
        <w:t>BRADFORD COUNTY DEVELOPMENT HOLDINGS LLC BRADFORD COUNTY GPF HOLDINGS LLC BRADFORD COUNTY GPF PARTNERS LLC BRADFORD COUNTY POWER HOLDINGS LLC BRADFORD COUNTY POWER PARTNERS LLC BRADFORD COUNTY REAL ESTATE HOLDINGS LLC BRADFORD COUNTY REAL ESTATE PARTNERS LLC BRADFORD COUNTY TRANSPORT HOLDINGS LLC BRADFORD COUNTY TRANSPORT PARTNERS LLC ENERGY TRANSPORT SOLUTIONS LLC ISLAND LNG LLC</w:t>
      </w:r>
    </w:p>
    <w:p>
      <w:pPr>
        <w:spacing w:after="0" w:line="8"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LNG HOLDINGS (FLORIDA)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LNG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NEW FORTRESS ENERGY MARKETING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BCS HOLDINGS (A)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BCS HOLDINGS (B)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EQUIPMENT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EQUIPMENT PARTNERS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ISO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ISO PARTNERS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LOGISTICS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MANAGEMENT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MEXICO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PLANT DEVELOPMENT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POWER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TRANSPORT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TRANSPORT PARTNERS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TICO DEVELOPMENT PARTNERS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TICO DEVELOPMENT PARTNERS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GHANA PARTNERS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GHANA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AMERICAN ENERGY LOGISTICS SOLUTIONS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LA DEVELOPMENT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LA REAL ESTATE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LA REAL ESTATE PARTNERS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PA DEVELOPMENT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PA REAL ESTATE HOLDINGS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PA REAL ESTATE PARTNERS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HONDURAS HOLDINGS LLC</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[NFE Second Amendment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2" w:name="page133"/>
    <w:bookmarkEnd w:id="132"/>
    <w:p>
      <w:pPr>
        <w:ind w:left="2280"/>
        <w:spacing w:after="0"/>
        <w:rPr>
          <w:sz w:val="20"/>
          <w:szCs w:val="20"/>
          <w:color w:val="auto"/>
        </w:rPr>
      </w:pPr>
      <w:r>
        <w:rPr>
          <w:rFonts w:ascii="Arial" w:cs="Arial" w:eastAsia="Arial" w:hAnsi="Arial"/>
          <w:sz w:val="18"/>
          <w:szCs w:val="18"/>
          <w:b w:val="1"/>
          <w:bCs w:val="1"/>
          <w:color w:val="auto"/>
        </w:rPr>
        <w:t>ATLANTIC DISTRIBUTION HOLDINGS SRL</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ENERGY HOLDINGS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POWER HOLDINGS SRL</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TERMINAL HOLDINGS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ATLANTIC POWER HOLDINGS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HOLDINGS LIMITED [BERMUDA]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INFRASTRUCTURE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TRADING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HOLDINGS LIMITED [BERMUDA]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POWER TRADING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TRADING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DISTRIBUTION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HOLDINGS LIMITED [JAMAICA]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NORTH TRANSPORT LIMITED</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HOLDINGS LIMITED [JAMAICA]</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SOUTH POWER HOLDINGS LIMITED</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[NFE Second 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3" w:name="page134"/>
    <w:bookmarkEnd w:id="133"/>
    <w:p>
      <w:pPr>
        <w:ind w:left="2280"/>
        <w:spacing w:after="0"/>
        <w:rPr>
          <w:sz w:val="20"/>
          <w:szCs w:val="20"/>
          <w:color w:val="auto"/>
        </w:rPr>
      </w:pPr>
      <w:r>
        <w:rPr>
          <w:rFonts w:ascii="Arial" w:cs="Arial" w:eastAsia="Arial" w:hAnsi="Arial"/>
          <w:sz w:val="18"/>
          <w:szCs w:val="18"/>
          <w:b w:val="1"/>
          <w:bCs w:val="1"/>
          <w:color w:val="auto"/>
        </w:rPr>
        <w:t>AMAUNET S. DE R.L. DE C.V.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NFENERGIA MEXICO S. DE R.L. DE C.V.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PACIFICO LAP S. DE R.L. DE C.V.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NFENERGIA GN DE BCS, S. DE R.L. DE C.V.</w:t>
      </w:r>
    </w:p>
    <w:p>
      <w:pPr>
        <w:spacing w:after="0" w:line="295"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Legal Representative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[NFE Second Amendment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4" w:name="page135"/>
    <w:bookmarkEnd w:id="134"/>
    <w:p>
      <w:pPr>
        <w:ind w:left="2280"/>
        <w:spacing w:after="0"/>
        <w:rPr>
          <w:sz w:val="20"/>
          <w:szCs w:val="20"/>
          <w:color w:val="auto"/>
        </w:rPr>
      </w:pPr>
      <w:r>
        <w:rPr>
          <w:rFonts w:ascii="Arial" w:cs="Arial" w:eastAsia="Arial" w:hAnsi="Arial"/>
          <w:sz w:val="18"/>
          <w:szCs w:val="18"/>
          <w:b w:val="1"/>
          <w:bCs w:val="1"/>
          <w:color w:val="auto"/>
        </w:rPr>
        <w:t>NFE MEXICO HOLDINGS B.V.</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NFE MEXICO HOLDINGS PARENT B.V.</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[NFE Second Amendment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5" w:name="page136"/>
    <w:bookmarkEnd w:id="135"/>
    <w:p>
      <w:pPr>
        <w:ind w:left="2280"/>
        <w:spacing w:after="0"/>
        <w:rPr>
          <w:sz w:val="20"/>
          <w:szCs w:val="20"/>
          <w:color w:val="auto"/>
        </w:rPr>
      </w:pPr>
      <w:r>
        <w:rPr>
          <w:rFonts w:ascii="Arial" w:cs="Arial" w:eastAsia="Arial" w:hAnsi="Arial"/>
          <w:sz w:val="18"/>
          <w:szCs w:val="18"/>
          <w:b w:val="1"/>
          <w:bCs w:val="1"/>
          <w:color w:val="auto"/>
        </w:rPr>
        <w:t>NFENERGIA LLC</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SOLUCIONES DE ENERGIA LIMPIA PR LLC</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[NFE Second Amendment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6" w:name="page137"/>
    <w:bookmarkEnd w:id="136"/>
    <w:p>
      <w:pPr>
        <w:ind w:left="2280"/>
        <w:spacing w:after="0"/>
        <w:rPr>
          <w:sz w:val="20"/>
          <w:szCs w:val="20"/>
          <w:color w:val="auto"/>
        </w:rPr>
      </w:pPr>
      <w:r>
        <w:rPr>
          <w:rFonts w:ascii="Arial" w:cs="Arial" w:eastAsia="Arial" w:hAnsi="Arial"/>
          <w:sz w:val="18"/>
          <w:szCs w:val="18"/>
          <w:b w:val="1"/>
          <w:bCs w:val="1"/>
          <w:color w:val="auto"/>
        </w:rPr>
        <w:t>NFENERGIA HONDURAS S. DE R.L.</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[NFE Second Amendment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7" w:name="page138"/>
    <w:bookmarkEnd w:id="137"/>
    <w:p>
      <w:pPr>
        <w:ind w:left="2280" w:right="1279"/>
        <w:spacing w:after="0" w:line="317" w:lineRule="auto"/>
        <w:rPr>
          <w:sz w:val="20"/>
          <w:szCs w:val="20"/>
          <w:color w:val="auto"/>
        </w:rPr>
      </w:pPr>
      <w:r>
        <w:rPr>
          <w:rFonts w:ascii="Arial" w:cs="Arial" w:eastAsia="Arial" w:hAnsi="Arial"/>
          <w:sz w:val="18"/>
          <w:szCs w:val="18"/>
          <w:b w:val="1"/>
          <w:bCs w:val="1"/>
          <w:color w:val="auto"/>
        </w:rPr>
        <w:t>NFE IRELAND FINANCING DESIGNATED ACTIVITY COMPANY NFE SHANNON HOLDINGS LIMITED SHANNON LNG LIMITED</w:t>
      </w:r>
    </w:p>
    <w:p>
      <w:pPr>
        <w:spacing w:after="0" w:line="182"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SHANNON LNG ENERGY LIMITED</w:t>
      </w:r>
    </w:p>
    <w:p>
      <w:pPr>
        <w:spacing w:after="0" w:line="283"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Christopher Guinta</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[NFE Second Amendment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8" w:name="page139"/>
    <w:bookmarkEnd w:id="138"/>
    <w:p>
      <w:pPr>
        <w:ind w:left="2280"/>
        <w:spacing w:after="0"/>
        <w:rPr>
          <w:sz w:val="20"/>
          <w:szCs w:val="20"/>
          <w:color w:val="auto"/>
        </w:rPr>
      </w:pPr>
      <w:r>
        <w:rPr>
          <w:rFonts w:ascii="Arial" w:cs="Arial" w:eastAsia="Arial" w:hAnsi="Arial"/>
          <w:sz w:val="17"/>
          <w:szCs w:val="17"/>
          <w:b w:val="1"/>
          <w:bCs w:val="1"/>
          <w:color w:val="auto"/>
        </w:rPr>
        <w:t>MORGAN STANLEY SENIOR FUNDING, INC.</w:t>
      </w:r>
      <w:r>
        <w:rPr>
          <w:rFonts w:ascii="Arial" w:cs="Arial" w:eastAsia="Arial" w:hAnsi="Arial"/>
          <w:sz w:val="17"/>
          <w:szCs w:val="17"/>
          <w:color w:val="auto"/>
        </w:rPr>
        <w:t>, as</w:t>
      </w:r>
    </w:p>
    <w:p>
      <w:pPr>
        <w:spacing w:after="0" w:line="3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Administrative Agent and a Lender</w:t>
      </w:r>
    </w:p>
    <w:p>
      <w:pPr>
        <w:spacing w:after="0" w:line="265"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By:</w:t>
        <w:tab/>
        <w:t>/s/ Chance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23583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Name:</w:t>
        <w:tab/>
        <w:t>Chance Moreland</w:t>
      </w:r>
    </w:p>
    <w:p>
      <w:pPr>
        <w:spacing w:after="0" w:line="36" w:lineRule="exact"/>
        <w:rPr>
          <w:sz w:val="20"/>
          <w:szCs w:val="20"/>
          <w:color w:val="auto"/>
        </w:rPr>
      </w:pPr>
    </w:p>
    <w:p>
      <w:pPr>
        <w:ind w:left="2760"/>
        <w:spacing w:after="0"/>
        <w:tabs>
          <w:tab w:leader="none" w:pos="3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[NFE Second 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10.29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117" w:lineRule="exact"/>
        <w:rPr>
          <w:sz w:val="20"/>
          <w:szCs w:val="20"/>
          <w:color w:val="auto"/>
        </w:rPr>
      </w:pPr>
    </w:p>
    <w:p>
      <w:pPr>
        <w:ind w:right="300" w:firstLine="566"/>
        <w:spacing w:after="0" w:line="277" w:lineRule="auto"/>
        <w:rPr>
          <w:sz w:val="20"/>
          <w:szCs w:val="20"/>
          <w:color w:val="auto"/>
        </w:rPr>
      </w:pPr>
      <w:r>
        <w:rPr>
          <w:rFonts w:ascii="Arial" w:cs="Arial" w:eastAsia="Arial" w:hAnsi="Arial"/>
          <w:sz w:val="18"/>
          <w:szCs w:val="18"/>
          <w:color w:val="auto"/>
        </w:rPr>
        <w:t>AGREEMENT, dated as of March 17, 2019 (this “Agreement”), between New Fortress Energy LLC, a Delaware limited liability company (the “Company”), and Yunyoung Shin (“Indemnitee”).</w:t>
      </w:r>
    </w:p>
    <w:p>
      <w:pPr>
        <w:spacing w:after="0" w:line="62" w:lineRule="exact"/>
        <w:rPr>
          <w:sz w:val="20"/>
          <w:szCs w:val="20"/>
          <w:color w:val="auto"/>
        </w:rPr>
      </w:pPr>
    </w:p>
    <w:p>
      <w:pPr>
        <w:ind w:left="560" w:right="100"/>
        <w:spacing w:after="0" w:line="375" w:lineRule="auto"/>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 WHEREAS, Indemnitee is a director and/or officer of the Company;</w:t>
      </w:r>
    </w:p>
    <w:p>
      <w:pPr>
        <w:spacing w:after="0" w:line="1" w:lineRule="exact"/>
        <w:rPr>
          <w:sz w:val="20"/>
          <w:szCs w:val="20"/>
          <w:color w:val="auto"/>
        </w:rPr>
      </w:pPr>
    </w:p>
    <w:p>
      <w:pPr>
        <w:ind w:right="300" w:firstLine="573"/>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62" w:lineRule="exact"/>
        <w:rPr>
          <w:sz w:val="20"/>
          <w:szCs w:val="20"/>
          <w:color w:val="auto"/>
        </w:rPr>
      </w:pPr>
    </w:p>
    <w:p>
      <w:pPr>
        <w:ind w:right="140" w:firstLine="573"/>
        <w:spacing w:after="0" w:line="259" w:lineRule="auto"/>
        <w:rPr>
          <w:sz w:val="20"/>
          <w:szCs w:val="20"/>
          <w:color w:val="auto"/>
        </w:rPr>
      </w:pPr>
      <w:r>
        <w:rPr>
          <w:rFonts w:ascii="Arial" w:cs="Arial" w:eastAsia="Arial" w:hAnsi="Arial"/>
          <w:sz w:val="18"/>
          <w:szCs w:val="18"/>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79" w:lineRule="exact"/>
        <w:rPr>
          <w:sz w:val="20"/>
          <w:szCs w:val="20"/>
          <w:color w:val="auto"/>
        </w:rPr>
      </w:pPr>
    </w:p>
    <w:p>
      <w:pPr>
        <w:ind w:right="260" w:firstLine="573"/>
        <w:spacing w:after="0" w:line="308" w:lineRule="auto"/>
        <w:rPr>
          <w:sz w:val="20"/>
          <w:szCs w:val="20"/>
          <w:color w:val="auto"/>
        </w:rPr>
      </w:pPr>
      <w:r>
        <w:rPr>
          <w:rFonts w:ascii="Arial" w:cs="Arial" w:eastAsia="Arial" w:hAnsi="Arial"/>
          <w:sz w:val="17"/>
          <w:szCs w:val="17"/>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38" w:lineRule="exact"/>
        <w:rPr>
          <w:sz w:val="20"/>
          <w:szCs w:val="20"/>
          <w:color w:val="auto"/>
        </w:rPr>
      </w:pPr>
    </w:p>
    <w:p>
      <w:pPr>
        <w:ind w:right="40" w:firstLine="573"/>
        <w:spacing w:after="0" w:line="259"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79" w:lineRule="exact"/>
        <w:rPr>
          <w:sz w:val="20"/>
          <w:szCs w:val="20"/>
          <w:color w:val="auto"/>
        </w:rPr>
      </w:pPr>
    </w:p>
    <w:p>
      <w:pPr>
        <w:jc w:val="both"/>
        <w:ind w:right="20" w:firstLine="573"/>
        <w:spacing w:after="0" w:line="264" w:lineRule="auto"/>
        <w:rPr>
          <w:sz w:val="20"/>
          <w:szCs w:val="20"/>
          <w:color w:val="auto"/>
        </w:rPr>
      </w:pPr>
      <w:r>
        <w:rPr>
          <w:rFonts w:ascii="Arial" w:cs="Arial" w:eastAsia="Arial" w:hAnsi="Arial"/>
          <w:sz w:val="18"/>
          <w:szCs w:val="18"/>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73" w:lineRule="exact"/>
        <w:rPr>
          <w:sz w:val="20"/>
          <w:szCs w:val="20"/>
          <w:color w:val="auto"/>
        </w:rPr>
      </w:pPr>
    </w:p>
    <w:p>
      <w:pPr>
        <w:ind w:firstLine="573"/>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81" w:lineRule="exact"/>
        <w:rPr>
          <w:sz w:val="20"/>
          <w:szCs w:val="20"/>
          <w:color w:val="auto"/>
        </w:rPr>
      </w:pPr>
    </w:p>
    <w:p>
      <w:pPr>
        <w:ind w:right="60" w:firstLine="576"/>
        <w:spacing w:after="0" w:line="308" w:lineRule="auto"/>
        <w:rPr>
          <w:sz w:val="20"/>
          <w:szCs w:val="20"/>
          <w:color w:val="auto"/>
        </w:rPr>
      </w:pPr>
      <w:r>
        <w:rPr>
          <w:rFonts w:ascii="Arial" w:cs="Arial" w:eastAsia="Arial" w:hAnsi="Arial"/>
          <w:sz w:val="17"/>
          <w:szCs w:val="17"/>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38" w:lineRule="exact"/>
        <w:rPr>
          <w:sz w:val="20"/>
          <w:szCs w:val="20"/>
          <w:color w:val="auto"/>
        </w:rPr>
      </w:pPr>
    </w:p>
    <w:p>
      <w:pPr>
        <w:ind w:right="140" w:firstLine="353"/>
        <w:spacing w:after="0" w:line="277" w:lineRule="auto"/>
        <w:tabs>
          <w:tab w:leader="none" w:pos="63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terms defined elsewhere herein, the following terms have the following meanings when used in this Agreement:</w:t>
      </w:r>
    </w:p>
    <w:p>
      <w:pPr>
        <w:spacing w:after="0" w:line="62" w:lineRule="exact"/>
        <w:rPr>
          <w:rFonts w:ascii="Arial" w:cs="Arial" w:eastAsia="Arial" w:hAnsi="Arial"/>
          <w:sz w:val="18"/>
          <w:szCs w:val="18"/>
          <w:color w:val="auto"/>
        </w:rPr>
      </w:pPr>
    </w:p>
    <w:p>
      <w:pPr>
        <w:ind w:left="1060" w:right="60" w:hanging="351"/>
        <w:spacing w:after="0" w:line="257" w:lineRule="auto"/>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Claim</w:t>
      </w:r>
      <w:r>
        <w:rPr>
          <w:rFonts w:ascii="Arial" w:cs="Arial" w:eastAsia="Arial" w:hAnsi="Arial"/>
          <w:sz w:val="18"/>
          <w:szCs w:val="18"/>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80" w:lineRule="exact"/>
        <w:rPr>
          <w:rFonts w:ascii="Arial" w:cs="Arial" w:eastAsia="Arial" w:hAnsi="Arial"/>
          <w:sz w:val="18"/>
          <w:szCs w:val="18"/>
          <w:color w:val="auto"/>
        </w:rPr>
      </w:pPr>
    </w:p>
    <w:p>
      <w:pPr>
        <w:ind w:left="1060" w:hanging="351"/>
        <w:spacing w:after="0"/>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rFonts w:ascii="Arial" w:cs="Arial" w:eastAsia="Arial" w:hAnsi="Arial"/>
          <w:sz w:val="18"/>
          <w:szCs w:val="18"/>
          <w:color w:val="auto"/>
        </w:rPr>
      </w:pPr>
    </w:p>
    <w:p>
      <w:pPr>
        <w:ind w:left="1060" w:right="20" w:hanging="351"/>
        <w:spacing w:after="0" w:line="257" w:lineRule="auto"/>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607187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140" w:name="page141"/>
    <w:bookmarkEnd w:id="140"/>
    <w:p>
      <w:pPr>
        <w:ind w:left="820"/>
        <w:spacing w:after="0" w:line="273" w:lineRule="auto"/>
        <w:rPr>
          <w:sz w:val="20"/>
          <w:szCs w:val="20"/>
          <w:color w:val="auto"/>
        </w:rPr>
      </w:pPr>
      <w:r>
        <w:rPr>
          <w:rFonts w:ascii="Arial" w:cs="Arial" w:eastAsia="Arial" w:hAnsi="Arial"/>
          <w:sz w:val="17"/>
          <w:szCs w:val="17"/>
          <w:color w:val="auto"/>
        </w:rPr>
        <w:t>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70" w:lineRule="exact"/>
        <w:rPr>
          <w:sz w:val="20"/>
          <w:szCs w:val="20"/>
          <w:color w:val="auto"/>
        </w:rPr>
      </w:pPr>
    </w:p>
    <w:p>
      <w:pPr>
        <w:ind w:left="800" w:right="20" w:hanging="351"/>
        <w:spacing w:after="0" w:line="269" w:lineRule="auto"/>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71" w:lineRule="exact"/>
        <w:rPr>
          <w:rFonts w:ascii="Arial" w:cs="Arial" w:eastAsia="Arial" w:hAnsi="Arial"/>
          <w:sz w:val="17"/>
          <w:szCs w:val="17"/>
          <w:color w:val="auto"/>
        </w:rPr>
      </w:pPr>
    </w:p>
    <w:p>
      <w:pPr>
        <w:ind w:left="800" w:hanging="351"/>
        <w:spacing w:after="0" w:line="288"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61" w:lineRule="exact"/>
        <w:rPr>
          <w:rFonts w:ascii="Arial" w:cs="Arial" w:eastAsia="Arial" w:hAnsi="Arial"/>
          <w:sz w:val="16"/>
          <w:szCs w:val="16"/>
          <w:color w:val="auto"/>
        </w:rPr>
      </w:pPr>
    </w:p>
    <w:p>
      <w:pPr>
        <w:ind w:left="800" w:right="40" w:hanging="351"/>
        <w:spacing w:after="0" w:line="272" w:lineRule="auto"/>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69" w:lineRule="exact"/>
        <w:rPr>
          <w:rFonts w:ascii="Arial" w:cs="Arial" w:eastAsia="Arial" w:hAnsi="Arial"/>
          <w:sz w:val="17"/>
          <w:szCs w:val="17"/>
          <w:color w:val="auto"/>
        </w:rPr>
      </w:pPr>
    </w:p>
    <w:p>
      <w:pPr>
        <w:ind w:left="800" w:hanging="351"/>
        <w:spacing w:after="0" w:line="257"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80" w:lineRule="exact"/>
        <w:rPr>
          <w:rFonts w:ascii="Arial" w:cs="Arial" w:eastAsia="Arial" w:hAnsi="Arial"/>
          <w:sz w:val="18"/>
          <w:szCs w:val="18"/>
          <w:color w:val="auto"/>
        </w:rPr>
      </w:pPr>
    </w:p>
    <w:p>
      <w:pPr>
        <w:ind w:left="800" w:right="120" w:hanging="351"/>
        <w:spacing w:after="0" w:line="264"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73" w:lineRule="exact"/>
        <w:rPr>
          <w:rFonts w:ascii="Arial" w:cs="Arial" w:eastAsia="Arial" w:hAnsi="Arial"/>
          <w:sz w:val="18"/>
          <w:szCs w:val="18"/>
          <w:color w:val="auto"/>
        </w:rPr>
      </w:pPr>
    </w:p>
    <w:p>
      <w:pPr>
        <w:ind w:left="800" w:hanging="351"/>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297815</wp:posOffset>
            </wp:positionV>
            <wp:extent cx="607187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80"/>
          </w:cols>
          <w:pgMar w:left="1440" w:top="125" w:right="1179" w:bottom="1440" w:gutter="0" w:footer="0" w:header="0"/>
        </w:sectPr>
      </w:pPr>
    </w:p>
    <w:bookmarkStart w:id="141" w:name="page142"/>
    <w:bookmarkEnd w:id="141"/>
    <w:p>
      <w:pPr>
        <w:ind w:left="620" w:hanging="267"/>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100" w:hanging="351"/>
        <w:spacing w:after="0" w:line="297" w:lineRule="auto"/>
        <w:tabs>
          <w:tab w:leader="none" w:pos="10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50" w:lineRule="exact"/>
        <w:rPr>
          <w:rFonts w:ascii="Arial" w:cs="Arial" w:eastAsia="Arial" w:hAnsi="Arial"/>
          <w:sz w:val="16"/>
          <w:szCs w:val="16"/>
          <w:color w:val="auto"/>
        </w:rPr>
      </w:pPr>
    </w:p>
    <w:p>
      <w:pPr>
        <w:ind w:left="1060" w:right="40" w:hanging="351"/>
        <w:spacing w:after="0" w:line="293" w:lineRule="auto"/>
        <w:tabs>
          <w:tab w:leader="none" w:pos="10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56" w:lineRule="exact"/>
        <w:rPr>
          <w:rFonts w:ascii="Arial" w:cs="Arial" w:eastAsia="Arial" w:hAnsi="Arial"/>
          <w:sz w:val="16"/>
          <w:szCs w:val="16"/>
          <w:color w:val="auto"/>
        </w:rPr>
      </w:pPr>
    </w:p>
    <w:p>
      <w:pPr>
        <w:ind w:left="1060" w:hanging="351"/>
        <w:spacing w:after="0" w:line="279" w:lineRule="auto"/>
        <w:tabs>
          <w:tab w:leader="none" w:pos="10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63" w:lineRule="exact"/>
        <w:rPr>
          <w:rFonts w:ascii="Arial" w:cs="Arial" w:eastAsia="Arial" w:hAnsi="Arial"/>
          <w:sz w:val="17"/>
          <w:szCs w:val="17"/>
          <w:color w:val="auto"/>
        </w:rPr>
      </w:pPr>
    </w:p>
    <w:p>
      <w:pPr>
        <w:ind w:left="1060" w:right="20" w:hanging="351"/>
        <w:spacing w:after="0" w:line="284" w:lineRule="auto"/>
        <w:tabs>
          <w:tab w:leader="none" w:pos="10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70" w:lineRule="exact"/>
        <w:rPr>
          <w:rFonts w:ascii="Arial" w:cs="Arial" w:eastAsia="Arial" w:hAnsi="Arial"/>
          <w:sz w:val="16"/>
          <w:szCs w:val="16"/>
          <w:color w:val="auto"/>
        </w:rPr>
      </w:pPr>
    </w:p>
    <w:p>
      <w:pPr>
        <w:ind w:right="60" w:firstLine="353"/>
        <w:spacing w:after="0" w:line="255" w:lineRule="auto"/>
        <w:tabs>
          <w:tab w:leader="none" w:pos="63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Indemnification for Additional Expenses</w:t>
      </w:r>
      <w:r>
        <w:rPr>
          <w:rFonts w:ascii="Arial" w:cs="Arial" w:eastAsia="Arial" w:hAnsi="Arial"/>
          <w:sz w:val="18"/>
          <w:szCs w:val="18"/>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33" w:right="1159" w:bottom="1440" w:gutter="0" w:footer="0" w:header="0"/>
        </w:sectPr>
      </w:pPr>
    </w:p>
    <w:bookmarkStart w:id="142" w:name="page143"/>
    <w:bookmarkEnd w:id="142"/>
    <w:p>
      <w:pPr>
        <w:ind w:right="20"/>
        <w:spacing w:after="0" w:line="302" w:lineRule="auto"/>
        <w:rPr>
          <w:sz w:val="20"/>
          <w:szCs w:val="20"/>
          <w:color w:val="auto"/>
        </w:rPr>
      </w:pPr>
      <w:r>
        <w:rPr>
          <w:rFonts w:ascii="Arial" w:cs="Arial" w:eastAsia="Arial" w:hAnsi="Arial"/>
          <w:sz w:val="16"/>
          <w:szCs w:val="16"/>
          <w:color w:val="auto"/>
        </w:rPr>
        <w:t>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46" w:lineRule="exact"/>
        <w:rPr>
          <w:sz w:val="20"/>
          <w:szCs w:val="20"/>
          <w:color w:val="auto"/>
        </w:rPr>
      </w:pPr>
    </w:p>
    <w:p>
      <w:pPr>
        <w:ind w:right="40" w:firstLine="353"/>
        <w:spacing w:after="0" w:line="255" w:lineRule="auto"/>
        <w:tabs>
          <w:tab w:leader="none" w:pos="63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81" w:lineRule="exact"/>
        <w:rPr>
          <w:rFonts w:ascii="Arial" w:cs="Arial" w:eastAsia="Arial" w:hAnsi="Arial"/>
          <w:sz w:val="18"/>
          <w:szCs w:val="18"/>
          <w:color w:val="auto"/>
        </w:rPr>
      </w:pPr>
    </w:p>
    <w:p>
      <w:pPr>
        <w:ind w:firstLine="353"/>
        <w:spacing w:after="0" w:line="257" w:lineRule="auto"/>
        <w:tabs>
          <w:tab w:leader="none" w:pos="63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80" w:lineRule="exact"/>
        <w:rPr>
          <w:rFonts w:ascii="Arial" w:cs="Arial" w:eastAsia="Arial" w:hAnsi="Arial"/>
          <w:sz w:val="18"/>
          <w:szCs w:val="18"/>
          <w:color w:val="auto"/>
        </w:rPr>
      </w:pPr>
    </w:p>
    <w:p>
      <w:pPr>
        <w:ind w:right="80" w:firstLine="353"/>
        <w:spacing w:after="0" w:line="270" w:lineRule="auto"/>
        <w:tabs>
          <w:tab w:leader="none" w:pos="63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Reliance as Safe Harbor</w:t>
      </w:r>
      <w:r>
        <w:rPr>
          <w:rFonts w:ascii="Arial" w:cs="Arial" w:eastAsia="Arial" w:hAnsi="Arial"/>
          <w:sz w:val="17"/>
          <w:szCs w:val="17"/>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73" w:lineRule="exact"/>
        <w:rPr>
          <w:rFonts w:ascii="Arial" w:cs="Arial" w:eastAsia="Arial" w:hAnsi="Arial"/>
          <w:sz w:val="17"/>
          <w:szCs w:val="17"/>
          <w:color w:val="auto"/>
        </w:rPr>
      </w:pPr>
    </w:p>
    <w:p>
      <w:pPr>
        <w:ind w:right="40" w:firstLine="353"/>
        <w:spacing w:after="0" w:line="270" w:lineRule="auto"/>
        <w:tabs>
          <w:tab w:leader="none" w:pos="63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No Other Presumptions</w:t>
      </w:r>
      <w:r>
        <w:rPr>
          <w:rFonts w:ascii="Arial" w:cs="Arial" w:eastAsia="Arial" w:hAnsi="Arial"/>
          <w:sz w:val="17"/>
          <w:szCs w:val="17"/>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73" w:lineRule="exact"/>
        <w:rPr>
          <w:rFonts w:ascii="Arial" w:cs="Arial" w:eastAsia="Arial" w:hAnsi="Arial"/>
          <w:sz w:val="17"/>
          <w:szCs w:val="17"/>
          <w:color w:val="auto"/>
        </w:rPr>
      </w:pPr>
    </w:p>
    <w:p>
      <w:pPr>
        <w:ind w:right="40" w:firstLine="353"/>
        <w:spacing w:after="0" w:line="290" w:lineRule="auto"/>
        <w:tabs>
          <w:tab w:leader="none" w:pos="63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Nonexclusivity, Etc.</w:t>
      </w:r>
      <w:r>
        <w:rPr>
          <w:rFonts w:ascii="Arial" w:cs="Arial" w:eastAsia="Arial" w:hAnsi="Arial"/>
          <w:sz w:val="16"/>
          <w:szCs w:val="16"/>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58" w:lineRule="exact"/>
        <w:rPr>
          <w:rFonts w:ascii="Arial" w:cs="Arial" w:eastAsia="Arial" w:hAnsi="Arial"/>
          <w:sz w:val="16"/>
          <w:szCs w:val="16"/>
          <w:color w:val="auto"/>
        </w:rPr>
      </w:pPr>
    </w:p>
    <w:p>
      <w:pPr>
        <w:jc w:val="both"/>
        <w:ind w:right="120" w:firstLine="353"/>
        <w:spacing w:after="0" w:line="259" w:lineRule="auto"/>
        <w:tabs>
          <w:tab w:leader="none" w:pos="63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5" w:right="1159" w:bottom="1440" w:gutter="0" w:footer="0" w:header="0"/>
        </w:sectPr>
      </w:pPr>
    </w:p>
    <w:bookmarkStart w:id="143" w:name="page144"/>
    <w:bookmarkEnd w:id="143"/>
    <w:p>
      <w:pPr>
        <w:ind w:right="20"/>
        <w:spacing w:after="0" w:line="259" w:lineRule="auto"/>
        <w:rPr>
          <w:sz w:val="20"/>
          <w:szCs w:val="20"/>
          <w:color w:val="auto"/>
        </w:rPr>
      </w:pPr>
      <w:r>
        <w:rPr>
          <w:rFonts w:ascii="Arial" w:cs="Arial" w:eastAsia="Arial" w:hAnsi="Arial"/>
          <w:sz w:val="18"/>
          <w:szCs w:val="18"/>
          <w:color w:val="auto"/>
        </w:rPr>
        <w:t>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79" w:lineRule="exact"/>
        <w:rPr>
          <w:sz w:val="20"/>
          <w:szCs w:val="20"/>
          <w:color w:val="auto"/>
        </w:rPr>
      </w:pPr>
    </w:p>
    <w:p>
      <w:pPr>
        <w:ind w:right="200" w:firstLine="353"/>
        <w:spacing w:after="0" w:line="297" w:lineRule="auto"/>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50" w:lineRule="exact"/>
        <w:rPr>
          <w:rFonts w:ascii="Arial" w:cs="Arial" w:eastAsia="Arial" w:hAnsi="Arial"/>
          <w:sz w:val="16"/>
          <w:szCs w:val="16"/>
          <w:color w:val="auto"/>
        </w:rPr>
      </w:pPr>
    </w:p>
    <w:p>
      <w:pPr>
        <w:jc w:val="both"/>
        <w:ind w:right="380" w:firstLine="353"/>
        <w:spacing w:after="0" w:line="312" w:lineRule="auto"/>
        <w:tabs>
          <w:tab w:leader="none" w:pos="713"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8" w:lineRule="exact"/>
        <w:rPr>
          <w:rFonts w:ascii="Arial" w:cs="Arial" w:eastAsia="Arial" w:hAnsi="Arial"/>
          <w:sz w:val="16"/>
          <w:szCs w:val="16"/>
          <w:color w:val="auto"/>
        </w:rPr>
      </w:pPr>
    </w:p>
    <w:p>
      <w:pPr>
        <w:ind w:right="80" w:firstLine="353"/>
        <w:spacing w:after="0" w:line="276" w:lineRule="auto"/>
        <w:tabs>
          <w:tab w:leader="none" w:pos="7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64" w:lineRule="exact"/>
        <w:rPr>
          <w:rFonts w:ascii="Arial" w:cs="Arial" w:eastAsia="Arial" w:hAnsi="Arial"/>
          <w:sz w:val="17"/>
          <w:szCs w:val="17"/>
          <w:color w:val="auto"/>
        </w:rPr>
      </w:pPr>
    </w:p>
    <w:p>
      <w:pPr>
        <w:ind w:firstLine="353"/>
        <w:spacing w:after="0" w:line="268" w:lineRule="auto"/>
        <w:tabs>
          <w:tab w:leader="none" w:pos="7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Jointly Indemnifiable Claims</w:t>
      </w:r>
      <w:r>
        <w:rPr>
          <w:rFonts w:ascii="Arial" w:cs="Arial" w:eastAsia="Arial" w:hAnsi="Arial"/>
          <w:sz w:val="17"/>
          <w:szCs w:val="17"/>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75" w:lineRule="exact"/>
        <w:rPr>
          <w:rFonts w:ascii="Arial" w:cs="Arial" w:eastAsia="Arial" w:hAnsi="Arial"/>
          <w:sz w:val="17"/>
          <w:szCs w:val="17"/>
          <w:color w:val="auto"/>
        </w:rPr>
      </w:pPr>
    </w:p>
    <w:p>
      <w:pPr>
        <w:ind w:right="60" w:firstLine="353"/>
        <w:spacing w:after="0" w:line="259"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78" w:lineRule="exact"/>
        <w:rPr>
          <w:rFonts w:ascii="Arial" w:cs="Arial" w:eastAsia="Arial" w:hAnsi="Arial"/>
          <w:sz w:val="18"/>
          <w:szCs w:val="18"/>
          <w:color w:val="auto"/>
        </w:rPr>
      </w:pPr>
    </w:p>
    <w:p>
      <w:pPr>
        <w:ind w:right="40" w:firstLine="353"/>
        <w:spacing w:after="0" w:line="290" w:lineRule="auto"/>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Defense of Claims</w:t>
      </w:r>
      <w:r>
        <w:rPr>
          <w:rFonts w:ascii="Arial" w:cs="Arial" w:eastAsia="Arial" w:hAnsi="Arial"/>
          <w:sz w:val="16"/>
          <w:szCs w:val="16"/>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5" w:right="1159" w:bottom="1440" w:gutter="0" w:footer="0" w:header="0"/>
        </w:sectPr>
      </w:pPr>
    </w:p>
    <w:bookmarkStart w:id="144" w:name="page145"/>
    <w:bookmarkEnd w:id="144"/>
    <w:p>
      <w:pPr>
        <w:ind w:right="80"/>
        <w:spacing w:after="0" w:line="270" w:lineRule="auto"/>
        <w:rPr>
          <w:sz w:val="20"/>
          <w:szCs w:val="20"/>
          <w:color w:val="auto"/>
        </w:rPr>
      </w:pPr>
      <w:r>
        <w:rPr>
          <w:rFonts w:ascii="Arial" w:cs="Arial" w:eastAsia="Arial" w:hAnsi="Arial"/>
          <w:sz w:val="17"/>
          <w:szCs w:val="17"/>
          <w:color w:val="auto"/>
        </w:rPr>
        <w:t xml:space="preserve">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70" w:lineRule="exact"/>
        <w:rPr>
          <w:sz w:val="20"/>
          <w:szCs w:val="20"/>
          <w:color w:val="auto"/>
        </w:rPr>
      </w:pPr>
    </w:p>
    <w:p>
      <w:pPr>
        <w:ind w:firstLine="353"/>
        <w:spacing w:after="0" w:line="297" w:lineRule="auto"/>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No Adverse Settlement</w:t>
      </w:r>
      <w:r>
        <w:rPr>
          <w:rFonts w:ascii="Arial" w:cs="Arial" w:eastAsia="Arial" w:hAnsi="Arial"/>
          <w:sz w:val="16"/>
          <w:szCs w:val="16"/>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50" w:lineRule="exact"/>
        <w:rPr>
          <w:rFonts w:ascii="Arial" w:cs="Arial" w:eastAsia="Arial" w:hAnsi="Arial"/>
          <w:sz w:val="16"/>
          <w:szCs w:val="16"/>
          <w:color w:val="auto"/>
        </w:rPr>
      </w:pPr>
    </w:p>
    <w:p>
      <w:pPr>
        <w:ind w:right="20" w:firstLine="353"/>
        <w:spacing w:after="0" w:line="270" w:lineRule="auto"/>
        <w:tabs>
          <w:tab w:leader="none" w:pos="72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73" w:lineRule="exact"/>
        <w:rPr>
          <w:rFonts w:ascii="Arial" w:cs="Arial" w:eastAsia="Arial" w:hAnsi="Arial"/>
          <w:sz w:val="17"/>
          <w:szCs w:val="17"/>
          <w:color w:val="auto"/>
        </w:rPr>
      </w:pPr>
    </w:p>
    <w:p>
      <w:pPr>
        <w:ind w:firstLine="353"/>
        <w:spacing w:after="0" w:line="259"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78" w:lineRule="exact"/>
        <w:rPr>
          <w:rFonts w:ascii="Arial" w:cs="Arial" w:eastAsia="Arial" w:hAnsi="Arial"/>
          <w:sz w:val="18"/>
          <w:szCs w:val="18"/>
          <w:color w:val="auto"/>
        </w:rPr>
      </w:pPr>
    </w:p>
    <w:p>
      <w:pPr>
        <w:ind w:right="20" w:firstLine="353"/>
        <w:spacing w:after="0" w:line="291" w:lineRule="auto"/>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59" w:lineRule="exact"/>
        <w:rPr>
          <w:rFonts w:ascii="Arial" w:cs="Arial" w:eastAsia="Arial" w:hAnsi="Arial"/>
          <w:sz w:val="16"/>
          <w:szCs w:val="16"/>
          <w:color w:val="auto"/>
        </w:rPr>
      </w:pPr>
    </w:p>
    <w:p>
      <w:pPr>
        <w:ind w:right="20" w:firstLine="353"/>
        <w:spacing w:after="0" w:line="302" w:lineRule="auto"/>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Specific Performance, Etc.</w:t>
      </w:r>
      <w:r>
        <w:rPr>
          <w:rFonts w:ascii="Arial" w:cs="Arial" w:eastAsia="Arial" w:hAnsi="Arial"/>
          <w:sz w:val="16"/>
          <w:szCs w:val="16"/>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125" w:right="1179" w:bottom="1440" w:gutter="0" w:footer="0" w:header="0"/>
        </w:sectPr>
      </w:pPr>
    </w:p>
    <w:bookmarkStart w:id="145" w:name="page146"/>
    <w:bookmarkEnd w:id="145"/>
    <w:p>
      <w:pPr>
        <w:ind w:right="60" w:firstLine="353"/>
        <w:spacing w:after="0" w:line="259" w:lineRule="auto"/>
        <w:tabs>
          <w:tab w:leader="none" w:pos="72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38" w:lineRule="exact"/>
        <w:rPr>
          <w:rFonts w:ascii="Arial" w:cs="Arial" w:eastAsia="Arial" w:hAnsi="Arial"/>
          <w:sz w:val="18"/>
          <w:szCs w:val="18"/>
          <w:color w:val="auto"/>
        </w:rPr>
      </w:pPr>
    </w:p>
    <w:p>
      <w:pPr>
        <w:ind w:left="760" w:hanging="413"/>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7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New Fortress Energy LLC</w:t>
      </w:r>
    </w:p>
    <w:p>
      <w:pPr>
        <w:spacing w:after="0" w:line="26" w:lineRule="exact"/>
        <w:rPr>
          <w:rFonts w:ascii="Arial" w:cs="Arial" w:eastAsia="Arial" w:hAnsi="Arial"/>
          <w:sz w:val="18"/>
          <w:szCs w:val="18"/>
          <w:color w:val="auto"/>
        </w:rPr>
      </w:pPr>
    </w:p>
    <w:p>
      <w:pPr>
        <w:ind w:left="760" w:right="5800"/>
        <w:spacing w:after="0" w:line="244" w:lineRule="auto"/>
        <w:rPr>
          <w:rFonts w:ascii="Arial" w:cs="Arial" w:eastAsia="Arial" w:hAnsi="Arial"/>
          <w:sz w:val="18"/>
          <w:szCs w:val="18"/>
          <w:color w:val="auto"/>
        </w:rPr>
      </w:pPr>
      <w:r>
        <w:rPr>
          <w:rFonts w:ascii="Arial" w:cs="Arial" w:eastAsia="Arial" w:hAnsi="Arial"/>
          <w:sz w:val="18"/>
          <w:szCs w:val="18"/>
          <w:color w:val="auto"/>
        </w:rPr>
        <w:t>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10011 Attention: Cameron D. MacDougall, Esq. Email: cmacdougall@fortress.com</w:t>
      </w:r>
    </w:p>
    <w:p>
      <w:pPr>
        <w:spacing w:after="0" w:line="25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7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Vinson &amp; Elkins L.L.P.</w:t>
      </w:r>
    </w:p>
    <w:p>
      <w:pPr>
        <w:spacing w:after="0" w:line="36" w:lineRule="exact"/>
        <w:rPr>
          <w:rFonts w:ascii="Arial" w:cs="Arial" w:eastAsia="Arial" w:hAnsi="Arial"/>
          <w:sz w:val="18"/>
          <w:szCs w:val="18"/>
          <w:color w:val="auto"/>
        </w:rPr>
      </w:pPr>
    </w:p>
    <w:p>
      <w:pPr>
        <w:ind w:left="760" w:right="6560"/>
        <w:spacing w:after="0" w:line="298" w:lineRule="auto"/>
        <w:rPr>
          <w:rFonts w:ascii="Arial" w:cs="Arial" w:eastAsia="Arial" w:hAnsi="Arial"/>
          <w:sz w:val="18"/>
          <w:szCs w:val="18"/>
          <w:color w:val="auto"/>
        </w:rPr>
      </w:pPr>
      <w:r>
        <w:rPr>
          <w:rFonts w:ascii="Arial" w:cs="Arial" w:eastAsia="Arial" w:hAnsi="Arial"/>
          <w:sz w:val="17"/>
          <w:szCs w:val="17"/>
          <w:color w:val="auto"/>
        </w:rPr>
        <w:t>1001 Fannin Street, Suite 2500 Houston, Texas 77002</w:t>
      </w:r>
    </w:p>
    <w:p>
      <w:pPr>
        <w:ind w:left="760"/>
        <w:spacing w:after="0"/>
        <w:rPr>
          <w:rFonts w:ascii="Arial" w:cs="Arial" w:eastAsia="Arial" w:hAnsi="Arial"/>
          <w:sz w:val="18"/>
          <w:szCs w:val="18"/>
          <w:color w:val="auto"/>
        </w:rPr>
      </w:pPr>
      <w:r>
        <w:rPr>
          <w:rFonts w:ascii="Arial" w:cs="Arial" w:eastAsia="Arial" w:hAnsi="Arial"/>
          <w:sz w:val="18"/>
          <w:szCs w:val="18"/>
          <w:color w:val="auto"/>
        </w:rPr>
        <w:t>Fax: (713) 758-2346</w:t>
      </w:r>
    </w:p>
    <w:p>
      <w:pPr>
        <w:spacing w:after="0" w:line="36" w:lineRule="exact"/>
        <w:rPr>
          <w:sz w:val="20"/>
          <w:szCs w:val="20"/>
          <w:color w:val="auto"/>
        </w:rPr>
      </w:pPr>
    </w:p>
    <w:p>
      <w:pPr>
        <w:ind w:left="760"/>
        <w:spacing w:after="0"/>
        <w:tabs>
          <w:tab w:leader="none" w:pos="1340" w:val="left"/>
        </w:tabs>
        <w:rPr>
          <w:sz w:val="20"/>
          <w:szCs w:val="20"/>
          <w:color w:val="auto"/>
        </w:rPr>
      </w:pPr>
      <w:r>
        <w:rPr>
          <w:rFonts w:ascii="Arial" w:cs="Arial" w:eastAsia="Arial" w:hAnsi="Arial"/>
          <w:sz w:val="18"/>
          <w:szCs w:val="18"/>
          <w:color w:val="auto"/>
        </w:rPr>
        <w:t>Attn:</w:t>
        <w:tab/>
        <w:t>David P. Oelman</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 Ramey Layne</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doelman@velaw.com; rlayne@velaw.com</w:t>
      </w:r>
    </w:p>
    <w:p>
      <w:pPr>
        <w:spacing w:after="0" w:line="279" w:lineRule="exact"/>
        <w:rPr>
          <w:sz w:val="20"/>
          <w:szCs w:val="20"/>
          <w:color w:val="auto"/>
        </w:rPr>
      </w:pPr>
    </w:p>
    <w:p>
      <w:pPr>
        <w:ind w:left="760" w:hanging="423"/>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79" w:lineRule="exact"/>
        <w:rPr>
          <w:sz w:val="20"/>
          <w:szCs w:val="20"/>
          <w:color w:val="auto"/>
        </w:rPr>
      </w:pPr>
    </w:p>
    <w:p>
      <w:pPr>
        <w:ind w:firstLine="353"/>
        <w:spacing w:after="0" w:line="286" w:lineRule="auto"/>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57" w:lineRule="exact"/>
        <w:rPr>
          <w:rFonts w:ascii="Arial" w:cs="Arial" w:eastAsia="Arial" w:hAnsi="Arial"/>
          <w:sz w:val="17"/>
          <w:szCs w:val="17"/>
          <w:color w:val="auto"/>
        </w:rPr>
      </w:pPr>
    </w:p>
    <w:p>
      <w:pPr>
        <w:ind w:right="140" w:firstLine="353"/>
        <w:spacing w:after="0" w:line="277"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62" w:lineRule="exact"/>
        <w:rPr>
          <w:rFonts w:ascii="Arial" w:cs="Arial" w:eastAsia="Arial" w:hAnsi="Arial"/>
          <w:sz w:val="18"/>
          <w:szCs w:val="18"/>
          <w:color w:val="auto"/>
        </w:rPr>
      </w:pPr>
    </w:p>
    <w:p>
      <w:pPr>
        <w:ind w:right="120" w:firstLine="353"/>
        <w:spacing w:after="0" w:line="264"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33" w:right="1159" w:bottom="1440" w:gutter="0" w:footer="0" w:header="0"/>
        </w:sectPr>
      </w:pPr>
    </w:p>
    <w:bookmarkStart w:id="146" w:name="page147"/>
    <w:bookmarkEnd w:id="146"/>
    <w:p>
      <w:pPr>
        <w:ind w:left="4500" w:right="1340" w:hanging="4150"/>
        <w:spacing w:after="0" w:line="356" w:lineRule="auto"/>
        <w:rPr>
          <w:sz w:val="20"/>
          <w:szCs w:val="20"/>
          <w:color w:val="auto"/>
        </w:rPr>
      </w:pPr>
      <w:r>
        <w:rPr>
          <w:rFonts w:ascii="Arial" w:cs="Arial" w:eastAsia="Arial" w:hAnsi="Arial"/>
          <w:sz w:val="18"/>
          <w:szCs w:val="18"/>
          <w:color w:val="auto"/>
        </w:rPr>
        <w:t>IN WITNESS WHEREOF, the parties hereto have executed this Agreement as of the date first above written. New Fortress Energy LLC</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45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Christopher S. Guinta</w:t>
            </w:r>
          </w:p>
        </w:tc>
      </w:tr>
      <w:tr>
        <w:trPr>
          <w:trHeight w:val="237"/>
        </w:trPr>
        <w:tc>
          <w:tcPr>
            <w:tcW w:w="494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Name:</w:t>
            </w:r>
          </w:p>
        </w:tc>
        <w:tc>
          <w:tcPr>
            <w:tcW w:w="3960" w:type="dxa"/>
            <w:vAlign w:val="bottom"/>
          </w:tcPr>
          <w:p>
            <w:pPr>
              <w:ind w:left="140"/>
              <w:spacing w:after="0"/>
              <w:rPr>
                <w:sz w:val="20"/>
                <w:szCs w:val="20"/>
                <w:color w:val="auto"/>
              </w:rPr>
            </w:pPr>
            <w:r>
              <w:rPr>
                <w:rFonts w:ascii="Arial" w:cs="Arial" w:eastAsia="Arial" w:hAnsi="Arial"/>
                <w:sz w:val="18"/>
                <w:szCs w:val="18"/>
                <w:color w:val="auto"/>
              </w:rPr>
              <w:t>Christopher S. Guinta</w:t>
            </w:r>
          </w:p>
        </w:tc>
      </w:tr>
      <w:tr>
        <w:trPr>
          <w:trHeight w:val="243"/>
        </w:trPr>
        <w:tc>
          <w:tcPr>
            <w:tcW w:w="494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Title:</w:t>
            </w:r>
          </w:p>
        </w:tc>
        <w:tc>
          <w:tcPr>
            <w:tcW w:w="39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97"/>
        </w:trPr>
        <w:tc>
          <w:tcPr>
            <w:tcW w:w="5600" w:type="dxa"/>
            <w:vAlign w:val="bottom"/>
            <w:gridSpan w:val="2"/>
          </w:tcPr>
          <w:p>
            <w:pPr>
              <w:ind w:left="4500"/>
              <w:spacing w:after="0"/>
              <w:rPr>
                <w:sz w:val="20"/>
                <w:szCs w:val="20"/>
                <w:color w:val="auto"/>
              </w:rPr>
            </w:pPr>
            <w:r>
              <w:rPr>
                <w:rFonts w:ascii="Arial" w:cs="Arial" w:eastAsia="Arial" w:hAnsi="Arial"/>
                <w:sz w:val="18"/>
                <w:szCs w:val="18"/>
                <w:color w:val="auto"/>
              </w:rPr>
              <w:t>Indemnitee</w:t>
            </w:r>
          </w:p>
        </w:tc>
        <w:tc>
          <w:tcPr>
            <w:tcW w:w="3960" w:type="dxa"/>
            <w:vAlign w:val="bottom"/>
          </w:tcPr>
          <w:p>
            <w:pPr>
              <w:spacing w:after="0"/>
              <w:rPr>
                <w:sz w:val="24"/>
                <w:szCs w:val="24"/>
                <w:color w:val="auto"/>
              </w:rPr>
            </w:pPr>
          </w:p>
        </w:tc>
      </w:tr>
      <w:tr>
        <w:trPr>
          <w:trHeight w:val="486"/>
        </w:trPr>
        <w:tc>
          <w:tcPr>
            <w:tcW w:w="4940" w:type="dxa"/>
            <w:vAlign w:val="bottom"/>
          </w:tcPr>
          <w:p>
            <w:pPr>
              <w:ind w:left="45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Yunyoung Shin</w:t>
            </w:r>
          </w:p>
        </w:tc>
      </w:tr>
      <w:tr>
        <w:trPr>
          <w:trHeight w:val="237"/>
        </w:trPr>
        <w:tc>
          <w:tcPr>
            <w:tcW w:w="494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Name:</w:t>
            </w:r>
          </w:p>
        </w:tc>
        <w:tc>
          <w:tcPr>
            <w:tcW w:w="3960" w:type="dxa"/>
            <w:vAlign w:val="bottom"/>
          </w:tcPr>
          <w:p>
            <w:pPr>
              <w:ind w:left="140"/>
              <w:spacing w:after="0"/>
              <w:rPr>
                <w:sz w:val="20"/>
                <w:szCs w:val="20"/>
                <w:color w:val="auto"/>
              </w:rPr>
            </w:pPr>
            <w:r>
              <w:rPr>
                <w:rFonts w:ascii="Arial" w:cs="Arial" w:eastAsia="Arial" w:hAnsi="Arial"/>
                <w:sz w:val="18"/>
                <w:szCs w:val="18"/>
                <w:color w:val="auto"/>
              </w:rPr>
              <w:t>Yunyoung Shin</w:t>
            </w:r>
          </w:p>
        </w:tc>
      </w:tr>
      <w:tr>
        <w:trPr>
          <w:trHeight w:val="459"/>
        </w:trPr>
        <w:tc>
          <w:tcPr>
            <w:tcW w:w="4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68"/>
        </w:trPr>
        <w:tc>
          <w:tcPr>
            <w:tcW w:w="494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39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33" w:right="115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ind w:left="2880"/>
              <w:spacing w:after="0"/>
              <w:rPr>
                <w:sz w:val="20"/>
                <w:szCs w:val="20"/>
                <w:color w:val="auto"/>
              </w:rPr>
            </w:pPr>
            <w:r>
              <w:rPr>
                <w:rFonts w:ascii="Arial" w:cs="Arial" w:eastAsia="Arial" w:hAnsi="Arial"/>
                <w:sz w:val="18"/>
                <w:szCs w:val="18"/>
                <w:b w:val="1"/>
                <w:bCs w:val="1"/>
                <w:color w:val="auto"/>
              </w:rPr>
              <w:t>List of Subsidiaries of New Fortress Energy LLC</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9"/>
                <w:szCs w:val="19"/>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Amaunet S. de R.L. de C.V.</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American Energy Logistics Solutions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American LNG Marketing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American Natural Gas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Atlantic Distribution Holdings SRL</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Barbados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Atlantic Energy Holdings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Barbados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Atlantic Energy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Atlantic Power Holdings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Atlantic Power Holdings SRL</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Barbados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Atlantic Terminal Holdings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Barbados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Bradford County Development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Bradford County GPF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Bradford County GPF Partners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Bradford County Power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Bradford County Power Partners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Bradford County Real Estate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Bradford County Real Estate Partners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Bradford County Transport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Bradford County Transport Partners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Energy Transport Solutions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Island LNG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LA Development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LA Real Estate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LA Real Estate Partners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LNG Holdings (Florida)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LNG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New Fortress Energy Foundation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Jamaica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New Fortress Energy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New Fortress Energy Marketing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New Fortress Intermediate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Atlantic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Bahamas Holdings Ltd.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BCS Holdings (A)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BCS Holdings (B)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Equipment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Equipment Partners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Ghana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Ghana Partners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Honduras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International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Ireland Financing DAC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ISO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ISO Partners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Logistics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Management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Mexico Holdings B.V.</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Mexico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Mexico Holdings LLC Parent B.V.</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000000"/>
          </w:tcPr>
          <w:p>
            <w:pPr>
              <w:spacing w:after="0"/>
              <w:rPr>
                <w:sz w:val="5"/>
                <w:szCs w:val="5"/>
                <w:color w:val="auto"/>
              </w:rPr>
            </w:pPr>
          </w:p>
        </w:tc>
        <w:tc>
          <w:tcPr>
            <w:tcW w:w="80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121" w:right="115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North Distribution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Jamaica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North Holdings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North Holdings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Jamaica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North Infrastructure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North Trading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North Transport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Jamaica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Pacifico LAP S. de R.L. de C.V.</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Plant Development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Shannon Holdings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Side Vehicle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South Holdings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South Holdings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Jamaica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South Power Holdings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Jamaica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South Power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South Power Trading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South Trading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Sub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 Transport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 Transport Partners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NFEnergia GN de BCS, S. de R.L. de C.V.</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NFEnergia Honduras S. DE RL</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Honduras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NFEnergia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NFEnergia Mexico S. de R.L. de C.V.</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PA Development Holdings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 Real Estate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PA Real Estate Partners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PATH Ltd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Shannon LNG Energy Limited</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Shannon LNG Limited</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Soluciones de Energia Limpia PR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TICO Development Partners Holdings LLC</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TICO Development Partners LLC</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000000"/>
          </w:tcPr>
          <w:p>
            <w:pPr>
              <w:spacing w:after="0"/>
              <w:rPr>
                <w:sz w:val="5"/>
                <w:szCs w:val="5"/>
                <w:color w:val="auto"/>
              </w:rPr>
            </w:pPr>
          </w:p>
        </w:tc>
        <w:tc>
          <w:tcPr>
            <w:tcW w:w="80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198" w:right="11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333-229507) pertaining to the New Fortress Energy LLC 2019 Omnibus Incentive Plan of our report dated March 26, 2019, with respect to the consolidated financial statements and schedule of New Fortress Energy Holdings LLC included in the Annual Report (Form 10-K) of New Fortress Energy LLC for the year ended December 31, 2018.</w:t>
      </w:r>
    </w:p>
    <w:p>
      <w:pPr>
        <w:spacing w:after="0" w:line="187"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 Ernst &amp; Young LLP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607187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1180" w:right="2120"/>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RULE 13A-14(A) AND RULE 15D-14(A) OF THE SECURITIES EXCHANGE ACT OF 1934, AS AMENDED</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color w:val="auto"/>
        </w:rPr>
        <w:t>I, Wesley R. Edens, certify that:</w:t>
      </w:r>
    </w:p>
    <w:p>
      <w:pPr>
        <w:spacing w:after="0" w:line="117" w:lineRule="exact"/>
        <w:rPr>
          <w:sz w:val="20"/>
          <w:szCs w:val="20"/>
          <w:color w:val="auto"/>
        </w:rPr>
      </w:pPr>
    </w:p>
    <w:p>
      <w:pPr>
        <w:ind w:left="347" w:hanging="347"/>
        <w:spacing w:after="0"/>
        <w:tabs>
          <w:tab w:leader="none" w:pos="3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New Fortress Energy LLC (the “registrant”);</w:t>
      </w:r>
    </w:p>
    <w:p>
      <w:pPr>
        <w:spacing w:after="0" w:line="117" w:lineRule="exact"/>
        <w:rPr>
          <w:rFonts w:ascii="Arial" w:cs="Arial" w:eastAsia="Arial" w:hAnsi="Arial"/>
          <w:sz w:val="18"/>
          <w:szCs w:val="18"/>
          <w:color w:val="auto"/>
        </w:rPr>
      </w:pPr>
    </w:p>
    <w:p>
      <w:pPr>
        <w:ind w:left="347" w:right="160" w:hanging="347"/>
        <w:spacing w:after="0" w:line="264" w:lineRule="auto"/>
        <w:tabs>
          <w:tab w:leader="none" w:pos="3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347" w:right="240" w:hanging="347"/>
        <w:spacing w:after="0" w:line="264" w:lineRule="auto"/>
        <w:tabs>
          <w:tab w:leader="none" w:pos="3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347" w:right="600" w:hanging="347"/>
        <w:spacing w:after="0" w:line="308" w:lineRule="auto"/>
        <w:tabs>
          <w:tab w:leader="none" w:pos="34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7"/>
          <w:szCs w:val="17"/>
          <w:color w:val="auto"/>
        </w:rPr>
      </w:pPr>
    </w:p>
    <w:p>
      <w:pPr>
        <w:ind w:left="707" w:right="40" w:hanging="356"/>
        <w:spacing w:after="0" w:line="312" w:lineRule="auto"/>
        <w:tabs>
          <w:tab w:leader="none" w:pos="707"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707" w:right="220" w:hanging="356"/>
        <w:spacing w:after="0" w:line="264" w:lineRule="auto"/>
        <w:tabs>
          <w:tab w:leader="none" w:pos="707"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707" w:right="20" w:hanging="356"/>
        <w:spacing w:after="0" w:line="312" w:lineRule="auto"/>
        <w:tabs>
          <w:tab w:leader="none" w:pos="707"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347" w:right="320" w:hanging="347"/>
        <w:spacing w:after="0" w:line="264" w:lineRule="auto"/>
        <w:tabs>
          <w:tab w:leader="none" w:pos="3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07" w:right="120" w:hanging="356"/>
        <w:spacing w:after="0" w:line="264" w:lineRule="auto"/>
        <w:tabs>
          <w:tab w:leader="none" w:pos="707"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07" w:right="500" w:hanging="356"/>
        <w:spacing w:after="0" w:line="277" w:lineRule="auto"/>
        <w:tabs>
          <w:tab w:leader="none" w:pos="707"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ind w:left="7"/>
        <w:spacing w:after="0"/>
        <w:tabs>
          <w:tab w:leader="none" w:pos="786" w:val="left"/>
          <w:tab w:leader="none" w:pos="5066" w:val="left"/>
          <w:tab w:leader="none" w:pos="5546"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14605</wp:posOffset>
            </wp:positionV>
            <wp:extent cx="56000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0" w:lineRule="exact"/>
        <w:rPr>
          <w:sz w:val="20"/>
          <w:szCs w:val="20"/>
          <w:color w:val="auto"/>
        </w:rPr>
      </w:pPr>
    </w:p>
    <w:p>
      <w:pPr>
        <w:ind w:left="5567"/>
        <w:spacing w:after="0"/>
        <w:rPr>
          <w:sz w:val="20"/>
          <w:szCs w:val="20"/>
          <w:color w:val="auto"/>
        </w:rPr>
      </w:pPr>
      <w:r>
        <w:rPr>
          <w:rFonts w:ascii="Arial" w:cs="Arial" w:eastAsia="Arial" w:hAnsi="Arial"/>
          <w:sz w:val="18"/>
          <w:szCs w:val="18"/>
          <w:color w:val="auto"/>
        </w:rPr>
        <w:t>Wesley R. Edens</w:t>
      </w:r>
    </w:p>
    <w:p>
      <w:pPr>
        <w:spacing w:after="0" w:line="36" w:lineRule="exact"/>
        <w:rPr>
          <w:sz w:val="20"/>
          <w:szCs w:val="20"/>
          <w:color w:val="auto"/>
        </w:rPr>
      </w:pPr>
    </w:p>
    <w:p>
      <w:pPr>
        <w:ind w:left="5567"/>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5567"/>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21" w:right="11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1180" w:right="2120"/>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RULE 13A-14(A) AND RULE 15D-14(A) OF THE SECURITIES EXCHANGE ACT OF 1934, AS AMENDED</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color w:val="auto"/>
        </w:rPr>
        <w:t>I, Christopher S. Guinta, certify that:</w:t>
      </w:r>
    </w:p>
    <w:p>
      <w:pPr>
        <w:spacing w:after="0" w:line="117" w:lineRule="exact"/>
        <w:rPr>
          <w:sz w:val="20"/>
          <w:szCs w:val="20"/>
          <w:color w:val="auto"/>
        </w:rPr>
      </w:pPr>
    </w:p>
    <w:p>
      <w:pPr>
        <w:ind w:left="347" w:hanging="347"/>
        <w:spacing w:after="0"/>
        <w:tabs>
          <w:tab w:leader="none" w:pos="3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New Fortress Energy LLC (the “registrant”);</w:t>
      </w:r>
    </w:p>
    <w:p>
      <w:pPr>
        <w:spacing w:after="0" w:line="117" w:lineRule="exact"/>
        <w:rPr>
          <w:rFonts w:ascii="Arial" w:cs="Arial" w:eastAsia="Arial" w:hAnsi="Arial"/>
          <w:sz w:val="18"/>
          <w:szCs w:val="18"/>
          <w:color w:val="auto"/>
        </w:rPr>
      </w:pPr>
    </w:p>
    <w:p>
      <w:pPr>
        <w:ind w:left="347" w:right="160" w:hanging="347"/>
        <w:spacing w:after="0" w:line="264" w:lineRule="auto"/>
        <w:tabs>
          <w:tab w:leader="none" w:pos="3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347" w:right="240" w:hanging="347"/>
        <w:spacing w:after="0" w:line="264" w:lineRule="auto"/>
        <w:tabs>
          <w:tab w:leader="none" w:pos="3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347" w:right="600" w:hanging="347"/>
        <w:spacing w:after="0" w:line="308" w:lineRule="auto"/>
        <w:tabs>
          <w:tab w:leader="none" w:pos="3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7"/>
          <w:szCs w:val="17"/>
          <w:color w:val="auto"/>
        </w:rPr>
      </w:pPr>
    </w:p>
    <w:p>
      <w:pPr>
        <w:ind w:left="707" w:right="40" w:hanging="356"/>
        <w:spacing w:after="0" w:line="312" w:lineRule="auto"/>
        <w:tabs>
          <w:tab w:leader="none" w:pos="707"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707" w:right="220" w:hanging="356"/>
        <w:spacing w:after="0" w:line="264" w:lineRule="auto"/>
        <w:tabs>
          <w:tab w:leader="none" w:pos="707"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707" w:right="20" w:hanging="356"/>
        <w:spacing w:after="0" w:line="312" w:lineRule="auto"/>
        <w:tabs>
          <w:tab w:leader="none" w:pos="707"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347" w:right="320" w:hanging="347"/>
        <w:spacing w:after="0" w:line="264" w:lineRule="auto"/>
        <w:tabs>
          <w:tab w:leader="none" w:pos="3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07" w:right="120" w:hanging="356"/>
        <w:spacing w:after="0" w:line="264" w:lineRule="auto"/>
        <w:tabs>
          <w:tab w:leader="none" w:pos="70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07" w:right="500" w:hanging="356"/>
        <w:spacing w:after="0" w:line="277" w:lineRule="auto"/>
        <w:tabs>
          <w:tab w:leader="none" w:pos="70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ind w:left="7"/>
        <w:spacing w:after="0"/>
        <w:tabs>
          <w:tab w:leader="none" w:pos="786" w:val="left"/>
          <w:tab w:leader="none" w:pos="5066" w:val="left"/>
          <w:tab w:leader="none" w:pos="5546"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14605</wp:posOffset>
            </wp:positionV>
            <wp:extent cx="56000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0" w:lineRule="exact"/>
        <w:rPr>
          <w:sz w:val="20"/>
          <w:szCs w:val="20"/>
          <w:color w:val="auto"/>
        </w:rPr>
      </w:pPr>
    </w:p>
    <w:p>
      <w:pPr>
        <w:ind w:left="5567"/>
        <w:spacing w:after="0"/>
        <w:rPr>
          <w:sz w:val="20"/>
          <w:szCs w:val="20"/>
          <w:color w:val="auto"/>
        </w:rPr>
      </w:pPr>
      <w:r>
        <w:rPr>
          <w:rFonts w:ascii="Arial" w:cs="Arial" w:eastAsia="Arial" w:hAnsi="Arial"/>
          <w:sz w:val="18"/>
          <w:szCs w:val="18"/>
          <w:color w:val="auto"/>
        </w:rPr>
        <w:t>Christopher S. Guinta</w:t>
      </w:r>
    </w:p>
    <w:p>
      <w:pPr>
        <w:spacing w:after="0" w:line="36" w:lineRule="exact"/>
        <w:rPr>
          <w:sz w:val="20"/>
          <w:szCs w:val="20"/>
          <w:color w:val="auto"/>
        </w:rPr>
      </w:pPr>
    </w:p>
    <w:p>
      <w:pPr>
        <w:ind w:left="5567"/>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567"/>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21" w:right="11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UNDER SECTION 906</w:t>
      </w: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88"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In connection with the Annual Report on Form 10-K of New Fortress Energy LLC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79" w:lineRule="exact"/>
        <w:rPr>
          <w:sz w:val="20"/>
          <w:szCs w:val="20"/>
          <w:color w:val="auto"/>
        </w:rPr>
      </w:pPr>
    </w:p>
    <w:p>
      <w:pPr>
        <w:ind w:left="700" w:right="460" w:hanging="356"/>
        <w:spacing w:after="0" w:line="277"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700" w:right="520" w:hanging="356"/>
        <w:spacing w:after="0" w:line="277"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spacing w:after="0"/>
        <w:tabs>
          <w:tab w:leader="none" w:pos="780" w:val="left"/>
          <w:tab w:leader="none" w:pos="506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14605</wp:posOffset>
            </wp:positionV>
            <wp:extent cx="56000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Wesley R. Edens</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UNDER SECTION 906</w:t>
      </w: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88"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connection with Annual Report on Form 10-K of New Fortress Energy LLC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79" w:lineRule="exact"/>
        <w:rPr>
          <w:sz w:val="20"/>
          <w:szCs w:val="20"/>
          <w:color w:val="auto"/>
        </w:rPr>
      </w:pPr>
    </w:p>
    <w:p>
      <w:pPr>
        <w:ind w:left="700" w:right="460" w:hanging="35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700" w:right="520" w:hanging="35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spacing w:after="0"/>
        <w:tabs>
          <w:tab w:leader="none" w:pos="780" w:val="left"/>
          <w:tab w:leader="none" w:pos="506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14605</wp:posOffset>
            </wp:positionV>
            <wp:extent cx="56000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Christopher S. Guinta</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560"/>
      </w:cols>
      <w:pgMar w:left="1180" w:top="122"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o"/>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lowerRoman"/>
      <w:start w:val="2"/>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upperLetter"/>
      <w:start w:val="6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6"/>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2"/>
    </w:lvl>
  </w:abstractNum>
  <w:abstractNum w:abstractNumId="34">
    <w:nsid w:val="15B5AF5C"/>
    <w:multiLevelType w:val="hybridMultilevel"/>
    <w:lvl w:ilvl="0">
      <w:lvlJc w:val="left"/>
      <w:lvlText w:val="(%1)"/>
      <w:numFmt w:val="lowerLetter"/>
      <w:start w:val="2"/>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decimal"/>
      <w:start w:val="1"/>
    </w:lvl>
    <w:lvl w:ilvl="1">
      <w:lvlJc w:val="left"/>
      <w:lvlText w:val="(%2)"/>
      <w:numFmt w:val="lowerLetter"/>
      <w:start w:val="1"/>
    </w:lvl>
  </w:abstractNum>
  <w:abstractNum w:abstractNumId="38">
    <w:nsid w:val="3F6AB60F"/>
    <w:multiLevelType w:val="hybridMultilevel"/>
    <w:lvl w:ilvl="0">
      <w:lvlJc w:val="left"/>
      <w:lvlText w:val="(%1)"/>
      <w:numFmt w:val="lowerLetter"/>
      <w:start w:val="3"/>
    </w:lvl>
  </w:abstractNum>
  <w:abstractNum w:abstractNumId="39">
    <w:nsid w:val="61574095"/>
    <w:multiLevelType w:val="hybridMultilevel"/>
    <w:lvl w:ilvl="0">
      <w:lvlJc w:val="left"/>
      <w:lvlText w:val="(%1)"/>
      <w:numFmt w:val="lowerLetter"/>
      <w:start w:val="8"/>
    </w:lvl>
  </w:abstractNum>
  <w:abstractNum w:abstractNumId="40">
    <w:nsid w:val="7E0C57B1"/>
    <w:multiLevelType w:val="hybridMultilevel"/>
    <w:lvl w:ilvl="0">
      <w:lvlJc w:val="left"/>
      <w:lvlText w:val="(%1)"/>
      <w:numFmt w:val="lowerLetter"/>
      <w:start w:val="10"/>
    </w:lvl>
  </w:abstractNum>
  <w:abstractNum w:abstractNumId="41">
    <w:nsid w:val="77AE35EB"/>
    <w:multiLevelType w:val="hybridMultilevel"/>
    <w:lvl w:ilvl="0">
      <w:lvlJc w:val="left"/>
      <w:lvlText w:val="(%1)"/>
      <w:numFmt w:val="lowerLetter"/>
      <w:start w:val="12"/>
    </w:lvl>
  </w:abstractNum>
  <w:abstractNum w:abstractNumId="42">
    <w:nsid w:val="579BE4F1"/>
    <w:multiLevelType w:val="hybridMultilevel"/>
    <w:lvl w:ilvl="0">
      <w:lvlJc w:val="left"/>
      <w:lvlText w:val="(%1)"/>
      <w:numFmt w:val="lowerLetter"/>
      <w:start w:val="17"/>
    </w:lvl>
  </w:abstractNum>
  <w:abstractNum w:abstractNumId="43">
    <w:nsid w:val="310C50B3"/>
    <w:multiLevelType w:val="hybridMultilevel"/>
    <w:lvl w:ilvl="0">
      <w:lvlJc w:val="left"/>
      <w:lvlText w:val="%1"/>
      <w:numFmt w:val="decimal"/>
      <w:start w:val="1"/>
    </w:lvl>
    <w:lvl w:ilvl="1">
      <w:lvlJc w:val="left"/>
      <w:lvlText w:val="(%2)"/>
      <w:numFmt w:val="lowerLetter"/>
      <w:start w:val="19"/>
    </w:lvl>
  </w:abstractNum>
  <w:abstractNum w:abstractNumId="44">
    <w:nsid w:val="5FF87E05"/>
    <w:multiLevelType w:val="hybridMultilevel"/>
    <w:lvl w:ilvl="0">
      <w:lvlJc w:val="left"/>
      <w:lvlText w:val="%1."/>
      <w:numFmt w:val="decimal"/>
      <w:start w:val="3"/>
    </w:lvl>
    <w:lvl w:ilvl="1">
      <w:lvlJc w:val="left"/>
      <w:lvlText w:val="%2"/>
      <w:numFmt w:val="lowerLetter"/>
      <w:start w:val="1"/>
    </w:lvl>
  </w:abstractNum>
  <w:abstractNum w:abstractNumId="45">
    <w:nsid w:val="2F305DEF"/>
    <w:multiLevelType w:val="hybridMultilevel"/>
    <w:lvl w:ilvl="0">
      <w:lvlJc w:val="left"/>
      <w:lvlText w:val="%1."/>
      <w:numFmt w:val="decimal"/>
      <w:start w:val="4"/>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5"/>
    </w:lvl>
    <w:lvl w:ilvl="1">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6"/>
    </w:lvl>
  </w:abstractNum>
  <w:abstractNum w:abstractNumId="51">
    <w:nsid w:val="5DB70AE5"/>
    <w:multiLevelType w:val="hybridMultilevel"/>
    <w:lvl w:ilvl="0">
      <w:lvlJc w:val="left"/>
      <w:lvlText w:val="%1."/>
      <w:numFmt w:val="decimal"/>
      <w:start w:val="7"/>
    </w:lvl>
  </w:abstractNum>
  <w:abstractNum w:abstractNumId="52">
    <w:nsid w:val="100F8FCA"/>
    <w:multiLevelType w:val="hybridMultilevel"/>
    <w:lvl w:ilvl="0">
      <w:lvlJc w:val="left"/>
      <w:lvlText w:val="%1."/>
      <w:numFmt w:val="decimal"/>
      <w:start w:val="8"/>
    </w:lvl>
  </w:abstractNum>
  <w:abstractNum w:abstractNumId="53">
    <w:nsid w:val="6590700B"/>
    <w:multiLevelType w:val="hybridMultilevel"/>
    <w:lvl w:ilvl="0">
      <w:lvlJc w:val="left"/>
      <w:lvlText w:val="%1."/>
      <w:numFmt w:val="decimal"/>
      <w:start w:val="9"/>
    </w:lvl>
  </w:abstractNum>
  <w:abstractNum w:abstractNumId="54">
    <w:nsid w:val="15014ACB"/>
    <w:multiLevelType w:val="hybridMultilevel"/>
    <w:lvl w:ilvl="0">
      <w:lvlJc w:val="left"/>
      <w:lvlText w:val="%1."/>
      <w:numFmt w:val="decimal"/>
      <w:start w:val="10"/>
    </w:lvl>
  </w:abstractNum>
  <w:abstractNum w:abstractNumId="55">
    <w:nsid w:val="5F5E7FD0"/>
    <w:multiLevelType w:val="hybridMultilevel"/>
    <w:lvl w:ilvl="0">
      <w:lvlJc w:val="left"/>
      <w:lvlText w:val="%1."/>
      <w:numFmt w:val="decimal"/>
      <w:start w:val="11"/>
    </w:lvl>
  </w:abstractNum>
  <w:abstractNum w:abstractNumId="56">
    <w:nsid w:val="98A3148"/>
    <w:multiLevelType w:val="hybridMultilevel"/>
    <w:lvl w:ilvl="0">
      <w:lvlJc w:val="left"/>
      <w:lvlText w:val="%1."/>
      <w:numFmt w:val="decimal"/>
      <w:start w:val="12"/>
    </w:lvl>
  </w:abstractNum>
  <w:abstractNum w:abstractNumId="57">
    <w:nsid w:val="799D0247"/>
    <w:multiLevelType w:val="hybridMultilevel"/>
    <w:lvl w:ilvl="0">
      <w:lvlJc w:val="left"/>
      <w:lvlText w:val="%1."/>
      <w:numFmt w:val="decimal"/>
      <w:start w:val="13"/>
    </w:lvl>
  </w:abstractNum>
  <w:abstractNum w:abstractNumId="58">
    <w:nsid w:val="6B94764"/>
    <w:multiLevelType w:val="hybridMultilevel"/>
    <w:lvl w:ilvl="0">
      <w:lvlJc w:val="left"/>
      <w:lvlText w:val="%1."/>
      <w:numFmt w:val="decimal"/>
      <w:start w:val="14"/>
    </w:lvl>
  </w:abstractNum>
  <w:abstractNum w:abstractNumId="59">
    <w:nsid w:val="42C296BD"/>
    <w:multiLevelType w:val="hybridMultilevel"/>
    <w:lvl w:ilvl="0">
      <w:lvlJc w:val="left"/>
      <w:lvlText w:val="%1."/>
      <w:numFmt w:val="decimal"/>
      <w:start w:val="15"/>
    </w:lvl>
  </w:abstractNum>
  <w:abstractNum w:abstractNumId="60">
    <w:nsid w:val="168E121F"/>
    <w:multiLevelType w:val="hybridMultilevel"/>
    <w:lvl w:ilvl="0">
      <w:lvlJc w:val="left"/>
      <w:lvlText w:val="%1."/>
      <w:numFmt w:val="decimal"/>
      <w:start w:val="16"/>
    </w:lvl>
  </w:abstractNum>
  <w:abstractNum w:abstractNumId="61">
    <w:nsid w:val="1EBA5D23"/>
    <w:multiLevelType w:val="hybridMultilevel"/>
    <w:lvl w:ilvl="0">
      <w:lvlJc w:val="left"/>
      <w:lvlText w:val="%1."/>
      <w:numFmt w:val="decimal"/>
      <w:start w:val="17"/>
    </w:lvl>
  </w:abstractNum>
  <w:abstractNum w:abstractNumId="62">
    <w:nsid w:val="661E3F1E"/>
    <w:multiLevelType w:val="hybridMultilevel"/>
    <w:lvl w:ilvl="0">
      <w:lvlJc w:val="left"/>
      <w:lvlText w:val="%1."/>
      <w:numFmt w:val="decimal"/>
      <w:start w:val="18"/>
    </w:lvl>
  </w:abstractNum>
  <w:abstractNum w:abstractNumId="63">
    <w:nsid w:val="5DC79EA8"/>
    <w:multiLevelType w:val="hybridMultilevel"/>
    <w:lvl w:ilvl="0">
      <w:lvlJc w:val="left"/>
      <w:lvlText w:val="%1."/>
      <w:numFmt w:val="decimal"/>
      <w:start w:val="19"/>
    </w:lvl>
  </w:abstractNum>
  <w:abstractNum w:abstractNumId="64">
    <w:nsid w:val="540A471C"/>
    <w:multiLevelType w:val="hybridMultilevel"/>
    <w:lvl w:ilvl="0">
      <w:lvlJc w:val="left"/>
      <w:lvlText w:val="%1."/>
      <w:numFmt w:val="decimal"/>
      <w:start w:val="22"/>
    </w:lvl>
  </w:abstractNum>
  <w:abstractNum w:abstractNumId="65">
    <w:nsid w:val="7BD3EE7B"/>
    <w:multiLevelType w:val="hybridMultilevel"/>
    <w:lvl w:ilvl="0">
      <w:lvlJc w:val="left"/>
      <w:lvlText w:val="%1."/>
      <w:numFmt w:val="decimal"/>
      <w:start w:val="23"/>
    </w:lvl>
  </w:abstractNum>
  <w:abstractNum w:abstractNumId="66">
    <w:nsid w:val="51D9C564"/>
    <w:multiLevelType w:val="hybridMultilevel"/>
    <w:lvl w:ilvl="0">
      <w:lvlJc w:val="left"/>
      <w:lvlText w:val="%1."/>
      <w:numFmt w:val="decimal"/>
      <w:start w:val="25"/>
    </w:lvl>
    <w:lvl w:ilvl="1">
      <w:lvlJc w:val="left"/>
      <w:lvlText w:val="•"/>
      <w:numFmt w:val="bullet"/>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decimal"/>
      <w:start w:val="1"/>
    </w:lvl>
    <w:lvl w:ilvl="1">
      <w:lvlJc w:val="left"/>
      <w:lvlText w:val="(%2)"/>
      <w:numFmt w:val="lowerLetter"/>
      <w:start w:val="1"/>
    </w:lvl>
  </w:abstractNum>
  <w:abstractNum w:abstractNumId="71">
    <w:nsid w:val="A0382C5"/>
    <w:multiLevelType w:val="hybridMultilevel"/>
    <w:lvl w:ilvl="0">
      <w:lvlJc w:val="left"/>
      <w:lvlText w:val="(%1)"/>
      <w:numFmt w:val="lowerLetter"/>
      <w:start w:val="4"/>
    </w:lvl>
  </w:abstractNum>
  <w:abstractNum w:abstractNumId="72">
    <w:nsid w:val="8F2B15E"/>
    <w:multiLevelType w:val="hybridMultilevel"/>
    <w:lvl w:ilvl="0">
      <w:lvlJc w:val="left"/>
      <w:lvlText w:val="%1."/>
      <w:numFmt w:val="decimal"/>
      <w:start w:val="2"/>
    </w:lvl>
    <w:lvl w:ilvl="1">
      <w:lvlJc w:val="left"/>
      <w:lvlText w:val="(%2)"/>
      <w:numFmt w:val="lowerLetter"/>
      <w:start w:val="1"/>
    </w:lvl>
  </w:abstractNum>
  <w:abstractNum w:abstractNumId="73">
    <w:nsid w:val="1A32234B"/>
    <w:multiLevelType w:val="hybridMultilevel"/>
    <w:lvl w:ilvl="0">
      <w:lvlJc w:val="left"/>
      <w:lvlText w:val="%1."/>
      <w:numFmt w:val="decimal"/>
      <w:start w:val="4"/>
    </w:lvl>
  </w:abstractNum>
  <w:abstractNum w:abstractNumId="74">
    <w:nsid w:val="3B0FD379"/>
    <w:multiLevelType w:val="hybridMultilevel"/>
    <w:lvl w:ilvl="0">
      <w:lvlJc w:val="left"/>
      <w:lvlText w:val="%1."/>
      <w:numFmt w:val="decimal"/>
      <w:start w:val="10"/>
    </w:lvl>
  </w:abstractNum>
  <w:abstractNum w:abstractNumId="75">
    <w:nsid w:val="68EB2F63"/>
    <w:multiLevelType w:val="hybridMultilevel"/>
    <w:lvl w:ilvl="0">
      <w:lvlJc w:val="left"/>
      <w:lvlText w:val="%1."/>
      <w:numFmt w:val="decimal"/>
      <w:start w:val="16"/>
    </w:lvl>
  </w:abstractNum>
  <w:abstractNum w:abstractNumId="76">
    <w:nsid w:val="4962813B"/>
    <w:multiLevelType w:val="hybridMultilevel"/>
    <w:lvl w:ilvl="0">
      <w:lvlJc w:val="left"/>
      <w:lvlText w:val="%1"/>
      <w:numFmt w:val="lowerLetter"/>
      <w:start w:val="1"/>
    </w:lvl>
    <w:lvl w:ilvl="1">
      <w:lvlJc w:val="left"/>
      <w:lvlText w:val="%2."/>
      <w:numFmt w:val="decimal"/>
      <w:start w:val="21"/>
    </w:lvl>
  </w:abstractNum>
  <w:abstractNum w:abstractNumId="77">
    <w:nsid w:val="60B6DF70"/>
    <w:multiLevelType w:val="hybridMultilevel"/>
    <w:lvl w:ilvl="0">
      <w:lvlJc w:val="left"/>
      <w:lvlText w:val="(%1)"/>
      <w:numFmt w:val="lowerLetter"/>
      <w:start w:val="1"/>
    </w:lvl>
    <w:lvl w:ilvl="1">
      <w:lvlJc w:val="left"/>
      <w:lvlText w:val="%2"/>
      <w:numFmt w:val="decimal"/>
      <w:start w:val="1"/>
    </w:lvl>
  </w:abstractNum>
  <w:abstractNum w:abstractNumId="78">
    <w:nsid w:val="6A5EE64"/>
    <w:multiLevelType w:val="hybridMultilevel"/>
    <w:lvl w:ilvl="0">
      <w:lvlJc w:val="left"/>
      <w:lvlText w:val="(%1)"/>
      <w:numFmt w:val="lowerLetter"/>
      <w:start w:val="2"/>
    </w:lvl>
  </w:abstractNum>
  <w:abstractNum w:abstractNumId="79">
    <w:nsid w:val="14330624"/>
    <w:multiLevelType w:val="hybridMultilevel"/>
    <w:lvl w:ilvl="0">
      <w:lvlJc w:val="left"/>
      <w:lvlText w:val="%1."/>
      <w:numFmt w:val="decimal"/>
      <w:start w:val="22"/>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9" Type="http://schemas.openxmlformats.org/officeDocument/2006/relationships/image" Target="media/image99.png"/><Relationship Id="rId121" Type="http://schemas.openxmlformats.org/officeDocument/2006/relationships/image" Target="media/image100.png"/><Relationship Id="rId123" Type="http://schemas.openxmlformats.org/officeDocument/2006/relationships/image" Target="media/image101.png"/><Relationship Id="rId126" Type="http://schemas.openxmlformats.org/officeDocument/2006/relationships/image" Target="media/image102.png"/><Relationship Id="rId129" Type="http://schemas.openxmlformats.org/officeDocument/2006/relationships/image" Target="media/image103.png"/><Relationship Id="rId132" Type="http://schemas.openxmlformats.org/officeDocument/2006/relationships/image" Target="media/image104.png"/><Relationship Id="rId135"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104" Type="http://schemas.openxmlformats.org/officeDocument/2006/relationships/hyperlink" Target="http://www.sec.gov/Archives/edgar/data/1749723/000114036118042889/s002392x7_ex3-1.htm" TargetMode="External"/><Relationship Id="rId105" Type="http://schemas.openxmlformats.org/officeDocument/2006/relationships/hyperlink" Target="http://www.sec.gov/Archives/edgar/data/1749723/000114036118042889/s002392x7_ex3-2.htm" TargetMode="External"/><Relationship Id="rId106" Type="http://schemas.openxmlformats.org/officeDocument/2006/relationships/hyperlink" Target="http://www.sec.gov/Archives/edgar/data/1749723/000114036119002493/s002392x20_ex3-1.htm" TargetMode="External"/><Relationship Id="rId107" Type="http://schemas.openxmlformats.org/officeDocument/2006/relationships/hyperlink" Target="http://www.sec.gov/Archives/edgar/data/1749723/000114036119002493/s002392x20_ex10-1.htm" TargetMode="External"/><Relationship Id="rId108" Type="http://schemas.openxmlformats.org/officeDocument/2006/relationships/hyperlink" Target="http://www.sec.gov/Archives/edgar/data/1749723/000114036119002493/s002392x20_ex10-2.htm" TargetMode="External"/><Relationship Id="rId109" Type="http://schemas.openxmlformats.org/officeDocument/2006/relationships/hyperlink" Target="http://www.sec.gov/Archives/edgar/data/1749723/000114036119002438/s002392x19_ex4-4.htm" TargetMode="External"/><Relationship Id="rId110" Type="http://schemas.openxmlformats.org/officeDocument/2006/relationships/hyperlink" Target="http://www.sec.gov/Archives/edgar/data/1749723/000114036118045661/s002392x8_ex10-4.htm" TargetMode="External"/><Relationship Id="rId111" Type="http://schemas.openxmlformats.org/officeDocument/2006/relationships/hyperlink" Target="http://www.sec.gov/Archives/edgar/data/1749723/000114036119000862/s002392x10_ex10-5.htm" TargetMode="External"/><Relationship Id="rId112" Type="http://schemas.openxmlformats.org/officeDocument/2006/relationships/hyperlink" Target="http://www.sec.gov/Archives/edgar/data/1749723/000114036119000862/s002392x10_ex10-6.htm" TargetMode="External"/><Relationship Id="rId113" Type="http://schemas.openxmlformats.org/officeDocument/2006/relationships/hyperlink" Target="http://www.sec.gov/Archives/edgar/data/1749723/000114036119002493/s002392x20_ex4-1.htm" TargetMode="External"/><Relationship Id="rId114" Type="http://schemas.openxmlformats.org/officeDocument/2006/relationships/hyperlink" Target="http://www.sec.gov/Archives/edgar/data/1749723/000114036119002493/s002392x20_ex10-3.htm" TargetMode="External"/><Relationship Id="rId115" Type="http://schemas.openxmlformats.org/officeDocument/2006/relationships/hyperlink" Target="http://www.sec.gov/Archives/edgar/data/1749723/000114036118042889/s002392x7_ex10-9.htm" TargetMode="External"/><Relationship Id="rId118" Type="http://schemas.openxmlformats.org/officeDocument/2006/relationships/hyperlink" Target="http://www.sec.gov/Archives/edgar/data/1749723/000114036118042889/s002392x7_ex10-10.htm" TargetMode="External"/><Relationship Id="rId120" Type="http://schemas.openxmlformats.org/officeDocument/2006/relationships/hyperlink" Target="http://www.sec.gov/Archives/edgar/data/1749723/000114036118042889/s002392x7_ex10-11.htm" TargetMode="External"/><Relationship Id="rId122" Type="http://schemas.openxmlformats.org/officeDocument/2006/relationships/hyperlink" Target="http://www.sec.gov/Archives/edgar/data/1749723/000114036119002493/s002392x20_ex10-4.htm" TargetMode="External"/><Relationship Id="rId124" Type="http://schemas.openxmlformats.org/officeDocument/2006/relationships/hyperlink" Target="http://www.sec.gov/Archives/edgar/data/1749723/000114036119002493/s002392x20_ex10-5.htm" TargetMode="External"/><Relationship Id="rId125" Type="http://schemas.openxmlformats.org/officeDocument/2006/relationships/hyperlink" Target="http://www.sec.gov/Archives/edgar/data/1749723/000114036119002493/s002392x20_ex10-6.htm" TargetMode="External"/><Relationship Id="rId127" Type="http://schemas.openxmlformats.org/officeDocument/2006/relationships/hyperlink" Target="http://www.sec.gov/Archives/edgar/data/1749723/000114036119002493/s002392x20_ex10-7.htm" TargetMode="External"/><Relationship Id="rId128" Type="http://schemas.openxmlformats.org/officeDocument/2006/relationships/hyperlink" Target="http://www.sec.gov/Archives/edgar/data/1749723/000114036119002493/s002392x20_ex10-8.htm" TargetMode="External"/><Relationship Id="rId130" Type="http://schemas.openxmlformats.org/officeDocument/2006/relationships/hyperlink" Target="http://www.sec.gov/Archives/edgar/data/1749723/000114036119002493/s002392x20_ex10-9.htm" TargetMode="External"/><Relationship Id="rId131" Type="http://schemas.openxmlformats.org/officeDocument/2006/relationships/hyperlink" Target="http://www.sec.gov/Archives/edgar/data/1749723/000114036119002493/s002392x20_ex10-10.htm" TargetMode="External"/><Relationship Id="rId133" Type="http://schemas.openxmlformats.org/officeDocument/2006/relationships/hyperlink" Target="http://www.sec.gov/Archives/edgar/data/1749723/000114036119002493/s002392x20_ex10-11.htm" TargetMode="External"/><Relationship Id="rId134" Type="http://schemas.openxmlformats.org/officeDocument/2006/relationships/hyperlink" Target="http://www.sec.gov/Archives/edgar/data/1749723/000114036119002493/s002392x20_ex10-12.htm" TargetMode="External"/><Relationship Id="rId136" Type="http://schemas.openxmlformats.org/officeDocument/2006/relationships/hyperlink" Target="http://www.sec.gov/Archives/edgar/data/1749723/000114036119002493/s002392x20_ex10-13.htm" TargetMode="External"/><Relationship Id="rId137" Type="http://schemas.openxmlformats.org/officeDocument/2006/relationships/hyperlink" Target="http://www.sec.gov/Archives/edgar/data/1749723/000114036119000862/s002392x10_ex10-15.htm" TargetMode="External"/><Relationship Id="rId141" Type="http://schemas.openxmlformats.org/officeDocument/2006/relationships/hyperlink" Target="http://www.sec.gov/Archives/edgar/data/1749723/000114036119000862/s002392x10_ex10-16.htm" TargetMode="External"/><Relationship Id="rId142" Type="http://schemas.openxmlformats.org/officeDocument/2006/relationships/hyperlink" Target="http://www.sec.gov/Archives/edgar/data/1749723/000114036119001592/s002392x11_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2019-12-28T14:31:09Z</dcterms:created>
  <dcterms:modified xsi:type="dcterms:W3CDTF">2019-12-28T14:31:09Z</dcterms:modified>
</cp:coreProperties>
</file>