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79"/>
        <w:spacing w:after="0" w:line="229"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1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29, 2024</w:t>
      </w:r>
    </w:p>
    <w:p>
      <w:pPr>
        <w:spacing w:after="0" w:line="20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New Fortress Energy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080"/>
          </w:cols>
          <w:pgMar w:left="320" w:top="1029" w:right="499" w:bottom="1440" w:gutter="0" w:footer="0" w:header="0"/>
        </w:sectPr>
      </w:pPr>
    </w:p>
    <w:p>
      <w:pPr>
        <w:spacing w:after="0" w:line="269"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7"/>
          <w:szCs w:val="17"/>
          <w:b w:val="1"/>
          <w:bCs w:val="1"/>
          <w:color w:val="auto"/>
        </w:rPr>
        <w:t>001-38790</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83-1482060</w:t>
      </w:r>
    </w:p>
    <w:p>
      <w:pPr>
        <w:spacing w:after="0" w:line="49" w:lineRule="exact"/>
        <w:rPr>
          <w:sz w:val="24"/>
          <w:szCs w:val="24"/>
          <w:color w:val="auto"/>
        </w:rPr>
      </w:pPr>
    </w:p>
    <w:p>
      <w:pPr>
        <w:sectPr>
          <w:pgSz w:w="11900" w:h="16838" w:orient="portrait"/>
          <w:cols w:equalWidth="0" w:num="3">
            <w:col w:w="4620" w:space="720"/>
            <w:col w:w="2780" w:space="720"/>
            <w:col w:w="2240"/>
          </w:cols>
          <w:pgMar w:left="320" w:top="1029" w:right="49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220" w:space="720"/>
            <w:col w:w="2640" w:space="720"/>
            <w:col w:w="2780"/>
          </w:cols>
          <w:pgMar w:left="320" w:top="1029" w:right="499" w:bottom="1440" w:gutter="0" w:footer="0" w:header="0"/>
          <w:type w:val="continuous"/>
        </w:sectPr>
      </w:pPr>
    </w:p>
    <w:p>
      <w:pPr>
        <w:spacing w:after="0" w:line="22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111 W. 19th Street, 8th Floor</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10011</w:t>
      </w:r>
    </w:p>
    <w:p>
      <w:pPr>
        <w:spacing w:after="0" w:line="64" w:lineRule="exact"/>
        <w:rPr>
          <w:sz w:val="24"/>
          <w:szCs w:val="24"/>
          <w:color w:val="auto"/>
        </w:rPr>
      </w:pPr>
    </w:p>
    <w:p>
      <w:pPr>
        <w:sectPr>
          <w:pgSz w:w="11900" w:h="16838" w:orient="portrait"/>
          <w:cols w:equalWidth="0" w:num="2">
            <w:col w:w="8300" w:space="720"/>
            <w:col w:w="2060"/>
          </w:cols>
          <w:pgMar w:left="320" w:top="1029" w:right="499" w:bottom="1440" w:gutter="0" w:footer="0" w:header="0"/>
          <w:type w:val="continuous"/>
        </w:sectPr>
      </w:pPr>
    </w:p>
    <w:p>
      <w:pPr>
        <w:ind w:left="2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113" w:lineRule="exact"/>
        <w:rPr>
          <w:sz w:val="24"/>
          <w:szCs w:val="24"/>
          <w:color w:val="auto"/>
        </w:rPr>
      </w:pPr>
    </w:p>
    <w:p>
      <w:pPr>
        <w:sectPr>
          <w:pgSz w:w="11900" w:h="16838" w:orient="portrait"/>
          <w:cols w:equalWidth="0" w:num="2">
            <w:col w:w="8120" w:space="720"/>
            <w:col w:w="2240"/>
          </w:cols>
          <w:pgMar w:left="320" w:top="1029" w:right="499" w:bottom="1440" w:gutter="0" w:footer="0" w:header="0"/>
          <w:type w:val="continuous"/>
        </w:sectPr>
      </w:pPr>
    </w:p>
    <w:p>
      <w:pPr>
        <w:jc w:val="center"/>
        <w:ind w:right="-179"/>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(516) 268-7400</w:t>
      </w:r>
    </w:p>
    <w:p>
      <w:pPr>
        <w:sectPr>
          <w:pgSz w:w="11900" w:h="16838" w:orient="portrait"/>
          <w:cols w:equalWidth="0" w:num="1">
            <w:col w:w="11080"/>
          </w:cols>
          <w:pgMar w:left="320" w:top="1029" w:right="499" w:bottom="1440" w:gutter="0" w:footer="0" w:header="0"/>
          <w:type w:val="continuous"/>
        </w:sectPr>
      </w:pPr>
    </w:p>
    <w:p>
      <w:pPr>
        <w:spacing w:after="0" w:line="200" w:lineRule="exact"/>
        <w:rPr>
          <w:sz w:val="24"/>
          <w:szCs w:val="24"/>
          <w:color w:val="auto"/>
        </w:rPr>
      </w:pPr>
    </w:p>
    <w:p>
      <w:pPr>
        <w:spacing w:after="0" w:line="297"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57"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00" w:lineRule="exact"/>
        <w:rPr>
          <w:sz w:val="24"/>
          <w:szCs w:val="24"/>
          <w:color w:val="auto"/>
        </w:rPr>
      </w:pPr>
    </w:p>
    <w:p>
      <w:pPr>
        <w:spacing w:after="0" w:line="340" w:lineRule="exact"/>
        <w:rPr>
          <w:sz w:val="24"/>
          <w:szCs w:val="24"/>
          <w:color w:val="auto"/>
        </w:rPr>
      </w:pPr>
    </w:p>
    <w:tbl>
      <w:tblPr>
        <w:tblLayout w:type="fixed"/>
        <w:tblInd w:w="880" w:type="dxa"/>
        <w:tblCellMar>
          <w:top w:w="0" w:type="dxa"/>
          <w:left w:w="0" w:type="dxa"/>
          <w:bottom w:w="0" w:type="dxa"/>
          <w:right w:w="0" w:type="dxa"/>
        </w:tblCellMar>
      </w:tblPr>
      <w:tr>
        <w:trPr>
          <w:trHeight w:val="207"/>
        </w:trPr>
        <w:tc>
          <w:tcPr>
            <w:tcW w:w="220" w:type="dxa"/>
            <w:vAlign w:val="bottom"/>
          </w:tcPr>
          <w:p>
            <w:pPr>
              <w:spacing w:after="0"/>
              <w:rPr>
                <w:sz w:val="18"/>
                <w:szCs w:val="18"/>
                <w:color w:val="auto"/>
              </w:rPr>
            </w:pPr>
          </w:p>
        </w:tc>
        <w:tc>
          <w:tcPr>
            <w:tcW w:w="326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98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77"/>
        </w:trPr>
        <w:tc>
          <w:tcPr>
            <w:tcW w:w="3480" w:type="dxa"/>
            <w:vAlign w:val="bottom"/>
            <w:gridSpan w:val="3"/>
          </w:tcPr>
          <w:p>
            <w:pPr>
              <w:jc w:val="center"/>
              <w:ind w:right="1740"/>
              <w:spacing w:after="0"/>
              <w:rPr>
                <w:sz w:val="20"/>
                <w:szCs w:val="20"/>
                <w:color w:val="auto"/>
              </w:rPr>
            </w:pPr>
            <w:r>
              <w:rPr>
                <w:rFonts w:ascii="Times New Roman" w:cs="Times New Roman" w:eastAsia="Times New Roman" w:hAnsi="Times New Roman"/>
                <w:sz w:val="18"/>
                <w:szCs w:val="18"/>
                <w:b w:val="1"/>
                <w:bCs w:val="1"/>
                <w:color w:val="auto"/>
              </w:rPr>
              <w:t>Class A common stock</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“NFE”</w:t>
            </w:r>
          </w:p>
        </w:tc>
        <w:tc>
          <w:tcPr>
            <w:tcW w:w="80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200" w:lineRule="exact"/>
        <w:rPr>
          <w:sz w:val="24"/>
          <w:szCs w:val="24"/>
          <w:color w:val="auto"/>
        </w:rPr>
      </w:pPr>
    </w:p>
    <w:p>
      <w:pPr>
        <w:spacing w:after="0" w:line="362" w:lineRule="exact"/>
        <w:rPr>
          <w:sz w:val="24"/>
          <w:szCs w:val="24"/>
          <w:color w:val="auto"/>
        </w:rPr>
      </w:pPr>
    </w:p>
    <w:p>
      <w:pPr>
        <w:ind w:right="360"/>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 w:lineRule="exact"/>
        <w:rPr>
          <w:sz w:val="24"/>
          <w:szCs w:val="24"/>
          <w:color w:val="auto"/>
        </w:rPr>
      </w:pPr>
    </w:p>
    <w:p>
      <w:pPr>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699135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29" w:right="499" w:bottom="1440" w:gutter="0" w:footer="0" w:header="0"/>
          <w:type w:val="continuous"/>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43"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On February 29, 2024, New Fortress Energy Inc. (“NFE” or the “Company”) issued a press release announcing the Company’s financial and operating results for its fiscal quarter ended December 31, 2023. A copy of the Company’s press release is attached to this Current Report on Form 8-K (the “Current Report”) as Exhibit 99.1 and is incorporated herein solely for purposes of this Item 2.02 disclosure.</w:t>
      </w:r>
    </w:p>
    <w:p>
      <w:pPr>
        <w:spacing w:after="0" w:line="196" w:lineRule="exact"/>
        <w:rPr>
          <w:sz w:val="20"/>
          <w:szCs w:val="20"/>
          <w:color w:val="auto"/>
        </w:rPr>
      </w:pPr>
    </w:p>
    <w:p>
      <w:pPr>
        <w:ind w:right="240" w:firstLine="486"/>
        <w:spacing w:after="0" w:line="250" w:lineRule="auto"/>
        <w:rPr>
          <w:sz w:val="20"/>
          <w:szCs w:val="20"/>
          <w:color w:val="auto"/>
        </w:rPr>
      </w:pPr>
      <w:r>
        <w:rPr>
          <w:rFonts w:ascii="Times New Roman" w:cs="Times New Roman" w:eastAsia="Times New Roman" w:hAnsi="Times New Roman"/>
          <w:sz w:val="18"/>
          <w:szCs w:val="18"/>
          <w:color w:val="auto"/>
        </w:rPr>
        <w:t>This Current Report, including the exhibit attached hereto, is being furnished and shall not be deemed to be filed for purposes of Section 18 of the Securities Exchange Act of 1934, as amended (the “Exchange Act”), or otherwise subject to the liabilities of that section, nor shall it be incorporated by reference into any of the Company’s filings under the Securities Act of 1933, as amended, or the Exchange Act, unless expressly set forth as being incorporated by reference into such filing.</w:t>
      </w:r>
    </w:p>
    <w:p>
      <w:pPr>
        <w:spacing w:after="0" w:line="200" w:lineRule="exact"/>
        <w:rPr>
          <w:sz w:val="20"/>
          <w:szCs w:val="20"/>
          <w:color w:val="auto"/>
        </w:rPr>
      </w:pPr>
    </w:p>
    <w:p>
      <w:pPr>
        <w:spacing w:after="0" w:line="257"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260" w:type="dxa"/>
            <w:vAlign w:val="bottom"/>
          </w:tcPr>
          <w:p>
            <w:pPr>
              <w:spacing w:after="0"/>
              <w:rPr>
                <w:sz w:val="18"/>
                <w:szCs w:val="18"/>
                <w:color w:val="auto"/>
              </w:rPr>
            </w:pPr>
          </w:p>
        </w:tc>
      </w:tr>
      <w:tr>
        <w:trPr>
          <w:trHeight w:val="259"/>
        </w:trPr>
        <w:tc>
          <w:tcPr>
            <w:tcW w:w="280" w:type="dxa"/>
            <w:vAlign w:val="bottom"/>
          </w:tcPr>
          <w:p>
            <w:pPr>
              <w:spacing w:after="0"/>
              <w:rPr>
                <w:sz w:val="22"/>
                <w:szCs w:val="22"/>
                <w:color w:val="auto"/>
              </w:rPr>
            </w:pPr>
          </w:p>
        </w:tc>
        <w:tc>
          <w:tcPr>
            <w:tcW w:w="7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No.</w:t>
            </w:r>
          </w:p>
        </w:tc>
        <w:tc>
          <w:tcPr>
            <w:tcW w:w="10260" w:type="dxa"/>
            <w:vAlign w:val="bottom"/>
          </w:tcPr>
          <w:p>
            <w:pPr>
              <w:ind w:left="46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2"/>
        </w:trPr>
        <w:tc>
          <w:tcPr>
            <w:tcW w:w="28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0000FF"/>
            </w:tcBorders>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60" w:type="dxa"/>
            <w:vAlign w:val="bottom"/>
            <w:tcBorders>
              <w:top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Press Release, dated February 29, 2024, issued by New Fortress Energy Inc.</w:t>
            </w:r>
          </w:p>
        </w:tc>
      </w:tr>
      <w:tr>
        <w:trPr>
          <w:trHeight w:val="277"/>
        </w:trPr>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1276"/>
        </w:trPr>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86"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7920" w:type="dxa"/>
            <w:vAlign w:val="bottom"/>
            <w:gridSpan w:val="2"/>
          </w:tcPr>
          <w:p>
            <w:pPr>
              <w:ind w:left="1960"/>
              <w:spacing w:after="0"/>
              <w:rPr>
                <w:sz w:val="20"/>
                <w:szCs w:val="20"/>
                <w:color w:val="auto"/>
              </w:rPr>
            </w:pPr>
            <w:r>
              <w:rPr>
                <w:rFonts w:ascii="Times New Roman" w:cs="Times New Roman" w:eastAsia="Times New Roman" w:hAnsi="Times New Roman"/>
                <w:sz w:val="18"/>
                <w:szCs w:val="18"/>
                <w:b w:val="1"/>
                <w:bCs w:val="1"/>
                <w:color w:val="auto"/>
              </w:rPr>
              <w:t>NEW FORTRESS ENERGY INC.</w:t>
            </w:r>
          </w:p>
        </w:tc>
      </w:tr>
      <w:tr>
        <w:trPr>
          <w:trHeight w:val="53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February 29, 2024</w:t>
            </w:r>
          </w:p>
        </w:tc>
        <w:tc>
          <w:tcPr>
            <w:tcW w:w="26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S. Guinta</w:t>
            </w:r>
          </w:p>
        </w:tc>
      </w:tr>
      <w:tr>
        <w:trPr>
          <w:trHeight w:val="243"/>
        </w:trPr>
        <w:tc>
          <w:tcPr>
            <w:tcW w:w="3280" w:type="dxa"/>
            <w:vAlign w:val="bottom"/>
          </w:tcPr>
          <w:p>
            <w:pPr>
              <w:spacing w:after="0"/>
              <w:rPr>
                <w:sz w:val="21"/>
                <w:szCs w:val="21"/>
                <w:color w:val="auto"/>
              </w:rPr>
            </w:pPr>
          </w:p>
        </w:tc>
        <w:tc>
          <w:tcPr>
            <w:tcW w:w="26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Name: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S. Guinta</w:t>
            </w:r>
          </w:p>
        </w:tc>
      </w:tr>
      <w:tr>
        <w:trPr>
          <w:trHeight w:val="257"/>
        </w:trPr>
        <w:tc>
          <w:tcPr>
            <w:tcW w:w="3280" w:type="dxa"/>
            <w:vAlign w:val="bottom"/>
          </w:tcPr>
          <w:p>
            <w:pPr>
              <w:spacing w:after="0"/>
              <w:rPr>
                <w:sz w:val="22"/>
                <w:szCs w:val="22"/>
                <w:color w:val="auto"/>
              </w:rPr>
            </w:pPr>
          </w:p>
        </w:tc>
        <w:tc>
          <w:tcPr>
            <w:tcW w:w="26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Title: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20"/>
          </w:cols>
          <w:pgMar w:left="320" w:top="927"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jc w:val="right"/>
        <w:ind w:right="20"/>
        <w:spacing w:after="0" w:line="215" w:lineRule="auto"/>
        <w:rPr>
          <w:sz w:val="20"/>
          <w:szCs w:val="20"/>
          <w:color w:val="auto"/>
        </w:rPr>
      </w:pPr>
      <w:r>
        <w:rPr>
          <w:rFonts w:ascii="Times New Roman" w:cs="Times New Roman" w:eastAsia="Times New Roman" w:hAnsi="Times New Roman"/>
          <w:sz w:val="18"/>
          <w:szCs w:val="18"/>
          <w:color w:val="auto"/>
        </w:rPr>
        <w:t>111 W 19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8"/>
          <w:szCs w:val="18"/>
          <w:color w:val="auto"/>
        </w:rPr>
        <w:t xml:space="preserve"> Street, 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8"/>
          <w:szCs w:val="18"/>
          <w:color w:val="auto"/>
        </w:rPr>
        <w:t xml:space="preserve">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-154305</wp:posOffset>
            </wp:positionV>
            <wp:extent cx="1071245" cy="265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71245" cy="265430"/>
                    </a:xfrm>
                    <a:prstGeom prst="rect">
                      <a:avLst/>
                    </a:prstGeom>
                    <a:noFill/>
                  </pic:spPr>
                </pic:pic>
              </a:graphicData>
            </a:graphic>
          </wp:anchor>
        </w:drawing>
      </w:r>
    </w:p>
    <w:p>
      <w:pPr>
        <w:jc w:val="right"/>
        <w:ind w:right="20"/>
        <w:spacing w:after="0"/>
        <w:rPr>
          <w:sz w:val="20"/>
          <w:szCs w:val="20"/>
          <w:color w:val="auto"/>
        </w:rPr>
      </w:pPr>
      <w:r>
        <w:rPr>
          <w:rFonts w:ascii="Times New Roman" w:cs="Times New Roman" w:eastAsia="Times New Roman" w:hAnsi="Times New Roman"/>
          <w:sz w:val="18"/>
          <w:szCs w:val="18"/>
          <w:color w:val="auto"/>
        </w:rPr>
        <w:t>New York, NY 10011</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Fortress Energy Announces Record Fourth Quarter and Full Year 2023 Results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pacing w:after="0" w:line="36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NEW YORK -- New Fortress Energy Inc. (Nasdaq: NFE) (“NFE” or the “Company”) today reported its financial results for the fourth quarter and for the year ended December 31, 2023.</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Highlights</w:t>
      </w:r>
    </w:p>
    <w:p>
      <w:pPr>
        <w:spacing w:after="0" w:line="64" w:lineRule="exact"/>
        <w:rPr>
          <w:sz w:val="20"/>
          <w:szCs w:val="20"/>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of $388 million in the fourth quarter of 2023 and $1.3 billion in the full year 2023</w:t>
      </w:r>
    </w:p>
    <w:p>
      <w:pPr>
        <w:spacing w:after="0" w:line="28" w:lineRule="exact"/>
        <w:rPr>
          <w:rFonts w:ascii="Times New Roman" w:cs="Times New Roman" w:eastAsia="Times New Roman" w:hAnsi="Times New Roman"/>
          <w:sz w:val="18"/>
          <w:szCs w:val="18"/>
          <w:b w:val="1"/>
          <w:bCs w:val="1"/>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$215 million in the fourth quarter of 2023 and $549 million in the full year 2023</w:t>
      </w:r>
    </w:p>
    <w:p>
      <w:pPr>
        <w:spacing w:after="0" w:line="3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EPS</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of $1.01 on a fully diluted basis in the fourth quarter of 2023 and $2.75 in the full year 2023</w:t>
      </w:r>
    </w:p>
    <w:p>
      <w:pPr>
        <w:spacing w:after="0" w:line="28"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EPS of $1.06 on a fully diluted basis in the fourth quarter of 2023 and $2.65 in the full year 2023</w:t>
      </w:r>
    </w:p>
    <w:p>
      <w:pPr>
        <w:spacing w:after="0" w:line="39" w:lineRule="exact"/>
        <w:rPr>
          <w:rFonts w:ascii="Times New Roman" w:cs="Times New Roman" w:eastAsia="Times New Roman" w:hAnsi="Times New Roman"/>
          <w:sz w:val="18"/>
          <w:szCs w:val="18"/>
          <w:color w:val="auto"/>
        </w:rPr>
      </w:pPr>
    </w:p>
    <w:p>
      <w:pPr>
        <w:jc w:val="both"/>
        <w:ind w:left="260" w:hanging="252"/>
        <w:spacing w:after="0" w:line="218"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 from Operations per share</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of $1.36 on a fully diluted basis in the fourth quarter of 2023 and $3.56 in the full year 2023; Funds from Operations</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is calculated as Net income attributable to stockholders</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plus Depreciation and amortization, and the Company believes this is an important metric of our quarterly and annual performance</w:t>
      </w:r>
    </w:p>
    <w:p>
      <w:pPr>
        <w:spacing w:after="0" w:line="334" w:lineRule="exact"/>
        <w:rPr>
          <w:sz w:val="20"/>
          <w:szCs w:val="20"/>
          <w:color w:val="auto"/>
        </w:rPr>
      </w:pPr>
    </w:p>
    <w:p>
      <w:pPr>
        <w:ind w:left="580" w:right="280" w:hanging="80"/>
        <w:spacing w:after="0" w:line="261" w:lineRule="auto"/>
        <w:rPr>
          <w:sz w:val="20"/>
          <w:szCs w:val="20"/>
          <w:color w:val="auto"/>
        </w:rPr>
      </w:pPr>
      <w:r>
        <w:rPr>
          <w:rFonts w:ascii="Times New Roman" w:cs="Times New Roman" w:eastAsia="Times New Roman" w:hAnsi="Times New Roman"/>
          <w:sz w:val="18"/>
          <w:szCs w:val="18"/>
          <w:color w:val="auto"/>
        </w:rPr>
        <w:t>"This year was a record by all of our reported metrics and importantly, during the second half of the year, there was no profit from Cargo Sales recorded. In other words, all of our performance was a result of downstream operating results. This is a major change in the Company’s performance, and a significant and meaningful improvement in both the quality and quantity of our results." said Wes Edens, NFE president and chief executive officer.</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Operational Highlights</w:t>
      </w:r>
    </w:p>
    <w:p>
      <w:pPr>
        <w:spacing w:after="0" w:line="6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Brazil, we completed the Barcarena and Santa Catarina terminals and placed them into service</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xml:space="preserve"> in February 2024. This marks a significant milestone as it now fully opens our Brazil operations, and we expect to begin generating revenue in March 2024. The Brazilian gas and power markets are growing significantly, and our terminals give us significant opportunities to grow and expand our Company.</w:t>
      </w:r>
    </w:p>
    <w:p>
      <w:pPr>
        <w:spacing w:after="0" w:line="28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Puerto Rico, we completed the installation of two FEMA Power plants in 2023, totaling 350 MW of capacity. These have become cornerstone plants in the Puerto Rico power complex and were dispatched approximately 99% of the time since installation.</w:t>
      </w:r>
    </w:p>
    <w:p>
      <w:pPr>
        <w:spacing w:after="0" w:line="185" w:lineRule="exact"/>
        <w:rPr>
          <w:sz w:val="20"/>
          <w:szCs w:val="20"/>
          <w:color w:val="auto"/>
        </w:rPr>
      </w:pPr>
    </w:p>
    <w:p>
      <w:pPr>
        <w:ind w:right="120"/>
        <w:spacing w:after="0" w:line="223" w:lineRule="auto"/>
        <w:rPr>
          <w:sz w:val="20"/>
          <w:szCs w:val="20"/>
          <w:color w:val="auto"/>
        </w:rPr>
      </w:pPr>
      <w:r>
        <w:rPr>
          <w:rFonts w:ascii="Times New Roman" w:cs="Times New Roman" w:eastAsia="Times New Roman" w:hAnsi="Times New Roman"/>
          <w:sz w:val="18"/>
          <w:szCs w:val="18"/>
          <w:color w:val="auto"/>
        </w:rPr>
        <w:t>In Fast LNG, we successfully placed our first unit into its location and are now expecting first LNG</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 xml:space="preserve"> in March and First Cargo</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 xml:space="preserve"> in April 2024. We also secured financing commitments of $700 million</w:t>
      </w: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18"/>
          <w:szCs w:val="18"/>
          <w:color w:val="auto"/>
        </w:rPr>
        <w:t xml:space="preserve"> for our second FLNG project located onshore Altamira, Mexico, and expect to complete construction in the first quarter of 2026.</w:t>
      </w:r>
      <w:r>
        <w:rPr>
          <w:rFonts w:ascii="Times New Roman" w:cs="Times New Roman" w:eastAsia="Times New Roman" w:hAnsi="Times New Roman"/>
          <w:sz w:val="23"/>
          <w:szCs w:val="23"/>
          <w:color w:val="auto"/>
          <w:vertAlign w:val="superscript"/>
        </w:rPr>
        <w:t>(7)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Highlights</w:t>
      </w:r>
    </w:p>
    <w:p>
      <w:pPr>
        <w:spacing w:after="0" w:line="64"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In 2023, we generated significant increases in Funds from Operations per share</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more than doubling compared to the full year 2022. Our Illustrative Goal is to nearly double these metrics again in the full year 2024.</w:t>
      </w:r>
      <w:r>
        <w:rPr>
          <w:rFonts w:ascii="Times New Roman" w:cs="Times New Roman" w:eastAsia="Times New Roman" w:hAnsi="Times New Roman"/>
          <w:sz w:val="23"/>
          <w:szCs w:val="23"/>
          <w:color w:val="auto"/>
          <w:vertAlign w:val="superscript"/>
        </w:rPr>
        <w:t>(8)(9)</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same time, our Gross</w:t>
      </w:r>
      <w:r>
        <w:rPr>
          <w:rFonts w:ascii="Times New Roman" w:cs="Times New Roman" w:eastAsia="Times New Roman" w:hAnsi="Times New Roman"/>
          <w:sz w:val="23"/>
          <w:szCs w:val="23"/>
          <w:color w:val="auto"/>
          <w:vertAlign w:val="superscript"/>
        </w:rPr>
        <w:t>(10)</w:t>
      </w:r>
      <w:r>
        <w:rPr>
          <w:rFonts w:ascii="Times New Roman" w:cs="Times New Roman" w:eastAsia="Times New Roman" w:hAnsi="Times New Roman"/>
          <w:sz w:val="18"/>
          <w:szCs w:val="18"/>
          <w:color w:val="auto"/>
        </w:rPr>
        <w:t xml:space="preserve"> and Net Capex</w:t>
      </w:r>
      <w:r>
        <w:rPr>
          <w:rFonts w:ascii="Times New Roman" w:cs="Times New Roman" w:eastAsia="Times New Roman" w:hAnsi="Times New Roman"/>
          <w:sz w:val="23"/>
          <w:szCs w:val="23"/>
          <w:color w:val="auto"/>
          <w:vertAlign w:val="superscript"/>
        </w:rPr>
        <w:t>(11)</w:t>
      </w:r>
      <w:r>
        <w:rPr>
          <w:rFonts w:ascii="Times New Roman" w:cs="Times New Roman" w:eastAsia="Times New Roman" w:hAnsi="Times New Roman"/>
          <w:sz w:val="18"/>
          <w:szCs w:val="18"/>
          <w:color w:val="auto"/>
        </w:rPr>
        <w:t xml:space="preserve"> peaked and are expected to decline significantly from prior years beginning in 2024 and beyond.</w:t>
      </w:r>
    </w:p>
    <w:p>
      <w:pPr>
        <w:sectPr>
          <w:pgSz w:w="11900" w:h="16838" w:orient="portrait"/>
          <w:cols w:equalWidth="0" w:num="1">
            <w:col w:w="11240"/>
          </w:cols>
          <w:pgMar w:left="320" w:top="92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64"/>
        </w:trPr>
        <w:tc>
          <w:tcPr>
            <w:tcW w:w="4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9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1"/>
              </w:rPr>
              <w:t>Illustrative Goals</w:t>
            </w:r>
            <w:r>
              <w:rPr>
                <w:rFonts w:ascii="Times New Roman" w:cs="Times New Roman" w:eastAsia="Times New Roman" w:hAnsi="Times New Roman"/>
                <w:sz w:val="23"/>
                <w:szCs w:val="23"/>
                <w:color w:val="auto"/>
                <w:w w:val="91"/>
                <w:vertAlign w:val="superscript"/>
              </w:rPr>
              <w:t>(8)(9)(15)</w:t>
            </w:r>
          </w:p>
        </w:tc>
      </w:tr>
      <w:tr>
        <w:trPr>
          <w:trHeight w:val="140"/>
        </w:trPr>
        <w:tc>
          <w:tcPr>
            <w:tcW w:w="4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900" w:type="dxa"/>
            <w:vAlign w:val="bottom"/>
            <w:gridSpan w:val="2"/>
          </w:tcPr>
          <w:p>
            <w:pPr>
              <w:jc w:val="right"/>
              <w:ind w:right="610"/>
              <w:spacing w:after="0"/>
              <w:rPr>
                <w:sz w:val="20"/>
                <w:szCs w:val="20"/>
                <w:color w:val="auto"/>
              </w:rPr>
            </w:pPr>
            <w:r>
              <w:rPr>
                <w:rFonts w:ascii="Times New Roman" w:cs="Times New Roman" w:eastAsia="Times New Roman" w:hAnsi="Times New Roman"/>
                <w:sz w:val="12"/>
                <w:szCs w:val="12"/>
                <w:color w:val="auto"/>
              </w:rPr>
              <w:t>(16)(17)</w:t>
            </w:r>
          </w:p>
        </w:tc>
      </w:tr>
      <w:tr>
        <w:trPr>
          <w:trHeight w:val="203"/>
        </w:trPr>
        <w:tc>
          <w:tcPr>
            <w:tcW w:w="4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gridSpan w:val="2"/>
          </w:tcPr>
          <w:p>
            <w:pPr>
              <w:jc w:val="center"/>
              <w:ind w:right="380"/>
              <w:spacing w:after="0" w:line="202" w:lineRule="exact"/>
              <w:rPr>
                <w:sz w:val="20"/>
                <w:szCs w:val="20"/>
                <w:color w:val="auto"/>
              </w:rPr>
            </w:pPr>
            <w:r>
              <w:rPr>
                <w:rFonts w:ascii="Times New Roman" w:cs="Times New Roman" w:eastAsia="Times New Roman" w:hAnsi="Times New Roman"/>
                <w:sz w:val="18"/>
                <w:szCs w:val="18"/>
                <w:b w:val="1"/>
                <w:bCs w:val="1"/>
                <w:color w:val="auto"/>
                <w:w w:val="97"/>
              </w:rPr>
              <w:t>Year ended</w:t>
            </w:r>
          </w:p>
        </w:tc>
        <w:tc>
          <w:tcPr>
            <w:tcW w:w="260" w:type="dxa"/>
            <w:vAlign w:val="bottom"/>
          </w:tcPr>
          <w:p>
            <w:pPr>
              <w:spacing w:after="0"/>
              <w:rPr>
                <w:sz w:val="17"/>
                <w:szCs w:val="17"/>
                <w:color w:val="auto"/>
              </w:rPr>
            </w:pPr>
          </w:p>
        </w:tc>
        <w:tc>
          <w:tcPr>
            <w:tcW w:w="1500" w:type="dxa"/>
            <w:vAlign w:val="bottom"/>
            <w:gridSpan w:val="2"/>
          </w:tcPr>
          <w:p>
            <w:pPr>
              <w:jc w:val="center"/>
              <w:ind w:right="360"/>
              <w:spacing w:after="0" w:line="202" w:lineRule="exact"/>
              <w:rPr>
                <w:sz w:val="20"/>
                <w:szCs w:val="20"/>
                <w:color w:val="auto"/>
              </w:rPr>
            </w:pPr>
            <w:r>
              <w:rPr>
                <w:rFonts w:ascii="Times New Roman" w:cs="Times New Roman" w:eastAsia="Times New Roman" w:hAnsi="Times New Roman"/>
                <w:sz w:val="18"/>
                <w:szCs w:val="18"/>
                <w:b w:val="1"/>
                <w:bCs w:val="1"/>
                <w:color w:val="auto"/>
                <w:w w:val="97"/>
              </w:rPr>
              <w:t>Year ended</w:t>
            </w:r>
          </w:p>
        </w:tc>
        <w:tc>
          <w:tcPr>
            <w:tcW w:w="1660" w:type="dxa"/>
            <w:vAlign w:val="bottom"/>
            <w:gridSpan w:val="2"/>
          </w:tcPr>
          <w:p>
            <w:pPr>
              <w:jc w:val="right"/>
              <w:ind w:right="310"/>
              <w:spacing w:after="0" w:line="202" w:lineRule="exact"/>
              <w:rPr>
                <w:sz w:val="20"/>
                <w:szCs w:val="20"/>
                <w:color w:val="auto"/>
              </w:rPr>
            </w:pPr>
            <w:r>
              <w:rPr>
                <w:rFonts w:ascii="Times New Roman" w:cs="Times New Roman" w:eastAsia="Times New Roman" w:hAnsi="Times New Roman"/>
                <w:sz w:val="18"/>
                <w:szCs w:val="18"/>
                <w:b w:val="1"/>
                <w:bCs w:val="1"/>
                <w:color w:val="auto"/>
              </w:rPr>
              <w:t>Year ended</w:t>
            </w:r>
          </w:p>
        </w:tc>
        <w:tc>
          <w:tcPr>
            <w:tcW w:w="100" w:type="dxa"/>
            <w:vAlign w:val="bottom"/>
          </w:tcPr>
          <w:p>
            <w:pPr>
              <w:spacing w:after="0"/>
              <w:rPr>
                <w:sz w:val="17"/>
                <w:szCs w:val="17"/>
                <w:color w:val="auto"/>
              </w:rPr>
            </w:pPr>
          </w:p>
        </w:tc>
        <w:tc>
          <w:tcPr>
            <w:tcW w:w="18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Year ended December</w:t>
            </w:r>
          </w:p>
        </w:tc>
      </w:tr>
      <w:tr>
        <w:trPr>
          <w:trHeight w:val="259"/>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 share amounts)</w:t>
            </w:r>
          </w:p>
        </w:tc>
        <w:tc>
          <w:tcPr>
            <w:tcW w:w="1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00" w:type="dxa"/>
            <w:vAlign w:val="bottom"/>
            <w:tcBorders>
              <w:bottom w:val="single" w:sz="8" w:color="CCEEFF"/>
            </w:tcBorders>
          </w:tcPr>
          <w:p>
            <w:pPr>
              <w:spacing w:after="0"/>
              <w:rPr>
                <w:sz w:val="22"/>
                <w:szCs w:val="22"/>
                <w:color w:val="auto"/>
              </w:rPr>
            </w:pPr>
          </w:p>
        </w:tc>
        <w:tc>
          <w:tcPr>
            <w:tcW w:w="16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00" w:type="dxa"/>
            <w:vAlign w:val="bottom"/>
            <w:tcBorders>
              <w:bottom w:val="single" w:sz="8" w:color="CCEEFF"/>
            </w:tcBorders>
          </w:tcPr>
          <w:p>
            <w:pPr>
              <w:spacing w:after="0"/>
              <w:rPr>
                <w:sz w:val="22"/>
                <w:szCs w:val="22"/>
                <w:color w:val="auto"/>
              </w:rPr>
            </w:pPr>
          </w:p>
        </w:tc>
        <w:tc>
          <w:tcPr>
            <w:tcW w:w="16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Borders>
              <w:bottom w:val="single" w:sz="8" w:color="CCEEFF"/>
            </w:tcBorders>
          </w:tcPr>
          <w:p>
            <w:pPr>
              <w:spacing w:after="0"/>
              <w:rPr>
                <w:sz w:val="22"/>
                <w:szCs w:val="22"/>
                <w:color w:val="auto"/>
              </w:rPr>
            </w:pPr>
          </w:p>
        </w:tc>
        <w:tc>
          <w:tcPr>
            <w:tcW w:w="18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31, 2024</w:t>
            </w:r>
          </w:p>
        </w:tc>
      </w:tr>
      <w:tr>
        <w:trPr>
          <w:trHeight w:val="257"/>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EPS (diluted)</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~5.00</w:t>
            </w:r>
          </w:p>
        </w:tc>
      </w:tr>
      <w:tr>
        <w:trPr>
          <w:trHeight w:val="305"/>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Funds From Operations</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/share</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10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4"/>
                <w:szCs w:val="24"/>
                <w:color w:val="auto"/>
              </w:rPr>
            </w:pP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~6.00</w:t>
            </w:r>
          </w:p>
        </w:tc>
      </w:tr>
      <w:tr>
        <w:trPr>
          <w:trHeight w:val="221"/>
        </w:trPr>
        <w:tc>
          <w:tcPr>
            <w:tcW w:w="4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57"/>
        </w:trPr>
        <w:tc>
          <w:tcPr>
            <w:tcW w:w="412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Gross Capex</w:t>
            </w:r>
            <w:r>
              <w:rPr>
                <w:rFonts w:ascii="Times New Roman" w:cs="Times New Roman" w:eastAsia="Times New Roman" w:hAnsi="Times New Roman"/>
                <w:sz w:val="23"/>
                <w:szCs w:val="23"/>
                <w:color w:val="auto"/>
                <w:vertAlign w:val="superscript"/>
              </w:rPr>
              <w:t>(10)</w:t>
            </w:r>
          </w:p>
        </w:tc>
        <w:tc>
          <w:tcPr>
            <w:tcW w:w="2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~600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~1,100</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~2,800</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~1,500</w:t>
            </w:r>
          </w:p>
        </w:tc>
      </w:tr>
      <w:tr>
        <w:trPr>
          <w:trHeight w:val="25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Asset Level Financings</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~(300)</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~(1,250)</w:t>
            </w:r>
          </w:p>
        </w:tc>
      </w:tr>
      <w:tr>
        <w:trPr>
          <w:trHeight w:val="257"/>
        </w:trPr>
        <w:tc>
          <w:tcPr>
            <w:tcW w:w="4120" w:type="dxa"/>
            <w:vAlign w:val="bottom"/>
            <w:tcBorders>
              <w:top w:val="single" w:sz="8" w:color="CCEEFF"/>
            </w:tcBorders>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b w:val="1"/>
                <w:bCs w:val="1"/>
                <w:color w:val="auto"/>
              </w:rPr>
              <w:t>Net Capex</w:t>
            </w:r>
            <w:r>
              <w:rPr>
                <w:rFonts w:ascii="Times New Roman" w:cs="Times New Roman" w:eastAsia="Times New Roman" w:hAnsi="Times New Roman"/>
                <w:sz w:val="23"/>
                <w:szCs w:val="23"/>
                <w:color w:val="auto"/>
                <w:vertAlign w:val="superscript"/>
              </w:rPr>
              <w:t>(11)</w:t>
            </w: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~500</w:t>
            </w:r>
          </w:p>
        </w:tc>
        <w:tc>
          <w:tcPr>
            <w:tcW w:w="100" w:type="dxa"/>
            <w:vAlign w:val="bottom"/>
            <w:tcBorders>
              <w:top w:val="single" w:sz="8" w:color="auto"/>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~800</w:t>
            </w:r>
          </w:p>
        </w:tc>
        <w:tc>
          <w:tcPr>
            <w:tcW w:w="10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~2,400</w:t>
            </w:r>
          </w:p>
        </w:tc>
        <w:tc>
          <w:tcPr>
            <w:tcW w:w="100" w:type="dxa"/>
            <w:vAlign w:val="bottom"/>
            <w:tcBorders>
              <w:top w:val="single" w:sz="8" w:color="CCEEFF"/>
            </w:tcBorders>
            <w:shd w:val="clear" w:color="auto" w:fill="CCEEFF"/>
          </w:tcPr>
          <w:p>
            <w:pPr>
              <w:spacing w:after="0"/>
              <w:rPr>
                <w:sz w:val="22"/>
                <w:szCs w:val="22"/>
                <w:color w:val="auto"/>
              </w:rPr>
            </w:pP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~250</w:t>
            </w:r>
          </w:p>
        </w:tc>
      </w:tr>
    </w:tbl>
    <w:p>
      <w:pPr>
        <w:spacing w:after="0" w:line="333" w:lineRule="exact"/>
        <w:rPr>
          <w:sz w:val="20"/>
          <w:szCs w:val="20"/>
          <w:color w:val="auto"/>
        </w:rPr>
      </w:pPr>
    </w:p>
    <w:p>
      <w:pPr>
        <w:ind w:right="440"/>
        <w:spacing w:after="0" w:line="283" w:lineRule="auto"/>
        <w:rPr>
          <w:sz w:val="20"/>
          <w:szCs w:val="20"/>
          <w:color w:val="auto"/>
        </w:rPr>
      </w:pPr>
      <w:r>
        <w:rPr>
          <w:rFonts w:ascii="Times New Roman" w:cs="Times New Roman" w:eastAsia="Times New Roman" w:hAnsi="Times New Roman"/>
          <w:sz w:val="18"/>
          <w:szCs w:val="18"/>
          <w:color w:val="auto"/>
        </w:rPr>
        <w:t>On February 26, 2024, NFE’s Board of Directors approved a dividend of $0.10 per share, with a record date of March 15, 2024 and a payment date of March 27, 2024.</w:t>
      </w:r>
      <w:r>
        <w:rPr>
          <w:rFonts w:ascii="Times New Roman" w:cs="Times New Roman" w:eastAsia="Times New Roman" w:hAnsi="Times New Roman"/>
          <w:sz w:val="23"/>
          <w:szCs w:val="23"/>
          <w:color w:val="auto"/>
          <w:vertAlign w:val="superscript"/>
        </w:rPr>
        <w:t>(12)</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Company Overview</w:t>
      </w:r>
    </w:p>
    <w:p>
      <w:pPr>
        <w:spacing w:after="0" w:line="6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The Company is now a fully integrated LNG and power company. We own, operate, or provide natural gas to thirty plants in five countries with total capacity of approximately 8.7 GW</w:t>
      </w:r>
      <w:r>
        <w:rPr>
          <w:rFonts w:ascii="Times New Roman" w:cs="Times New Roman" w:eastAsia="Times New Roman" w:hAnsi="Times New Roman"/>
          <w:sz w:val="23"/>
          <w:szCs w:val="23"/>
          <w:color w:val="auto"/>
          <w:vertAlign w:val="superscript"/>
        </w:rPr>
        <w:t>(18)(19)</w:t>
      </w:r>
      <w:r>
        <w:rPr>
          <w:rFonts w:ascii="Times New Roman" w:cs="Times New Roman" w:eastAsia="Times New Roman" w:hAnsi="Times New Roman"/>
          <w:sz w:val="18"/>
          <w:szCs w:val="18"/>
          <w:color w:val="auto"/>
        </w:rPr>
        <w:t>. Our downstream assets operate in some of the highest growth regions in the world driven by fuel switching and new power generation. As a result, our business generates peer leading margins, excess asset capacity, and accelerating free cash flow at minimal additional capital.</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Financial Detail</w:t>
            </w:r>
          </w:p>
        </w:tc>
        <w:tc>
          <w:tcPr>
            <w:tcW w:w="6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98"/>
        </w:trPr>
        <w:tc>
          <w:tcPr>
            <w:tcW w:w="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46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3"/>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50"/>
        </w:trPr>
        <w:tc>
          <w:tcPr>
            <w:tcW w:w="80" w:type="dxa"/>
            <w:vAlign w:val="bottom"/>
          </w:tcPr>
          <w:p>
            <w:pPr>
              <w:spacing w:after="0"/>
              <w:rPr>
                <w:sz w:val="21"/>
                <w:szCs w:val="21"/>
                <w:color w:val="auto"/>
              </w:rPr>
            </w:pPr>
          </w:p>
        </w:tc>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 share amounts)</w:t>
            </w:r>
          </w:p>
        </w:tc>
        <w:tc>
          <w:tcPr>
            <w:tcW w:w="18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20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r>
      <w:tr>
        <w:trPr>
          <w:trHeight w:val="257"/>
        </w:trPr>
        <w:tc>
          <w:tcPr>
            <w:tcW w:w="80" w:type="dxa"/>
            <w:vAlign w:val="bottom"/>
          </w:tcPr>
          <w:p>
            <w:pPr>
              <w:spacing w:after="0"/>
              <w:rPr>
                <w:sz w:val="22"/>
                <w:szCs w:val="22"/>
                <w:color w:val="auto"/>
              </w:rPr>
            </w:pPr>
          </w:p>
        </w:tc>
        <w:tc>
          <w:tcPr>
            <w:tcW w:w="57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6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758.4</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2,413.3</w:t>
            </w:r>
          </w:p>
        </w:tc>
      </w:tr>
      <w:tr>
        <w:trPr>
          <w:trHeight w:val="250"/>
        </w:trPr>
        <w:tc>
          <w:tcPr>
            <w:tcW w:w="80" w:type="dxa"/>
            <w:vAlign w:val="bottom"/>
          </w:tcPr>
          <w:p>
            <w:pPr>
              <w:spacing w:after="0"/>
              <w:rPr>
                <w:sz w:val="21"/>
                <w:szCs w:val="21"/>
                <w:color w:val="auto"/>
              </w:rPr>
            </w:pPr>
          </w:p>
        </w:tc>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548.9</w:t>
            </w:r>
          </w:p>
        </w:tc>
      </w:tr>
      <w:tr>
        <w:trPr>
          <w:trHeight w:val="263"/>
        </w:trPr>
        <w:tc>
          <w:tcPr>
            <w:tcW w:w="80" w:type="dxa"/>
            <w:vAlign w:val="bottom"/>
          </w:tcPr>
          <w:p>
            <w:pPr>
              <w:spacing w:after="0"/>
              <w:rPr>
                <w:sz w:val="22"/>
                <w:szCs w:val="22"/>
                <w:color w:val="auto"/>
              </w:rPr>
            </w:pPr>
          </w:p>
        </w:tc>
        <w:tc>
          <w:tcPr>
            <w:tcW w:w="5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EPS</w:t>
            </w:r>
          </w:p>
        </w:tc>
        <w:tc>
          <w:tcPr>
            <w:tcW w:w="6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50"/>
        </w:trPr>
        <w:tc>
          <w:tcPr>
            <w:tcW w:w="80" w:type="dxa"/>
            <w:vAlign w:val="bottom"/>
          </w:tcPr>
          <w:p>
            <w:pPr>
              <w:spacing w:after="0"/>
              <w:rPr>
                <w:sz w:val="21"/>
                <w:szCs w:val="21"/>
                <w:color w:val="auto"/>
              </w:rPr>
            </w:pPr>
          </w:p>
        </w:tc>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net income</w:t>
            </w:r>
          </w:p>
        </w:tc>
        <w:tc>
          <w:tcPr>
            <w:tcW w:w="6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566.9</w:t>
            </w:r>
          </w:p>
        </w:tc>
      </w:tr>
      <w:tr>
        <w:trPr>
          <w:trHeight w:val="263"/>
        </w:trPr>
        <w:tc>
          <w:tcPr>
            <w:tcW w:w="80" w:type="dxa"/>
            <w:vAlign w:val="bottom"/>
          </w:tcPr>
          <w:p>
            <w:pPr>
              <w:spacing w:after="0"/>
              <w:rPr>
                <w:sz w:val="22"/>
                <w:szCs w:val="22"/>
                <w:color w:val="auto"/>
              </w:rPr>
            </w:pPr>
          </w:p>
        </w:tc>
        <w:tc>
          <w:tcPr>
            <w:tcW w:w="5780" w:type="dxa"/>
            <w:vAlign w:val="bottom"/>
            <w:gridSpan w:val="2"/>
            <w:shd w:val="clear" w:color="auto" w:fill="CCEEFF"/>
          </w:tcPr>
          <w:p>
            <w:pPr>
              <w:ind w:left="20"/>
              <w:spacing w:after="0" w:line="263" w:lineRule="exact"/>
              <w:rPr>
                <w:sz w:val="20"/>
                <w:szCs w:val="20"/>
                <w:color w:val="auto"/>
              </w:rPr>
            </w:pPr>
            <w:r>
              <w:rPr>
                <w:rFonts w:ascii="Times New Roman" w:cs="Times New Roman" w:eastAsia="Times New Roman" w:hAnsi="Times New Roman"/>
                <w:sz w:val="18"/>
                <w:szCs w:val="18"/>
                <w:color w:val="auto"/>
              </w:rPr>
              <w:t>Adjusted EPS</w:t>
            </w:r>
            <w:r>
              <w:rPr>
                <w:rFonts w:ascii="Times New Roman" w:cs="Times New Roman" w:eastAsia="Times New Roman" w:hAnsi="Times New Roman"/>
                <w:sz w:val="23"/>
                <w:szCs w:val="23"/>
                <w:color w:val="auto"/>
                <w:vertAlign w:val="superscript"/>
              </w:rPr>
              <w:t>(13)</w:t>
            </w:r>
          </w:p>
        </w:tc>
        <w:tc>
          <w:tcPr>
            <w:tcW w:w="6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56"/>
        </w:trPr>
        <w:tc>
          <w:tcPr>
            <w:tcW w:w="80" w:type="dxa"/>
            <w:vAlign w:val="bottom"/>
          </w:tcPr>
          <w:p>
            <w:pPr>
              <w:spacing w:after="0"/>
              <w:rPr>
                <w:sz w:val="22"/>
                <w:szCs w:val="22"/>
                <w:color w:val="auto"/>
              </w:rPr>
            </w:pPr>
          </w:p>
        </w:tc>
        <w:tc>
          <w:tcPr>
            <w:tcW w:w="5780" w:type="dxa"/>
            <w:vAlign w:val="bottom"/>
            <w:gridSpan w:val="2"/>
          </w:tcPr>
          <w:p>
            <w:pPr>
              <w:ind w:left="140"/>
              <w:spacing w:after="0" w:line="256" w:lineRule="exact"/>
              <w:rPr>
                <w:sz w:val="20"/>
                <w:szCs w:val="20"/>
                <w:color w:val="auto"/>
              </w:rPr>
            </w:pPr>
            <w:r>
              <w:rPr>
                <w:rFonts w:ascii="Times New Roman" w:cs="Times New Roman" w:eastAsia="Times New Roman" w:hAnsi="Times New Roman"/>
                <w:sz w:val="18"/>
                <w:szCs w:val="18"/>
                <w:color w:val="auto"/>
              </w:rPr>
              <w:t>Terminals and Infrastructure Segment Operating Margin</w:t>
            </w:r>
            <w:r>
              <w:rPr>
                <w:rFonts w:ascii="Times New Roman" w:cs="Times New Roman" w:eastAsia="Times New Roman" w:hAnsi="Times New Roman"/>
                <w:sz w:val="23"/>
                <w:szCs w:val="23"/>
                <w:color w:val="auto"/>
                <w:vertAlign w:val="superscript"/>
              </w:rPr>
              <w:t>(14)</w:t>
            </w:r>
          </w:p>
        </w:tc>
        <w:tc>
          <w:tcPr>
            <w:tcW w:w="6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1,209.5</w:t>
            </w:r>
          </w:p>
        </w:tc>
      </w:tr>
      <w:tr>
        <w:trPr>
          <w:trHeight w:val="257"/>
        </w:trPr>
        <w:tc>
          <w:tcPr>
            <w:tcW w:w="80" w:type="dxa"/>
            <w:vAlign w:val="bottom"/>
          </w:tcPr>
          <w:p>
            <w:pPr>
              <w:spacing w:after="0"/>
              <w:rPr>
                <w:sz w:val="22"/>
                <w:szCs w:val="22"/>
                <w:color w:val="auto"/>
              </w:rPr>
            </w:pPr>
          </w:p>
        </w:tc>
        <w:tc>
          <w:tcPr>
            <w:tcW w:w="5780" w:type="dxa"/>
            <w:vAlign w:val="bottom"/>
            <w:gridSpan w:val="2"/>
            <w:shd w:val="clear" w:color="auto" w:fill="CCEEFF"/>
          </w:tcPr>
          <w:p>
            <w:pPr>
              <w:ind w:left="140"/>
              <w:spacing w:after="0" w:line="256" w:lineRule="exact"/>
              <w:rPr>
                <w:sz w:val="20"/>
                <w:szCs w:val="20"/>
                <w:color w:val="auto"/>
              </w:rPr>
            </w:pPr>
            <w:r>
              <w:rPr>
                <w:rFonts w:ascii="Times New Roman" w:cs="Times New Roman" w:eastAsia="Times New Roman" w:hAnsi="Times New Roman"/>
                <w:sz w:val="18"/>
                <w:szCs w:val="18"/>
                <w:color w:val="auto"/>
              </w:rPr>
              <w:t>Ships Segment Operating Margin</w:t>
            </w:r>
            <w:r>
              <w:rPr>
                <w:rFonts w:ascii="Times New Roman" w:cs="Times New Roman" w:eastAsia="Times New Roman" w:hAnsi="Times New Roman"/>
                <w:sz w:val="23"/>
                <w:szCs w:val="23"/>
                <w:color w:val="auto"/>
                <w:vertAlign w:val="superscript"/>
              </w:rPr>
              <w:t>(14)</w:t>
            </w:r>
          </w:p>
        </w:tc>
        <w:tc>
          <w:tcPr>
            <w:tcW w:w="6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w:t>
            </w:r>
          </w:p>
        </w:tc>
      </w:tr>
      <w:tr>
        <w:trPr>
          <w:trHeight w:val="256"/>
        </w:trPr>
        <w:tc>
          <w:tcPr>
            <w:tcW w:w="80" w:type="dxa"/>
            <w:vAlign w:val="bottom"/>
          </w:tcPr>
          <w:p>
            <w:pPr>
              <w:spacing w:after="0"/>
              <w:rPr>
                <w:sz w:val="22"/>
                <w:szCs w:val="22"/>
                <w:color w:val="auto"/>
              </w:rPr>
            </w:pPr>
          </w:p>
        </w:tc>
        <w:tc>
          <w:tcPr>
            <w:tcW w:w="578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Total Segment Operating Margin</w:t>
            </w:r>
            <w:r>
              <w:rPr>
                <w:rFonts w:ascii="Times New Roman" w:cs="Times New Roman" w:eastAsia="Times New Roman" w:hAnsi="Times New Roman"/>
                <w:sz w:val="23"/>
                <w:szCs w:val="23"/>
                <w:color w:val="auto"/>
                <w:vertAlign w:val="superscript"/>
              </w:rPr>
              <w:t>(14)</w:t>
            </w:r>
          </w:p>
        </w:tc>
        <w:tc>
          <w:tcPr>
            <w:tcW w:w="6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427.4</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1,451.7</w:t>
            </w:r>
          </w:p>
        </w:tc>
      </w:tr>
      <w:tr>
        <w:trPr>
          <w:trHeight w:val="257"/>
        </w:trPr>
        <w:tc>
          <w:tcPr>
            <w:tcW w:w="80" w:type="dxa"/>
            <w:vAlign w:val="bottom"/>
          </w:tcPr>
          <w:p>
            <w:pPr>
              <w:spacing w:after="0"/>
              <w:rPr>
                <w:sz w:val="22"/>
                <w:szCs w:val="22"/>
                <w:color w:val="auto"/>
              </w:rPr>
            </w:pPr>
          </w:p>
        </w:tc>
        <w:tc>
          <w:tcPr>
            <w:tcW w:w="5780" w:type="dxa"/>
            <w:vAlign w:val="bottom"/>
            <w:gridSpan w:val="2"/>
            <w:shd w:val="clear" w:color="auto" w:fill="CCEEFF"/>
          </w:tcPr>
          <w:p>
            <w:pPr>
              <w:ind w:left="40"/>
              <w:spacing w:after="0" w:line="256" w:lineRule="exact"/>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3"/>
                <w:szCs w:val="23"/>
                <w:b w:val="1"/>
                <w:bCs w:val="1"/>
                <w:color w:val="auto"/>
                <w:vertAlign w:val="superscript"/>
              </w:rPr>
              <w:t>(1)</w:t>
            </w:r>
          </w:p>
        </w:tc>
        <w:tc>
          <w:tcPr>
            <w:tcW w:w="6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387.6</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1,282.4</w:t>
            </w:r>
          </w:p>
        </w:tc>
      </w:tr>
    </w:tbl>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continues to evaluate opportunities to refinance all or a portion of its 6.75% senior secured notes due September 2025.</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Please refer to our Q4 2023 Investor Presentation (the “Presentation”) for further information about the following terms: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1)“Adjusted EBITDA,” see definition and reconciliation of this non-GAAP measure in the exhibits to this press release.</w:t>
      </w:r>
    </w:p>
    <w:p>
      <w:pPr>
        <w:jc w:val="both"/>
        <w:ind w:firstLine="8"/>
        <w:spacing w:after="0" w:line="237" w:lineRule="auto"/>
        <w:tabs>
          <w:tab w:leader="none" w:pos="216"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“Adjusted EPS” is not a measurement of financial performance under GAAP and should not be considered in isolation or as an alternative to any measure of performance or liquidity derived in accordance with GAAP. We calculate Adjusted EPS as Adjusted Net Income (Note 13 below) divided by the weighted average shares outstanding on a fully diluted basis for the period indicated. We believe this non-GAAP measure, as we have defined it, offers a useful supplemental view of the overall evaluation of the Company in a manner that is consistent with metrics used for management’s evaluation of the Company’s overall performance. Adjusted EPS does not have a standardized meaning, and different companies may use different definitions. Therefore, this term may not be necessarily comparable to similarly titled measures reported by other companies.</w:t>
      </w:r>
    </w:p>
    <w:p>
      <w:pPr>
        <w:spacing w:after="0" w:line="2" w:lineRule="exact"/>
        <w:rPr>
          <w:rFonts w:ascii="Times New Roman" w:cs="Times New Roman" w:eastAsia="Times New Roman" w:hAnsi="Times New Roman"/>
          <w:sz w:val="18"/>
          <w:szCs w:val="18"/>
          <w:i w:val="1"/>
          <w:iCs w:val="1"/>
          <w:color w:val="auto"/>
        </w:rPr>
      </w:pPr>
    </w:p>
    <w:p>
      <w:pPr>
        <w:ind w:right="120" w:firstLine="8"/>
        <w:spacing w:after="0" w:line="230" w:lineRule="auto"/>
        <w:tabs>
          <w:tab w:leader="none" w:pos="19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“Funds From Operations per share” means our Net Income attributable to stockholders plus Depreciation and Amortization divided by the weighted average shares outstanding on a fully diluted basis for the period indicated. Management believes that FFO is a helpful measure in evaluating the performance of the Company has and will have significant amounts of Depreciation due to its infrastructure projects. FFO should not be considered as an alternative to net income (determined in accordance with GAAP), nor as the sole indicator of the Company’s financial performance, nor</w:t>
      </w:r>
    </w:p>
    <w:p>
      <w:pPr>
        <w:sectPr>
          <w:pgSz w:w="11900" w:h="16838" w:orient="portrait"/>
          <w:cols w:equalWidth="0" w:num="1">
            <w:col w:w="11240"/>
          </w:cols>
          <w:pgMar w:left="320" w:top="888" w:right="339" w:bottom="1440" w:gutter="0" w:footer="0" w:header="0"/>
        </w:sectPr>
      </w:pPr>
    </w:p>
    <w:bookmarkStart w:id="5" w:name="page6"/>
    <w:bookmarkEnd w:id="5"/>
    <w:p>
      <w:pPr>
        <w:ind w:right="80"/>
        <w:spacing w:after="0" w:line="229" w:lineRule="auto"/>
        <w:rPr>
          <w:sz w:val="20"/>
          <w:szCs w:val="20"/>
          <w:color w:val="auto"/>
        </w:rPr>
      </w:pPr>
      <w:r>
        <w:rPr>
          <w:rFonts w:ascii="Times New Roman" w:cs="Times New Roman" w:eastAsia="Times New Roman" w:hAnsi="Times New Roman"/>
          <w:sz w:val="18"/>
          <w:szCs w:val="18"/>
          <w:i w:val="1"/>
          <w:iCs w:val="1"/>
          <w:color w:val="auto"/>
        </w:rPr>
        <w:t>as an alternative to cash flows from operating activities (determined in accordance with GAAP), nor as a measure of the Company’s liquidity, nor is it necessarily indicative of sufficient cash flow to fund all of the Company’s needs. Other companies may define this term in a different manner. We believe that in order to facilitate a clear understanding of the results of the Company, FFO should be examined in connection with net income and cash flows from operating activities in the consolidated financial statements.</w:t>
      </w:r>
    </w:p>
    <w:p>
      <w:pPr>
        <w:spacing w:after="0" w:line="2" w:lineRule="exact"/>
        <w:rPr>
          <w:sz w:val="20"/>
          <w:szCs w:val="20"/>
          <w:color w:val="auto"/>
        </w:rPr>
      </w:pPr>
    </w:p>
    <w:p>
      <w:pPr>
        <w:ind w:right="80" w:firstLine="8"/>
        <w:spacing w:after="0" w:line="222" w:lineRule="auto"/>
        <w:tabs>
          <w:tab w:leader="none" w:pos="19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"Completed", “Placed into service” or similar statuses (either capitalized or lower case) with respect to a particular project means we expect gas to be made available in the near future, gas has been made available to the relevant project, or that the relevant project is in full commercial operations. Where gas is going to be made available or has been made available but full commercial operations have not yet begun, full commercial operations will occur later than, and may occur substantially later than, our reported Operational, Completion or Deployment date, and we may not generate any revenue until full commercial operations have begun. We cannot assure you if or when such projects will reach full commercial operation. Our ability to export liquefied natural gas depends on our ability to obtain export and other permits from governmental and regulatory agencies. No assurance can be given that we will receive required permits, approvals and authorizations from governmental and regulatory agencies in connection with the exportation of liquefied natural gas on a timely basis or at all or that, once received, we will be able to maintain in full force and effect, renew or replace such permits, approvals and authorizations.</w:t>
      </w:r>
    </w:p>
    <w:p>
      <w:pPr>
        <w:spacing w:after="0" w:line="4" w:lineRule="exact"/>
        <w:rPr>
          <w:rFonts w:ascii="Times New Roman" w:cs="Times New Roman" w:eastAsia="Times New Roman" w:hAnsi="Times New Roman"/>
          <w:sz w:val="18"/>
          <w:szCs w:val="18"/>
          <w:i w:val="1"/>
          <w:iCs w:val="1"/>
          <w:color w:val="auto"/>
        </w:rPr>
      </w:pPr>
    </w:p>
    <w:p>
      <w:pPr>
        <w:ind w:right="20" w:firstLine="8"/>
        <w:spacing w:after="0" w:line="226" w:lineRule="auto"/>
        <w:tabs>
          <w:tab w:leader="none" w:pos="19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“First Gas” or “First LNG” or “First Cargo” refers to the date on which (or, for future dates, management's current estimate of the date on which) natural gas, LNG or cargo sales are expected for a project, including a facility in development. Full commercial operation of such project will occur later than, and may occur substantially later than, the date of first gas or first LNG. We cannot assure you if or when such projects will reach the date of delivery of first gas, LNG or Cargo, or full commercial operations</w:t>
      </w:r>
    </w:p>
    <w:p>
      <w:pPr>
        <w:spacing w:after="0" w:line="3" w:lineRule="exact"/>
        <w:rPr>
          <w:rFonts w:ascii="Times New Roman" w:cs="Times New Roman" w:eastAsia="Times New Roman" w:hAnsi="Times New Roman"/>
          <w:sz w:val="18"/>
          <w:szCs w:val="18"/>
          <w:i w:val="1"/>
          <w:iCs w:val="1"/>
          <w:color w:val="auto"/>
        </w:rPr>
      </w:pPr>
    </w:p>
    <w:p>
      <w:pPr>
        <w:ind w:firstLine="8"/>
        <w:spacing w:after="0" w:line="219" w:lineRule="auto"/>
        <w:tabs>
          <w:tab w:leader="none" w:pos="19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Company has signed a commitment letter to enter into a $700 million term loan to complete construction of the Second FLNG unit onshore Altamira. Closing of the financing is subject to the finalization of a credit agreement and the satisfaction of customary closing conditions, and the Company can make no assurance that the financing will be completed.</w:t>
      </w:r>
    </w:p>
    <w:p>
      <w:pPr>
        <w:ind w:right="20" w:firstLine="8"/>
        <w:spacing w:after="0" w:line="223" w:lineRule="auto"/>
        <w:tabs>
          <w:tab w:leader="none" w:pos="19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Lead times and expected development times used in this Presentation indicate our internal evaluations of a project’s expected timeline. They refer to us completing certain stages of projects within a timeframe and within a spectrum of budget parameters that, when taken as a whole, are substantially consistent with our business model. These timeframes include assumptions regarding items that are outside our control, including permitting, weather, supply of equipment and materials, and other potential sources of delay. To the extent that projects have not yet started or are currently under development, we can make no assurance that such projects are on track within the timeline parameters we establish. Additionally, the construction of facilities is inherently subject to the risks of cost overruns and delays. If we are unable to construct, commission, complete and operate any of our facilities as expected, or, when and if constructed, any of them do not accomplish our goals, estimates regarding timelines, budget and savings could be materially and adversely affected.</w:t>
      </w:r>
    </w:p>
    <w:p>
      <w:pPr>
        <w:ind w:right="40" w:firstLine="8"/>
        <w:spacing w:after="0" w:line="223" w:lineRule="auto"/>
        <w:tabs>
          <w:tab w:leader="none" w:pos="19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“Illustrative EPS Goal” is not a measurement of financial performance under GAAP and should not be considered in isolation or as an alternative to any measure of performance or liquidity derived in accordance with GAAP. We calculate Illustrative EPS Goal as Illustrative Net Income (attributable to common stockholders) Goal divided by the weighted average shares outstanding on a fully diluted basis as of today’s date. We believe this non-GAAP measure, as we have defined it, offers a useful supplemental view of the overall evaluation of the Company in a manner that is consistent with metrics used for management’s evaluation of the Company’s overall performance. Illustrative EPS Goal does not have a standardized meaning, and different companies may use different definitions. Therefore, this term may not be necessarily comparable to similarly titled measures reported by other companies. “Illustrative Net Income (attributable to common stockholders) Goal” reflects our illustrative Total Segment Operating Margin, excluding interest expenses from our debt facilities assuming a weighted average interest rate of 8.7% on $8.4 billion pro forma outstanding debt offset by capitalized income of approximately $300 million in 2024, taxed at an effective tax rate of approximately 15%, corporate SGA expenses of approximately $150 million in 2024, interest on outstanding cash balances equal to approximately 5.25% on unrestricted cash accounts, and depreciation and amortization in the amount of $300 million in 2024, including FLNG depreciated over a 20-year life starting on its expected date of start of operations. References to amounts and the Illustrative Net Income (attributable to common stockholders) Goal (i) is not based on the Company’s historical operating results, which are limited, and (ii) does not purport to be an actual representation of our future economics. Actual circumstances could differ materially from the assumptions, and actual performance and results could differ materially from, and there can be no assurance that they will reflect, our corporate goal. For periods after 2024, Illustrative Net Income (attributable to common stockholders) Goal will be calculated in the same manner.</w:t>
      </w:r>
    </w:p>
    <w:p>
      <w:pPr>
        <w:spacing w:after="0" w:line="4" w:lineRule="exact"/>
        <w:rPr>
          <w:rFonts w:ascii="Times New Roman" w:cs="Times New Roman" w:eastAsia="Times New Roman" w:hAnsi="Times New Roman"/>
          <w:sz w:val="18"/>
          <w:szCs w:val="18"/>
          <w:i w:val="1"/>
          <w:iCs w:val="1"/>
          <w:color w:val="auto"/>
        </w:rPr>
      </w:pPr>
    </w:p>
    <w:p>
      <w:pPr>
        <w:ind w:right="40" w:firstLine="8"/>
        <w:spacing w:after="0" w:line="225" w:lineRule="auto"/>
        <w:tabs>
          <w:tab w:leader="none" w:pos="19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“Illustrative FFO/share Goal” is not a measurement of financial performance under GAAP and should not be considered in isolation or as an alternative to any measure of performance or liquidity derived in accordance with GAAP. We calculate Illustrative FFO/share Goal as Illustrative FFO divided by the weighted average shares outstanding on a fully diluted basis as of today’s date. </w:t>
      </w:r>
      <w:r>
        <w:rPr>
          <w:rFonts w:ascii="Times New Roman" w:cs="Times New Roman" w:eastAsia="Times New Roman" w:hAnsi="Times New Roman"/>
          <w:sz w:val="18"/>
          <w:szCs w:val="18"/>
          <w:color w:val="525455"/>
        </w:rPr>
        <w:t>“</w:t>
      </w:r>
      <w:r>
        <w:rPr>
          <w:rFonts w:ascii="Times New Roman" w:cs="Times New Roman" w:eastAsia="Times New Roman" w:hAnsi="Times New Roman"/>
          <w:sz w:val="18"/>
          <w:szCs w:val="18"/>
          <w:i w:val="1"/>
          <w:iCs w:val="1"/>
          <w:color w:val="525455"/>
        </w:rPr>
        <w:t>Illustrative FFO Goal” means our Illustrative Net Income</w:t>
      </w:r>
      <w:r>
        <w:rPr>
          <w:rFonts w:ascii="Times New Roman" w:cs="Times New Roman" w:eastAsia="Times New Roman" w:hAnsi="Times New Roman"/>
          <w:sz w:val="18"/>
          <w:szCs w:val="18"/>
          <w:i w:val="1"/>
          <w:iCs w:val="1"/>
          <w:color w:val="auto"/>
        </w:rPr>
        <w:t xml:space="preserve"> (attributable to common stockholders) </w:t>
      </w:r>
      <w:r>
        <w:rPr>
          <w:rFonts w:ascii="Times New Roman" w:cs="Times New Roman" w:eastAsia="Times New Roman" w:hAnsi="Times New Roman"/>
          <w:sz w:val="18"/>
          <w:szCs w:val="18"/>
          <w:i w:val="1"/>
          <w:iCs w:val="1"/>
          <w:color w:val="525455"/>
        </w:rPr>
        <w:t>Goal plus Illustrative Depreciation and Amortization of $300 million for 2024.</w:t>
      </w:r>
      <w:r>
        <w:rPr>
          <w:rFonts w:ascii="Times New Roman" w:cs="Times New Roman" w:eastAsia="Times New Roman" w:hAnsi="Times New Roman"/>
          <w:sz w:val="18"/>
          <w:szCs w:val="18"/>
          <w:i w:val="1"/>
          <w:iCs w:val="1"/>
          <w:color w:val="auto"/>
        </w:rPr>
        <w:t xml:space="preserve"> We believe this non-GAAP measure, as we have defined it, offers a useful supplemental view of the overall evaluation of the Company in a manner that is consistent with metrics used for management’s evaluation of the Company’s overall performance. Illustrative EPS Goal does not have a standardized meaning, and different companies may use different definitions. Therefore, this term may not be necessarily comparable to similarly titled measures reported by other companies. For periods after 2024, Illustrative FFO Goal will be calculated in the same manner..</w:t>
      </w:r>
    </w:p>
    <w:p>
      <w:pPr>
        <w:ind w:right="460"/>
        <w:spacing w:after="0" w:line="233"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10)“Gross capex” includes all cash payments to vendors in such period related to new projects or projects Under Development excluding capitalized interest. Investors are encouraged to review the related GAAP financial measures, and</w:t>
      </w:r>
    </w:p>
    <w:p>
      <w:pPr>
        <w:sectPr>
          <w:pgSz w:w="11900" w:h="16838" w:orient="portrait"/>
          <w:cols w:equalWidth="0" w:num="1">
            <w:col w:w="11240"/>
          </w:cols>
          <w:pgMar w:left="320" w:top="916" w:right="339" w:bottom="1440" w:gutter="0" w:footer="0" w:header="0"/>
        </w:sectPr>
      </w:pPr>
    </w:p>
    <w:bookmarkStart w:id="6" w:name="page7"/>
    <w:bookmarkEnd w:id="6"/>
    <w:p>
      <w:pPr>
        <w:ind w:right="540"/>
        <w:spacing w:after="0" w:line="239" w:lineRule="auto"/>
        <w:rPr>
          <w:sz w:val="20"/>
          <w:szCs w:val="20"/>
          <w:color w:val="auto"/>
        </w:rPr>
      </w:pPr>
      <w:r>
        <w:rPr>
          <w:rFonts w:ascii="Times New Roman" w:cs="Times New Roman" w:eastAsia="Times New Roman" w:hAnsi="Times New Roman"/>
          <w:sz w:val="18"/>
          <w:szCs w:val="18"/>
          <w:i w:val="1"/>
          <w:iCs w:val="1"/>
          <w:color w:val="auto"/>
        </w:rPr>
        <w:t>not to rely on any single financial measure to evaluate our business. Capex, gross capex, net capex and capital investment or similar metrics are not measurements under GAAP.</w:t>
      </w:r>
    </w:p>
    <w:p>
      <w:pPr>
        <w:spacing w:after="0" w:line="1" w:lineRule="exact"/>
        <w:rPr>
          <w:sz w:val="20"/>
          <w:szCs w:val="20"/>
          <w:color w:val="auto"/>
        </w:rPr>
      </w:pPr>
    </w:p>
    <w:p>
      <w:pPr>
        <w:ind w:right="520"/>
        <w:spacing w:after="0" w:line="226" w:lineRule="auto"/>
        <w:rPr>
          <w:sz w:val="20"/>
          <w:szCs w:val="20"/>
          <w:color w:val="auto"/>
        </w:rPr>
      </w:pPr>
      <w:r>
        <w:rPr>
          <w:rFonts w:ascii="Times New Roman" w:cs="Times New Roman" w:eastAsia="Times New Roman" w:hAnsi="Times New Roman"/>
          <w:sz w:val="18"/>
          <w:szCs w:val="18"/>
          <w:i w:val="1"/>
          <w:iCs w:val="1"/>
          <w:color w:val="auto"/>
        </w:rPr>
        <w:t>11)“Net capex” includes all cash payments in such period related to new projects or projects Under Development less cash proceeds received by the Company for related asset sales or direct asset financings.</w:t>
      </w:r>
    </w:p>
    <w:p>
      <w:pPr>
        <w:spacing w:after="0" w:line="2" w:lineRule="exact"/>
        <w:rPr>
          <w:sz w:val="20"/>
          <w:szCs w:val="20"/>
          <w:color w:val="auto"/>
        </w:rPr>
      </w:pPr>
    </w:p>
    <w:p>
      <w:pPr>
        <w:jc w:val="both"/>
        <w:ind w:firstLine="8"/>
        <w:spacing w:after="0" w:line="237" w:lineRule="auto"/>
        <w:tabs>
          <w:tab w:leader="none" w:pos="294"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payment of dividends under the dividend policy will be made at the discretion of the Board and will be subject to the Board's final determination based on a number of factors, including, but not limited to, the Company's financial performance, its available cash resources, the terms of its indebtedness, its cash requirements, credit rating impacts, alternative uses of cash that the Board may conclude would represent an opportunity to generate a greater return on investment for the Company, and restrictions and other factors the Board deems relevant at the time it determines to declare such dividends. The dividend policy may be revised, suspended, or cancelled at the discretion of the Board at any time.</w:t>
      </w:r>
    </w:p>
    <w:p>
      <w:pPr>
        <w:spacing w:after="0" w:line="4" w:lineRule="exact"/>
        <w:rPr>
          <w:rFonts w:ascii="Times New Roman" w:cs="Times New Roman" w:eastAsia="Times New Roman" w:hAnsi="Times New Roman"/>
          <w:sz w:val="18"/>
          <w:szCs w:val="18"/>
          <w:i w:val="1"/>
          <w:iCs w:val="1"/>
          <w:color w:val="auto"/>
        </w:rPr>
      </w:pPr>
    </w:p>
    <w:p>
      <w:pPr>
        <w:ind w:right="80" w:firstLine="8"/>
        <w:spacing w:after="0" w:line="219" w:lineRule="auto"/>
        <w:tabs>
          <w:tab w:leader="none" w:pos="28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“Adjusted Net Income” means Net Income attributable to stockholders as presented in the relevant Form 10-K or Form 10-Q for the relevant financial period as adjusted by non-cash impairment charges and gains or losses on disposal of our assets.</w:t>
      </w:r>
    </w:p>
    <w:p>
      <w:pPr>
        <w:ind w:right="60" w:firstLine="8"/>
        <w:spacing w:after="0" w:line="237" w:lineRule="auto"/>
        <w:tabs>
          <w:tab w:leader="none" w:pos="285" w:val="left"/>
        </w:tabs>
        <w:numPr>
          <w:ilvl w:val="0"/>
          <w:numId w:val="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“Total Segment Operating Margin” is the total of our Terminals and Infrastructure Segment Operating Margin and Ships Segment Operating Margin. "Terminals and Infrastructure Segment Operating Margin" included our effective share of revenue, expenses and operating margin attributable to our 50% ownership of Centrais Elétricas de Sergipe Participações S.A. (“CELSEPAR”) prior to the disposition of this investment in the fourth quarter of 2022.</w:t>
      </w:r>
    </w:p>
    <w:p>
      <w:pPr>
        <w:spacing w:after="0" w:line="1" w:lineRule="exact"/>
        <w:rPr>
          <w:rFonts w:ascii="Times New Roman" w:cs="Times New Roman" w:eastAsia="Times New Roman" w:hAnsi="Times New Roman"/>
          <w:sz w:val="17"/>
          <w:szCs w:val="17"/>
          <w:i w:val="1"/>
          <w:iCs w:val="1"/>
          <w:color w:val="auto"/>
        </w:rPr>
      </w:pPr>
    </w:p>
    <w:p>
      <w:pPr>
        <w:ind w:right="200"/>
        <w:spacing w:after="0" w:line="223" w:lineRule="auto"/>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8"/>
          <w:szCs w:val="18"/>
          <w:i w:val="1"/>
          <w:iCs w:val="1"/>
          <w:color w:val="auto"/>
        </w:rPr>
        <w:t>"Ships Segment Operating Margin" included our effective share of revenue, expenses and operating margin attributable to our ownership of 50% of the common units of Hilli LLC prior to the disposition of this investment in the first quarter of 2023. Hilli LLC owns Golar Hilli Corporation, the disponent owner of the Hilli Episeyo. Our segment measure also excludes unrealized mark-to-market gains or losses on derivative instruments and certain contract acquisition costs.</w:t>
      </w:r>
    </w:p>
    <w:p>
      <w:pPr>
        <w:ind w:right="240" w:firstLine="8"/>
        <w:spacing w:after="0" w:line="224" w:lineRule="auto"/>
        <w:tabs>
          <w:tab w:leader="none" w:pos="28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Illustrative Gross Capex Goal reflects management’s goal for total expected cash payments to vendors in such period related to new projects or projects Under Development excluding any remaining capex related to FLNG 1 as it has achieved First Gas, the Company’s projects in Brazil which are expected to be built with debt financing, and FLNG 3, 4, and 5 which we will look to fund through debt financing or partnership.</w:t>
      </w:r>
    </w:p>
    <w:p>
      <w:pPr>
        <w:ind w:left="300" w:hanging="292"/>
        <w:spacing w:after="0" w:line="219" w:lineRule="auto"/>
        <w:tabs>
          <w:tab w:leader="none" w:pos="30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525455"/>
        </w:rPr>
        <w:t>Represents</w:t>
      </w:r>
    </w:p>
    <w:p>
      <w:pPr>
        <w:ind w:right="260"/>
        <w:spacing w:after="0" w:line="226" w:lineRule="auto"/>
        <w:rPr>
          <w:sz w:val="20"/>
          <w:szCs w:val="20"/>
          <w:color w:val="auto"/>
        </w:rPr>
      </w:pPr>
      <w:r>
        <w:rPr>
          <w:rFonts w:ascii="Times New Roman" w:cs="Times New Roman" w:eastAsia="Times New Roman" w:hAnsi="Times New Roman"/>
          <w:sz w:val="18"/>
          <w:szCs w:val="18"/>
          <w:i w:val="1"/>
          <w:iCs w:val="1"/>
          <w:color w:val="auto"/>
        </w:rPr>
        <w:t xml:space="preserve">management’s goal for financings </w:t>
      </w:r>
      <w:r>
        <w:rPr>
          <w:rFonts w:ascii="Times New Roman" w:cs="Times New Roman" w:eastAsia="Times New Roman" w:hAnsi="Times New Roman"/>
          <w:sz w:val="18"/>
          <w:szCs w:val="18"/>
          <w:i w:val="1"/>
          <w:iCs w:val="1"/>
          <w:color w:val="525455"/>
        </w:rPr>
        <w:t>that will be used to fund capital expenditures at new and existing projects. Certain of these financings have not closed</w:t>
      </w:r>
      <w:r>
        <w:rPr>
          <w:rFonts w:ascii="Times New Roman" w:cs="Times New Roman" w:eastAsia="Times New Roman" w:hAnsi="Times New Roman"/>
          <w:sz w:val="18"/>
          <w:szCs w:val="18"/>
          <w:i w:val="1"/>
          <w:iCs w:val="1"/>
          <w:color w:val="auto"/>
        </w:rPr>
        <w:t xml:space="preserve"> and the Company can make no assurance that the financings will be completed.</w:t>
      </w:r>
    </w:p>
    <w:p>
      <w:pPr>
        <w:spacing w:after="0" w:line="2" w:lineRule="exact"/>
        <w:rPr>
          <w:sz w:val="20"/>
          <w:szCs w:val="20"/>
          <w:color w:val="auto"/>
        </w:rPr>
      </w:pPr>
    </w:p>
    <w:p>
      <w:pPr>
        <w:ind w:right="120" w:firstLine="8"/>
        <w:spacing w:after="0" w:line="219" w:lineRule="auto"/>
        <w:tabs>
          <w:tab w:leader="none" w:pos="28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Illustrative Net Capex Goal is calculated by subtracting Illustrative Financings Goal from Illustrative Gross Capex Goal. Investors are encouraged to review the related GAAP financial measures, and not to rely on any single financial measure to evaluate our business.</w:t>
      </w:r>
    </w:p>
    <w:p>
      <w:pPr>
        <w:ind w:right="20" w:firstLine="8"/>
        <w:spacing w:after="0" w:line="226" w:lineRule="auto"/>
        <w:tabs>
          <w:tab w:leader="none" w:pos="28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GW means 1 billion watts. 8.7GW is based on management’s estimate of the maximum amount of GW of power that the Company either owns, manages or supplies.</w:t>
      </w:r>
    </w:p>
    <w:p>
      <w:pPr>
        <w:spacing w:after="0" w:line="1" w:lineRule="exact"/>
        <w:rPr>
          <w:rFonts w:ascii="Times New Roman" w:cs="Times New Roman" w:eastAsia="Times New Roman" w:hAnsi="Times New Roman"/>
          <w:sz w:val="18"/>
          <w:szCs w:val="18"/>
          <w:i w:val="1"/>
          <w:iCs w:val="1"/>
          <w:color w:val="auto"/>
        </w:rPr>
      </w:pPr>
    </w:p>
    <w:p>
      <w:pPr>
        <w:ind w:right="200" w:firstLine="8"/>
        <w:spacing w:after="0" w:line="233" w:lineRule="auto"/>
        <w:tabs>
          <w:tab w:leader="none" w:pos="28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Management’s estimate of potential capacity and utilization at the Company’s operating terminals and terminals under development. Actual capacity may be lower, especially for terminals that are not yet fully Operational (Barcarena, Santa Caterina and Nicaragua).</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Information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additional information that management believes to be useful for investors, please refer to the presentation posted on the Investors section of New Fortress Energy’s website, www.newfortressenergy.com, and the Company’s most recent Annual Report on Form 10-K, which is available on the Company’s website. Nothing on our website is included or incorporated by reference herein.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Earnings Conference Call</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will host a conference call on Thursday, February 29, 2024 at 8:00 A.M. Eastern Time. The conference call may be accessed by dialing (888) 256-1007 (toll free from within the U.S.) or +1-323-794-2575 (from outside of the U.S.) fifteen minutes prior to the scheduled start of the call; please reference “NFE Fourth Quarter 2023 Earnings Call” or conference code 6392277.</w:t>
      </w:r>
    </w:p>
    <w:p>
      <w:pPr>
        <w:spacing w:after="0" w:line="21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 simultaneous webcast of the conference call will be available to the public on a listen-only basis at www.newfortressenergy.com under the Investors section under “Events &amp; Presentations.” Please allow time prior to the call to visit the website and download any necessary software required to listen to the internet broadcast. A replay of the conference call will be available at the same website location shortly after the conclusion of the live call.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New Fortress Energy Inc.</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New Fortress Energy Inc. (NASDAQ: NFE) is a global energy infrastructure company founded to help address energy poverty and accelerate the world’s transition to reliable, affordable, and clean energy. The company owns and operates natural gas and liquefied natural gas (LNG) infrastructure and an integrated fleet of ships and logistics assets to rapidly deliver turnkey energy solutions to global markets. Collectively, the company’s assets and operations reinforce global energy security, enable economic growth, enhance environmental stewardship and transform local industries and communities around the world.</w:t>
      </w:r>
    </w:p>
    <w:p>
      <w:pPr>
        <w:sectPr>
          <w:pgSz w:w="11900" w:h="16838" w:orient="portrait"/>
          <w:cols w:equalWidth="0" w:num="1">
            <w:col w:w="11240"/>
          </w:cols>
          <w:pgMar w:left="320" w:top="91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Statement Concerning Forward-Looking Statements</w:t>
      </w:r>
    </w:p>
    <w:p>
      <w:pPr>
        <w:spacing w:after="0" w:line="6"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8"/>
          <w:szCs w:val="18"/>
          <w:color w:val="auto"/>
        </w:rPr>
        <w:t>This press release contains certain statements and information that may constitute “forward-looking statements” within the meaning of the Private Securities Litigation Reform Act of 1995. All statements contained in this press release other than historical information are forward-looking statements that involve known and unknown risks and relate to future events, our future financial performance or our projected business results. You can identify these forward-looking statements by the use of forward-looking words such as “expects,” “may,” “will,” “can,” “could,” “should,” “predicts,” “intends,” “plans,” “estimates,” “anticipates,” “believes,” “schedules,” “progress,” “targets,” “budgets,” “outlook,” “trends,” “forecasts,” “projects,” “guidance,” “focus,” “on track,” “goals,” “objectives,” “strategies,” “opportunities,” “poised,” or the negative version of those words or other comparable words. Forward looking statements include: our expectation regarding raising external financing; the successful development, construction, completion, operation and/or deployment of facilities and the timing of first gas or first LNG, including our FLNG, Brazil, Nicaragua and Puerto Rico projects, on time, within budget and within the expected specifications, capacity and design; our expectation regarding increases in earnings and decreases in capital expenditures beginning in 2024, Illustrative Adjusted EPS and FFO Goals; our expectation regarding the common dividend; and future strategic plans; and all the information in the exhibits to this press release. These forward-looking statements are necessarily estimates based upon current information and involve a number of risks, uncertainties and other factors, many of which are outside of the Company’s control. Actual results or events may differ materially from the results anticipated in these forward-looking statements. Specific factors that could cause actual results to differ from those in the forward-looking statements include, but are not limited to: risks related to the development, construction, completion or commissioning schedule for the facilities; risks related to the operation and maintenance of our facilities and assets; failure of our third-party contractors, equipment manufacturers, suppliers and operators to perform their obligations for the development, construction and operation of our projects, vessels and assets; our ability to implement our business strategy; the risk that proposed transactions may not be completed in a timely manner or at all, including related to the Company’s proposed Asset Sales, including whether a market will develop for such assets and whether the Company will be able to agree to acceptable pricing and other terms offered by potential buyers; inability to successfully develop and implement our technological solutions, including our Fast LNG technology, or that we do not receive the benefits we expect from the Fast LNG technology; cyclical or other changes in the LNG and natural gas industries; competition in the energy industry; the receipt of permits, approvals and authorizations from governmental and regulatory agencies on a timely basis or at all; new or changes to existing governmental policies, laws, rules or regulations, or the administration thereof; failure to maintain sufficient working capital and to generate revenues, which could adversely affect our ability to fund our projects; adverse regional, national, or international economic conditions, adverse capital market conditions and adverse political developments; and the impact of public health crises, such as pandemics and epidemics and any related company or government policies and actions to protect the health and safety of individuals or government policies or actions to maintain the functioning of national or global economies and markets. These factors are not necessarily all of the important factors that could cause actual results to differ materially from those expressed in any of the Company’s forward-looking statements. Other known or unpredictable factors could also have material adverse effects on future results. Any forward-looking statement speaks only as of the date on which it is made, and we undertake no duty to update or revise any forward-looking statements, even though our situation may change in the future or we may become aware of new or updated information relating to such forward-looking statements. New factors emerge from time to time, and it is not possible for the Company to predict all such factors. When considering these forward-looking statements, you should keep in mind the risk factors and other cautionary statements included in New Fortress Energy Inc.’s annual and quarterly reports filed with the Securities and Exchange Commission, which could cause its actual results to differ materially from those contained in any forward-looking statement.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Investor Relations: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Chance Pipitone</w:t>
      </w:r>
    </w:p>
    <w:p>
      <w:pPr>
        <w:spacing w:after="0"/>
        <w:rPr>
          <w:sz w:val="20"/>
          <w:szCs w:val="20"/>
          <w:color w:val="auto"/>
        </w:rPr>
      </w:pPr>
      <w:r>
        <w:rPr>
          <w:rFonts w:ascii="Times New Roman" w:cs="Times New Roman" w:eastAsia="Times New Roman" w:hAnsi="Times New Roman"/>
          <w:sz w:val="18"/>
          <w:szCs w:val="18"/>
          <w:u w:val="single" w:color="auto"/>
          <w:color w:val="auto"/>
        </w:rPr>
        <w:t>ir@newfortressenergy.com</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Media Relations: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Porritt</w:t>
      </w:r>
    </w:p>
    <w:p>
      <w:pPr>
        <w:spacing w:after="0"/>
        <w:rPr>
          <w:sz w:val="20"/>
          <w:szCs w:val="20"/>
          <w:color w:val="auto"/>
        </w:rPr>
      </w:pPr>
      <w:r>
        <w:rPr>
          <w:rFonts w:ascii="Times New Roman" w:cs="Times New Roman" w:eastAsia="Times New Roman" w:hAnsi="Times New Roman"/>
          <w:sz w:val="18"/>
          <w:szCs w:val="18"/>
          <w:u w:val="single" w:color="auto"/>
          <w:color w:val="auto"/>
        </w:rPr>
        <w:t>press@newfortressenergy.com</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(516) 268-7403</w:t>
      </w:r>
    </w:p>
    <w:p>
      <w:pPr>
        <w:spacing w:after="0"/>
        <w:rPr>
          <w:sz w:val="20"/>
          <w:szCs w:val="20"/>
          <w:color w:val="auto"/>
        </w:rPr>
      </w:pPr>
      <w:r>
        <w:rPr>
          <w:rFonts w:ascii="Times New Roman" w:cs="Times New Roman" w:eastAsia="Times New Roman" w:hAnsi="Times New Roman"/>
          <w:sz w:val="18"/>
          <w:szCs w:val="18"/>
          <w:b w:val="1"/>
          <w:bCs w:val="1"/>
          <w:color w:val="auto"/>
        </w:rPr>
        <w:t>Source: New Fortress Energy Inc.</w:t>
      </w:r>
    </w:p>
    <w:p>
      <w:pPr>
        <w:sectPr>
          <w:pgSz w:w="11900" w:h="16838" w:orient="portrait"/>
          <w:cols w:equalWidth="0" w:num="1">
            <w:col w:w="11240"/>
          </w:cols>
          <w:pgMar w:left="320" w:top="117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Exhibits – Financial Statements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7" w:lineRule="exact"/>
        <w:rPr>
          <w:sz w:val="20"/>
          <w:szCs w:val="20"/>
          <w:color w:val="auto"/>
        </w:rPr>
      </w:pPr>
    </w:p>
    <w:p>
      <w:pPr>
        <w:ind w:right="5260"/>
        <w:spacing w:after="0" w:line="266" w:lineRule="auto"/>
        <w:rPr>
          <w:sz w:val="20"/>
          <w:szCs w:val="20"/>
          <w:color w:val="auto"/>
        </w:rPr>
      </w:pPr>
      <w:r>
        <w:rPr>
          <w:rFonts w:ascii="Times New Roman" w:cs="Times New Roman" w:eastAsia="Times New Roman" w:hAnsi="Times New Roman"/>
          <w:sz w:val="17"/>
          <w:szCs w:val="17"/>
          <w:b w:val="1"/>
          <w:bCs w:val="1"/>
          <w:color w:val="auto"/>
        </w:rPr>
        <w:t>For the three months ended September 30, 2023 and December 31, 2023 (Unaudited, in thousands of U.S. dollars, except share and per share amounts)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40" w:type="dxa"/>
            <w:vAlign w:val="bottom"/>
            <w:gridSpan w:val="4"/>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31"/>
        </w:trPr>
        <w:tc>
          <w:tcPr>
            <w:tcW w:w="7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9"/>
        </w:trPr>
        <w:tc>
          <w:tcPr>
            <w:tcW w:w="7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80" w:type="dxa"/>
            <w:vAlign w:val="bottom"/>
          </w:tcPr>
          <w:p>
            <w:pPr>
              <w:spacing w:after="0"/>
              <w:rPr>
                <w:sz w:val="18"/>
                <w:szCs w:val="18"/>
                <w:color w:val="auto"/>
              </w:rPr>
            </w:pPr>
          </w:p>
        </w:tc>
        <w:tc>
          <w:tcPr>
            <w:tcW w:w="15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93"/>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r>
      <w:tr>
        <w:trPr>
          <w:trHeight w:val="23"/>
        </w:trPr>
        <w:tc>
          <w:tcPr>
            <w:tcW w:w="7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196"/>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420,868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643,037</w:t>
            </w:r>
          </w:p>
        </w:tc>
      </w:tr>
      <w:tr>
        <w:trPr>
          <w:trHeight w:val="193"/>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Vessel charter revenue</w:t>
            </w:r>
          </w:p>
        </w:tc>
        <w:tc>
          <w:tcPr>
            <w:tcW w:w="18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67,287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67,192</w:t>
            </w:r>
          </w:p>
        </w:tc>
      </w:tr>
      <w:tr>
        <w:trPr>
          <w:trHeight w:val="23"/>
        </w:trPr>
        <w:tc>
          <w:tcPr>
            <w:tcW w:w="7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3"/>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revenue</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26,307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48,129</w:t>
            </w:r>
          </w:p>
        </w:tc>
      </w:tr>
      <w:tr>
        <w:trPr>
          <w:trHeight w:val="223"/>
        </w:trPr>
        <w:tc>
          <w:tcPr>
            <w:tcW w:w="77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514,462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758,358</w:t>
            </w:r>
          </w:p>
        </w:tc>
      </w:tr>
      <w:tr>
        <w:trPr>
          <w:trHeight w:val="203"/>
        </w:trPr>
        <w:tc>
          <w:tcPr>
            <w:tcW w:w="7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193"/>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3"/>
        </w:trPr>
        <w:tc>
          <w:tcPr>
            <w:tcW w:w="7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196"/>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 (exclusive of depreciation and amortization shown separately below)</w:t>
            </w:r>
          </w:p>
        </w:tc>
        <w:tc>
          <w:tcPr>
            <w:tcW w:w="1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208,260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258,485</w:t>
            </w:r>
          </w:p>
        </w:tc>
      </w:tr>
      <w:tr>
        <w:trPr>
          <w:trHeight w:val="193"/>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Vessel operating expenses</w:t>
            </w:r>
          </w:p>
        </w:tc>
        <w:tc>
          <w:tcPr>
            <w:tcW w:w="18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11,613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9,092</w:t>
            </w:r>
          </w:p>
        </w:tc>
      </w:tr>
      <w:tr>
        <w:trPr>
          <w:trHeight w:val="23"/>
        </w:trPr>
        <w:tc>
          <w:tcPr>
            <w:tcW w:w="7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196"/>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Operations and maintenance</w:t>
            </w:r>
          </w:p>
        </w:tc>
        <w:tc>
          <w:tcPr>
            <w:tcW w:w="1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44,479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61,938</w:t>
            </w:r>
          </w:p>
        </w:tc>
      </w:tr>
      <w:tr>
        <w:trPr>
          <w:trHeight w:val="193"/>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8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49,107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48,056</w:t>
            </w:r>
          </w:p>
        </w:tc>
      </w:tr>
      <w:tr>
        <w:trPr>
          <w:trHeight w:val="23"/>
        </w:trPr>
        <w:tc>
          <w:tcPr>
            <w:tcW w:w="7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196"/>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Transaction and integration costs</w:t>
            </w:r>
          </w:p>
        </w:tc>
        <w:tc>
          <w:tcPr>
            <w:tcW w:w="1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2,739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2,159</w:t>
            </w:r>
          </w:p>
        </w:tc>
      </w:tr>
      <w:tr>
        <w:trPr>
          <w:trHeight w:val="193"/>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8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48,670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62,164</w:t>
            </w:r>
          </w:p>
        </w:tc>
      </w:tr>
      <w:tr>
        <w:trPr>
          <w:trHeight w:val="23"/>
        </w:trPr>
        <w:tc>
          <w:tcPr>
            <w:tcW w:w="7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196"/>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 impairment expense</w:t>
            </w:r>
          </w:p>
        </w:tc>
        <w:tc>
          <w:tcPr>
            <w:tcW w:w="18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10,958</w:t>
            </w:r>
          </w:p>
        </w:tc>
      </w:tr>
      <w:tr>
        <w:trPr>
          <w:trHeight w:val="223"/>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Gain on sale of assets, net</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(7,844)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(21,534)</w:t>
            </w:r>
          </w:p>
        </w:tc>
      </w:tr>
      <w:tr>
        <w:trPr>
          <w:trHeight w:val="231"/>
        </w:trPr>
        <w:tc>
          <w:tcPr>
            <w:tcW w:w="7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18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357,024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431,318</w:t>
            </w:r>
          </w:p>
        </w:tc>
      </w:tr>
      <w:tr>
        <w:trPr>
          <w:trHeight w:val="184"/>
        </w:trPr>
        <w:tc>
          <w:tcPr>
            <w:tcW w:w="77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18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157,438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327,040</w:t>
            </w:r>
          </w:p>
        </w:tc>
      </w:tr>
      <w:tr>
        <w:trPr>
          <w:trHeight w:val="23"/>
        </w:trPr>
        <w:tc>
          <w:tcPr>
            <w:tcW w:w="7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196"/>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64,822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76,951</w:t>
            </w:r>
          </w:p>
        </w:tc>
      </w:tr>
      <w:tr>
        <w:trPr>
          <w:trHeight w:val="193"/>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18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5,573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(13,586)</w:t>
            </w:r>
          </w:p>
        </w:tc>
      </w:tr>
      <w:tr>
        <w:trPr>
          <w:trHeight w:val="23"/>
        </w:trPr>
        <w:tc>
          <w:tcPr>
            <w:tcW w:w="7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16"/>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extinguishment of debt, net</w:t>
            </w:r>
          </w:p>
        </w:tc>
        <w:tc>
          <w:tcPr>
            <w:tcW w:w="18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77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Income before income from equity method investments and income taxes</w:t>
            </w:r>
          </w:p>
        </w:tc>
        <w:tc>
          <w:tcPr>
            <w:tcW w:w="1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87,043</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263,675</w:t>
            </w:r>
          </w:p>
        </w:tc>
      </w:tr>
      <w:tr>
        <w:trPr>
          <w:trHeight w:val="23"/>
        </w:trPr>
        <w:tc>
          <w:tcPr>
            <w:tcW w:w="7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196"/>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from equity method investments</w:t>
            </w:r>
          </w:p>
        </w:tc>
        <w:tc>
          <w:tcPr>
            <w:tcW w:w="1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(2,766)</w:t>
            </w:r>
          </w:p>
        </w:tc>
      </w:tr>
      <w:tr>
        <w:trPr>
          <w:trHeight w:val="193"/>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provision</w:t>
            </w:r>
          </w:p>
        </w:tc>
        <w:tc>
          <w:tcPr>
            <w:tcW w:w="18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25,194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46,037</w:t>
            </w:r>
          </w:p>
        </w:tc>
      </w:tr>
      <w:tr>
        <w:trPr>
          <w:trHeight w:val="23"/>
        </w:trPr>
        <w:tc>
          <w:tcPr>
            <w:tcW w:w="7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7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62,338</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214,872</w:t>
            </w:r>
          </w:p>
        </w:tc>
      </w:tr>
      <w:tr>
        <w:trPr>
          <w:trHeight w:val="193"/>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attributable to non-controlling interest</w:t>
            </w: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2,335</w:t>
            </w:r>
          </w:p>
        </w:tc>
      </w:tr>
      <w:tr>
        <w:trPr>
          <w:trHeight w:val="23"/>
        </w:trPr>
        <w:tc>
          <w:tcPr>
            <w:tcW w:w="7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4"/>
        </w:trPr>
        <w:tc>
          <w:tcPr>
            <w:tcW w:w="7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Net income attributable to stockholders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61,221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217,207</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41"/>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per share – basic</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0.30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per share – diluted</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0.30</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37"/>
        </w:trPr>
        <w:tc>
          <w:tcPr>
            <w:tcW w:w="7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03"/>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number of shares outstanding – basic</w:t>
            </w: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205,032,928</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205,032,928</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35"/>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shares outstanding – diluted</w:t>
            </w:r>
          </w:p>
        </w:tc>
        <w:tc>
          <w:tcPr>
            <w:tcW w:w="18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205,032,928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205,563,276</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93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and year ended December 31, 2023</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 thousands of U.S. dollars)</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Adjusted EBITDA is not a measurement of financial performance under GAAP and should not be considered in isolation or as an alternative to income from operations, net income, cash flow from operating activities or any other measure of performance or liquidity derived in accordance with GAAP. We believe this non-GAAP measure, as we have defined it, offers a useful supplemental view of the overall operation of our business in evaluating the effectiveness of our ongoing operating performance in a manner that is consistent with metrics used for management’s evaluation of our overall performance and to compensate employees. We believe that Adjusted EBITDA is widely used by investors to measure a company’s operating performance without regard to items such as interest expense, taxes, depreciation, and amortization which vary substantially from company to company depending on capital structure, the method by which assets were acquired and depreciation policies. Further, we exclude certain items from our SG&amp;A not otherwise indicative of ongoing operating performance.</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We calculate Adjusted EBITDA as net income,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transaction and integration costs, contract termination charges and loss on mitigations sales, depreciation and amortization, asset impairment expense, interest expense, net, other (income) expense, net, loss on extinguishment of debt, changes in fair value of non-hedge derivative instruments and contingent consideration, tax expense, and adjusting for certain items from our SG&amp;A not otherwise indicative of ongoing operating performance, including non-cash share-based compensation and severance expense, non-capitalizable development expenses, cost to pursue new business opportunities and expenses associated with changes to our corporate structure, certain non-capitalizable contract acquisition costs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our pro rata share of Adjusted EBITDA from certain unconsolidated entities,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the impact of equity in earnings (losses) of certain unconsolidated entities and gains from the sale of assets.</w:t>
      </w:r>
    </w:p>
    <w:p>
      <w:pPr>
        <w:spacing w:after="0" w:line="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Adjusted EBITDA is mathematically equivalent to our Total Segment Operating Margin, as reported in the segment disclosures within our financial statements, minus Core SG&amp;A, including our pro rata share of such expenses of certain unconsolidated entities. Core SG&amp;A is defined as total SG&amp;A adjusted for non-cash share-based compensation and severance expense, non-capitalizable development expenses, cost of exploring new business opportunities and expenses associated with changes to our corporate structure. Core SG&amp;A excludes certain items from our SG&amp;A not otherwise indicative of ongoing operating performance.</w:t>
      </w:r>
    </w:p>
    <w:p>
      <w:pPr>
        <w:spacing w:after="0" w:line="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principal limitation of this non-GAAP measure is that it excludes significant expenses and income that are required by GAAP to be recorded in our financial statements. Investors are encouraged to review the related GAAP financial measures and the reconciliation of the non-GAAP financial measure to our GAAP net income, and not to rely on any single financial measure to evaluate our business. Adjusted EBITDA does not have a standardized meaning, and different companies may use different Adjusted EBITDA definitions. Therefore, Adjusted EBITDA may not be necessarily comparable to similarly titled measures reported by other companies. Moreover, our definition of Adjusted EBITDA may not necessarily be the same as those we use for purposes of establishing covenant compliance under our financing agreements or for other purposes. Adjusted EBITDA should not be construed as alternatives to net income and diluted earnings per share attributable to New Fortress Energy, which are determined in accordance with GAAP.</w:t>
      </w:r>
    </w:p>
    <w:p>
      <w:pPr>
        <w:sectPr>
          <w:pgSz w:w="11900" w:h="16838" w:orient="portrait"/>
          <w:cols w:equalWidth="0" w:num="1">
            <w:col w:w="11240"/>
          </w:cols>
          <w:pgMar w:left="320" w:top="927" w:right="339" w:bottom="1440" w:gutter="0" w:footer="0" w:header="0"/>
        </w:sectPr>
      </w:pPr>
    </w:p>
    <w:bookmarkStart w:id="10" w:name="page11"/>
    <w:bookmarkEnd w:id="10"/>
    <w:p>
      <w:pPr>
        <w:spacing w:after="0" w:line="266" w:lineRule="auto"/>
        <w:rPr>
          <w:sz w:val="20"/>
          <w:szCs w:val="20"/>
          <w:color w:val="auto"/>
        </w:rPr>
      </w:pPr>
      <w:r>
        <w:rPr>
          <w:rFonts w:ascii="Times New Roman" w:cs="Times New Roman" w:eastAsia="Times New Roman" w:hAnsi="Times New Roman"/>
          <w:sz w:val="18"/>
          <w:szCs w:val="18"/>
          <w:color w:val="auto"/>
        </w:rPr>
        <w:t>The following table sets forth a reconciliation of net income to Adjusted EBITDA for the three months ended September 30, 2023 and December 31, 2023 and the year ended December 31, 2023:</w:t>
      </w:r>
    </w:p>
    <w:p>
      <w:pPr>
        <w:sectPr>
          <w:pgSz w:w="11900" w:h="16838" w:orient="portrait"/>
          <w:cols w:equalWidth="0" w:num="1">
            <w:col w:w="11240"/>
          </w:cols>
          <w:pgMar w:left="320" w:top="931" w:right="339" w:bottom="1440" w:gutter="0" w:footer="0" w:header="0"/>
        </w:sectPr>
      </w:pPr>
    </w:p>
    <w:p>
      <w:pPr>
        <w:spacing w:after="0" w:line="3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Total Segment Operating Margin</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Less: Core SG&amp;A (see definition above)</w:t>
      </w: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Less: Pro rata share Core SG&amp;A from unconsolidated entities</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 (Non-GAAP)</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4"/>
                <w:szCs w:val="14"/>
                <w:color w:val="auto"/>
              </w:rPr>
            </w:pPr>
          </w:p>
        </w:tc>
        <w:tc>
          <w:tcPr>
            <w:tcW w:w="12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90"/>
        </w:trPr>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00" w:type="dxa"/>
            <w:vAlign w:val="bottom"/>
          </w:tcPr>
          <w:p>
            <w:pPr>
              <w:spacing w:after="0"/>
              <w:rPr>
                <w:sz w:val="16"/>
                <w:szCs w:val="16"/>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c>
          <w:tcPr>
            <w:tcW w:w="12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44"/>
        </w:trPr>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93"/>
        </w:trPr>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249,687</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427,352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1,451,690</w:t>
            </w:r>
          </w:p>
        </w:tc>
      </w:tr>
      <w:tr>
        <w:trPr>
          <w:trHeight w:val="216"/>
        </w:trPr>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169,246</w:t>
            </w:r>
          </w:p>
        </w:tc>
      </w:tr>
      <w:tr>
        <w:trPr>
          <w:trHeight w:val="216"/>
        </w:trPr>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30"/>
        </w:trPr>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3"/>
        </w:trPr>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208,398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387,572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1,282,430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-4413885</wp:posOffset>
            </wp:positionH>
            <wp:positionV relativeFrom="paragraph">
              <wp:posOffset>-558800</wp:posOffset>
            </wp:positionV>
            <wp:extent cx="7132320" cy="146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-4413885</wp:posOffset>
            </wp:positionH>
            <wp:positionV relativeFrom="paragraph">
              <wp:posOffset>-276225</wp:posOffset>
            </wp:positionV>
            <wp:extent cx="7132320" cy="145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-4413885</wp:posOffset>
            </wp:positionH>
            <wp:positionV relativeFrom="paragraph">
              <wp:posOffset>14605</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40" w:space="720"/>
            <w:col w:w="4280"/>
          </w:cols>
          <w:pgMar w:left="320" w:top="931" w:right="339" w:bottom="1440" w:gutter="0" w:footer="0" w:header="0"/>
          <w:type w:val="continuous"/>
        </w:sect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46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62,338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214,872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548,876</w:t>
            </w:r>
          </w:p>
        </w:tc>
      </w:tr>
      <w:tr>
        <w:trPr>
          <w:trHeight w:val="193"/>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 Interest expense</w:t>
            </w: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64,822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76,951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277,842</w:t>
            </w:r>
          </w:p>
        </w:tc>
      </w:tr>
      <w:tr>
        <w:trPr>
          <w:trHeight w:val="23"/>
        </w:trPr>
        <w:tc>
          <w:tcPr>
            <w:tcW w:w="6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 Tax provision</w:t>
            </w:r>
          </w:p>
        </w:tc>
        <w:tc>
          <w:tcPr>
            <w:tcW w:w="4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25,194</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46,037</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115,513</w:t>
            </w:r>
          </w:p>
        </w:tc>
      </w:tr>
      <w:tr>
        <w:trPr>
          <w:trHeight w:val="193"/>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 Depreciation and amortization</w:t>
            </w: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48,670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62,164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187,324</w:t>
            </w:r>
          </w:p>
        </w:tc>
      </w:tr>
      <w:tr>
        <w:trPr>
          <w:trHeight w:val="23"/>
        </w:trPr>
        <w:tc>
          <w:tcPr>
            <w:tcW w:w="6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 Asset impairment expense</w:t>
            </w:r>
          </w:p>
        </w:tc>
        <w:tc>
          <w:tcPr>
            <w:tcW w:w="4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10,958</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10,958</w:t>
            </w:r>
          </w:p>
        </w:tc>
      </w:tr>
      <w:tr>
        <w:trPr>
          <w:trHeight w:val="193"/>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 SG&amp;A items excluded from Core SG&amp;A (see definition above)</w:t>
            </w: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7,818</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35,858</w:t>
            </w:r>
          </w:p>
        </w:tc>
      </w:tr>
      <w:tr>
        <w:trPr>
          <w:trHeight w:val="23"/>
        </w:trPr>
        <w:tc>
          <w:tcPr>
            <w:tcW w:w="6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 Transaction and integration costs</w:t>
            </w:r>
          </w:p>
        </w:tc>
        <w:tc>
          <w:tcPr>
            <w:tcW w:w="4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2,739</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2,159</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6,946</w:t>
            </w:r>
          </w:p>
        </w:tc>
      </w:tr>
      <w:tr>
        <w:trPr>
          <w:trHeight w:val="193"/>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 Other (income) expense, net</w:t>
            </w: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(13,586)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10,408</w:t>
            </w:r>
          </w:p>
        </w:tc>
      </w:tr>
      <w:tr>
        <w:trPr>
          <w:trHeight w:val="23"/>
        </w:trPr>
        <w:tc>
          <w:tcPr>
            <w:tcW w:w="6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 Changes in fair value of non-hedge derivative instruments and contingent consideration</w:t>
            </w:r>
          </w:p>
        </w:tc>
        <w:tc>
          <w:tcPr>
            <w:tcW w:w="4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(1,491)</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106,392</w:t>
            </w:r>
          </w:p>
        </w:tc>
      </w:tr>
      <w:tr>
        <w:trPr>
          <w:trHeight w:val="193"/>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 Loss (gain) on sale of assets, net</w:t>
            </w: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(21,534)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(29,378)</w:t>
            </w:r>
          </w:p>
        </w:tc>
      </w:tr>
      <w:tr>
        <w:trPr>
          <w:trHeight w:val="23"/>
        </w:trPr>
        <w:tc>
          <w:tcPr>
            <w:tcW w:w="6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 Pro rata share of Adjusted EBITDA from unconsolidated entities</w:t>
            </w:r>
          </w:p>
        </w:tc>
        <w:tc>
          <w:tcPr>
            <w:tcW w:w="4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15,431</w:t>
            </w:r>
          </w:p>
        </w:tc>
      </w:tr>
      <w:tr>
        <w:trPr>
          <w:trHeight w:val="193"/>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 Loss (income) from equity method investments</w:t>
            </w: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(9,972)</w:t>
            </w:r>
          </w:p>
        </w:tc>
      </w:tr>
      <w:tr>
        <w:trPr>
          <w:trHeight w:val="23"/>
        </w:trPr>
        <w:tc>
          <w:tcPr>
            <w:tcW w:w="6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1"/>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 Contract acquisition cost</w:t>
            </w:r>
          </w:p>
        </w:tc>
        <w:tc>
          <w:tcPr>
            <w:tcW w:w="4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6,232</w:t>
            </w:r>
          </w:p>
        </w:tc>
      </w:tr>
      <w:tr>
        <w:trPr>
          <w:trHeight w:val="185"/>
        </w:trPr>
        <w:tc>
          <w:tcPr>
            <w:tcW w:w="69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460" w:type="dxa"/>
            <w:vAlign w:val="bottom"/>
            <w:tcBorders>
              <w:top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208,398</w:t>
            </w:r>
          </w:p>
        </w:tc>
        <w:tc>
          <w:tcPr>
            <w:tcW w:w="100" w:type="dxa"/>
            <w:vAlign w:val="bottom"/>
            <w:tcBorders>
              <w:top w:val="single" w:sz="8" w:color="CCEEFF"/>
            </w:tcBorders>
          </w:tcPr>
          <w:p>
            <w:pPr>
              <w:spacing w:after="0"/>
              <w:rPr>
                <w:sz w:val="16"/>
                <w:szCs w:val="16"/>
                <w:color w:val="auto"/>
              </w:rPr>
            </w:pPr>
          </w:p>
        </w:tc>
        <w:tc>
          <w:tcPr>
            <w:tcW w:w="460" w:type="dxa"/>
            <w:vAlign w:val="bottom"/>
            <w:tcBorders>
              <w:top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387,572</w:t>
            </w:r>
          </w:p>
        </w:tc>
        <w:tc>
          <w:tcPr>
            <w:tcW w:w="100" w:type="dxa"/>
            <w:vAlign w:val="bottom"/>
            <w:tcBorders>
              <w:top w:val="single" w:sz="8" w:color="CCEEFF"/>
            </w:tcBorders>
          </w:tcPr>
          <w:p>
            <w:pPr>
              <w:spacing w:after="0"/>
              <w:rPr>
                <w:sz w:val="16"/>
                <w:szCs w:val="16"/>
                <w:color w:val="auto"/>
              </w:rPr>
            </w:pPr>
          </w:p>
        </w:tc>
        <w:tc>
          <w:tcPr>
            <w:tcW w:w="40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1,282,430</w:t>
            </w:r>
          </w:p>
        </w:tc>
      </w:tr>
    </w:tbl>
    <w:p>
      <w:pPr>
        <w:sectPr>
          <w:pgSz w:w="11900" w:h="16838" w:orient="portrait"/>
          <w:cols w:equalWidth="0" w:num="1">
            <w:col w:w="11240"/>
          </w:cols>
          <w:pgMar w:left="320" w:top="93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Segment Operating Margin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 thousands of U.S. dollars)</w:t>
      </w:r>
    </w:p>
    <w:p>
      <w:pPr>
        <w:spacing w:after="0" w:line="232"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18"/>
          <w:szCs w:val="18"/>
          <w:color w:val="auto"/>
        </w:rPr>
        <w:t>Performance of our two segments, Terminals and Infrastructure and Ships, is evaluated based on Segment Operating Margin. Segment Operating Margin reconciles to Consolidated Segment Operating Margin as reflected below, which is a non-GAAP measure. We define Consolidated Segment Operating Margin as GAAP net income, adjusted for selling, general and administrative expense, transaction and integration costs, contract termination charges and loss on mitigation sales, depreciation and amortization, asset impairment expense, gains on asset sales, interest expense, other (income) expense, loss on extinguishment of debt, net, (income) loss from equity method investments and tax (benefit) expense. Consolidated Segment Operating Margin is mathematically equivalent to Revenue minus Cost of sales minus Operations and maintenance minus Vessel operating expenses, each as reported in our financial statements.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Terminals and</w:t>
            </w:r>
          </w:p>
        </w:tc>
        <w:tc>
          <w:tcPr>
            <w:tcW w:w="320" w:type="dxa"/>
            <w:vAlign w:val="bottom"/>
          </w:tcPr>
          <w:p>
            <w:pPr>
              <w:spacing w:after="0"/>
              <w:rPr>
                <w:sz w:val="17"/>
                <w:szCs w:val="17"/>
                <w:color w:val="auto"/>
              </w:rPr>
            </w:pPr>
          </w:p>
        </w:tc>
        <w:tc>
          <w:tcPr>
            <w:tcW w:w="9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Ships</w:t>
            </w:r>
          </w:p>
        </w:tc>
        <w:tc>
          <w:tcPr>
            <w:tcW w:w="132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 Segment</w:t>
            </w: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and</w:t>
            </w:r>
          </w:p>
        </w:tc>
        <w:tc>
          <w:tcPr>
            <w:tcW w:w="220" w:type="dxa"/>
            <w:vAlign w:val="bottom"/>
          </w:tcPr>
          <w:p>
            <w:pPr>
              <w:spacing w:after="0"/>
              <w:rPr>
                <w:sz w:val="17"/>
                <w:szCs w:val="17"/>
                <w:color w:val="auto"/>
              </w:rPr>
            </w:pPr>
          </w:p>
        </w:tc>
        <w:tc>
          <w:tcPr>
            <w:tcW w:w="130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162"/>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w:t>
            </w:r>
          </w:p>
        </w:tc>
        <w:tc>
          <w:tcPr>
            <w:tcW w:w="560" w:type="dxa"/>
            <w:vAlign w:val="bottom"/>
          </w:tcPr>
          <w:p>
            <w:pPr>
              <w:spacing w:after="0"/>
              <w:rPr>
                <w:sz w:val="14"/>
                <w:szCs w:val="14"/>
                <w:color w:val="auto"/>
              </w:rPr>
            </w:pPr>
          </w:p>
        </w:tc>
        <w:tc>
          <w:tcPr>
            <w:tcW w:w="1460" w:type="dxa"/>
            <w:vAlign w:val="bottom"/>
            <w:vMerge w:val="restart"/>
          </w:tcPr>
          <w:p>
            <w:pPr>
              <w:jc w:val="center"/>
              <w:ind w:right="7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Infrastructure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¹</w:t>
            </w:r>
            <w:r>
              <w:rPr>
                <w:rFonts w:ascii="MS PGothic" w:cs="MS PGothic" w:eastAsia="MS PGothic" w:hAnsi="MS PGothic"/>
                <w:sz w:val="18"/>
                <w:szCs w:val="18"/>
                <w:color w:val="auto"/>
              </w:rPr>
              <w:t>⁾</w:t>
            </w:r>
          </w:p>
        </w:tc>
        <w:tc>
          <w:tcPr>
            <w:tcW w:w="3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vMerge w:val="restart"/>
          </w:tcPr>
          <w:p>
            <w:pPr>
              <w:jc w:val="right"/>
              <w:ind w:right="390"/>
              <w:spacing w:after="0" w:line="207" w:lineRule="exact"/>
              <w:rPr>
                <w:sz w:val="20"/>
                <w:szCs w:val="20"/>
                <w:color w:val="auto"/>
              </w:rPr>
            </w:pPr>
            <w:r>
              <w:rPr>
                <w:rFonts w:ascii="Times New Roman" w:cs="Times New Roman" w:eastAsia="Times New Roman" w:hAnsi="Times New Roman"/>
                <w:sz w:val="18"/>
                <w:szCs w:val="18"/>
                <w:b w:val="1"/>
                <w:bCs w:val="1"/>
                <w:color w:val="auto"/>
              </w:rPr>
              <w:t>Other</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¹</w:t>
            </w:r>
            <w:r>
              <w:rPr>
                <w:rFonts w:ascii="MS PGothic" w:cs="MS PGothic" w:eastAsia="MS PGothic" w:hAnsi="MS PGothic"/>
                <w:sz w:val="18"/>
                <w:szCs w:val="18"/>
                <w:color w:val="auto"/>
              </w:rPr>
              <w:t>⁾</w:t>
            </w:r>
          </w:p>
        </w:tc>
        <w:tc>
          <w:tcPr>
            <w:tcW w:w="22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500" w:type="dxa"/>
            <w:vAlign w:val="bottom"/>
            <w:tcBorders>
              <w:bottom w:val="single" w:sz="8" w:color="auto"/>
            </w:tcBorders>
            <w:vMerge w:val="continue"/>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vMerge w:val="continue"/>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Margin</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1,209,472</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242,218</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1,451,690</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(128,069)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1,323,621</w:t>
            </w:r>
          </w:p>
        </w:tc>
        <w:tc>
          <w:tcPr>
            <w:tcW w:w="0" w:type="dxa"/>
            <w:vAlign w:val="bottom"/>
          </w:tcPr>
          <w:p>
            <w:pPr>
              <w:spacing w:after="0"/>
              <w:rPr>
                <w:sz w:val="1"/>
                <w:szCs w:val="1"/>
                <w:color w:val="auto"/>
              </w:rPr>
            </w:pPr>
          </w:p>
        </w:tc>
      </w:tr>
      <w:tr>
        <w:trPr>
          <w:trHeight w:val="25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5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205,104</w:t>
            </w:r>
          </w:p>
        </w:tc>
        <w:tc>
          <w:tcPr>
            <w:tcW w:w="0" w:type="dxa"/>
            <w:vAlign w:val="bottom"/>
          </w:tcPr>
          <w:p>
            <w:pPr>
              <w:spacing w:after="0"/>
              <w:rPr>
                <w:sz w:val="1"/>
                <w:szCs w:val="1"/>
                <w:color w:val="auto"/>
              </w:rPr>
            </w:pPr>
          </w:p>
        </w:tc>
      </w:tr>
      <w:tr>
        <w:trPr>
          <w:trHeight w:val="257"/>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5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6,946</w:t>
            </w:r>
          </w:p>
        </w:tc>
        <w:tc>
          <w:tcPr>
            <w:tcW w:w="0" w:type="dxa"/>
            <w:vAlign w:val="bottom"/>
          </w:tcPr>
          <w:p>
            <w:pPr>
              <w:spacing w:after="0"/>
              <w:rPr>
                <w:sz w:val="1"/>
                <w:szCs w:val="1"/>
                <w:color w:val="auto"/>
              </w:rPr>
            </w:pPr>
          </w:p>
        </w:tc>
      </w:tr>
      <w:tr>
        <w:trPr>
          <w:trHeight w:val="257"/>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187,324</w:t>
            </w:r>
          </w:p>
        </w:tc>
        <w:tc>
          <w:tcPr>
            <w:tcW w:w="0" w:type="dxa"/>
            <w:vAlign w:val="bottom"/>
          </w:tcPr>
          <w:p>
            <w:pPr>
              <w:spacing w:after="0"/>
              <w:rPr>
                <w:sz w:val="1"/>
                <w:szCs w:val="1"/>
                <w:color w:val="auto"/>
              </w:rPr>
            </w:pPr>
          </w:p>
        </w:tc>
      </w:tr>
      <w:tr>
        <w:trPr>
          <w:trHeight w:val="25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 expense</w:t>
            </w:r>
          </w:p>
        </w:tc>
        <w:tc>
          <w:tcPr>
            <w:tcW w:w="5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10,958</w:t>
            </w:r>
          </w:p>
        </w:tc>
        <w:tc>
          <w:tcPr>
            <w:tcW w:w="0" w:type="dxa"/>
            <w:vAlign w:val="bottom"/>
          </w:tcPr>
          <w:p>
            <w:pPr>
              <w:spacing w:after="0"/>
              <w:rPr>
                <w:sz w:val="1"/>
                <w:szCs w:val="1"/>
                <w:color w:val="auto"/>
              </w:rPr>
            </w:pPr>
          </w:p>
        </w:tc>
      </w:tr>
      <w:tr>
        <w:trPr>
          <w:trHeight w:val="26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5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277,842</w:t>
            </w:r>
          </w:p>
        </w:tc>
        <w:tc>
          <w:tcPr>
            <w:tcW w:w="0" w:type="dxa"/>
            <w:vAlign w:val="bottom"/>
          </w:tcPr>
          <w:p>
            <w:pPr>
              <w:spacing w:after="0"/>
              <w:rPr>
                <w:sz w:val="1"/>
                <w:szCs w:val="1"/>
                <w:color w:val="auto"/>
              </w:rPr>
            </w:pPr>
          </w:p>
        </w:tc>
      </w:tr>
      <w:tr>
        <w:trPr>
          <w:trHeight w:val="25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5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10,408</w:t>
            </w:r>
          </w:p>
        </w:tc>
        <w:tc>
          <w:tcPr>
            <w:tcW w:w="0" w:type="dxa"/>
            <w:vAlign w:val="bottom"/>
          </w:tcPr>
          <w:p>
            <w:pPr>
              <w:spacing w:after="0"/>
              <w:rPr>
                <w:sz w:val="1"/>
                <w:szCs w:val="1"/>
                <w:color w:val="auto"/>
              </w:rPr>
            </w:pPr>
          </w:p>
        </w:tc>
      </w:tr>
      <w:tr>
        <w:trPr>
          <w:trHeight w:val="26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assets, net</w:t>
            </w:r>
          </w:p>
        </w:tc>
        <w:tc>
          <w:tcPr>
            <w:tcW w:w="5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(29,378)</w:t>
            </w:r>
          </w:p>
        </w:tc>
        <w:tc>
          <w:tcPr>
            <w:tcW w:w="0" w:type="dxa"/>
            <w:vAlign w:val="bottom"/>
          </w:tcPr>
          <w:p>
            <w:pPr>
              <w:spacing w:after="0"/>
              <w:rPr>
                <w:sz w:val="1"/>
                <w:szCs w:val="1"/>
                <w:color w:val="auto"/>
              </w:rPr>
            </w:pPr>
          </w:p>
        </w:tc>
      </w:tr>
      <w:tr>
        <w:trPr>
          <w:trHeight w:val="25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5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(9,972)</w:t>
            </w:r>
          </w:p>
        </w:tc>
        <w:tc>
          <w:tcPr>
            <w:tcW w:w="0" w:type="dxa"/>
            <w:vAlign w:val="bottom"/>
          </w:tcPr>
          <w:p>
            <w:pPr>
              <w:spacing w:after="0"/>
              <w:rPr>
                <w:sz w:val="1"/>
                <w:szCs w:val="1"/>
                <w:color w:val="auto"/>
              </w:rPr>
            </w:pPr>
          </w:p>
        </w:tc>
      </w:tr>
      <w:tr>
        <w:trPr>
          <w:trHeight w:val="257"/>
        </w:trPr>
        <w:tc>
          <w:tcPr>
            <w:tcW w:w="3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provision</w:t>
            </w:r>
          </w:p>
        </w:tc>
        <w:tc>
          <w:tcPr>
            <w:tcW w:w="5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115,513</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5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548,876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3308985</wp:posOffset>
            </wp:positionH>
            <wp:positionV relativeFrom="paragraph">
              <wp:posOffset>-2125980</wp:posOffset>
            </wp:positionV>
            <wp:extent cx="106045" cy="869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-2125980</wp:posOffset>
            </wp:positionV>
            <wp:extent cx="106045" cy="869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6045" cy="8699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Consolidation and Other also adjusts for the exclusion of the unrealized mark-to-market gain or loss on derivative instruments in our segment measure.</w:t>
      </w:r>
    </w:p>
    <w:p>
      <w:pPr>
        <w:sectPr>
          <w:pgSz w:w="11900" w:h="16838" w:orient="portrait"/>
          <w:cols w:equalWidth="0" w:num="1">
            <w:col w:w="11240"/>
          </w:cols>
          <w:pgMar w:left="320" w:top="92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w:t>
            </w:r>
          </w:p>
        </w:tc>
        <w:tc>
          <w:tcPr>
            <w:tcW w:w="740" w:type="dxa"/>
            <w:vAlign w:val="bottom"/>
          </w:tcPr>
          <w:p>
            <w:pPr>
              <w:spacing w:after="0"/>
              <w:rPr>
                <w:sz w:val="24"/>
                <w:szCs w:val="24"/>
                <w:color w:val="auto"/>
              </w:rPr>
            </w:pPr>
          </w:p>
        </w:tc>
        <w:tc>
          <w:tcPr>
            <w:tcW w:w="14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Terminals and</w:t>
            </w:r>
          </w:p>
        </w:tc>
        <w:tc>
          <w:tcPr>
            <w:tcW w:w="320" w:type="dxa"/>
            <w:vAlign w:val="bottom"/>
          </w:tcPr>
          <w:p>
            <w:pPr>
              <w:spacing w:after="0"/>
              <w:rPr>
                <w:sz w:val="24"/>
                <w:szCs w:val="24"/>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Ships</w:t>
            </w: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Total Segment</w:t>
            </w: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Consolidation and</w:t>
            </w:r>
          </w:p>
        </w:tc>
        <w:tc>
          <w:tcPr>
            <w:tcW w:w="240" w:type="dxa"/>
            <w:vAlign w:val="bottom"/>
          </w:tcPr>
          <w:p>
            <w:pPr>
              <w:spacing w:after="0"/>
              <w:rPr>
                <w:sz w:val="24"/>
                <w:szCs w:val="24"/>
                <w:color w:val="auto"/>
              </w:rPr>
            </w:pP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183"/>
        </w:trPr>
        <w:tc>
          <w:tcPr>
            <w:tcW w:w="338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 xml:space="preserve">Infrastructure </w:t>
            </w:r>
            <w:r>
              <w:rPr>
                <w:rFonts w:ascii="MS PGothic" w:cs="MS PGothic" w:eastAsia="MS PGothic" w:hAnsi="MS PGothic"/>
                <w:sz w:val="18"/>
                <w:szCs w:val="18"/>
                <w:color w:val="auto"/>
                <w:w w:val="99"/>
              </w:rPr>
              <w:t>⁽</w:t>
            </w:r>
            <w:r>
              <w:rPr>
                <w:rFonts w:ascii="Times New Roman" w:cs="Times New Roman" w:eastAsia="Times New Roman" w:hAnsi="Times New Roman"/>
                <w:sz w:val="18"/>
                <w:szCs w:val="18"/>
                <w:b w:val="1"/>
                <w:bCs w:val="1"/>
                <w:color w:val="auto"/>
                <w:w w:val="99"/>
              </w:rPr>
              <w:t>¹</w:t>
            </w:r>
            <w:r>
              <w:rPr>
                <w:rFonts w:ascii="MS PGothic" w:cs="MS PGothic" w:eastAsia="MS PGothic" w:hAnsi="MS PGothic"/>
                <w:sz w:val="18"/>
                <w:szCs w:val="18"/>
                <w:color w:val="auto"/>
                <w:w w:val="99"/>
              </w:rPr>
              <w:t>⁾</w:t>
            </w: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50"/>
              <w:spacing w:after="0" w:line="176" w:lineRule="exact"/>
              <w:rPr>
                <w:sz w:val="20"/>
                <w:szCs w:val="20"/>
                <w:color w:val="auto"/>
              </w:rPr>
            </w:pPr>
            <w:r>
              <w:rPr>
                <w:rFonts w:ascii="Times New Roman" w:cs="Times New Roman" w:eastAsia="Times New Roman" w:hAnsi="Times New Roman"/>
                <w:sz w:val="18"/>
                <w:szCs w:val="18"/>
                <w:b w:val="1"/>
                <w:bCs w:val="1"/>
                <w:color w:val="auto"/>
              </w:rPr>
              <w:t xml:space="preserve">Other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¹</w:t>
            </w:r>
            <w:r>
              <w:rPr>
                <w:rFonts w:ascii="MS PGothic" w:cs="MS PGothic" w:eastAsia="MS PGothic" w:hAnsi="MS PGothic"/>
                <w:sz w:val="18"/>
                <w:szCs w:val="18"/>
                <w:color w:val="auto"/>
              </w:rPr>
              <w:t>⁾</w:t>
            </w: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Margin</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373,154</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54,198</w:t>
            </w: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427,352</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1,491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428,843</w:t>
            </w:r>
          </w:p>
        </w:tc>
        <w:tc>
          <w:tcPr>
            <w:tcW w:w="0" w:type="dxa"/>
            <w:vAlign w:val="bottom"/>
          </w:tcPr>
          <w:p>
            <w:pPr>
              <w:spacing w:after="0"/>
              <w:rPr>
                <w:sz w:val="1"/>
                <w:szCs w:val="1"/>
                <w:color w:val="auto"/>
              </w:rPr>
            </w:pPr>
          </w:p>
        </w:tc>
      </w:tr>
      <w:tr>
        <w:trPr>
          <w:trHeight w:val="25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7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4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48,056</w:t>
            </w:r>
          </w:p>
        </w:tc>
        <w:tc>
          <w:tcPr>
            <w:tcW w:w="0" w:type="dxa"/>
            <w:vAlign w:val="bottom"/>
          </w:tcPr>
          <w:p>
            <w:pPr>
              <w:spacing w:after="0"/>
              <w:rPr>
                <w:sz w:val="1"/>
                <w:szCs w:val="1"/>
                <w:color w:val="auto"/>
              </w:rPr>
            </w:pPr>
          </w:p>
        </w:tc>
      </w:tr>
      <w:tr>
        <w:trPr>
          <w:trHeight w:val="256"/>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7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0" w:type="dxa"/>
            <w:vAlign w:val="bottom"/>
          </w:tcPr>
          <w:p>
            <w:pPr>
              <w:spacing w:after="0"/>
              <w:rPr>
                <w:sz w:val="1"/>
                <w:szCs w:val="1"/>
                <w:color w:val="auto"/>
              </w:rPr>
            </w:pPr>
          </w:p>
        </w:tc>
      </w:tr>
      <w:tr>
        <w:trPr>
          <w:trHeight w:val="257"/>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4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62,164</w:t>
            </w:r>
          </w:p>
        </w:tc>
        <w:tc>
          <w:tcPr>
            <w:tcW w:w="0" w:type="dxa"/>
            <w:vAlign w:val="bottom"/>
          </w:tcPr>
          <w:p>
            <w:pPr>
              <w:spacing w:after="0"/>
              <w:rPr>
                <w:sz w:val="1"/>
                <w:szCs w:val="1"/>
                <w:color w:val="auto"/>
              </w:rPr>
            </w:pPr>
          </w:p>
        </w:tc>
      </w:tr>
      <w:tr>
        <w:trPr>
          <w:trHeight w:val="25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 expense</w:t>
            </w:r>
          </w:p>
        </w:tc>
        <w:tc>
          <w:tcPr>
            <w:tcW w:w="7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10,958</w:t>
            </w:r>
          </w:p>
        </w:tc>
        <w:tc>
          <w:tcPr>
            <w:tcW w:w="0" w:type="dxa"/>
            <w:vAlign w:val="bottom"/>
          </w:tcPr>
          <w:p>
            <w:pPr>
              <w:spacing w:after="0"/>
              <w:rPr>
                <w:sz w:val="1"/>
                <w:szCs w:val="1"/>
                <w:color w:val="auto"/>
              </w:rPr>
            </w:pPr>
          </w:p>
        </w:tc>
      </w:tr>
      <w:tr>
        <w:trPr>
          <w:trHeight w:val="26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assets, net</w:t>
            </w:r>
          </w:p>
        </w:tc>
        <w:tc>
          <w:tcPr>
            <w:tcW w:w="74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(21,534)</w:t>
            </w:r>
          </w:p>
        </w:tc>
        <w:tc>
          <w:tcPr>
            <w:tcW w:w="0" w:type="dxa"/>
            <w:vAlign w:val="bottom"/>
          </w:tcPr>
          <w:p>
            <w:pPr>
              <w:spacing w:after="0"/>
              <w:rPr>
                <w:sz w:val="1"/>
                <w:szCs w:val="1"/>
                <w:color w:val="auto"/>
              </w:rPr>
            </w:pPr>
          </w:p>
        </w:tc>
      </w:tr>
      <w:tr>
        <w:trPr>
          <w:trHeight w:val="256"/>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7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76,951</w:t>
            </w:r>
          </w:p>
        </w:tc>
        <w:tc>
          <w:tcPr>
            <w:tcW w:w="0" w:type="dxa"/>
            <w:vAlign w:val="bottom"/>
          </w:tcPr>
          <w:p>
            <w:pPr>
              <w:spacing w:after="0"/>
              <w:rPr>
                <w:sz w:val="1"/>
                <w:szCs w:val="1"/>
                <w:color w:val="auto"/>
              </w:rPr>
            </w:pPr>
          </w:p>
        </w:tc>
      </w:tr>
      <w:tr>
        <w:trPr>
          <w:trHeight w:val="257"/>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74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(13,586)</w:t>
            </w:r>
          </w:p>
        </w:tc>
        <w:tc>
          <w:tcPr>
            <w:tcW w:w="0" w:type="dxa"/>
            <w:vAlign w:val="bottom"/>
          </w:tcPr>
          <w:p>
            <w:pPr>
              <w:spacing w:after="0"/>
              <w:rPr>
                <w:sz w:val="1"/>
                <w:szCs w:val="1"/>
                <w:color w:val="auto"/>
              </w:rPr>
            </w:pPr>
          </w:p>
        </w:tc>
      </w:tr>
      <w:tr>
        <w:trPr>
          <w:trHeight w:val="25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equity method investments</w:t>
            </w:r>
          </w:p>
        </w:tc>
        <w:tc>
          <w:tcPr>
            <w:tcW w:w="7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0" w:type="dxa"/>
            <w:vAlign w:val="bottom"/>
          </w:tcPr>
          <w:p>
            <w:pPr>
              <w:spacing w:after="0"/>
              <w:rPr>
                <w:sz w:val="1"/>
                <w:szCs w:val="1"/>
                <w:color w:val="auto"/>
              </w:rPr>
            </w:pPr>
          </w:p>
        </w:tc>
      </w:tr>
      <w:tr>
        <w:trPr>
          <w:trHeight w:val="257"/>
        </w:trPr>
        <w:tc>
          <w:tcPr>
            <w:tcW w:w="3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provision (benefit)</w:t>
            </w:r>
          </w:p>
        </w:tc>
        <w:tc>
          <w:tcPr>
            <w:tcW w:w="74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46,037</w:t>
            </w:r>
          </w:p>
        </w:tc>
        <w:tc>
          <w:tcPr>
            <w:tcW w:w="0" w:type="dxa"/>
            <w:vAlign w:val="bottom"/>
          </w:tcPr>
          <w:p>
            <w:pPr>
              <w:spacing w:after="0"/>
              <w:rPr>
                <w:sz w:val="1"/>
                <w:szCs w:val="1"/>
                <w:color w:val="auto"/>
              </w:rPr>
            </w:pPr>
          </w:p>
        </w:tc>
      </w:tr>
      <w:tr>
        <w:trPr>
          <w:trHeight w:val="24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7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3351530</wp:posOffset>
            </wp:positionH>
            <wp:positionV relativeFrom="paragraph">
              <wp:posOffset>-2125980</wp:posOffset>
            </wp:positionV>
            <wp:extent cx="106045" cy="86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5788025</wp:posOffset>
            </wp:positionH>
            <wp:positionV relativeFrom="paragraph">
              <wp:posOffset>-2125980</wp:posOffset>
            </wp:positionV>
            <wp:extent cx="106045" cy="86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6045" cy="86995"/>
                    </a:xfrm>
                    <a:prstGeom prst="rect">
                      <a:avLst/>
                    </a:prstGeom>
                    <a:noFill/>
                  </pic:spPr>
                </pic:pic>
              </a:graphicData>
            </a:graphic>
          </wp:anchor>
        </w:drawing>
      </w:r>
    </w:p>
    <w:p>
      <w:pPr>
        <w:spacing w:after="0" w:line="283"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Consolidation and Other also adjusts for the exclusion of the unrealized mark-to-market gain or loss on derivative instruments in our segment measure.</w:t>
      </w:r>
    </w:p>
    <w:p>
      <w:pPr>
        <w:sectPr>
          <w:pgSz w:w="11900" w:h="16838" w:orient="portrait"/>
          <w:cols w:equalWidth="0" w:num="1">
            <w:col w:w="11240"/>
          </w:cols>
          <w:pgMar w:left="320" w:top="981"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w:t>
            </w:r>
          </w:p>
        </w:tc>
        <w:tc>
          <w:tcPr>
            <w:tcW w:w="580" w:type="dxa"/>
            <w:vAlign w:val="bottom"/>
          </w:tcPr>
          <w:p>
            <w:pPr>
              <w:spacing w:after="0"/>
              <w:rPr>
                <w:sz w:val="24"/>
                <w:szCs w:val="24"/>
                <w:color w:val="auto"/>
              </w:rPr>
            </w:pPr>
          </w:p>
        </w:tc>
        <w:tc>
          <w:tcPr>
            <w:tcW w:w="14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Terminals and</w:t>
            </w:r>
          </w:p>
        </w:tc>
        <w:tc>
          <w:tcPr>
            <w:tcW w:w="320" w:type="dxa"/>
            <w:vAlign w:val="bottom"/>
          </w:tcPr>
          <w:p>
            <w:pPr>
              <w:spacing w:after="0"/>
              <w:rPr>
                <w:sz w:val="24"/>
                <w:szCs w:val="24"/>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Ships</w:t>
            </w: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Total Segment</w:t>
            </w: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Consolidation and</w:t>
            </w:r>
          </w:p>
        </w:tc>
        <w:tc>
          <w:tcPr>
            <w:tcW w:w="240" w:type="dxa"/>
            <w:vAlign w:val="bottom"/>
          </w:tcPr>
          <w:p>
            <w:pPr>
              <w:spacing w:after="0"/>
              <w:rPr>
                <w:sz w:val="24"/>
                <w:szCs w:val="24"/>
                <w:color w:val="auto"/>
              </w:rPr>
            </w:pP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183"/>
        </w:trPr>
        <w:tc>
          <w:tcPr>
            <w:tcW w:w="354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 xml:space="preserve">Infrastructure </w:t>
            </w:r>
            <w:r>
              <w:rPr>
                <w:rFonts w:ascii="MS PGothic" w:cs="MS PGothic" w:eastAsia="MS PGothic" w:hAnsi="MS PGothic"/>
                <w:sz w:val="18"/>
                <w:szCs w:val="18"/>
                <w:color w:val="auto"/>
                <w:w w:val="99"/>
              </w:rPr>
              <w:t>⁽</w:t>
            </w:r>
            <w:r>
              <w:rPr>
                <w:rFonts w:ascii="Times New Roman" w:cs="Times New Roman" w:eastAsia="Times New Roman" w:hAnsi="Times New Roman"/>
                <w:sz w:val="18"/>
                <w:szCs w:val="18"/>
                <w:b w:val="1"/>
                <w:bCs w:val="1"/>
                <w:color w:val="auto"/>
                <w:w w:val="99"/>
              </w:rPr>
              <w:t>¹</w:t>
            </w:r>
            <w:r>
              <w:rPr>
                <w:rFonts w:ascii="MS PGothic" w:cs="MS PGothic" w:eastAsia="MS PGothic" w:hAnsi="MS PGothic"/>
                <w:sz w:val="18"/>
                <w:szCs w:val="18"/>
                <w:color w:val="auto"/>
                <w:w w:val="99"/>
              </w:rPr>
              <w:t>⁾</w:t>
            </w: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50"/>
              <w:spacing w:after="0" w:line="176" w:lineRule="exact"/>
              <w:rPr>
                <w:sz w:val="20"/>
                <w:szCs w:val="20"/>
                <w:color w:val="auto"/>
              </w:rPr>
            </w:pPr>
            <w:r>
              <w:rPr>
                <w:rFonts w:ascii="Times New Roman" w:cs="Times New Roman" w:eastAsia="Times New Roman" w:hAnsi="Times New Roman"/>
                <w:sz w:val="18"/>
                <w:szCs w:val="18"/>
                <w:b w:val="1"/>
                <w:bCs w:val="1"/>
                <w:color w:val="auto"/>
              </w:rPr>
              <w:t xml:space="preserve">Other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Margin</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194,743</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54,944</w:t>
            </w: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249,687</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250,110</w:t>
            </w:r>
          </w:p>
        </w:tc>
        <w:tc>
          <w:tcPr>
            <w:tcW w:w="0" w:type="dxa"/>
            <w:vAlign w:val="bottom"/>
          </w:tcPr>
          <w:p>
            <w:pPr>
              <w:spacing w:after="0"/>
              <w:rPr>
                <w:sz w:val="1"/>
                <w:szCs w:val="1"/>
                <w:color w:val="auto"/>
              </w:rPr>
            </w:pPr>
          </w:p>
        </w:tc>
      </w:tr>
      <w:tr>
        <w:trPr>
          <w:trHeight w:val="25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5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49,107</w:t>
            </w:r>
          </w:p>
        </w:tc>
        <w:tc>
          <w:tcPr>
            <w:tcW w:w="0" w:type="dxa"/>
            <w:vAlign w:val="bottom"/>
          </w:tcPr>
          <w:p>
            <w:pPr>
              <w:spacing w:after="0"/>
              <w:rPr>
                <w:sz w:val="1"/>
                <w:szCs w:val="1"/>
                <w:color w:val="auto"/>
              </w:rPr>
            </w:pPr>
          </w:p>
        </w:tc>
      </w:tr>
      <w:tr>
        <w:trPr>
          <w:trHeight w:val="256"/>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5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0" w:type="dxa"/>
            <w:vAlign w:val="bottom"/>
          </w:tcPr>
          <w:p>
            <w:pPr>
              <w:spacing w:after="0"/>
              <w:rPr>
                <w:sz w:val="1"/>
                <w:szCs w:val="1"/>
                <w:color w:val="auto"/>
              </w:rPr>
            </w:pPr>
          </w:p>
        </w:tc>
      </w:tr>
      <w:tr>
        <w:trPr>
          <w:trHeight w:val="257"/>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48,670</w:t>
            </w:r>
          </w:p>
        </w:tc>
        <w:tc>
          <w:tcPr>
            <w:tcW w:w="0" w:type="dxa"/>
            <w:vAlign w:val="bottom"/>
          </w:tcPr>
          <w:p>
            <w:pPr>
              <w:spacing w:after="0"/>
              <w:rPr>
                <w:sz w:val="1"/>
                <w:szCs w:val="1"/>
                <w:color w:val="auto"/>
              </w:rPr>
            </w:pPr>
          </w:p>
        </w:tc>
      </w:tr>
      <w:tr>
        <w:trPr>
          <w:trHeight w:val="257"/>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5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64,822</w:t>
            </w:r>
          </w:p>
        </w:tc>
        <w:tc>
          <w:tcPr>
            <w:tcW w:w="0" w:type="dxa"/>
            <w:vAlign w:val="bottom"/>
          </w:tcPr>
          <w:p>
            <w:pPr>
              <w:spacing w:after="0"/>
              <w:rPr>
                <w:sz w:val="1"/>
                <w:szCs w:val="1"/>
                <w:color w:val="auto"/>
              </w:rPr>
            </w:pPr>
          </w:p>
        </w:tc>
      </w:tr>
      <w:tr>
        <w:trPr>
          <w:trHeight w:val="257"/>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5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5,573</w:t>
            </w:r>
          </w:p>
        </w:tc>
        <w:tc>
          <w:tcPr>
            <w:tcW w:w="0" w:type="dxa"/>
            <w:vAlign w:val="bottom"/>
          </w:tcPr>
          <w:p>
            <w:pPr>
              <w:spacing w:after="0"/>
              <w:rPr>
                <w:sz w:val="1"/>
                <w:szCs w:val="1"/>
                <w:color w:val="auto"/>
              </w:rPr>
            </w:pPr>
          </w:p>
        </w:tc>
      </w:tr>
      <w:tr>
        <w:trPr>
          <w:trHeight w:val="25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assets, net</w:t>
            </w:r>
          </w:p>
        </w:tc>
        <w:tc>
          <w:tcPr>
            <w:tcW w:w="5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(7,844)</w:t>
            </w:r>
          </w:p>
        </w:tc>
        <w:tc>
          <w:tcPr>
            <w:tcW w:w="0" w:type="dxa"/>
            <w:vAlign w:val="bottom"/>
          </w:tcPr>
          <w:p>
            <w:pPr>
              <w:spacing w:after="0"/>
              <w:rPr>
                <w:sz w:val="1"/>
                <w:szCs w:val="1"/>
                <w:color w:val="auto"/>
              </w:rPr>
            </w:pPr>
          </w:p>
        </w:tc>
      </w:tr>
      <w:tr>
        <w:trPr>
          <w:trHeight w:val="26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5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 provision</w:t>
            </w:r>
          </w:p>
        </w:tc>
        <w:tc>
          <w:tcPr>
            <w:tcW w:w="5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25,194</w:t>
            </w:r>
          </w:p>
        </w:tc>
        <w:tc>
          <w:tcPr>
            <w:tcW w:w="0" w:type="dxa"/>
            <w:vAlign w:val="bottom"/>
          </w:tcPr>
          <w:p>
            <w:pPr>
              <w:spacing w:after="0"/>
              <w:rPr>
                <w:sz w:val="1"/>
                <w:szCs w:val="1"/>
                <w:color w:val="auto"/>
              </w:rPr>
            </w:pPr>
          </w:p>
        </w:tc>
      </w:tr>
      <w:tr>
        <w:trPr>
          <w:trHeight w:val="257"/>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5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3351530</wp:posOffset>
            </wp:positionH>
            <wp:positionV relativeFrom="paragraph">
              <wp:posOffset>-1971675</wp:posOffset>
            </wp:positionV>
            <wp:extent cx="106045" cy="86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6045" cy="86995"/>
                    </a:xfrm>
                    <a:prstGeom prst="rect">
                      <a:avLst/>
                    </a:prstGeom>
                    <a:noFill/>
                  </pic:spPr>
                </pic:pic>
              </a:graphicData>
            </a:graphic>
          </wp:anchor>
        </w:drawing>
      </w:r>
    </w:p>
    <w:p>
      <w:pPr>
        <w:spacing w:after="0" w:line="269"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Consolidation and Other also adjusts for the exclusion of the unrealized mark-to-market gain or loss on derivative instruments in our segment measure.</w:t>
      </w:r>
    </w:p>
    <w:p>
      <w:pPr>
        <w:sectPr>
          <w:pgSz w:w="11900" w:h="16838" w:orient="portrait"/>
          <w:cols w:equalWidth="0" w:num="1">
            <w:col w:w="11240"/>
          </w:cols>
          <w:pgMar w:left="320" w:top="98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Adjusted Net Income and Adjusted Earnings per Share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 thousands of U.S. dollars)</w:t>
      </w:r>
    </w:p>
    <w:p>
      <w:pPr>
        <w:spacing w:after="0" w:line="23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following table sets forth a reconciliation between net income attributable to stockholders and earnings per share adjusted for non-cash impairment charges and losses on disposals of assets.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80" w:type="dxa"/>
            <w:vAlign w:val="bottom"/>
          </w:tcPr>
          <w:p>
            <w:pPr>
              <w:spacing w:after="0"/>
              <w:rPr>
                <w:sz w:val="17"/>
                <w:szCs w:val="17"/>
                <w:color w:val="auto"/>
              </w:rPr>
            </w:pPr>
          </w:p>
        </w:tc>
        <w:tc>
          <w:tcPr>
            <w:tcW w:w="17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7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0" w:type="dxa"/>
            <w:vAlign w:val="bottom"/>
          </w:tcPr>
          <w:p>
            <w:pPr>
              <w:spacing w:after="0"/>
              <w:rPr>
                <w:sz w:val="17"/>
                <w:szCs w:val="17"/>
                <w:color w:val="auto"/>
              </w:rPr>
            </w:pP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20" w:type="dxa"/>
            <w:vAlign w:val="bottom"/>
          </w:tcPr>
          <w:p>
            <w:pPr>
              <w:spacing w:after="0"/>
              <w:rPr>
                <w:sz w:val="17"/>
                <w:szCs w:val="17"/>
                <w:color w:val="auto"/>
              </w:rPr>
            </w:pPr>
          </w:p>
        </w:tc>
        <w:tc>
          <w:tcPr>
            <w:tcW w:w="15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8"/>
        </w:trPr>
        <w:tc>
          <w:tcPr>
            <w:tcW w:w="4280" w:type="dxa"/>
            <w:vAlign w:val="bottom"/>
          </w:tcPr>
          <w:p>
            <w:pPr>
              <w:spacing w:after="0"/>
              <w:rPr>
                <w:sz w:val="20"/>
                <w:szCs w:val="20"/>
                <w:color w:val="auto"/>
              </w:rPr>
            </w:pPr>
          </w:p>
        </w:tc>
        <w:tc>
          <w:tcPr>
            <w:tcW w:w="17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17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0"/>
                <w:szCs w:val="20"/>
                <w:color w:val="auto"/>
              </w:rPr>
            </w:pP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Pr>
          <w:p>
            <w:pPr>
              <w:spacing w:after="0"/>
              <w:rPr>
                <w:sz w:val="20"/>
                <w:szCs w:val="20"/>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December 31, 2022</w:t>
            </w:r>
          </w:p>
        </w:tc>
      </w:tr>
      <w:tr>
        <w:trPr>
          <w:trHeight w:val="250"/>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stockholders</w:t>
            </w: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61,221</w:t>
            </w:r>
          </w:p>
        </w:tc>
        <w:tc>
          <w:tcPr>
            <w:tcW w:w="10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217,207</w:t>
            </w: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547,882</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194,479</w:t>
            </w:r>
          </w:p>
        </w:tc>
      </w:tr>
      <w:tr>
        <w:trPr>
          <w:trHeight w:val="257"/>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impairment charges, net of tax</w:t>
            </w:r>
          </w:p>
        </w:tc>
        <w:tc>
          <w:tcPr>
            <w:tcW w:w="400" w:type="dxa"/>
            <w:vAlign w:val="bottom"/>
          </w:tcPr>
          <w:p>
            <w:pPr>
              <w:spacing w:after="0"/>
              <w:rPr>
                <w:sz w:val="22"/>
                <w:szCs w:val="22"/>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10,958</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381,302</w:t>
            </w:r>
          </w:p>
        </w:tc>
      </w:tr>
      <w:tr>
        <w:trPr>
          <w:trHeight w:val="25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assets</w:t>
            </w:r>
          </w:p>
        </w:tc>
        <w:tc>
          <w:tcPr>
            <w:tcW w:w="4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(29,378)</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on disposal of investment in Hilli LLC</w:t>
            </w: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37,401</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206,631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566,863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575,781</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 diluted</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205,032,928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205,563,276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206,481,977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209,854,413</w:t>
            </w:r>
          </w:p>
        </w:tc>
      </w:tr>
      <w:tr>
        <w:trPr>
          <w:trHeight w:val="270"/>
        </w:trPr>
        <w:tc>
          <w:tcPr>
            <w:tcW w:w="42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55"/>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earnings per share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17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Funds from Operations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and year ended December 31, 2023</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 thousands of U.S. dollars)</w:t>
      </w:r>
    </w:p>
    <w:p>
      <w:pPr>
        <w:spacing w:after="0" w:line="22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a reconciliation between net income attributable to stockholders and Funds from operations ("FFO") and FFO per share. We have defined FFO as net income attributable to stockholders, adjusted by depreciation and amortization, each as reported in our financial statements.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1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41"/>
        </w:trPr>
        <w:tc>
          <w:tcPr>
            <w:tcW w:w="47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5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5"/>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stockholders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217,207</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547,882</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194,479</w:t>
            </w:r>
          </w:p>
        </w:tc>
        <w:tc>
          <w:tcPr>
            <w:tcW w:w="0" w:type="dxa"/>
            <w:vAlign w:val="bottom"/>
          </w:tcPr>
          <w:p>
            <w:pPr>
              <w:spacing w:after="0"/>
              <w:rPr>
                <w:sz w:val="1"/>
                <w:szCs w:val="1"/>
                <w:color w:val="auto"/>
              </w:rPr>
            </w:pPr>
          </w:p>
        </w:tc>
      </w:tr>
      <w:tr>
        <w:trPr>
          <w:trHeight w:val="229"/>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Plus: Depreciation and amortization</w:t>
            </w:r>
          </w:p>
        </w:tc>
        <w:tc>
          <w:tcPr>
            <w:tcW w:w="2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62,164</w:t>
            </w:r>
          </w:p>
        </w:tc>
        <w:tc>
          <w:tcPr>
            <w:tcW w:w="5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187,324</w:t>
            </w: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142,640</w:t>
            </w: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Funds from operations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279,371</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735,206</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337,119</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 diluted</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205,563,276</w:t>
            </w:r>
          </w:p>
        </w:tc>
        <w:tc>
          <w:tcPr>
            <w:tcW w:w="520" w:type="dxa"/>
            <w:vAlign w:val="bottom"/>
          </w:tcPr>
          <w:p>
            <w:pPr>
              <w:spacing w:after="0"/>
              <w:rPr>
                <w:sz w:val="17"/>
                <w:szCs w:val="17"/>
                <w:color w:val="auto"/>
              </w:rPr>
            </w:pPr>
          </w:p>
        </w:tc>
        <w:tc>
          <w:tcPr>
            <w:tcW w:w="16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206,481,977</w:t>
            </w:r>
          </w:p>
        </w:tc>
        <w:tc>
          <w:tcPr>
            <w:tcW w:w="520" w:type="dxa"/>
            <w:vAlign w:val="bottom"/>
          </w:tcPr>
          <w:p>
            <w:pPr>
              <w:spacing w:after="0"/>
              <w:rPr>
                <w:sz w:val="17"/>
                <w:szCs w:val="17"/>
                <w:color w:val="auto"/>
              </w:rPr>
            </w:pPr>
          </w:p>
        </w:tc>
        <w:tc>
          <w:tcPr>
            <w:tcW w:w="16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209,854,413</w:t>
            </w:r>
          </w:p>
        </w:tc>
        <w:tc>
          <w:tcPr>
            <w:tcW w:w="0" w:type="dxa"/>
            <w:vAlign w:val="bottom"/>
          </w:tcPr>
          <w:p>
            <w:pPr>
              <w:spacing w:after="0"/>
              <w:rPr>
                <w:sz w:val="1"/>
                <w:szCs w:val="1"/>
                <w:color w:val="auto"/>
              </w:rPr>
            </w:pPr>
          </w:p>
        </w:tc>
      </w:tr>
      <w:tr>
        <w:trPr>
          <w:trHeight w:val="255"/>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Funds from operations / share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92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December 31, 2023 and 2022</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 thousands of U.S. dollars, except share amounts)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6"/>
                <w:szCs w:val="16"/>
                <w:color w:val="auto"/>
              </w:rPr>
            </w:pPr>
          </w:p>
        </w:tc>
        <w:tc>
          <w:tcPr>
            <w:tcW w:w="14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30"/>
        </w:trPr>
        <w:tc>
          <w:tcPr>
            <w:tcW w:w="7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78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155,414</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675,492</w:t>
            </w:r>
          </w:p>
        </w:tc>
        <w:tc>
          <w:tcPr>
            <w:tcW w:w="0" w:type="dxa"/>
            <w:vAlign w:val="bottom"/>
          </w:tcPr>
          <w:p>
            <w:pPr>
              <w:spacing w:after="0"/>
              <w:rPr>
                <w:sz w:val="1"/>
                <w:szCs w:val="1"/>
                <w:color w:val="auto"/>
              </w:rPr>
            </w:pPr>
          </w:p>
        </w:tc>
      </w:tr>
      <w:tr>
        <w:trPr>
          <w:trHeight w:val="23"/>
        </w:trPr>
        <w:tc>
          <w:tcPr>
            <w:tcW w:w="7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Restricted cash</w:t>
            </w:r>
          </w:p>
        </w:tc>
        <w:tc>
          <w:tcPr>
            <w:tcW w:w="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155,400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165,396</w:t>
            </w:r>
          </w:p>
        </w:tc>
        <w:tc>
          <w:tcPr>
            <w:tcW w:w="0" w:type="dxa"/>
            <w:vAlign w:val="bottom"/>
          </w:tcPr>
          <w:p>
            <w:pPr>
              <w:spacing w:after="0"/>
              <w:rPr>
                <w:sz w:val="1"/>
                <w:szCs w:val="1"/>
                <w:color w:val="auto"/>
              </w:rPr>
            </w:pPr>
          </w:p>
        </w:tc>
      </w:tr>
      <w:tr>
        <w:trPr>
          <w:trHeight w:val="193"/>
        </w:trPr>
        <w:tc>
          <w:tcPr>
            <w:tcW w:w="7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Receivables, net of allowances of $1,158 and $884, respectively</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342,371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280,313</w:t>
            </w:r>
          </w:p>
        </w:tc>
        <w:tc>
          <w:tcPr>
            <w:tcW w:w="0" w:type="dxa"/>
            <w:vAlign w:val="bottom"/>
          </w:tcPr>
          <w:p>
            <w:pPr>
              <w:spacing w:after="0"/>
              <w:rPr>
                <w:sz w:val="1"/>
                <w:szCs w:val="1"/>
                <w:color w:val="auto"/>
              </w:rPr>
            </w:pPr>
          </w:p>
        </w:tc>
      </w:tr>
      <w:tr>
        <w:trPr>
          <w:trHeight w:val="23"/>
        </w:trPr>
        <w:tc>
          <w:tcPr>
            <w:tcW w:w="7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Inventory</w:t>
            </w:r>
          </w:p>
        </w:tc>
        <w:tc>
          <w:tcPr>
            <w:tcW w:w="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113,684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39,070</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Prepaid expenses and other current assets, net</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213,104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226,883</w:t>
            </w:r>
          </w:p>
        </w:tc>
        <w:tc>
          <w:tcPr>
            <w:tcW w:w="0" w:type="dxa"/>
            <w:vAlign w:val="bottom"/>
          </w:tcPr>
          <w:p>
            <w:pPr>
              <w:spacing w:after="0"/>
              <w:rPr>
                <w:sz w:val="1"/>
                <w:szCs w:val="1"/>
                <w:color w:val="auto"/>
              </w:rPr>
            </w:pPr>
          </w:p>
        </w:tc>
      </w:tr>
      <w:tr>
        <w:trPr>
          <w:trHeight w:val="196"/>
        </w:trPr>
        <w:tc>
          <w:tcPr>
            <w:tcW w:w="7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979,973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1,387,154</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Construction in progress</w:t>
            </w:r>
          </w:p>
        </w:tc>
        <w:tc>
          <w:tcPr>
            <w:tcW w:w="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5,348,294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2,418,608</w:t>
            </w:r>
          </w:p>
        </w:tc>
        <w:tc>
          <w:tcPr>
            <w:tcW w:w="0" w:type="dxa"/>
            <w:vAlign w:val="bottom"/>
          </w:tcPr>
          <w:p>
            <w:pPr>
              <w:spacing w:after="0"/>
              <w:rPr>
                <w:sz w:val="1"/>
                <w:szCs w:val="1"/>
                <w:color w:val="auto"/>
              </w:rPr>
            </w:pPr>
          </w:p>
        </w:tc>
      </w:tr>
      <w:tr>
        <w:trPr>
          <w:trHeight w:val="193"/>
        </w:trPr>
        <w:tc>
          <w:tcPr>
            <w:tcW w:w="7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2,481,415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2,116,727</w:t>
            </w:r>
          </w:p>
        </w:tc>
        <w:tc>
          <w:tcPr>
            <w:tcW w:w="0" w:type="dxa"/>
            <w:vAlign w:val="bottom"/>
          </w:tcPr>
          <w:p>
            <w:pPr>
              <w:spacing w:after="0"/>
              <w:rPr>
                <w:sz w:val="1"/>
                <w:szCs w:val="1"/>
                <w:color w:val="auto"/>
              </w:rPr>
            </w:pPr>
          </w:p>
        </w:tc>
      </w:tr>
      <w:tr>
        <w:trPr>
          <w:trHeight w:val="23"/>
        </w:trPr>
        <w:tc>
          <w:tcPr>
            <w:tcW w:w="7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 method investments</w:t>
            </w:r>
          </w:p>
        </w:tc>
        <w:tc>
          <w:tcPr>
            <w:tcW w:w="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137,793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392,306</w:t>
            </w:r>
          </w:p>
        </w:tc>
        <w:tc>
          <w:tcPr>
            <w:tcW w:w="0" w:type="dxa"/>
            <w:vAlign w:val="bottom"/>
          </w:tcPr>
          <w:p>
            <w:pPr>
              <w:spacing w:after="0"/>
              <w:rPr>
                <w:sz w:val="1"/>
                <w:szCs w:val="1"/>
                <w:color w:val="auto"/>
              </w:rPr>
            </w:pPr>
          </w:p>
        </w:tc>
      </w:tr>
      <w:tr>
        <w:trPr>
          <w:trHeight w:val="193"/>
        </w:trPr>
        <w:tc>
          <w:tcPr>
            <w:tcW w:w="7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Right-of-use assets</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588,385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377,877</w:t>
            </w:r>
          </w:p>
        </w:tc>
        <w:tc>
          <w:tcPr>
            <w:tcW w:w="0" w:type="dxa"/>
            <w:vAlign w:val="bottom"/>
          </w:tcPr>
          <w:p>
            <w:pPr>
              <w:spacing w:after="0"/>
              <w:rPr>
                <w:sz w:val="1"/>
                <w:szCs w:val="1"/>
                <w:color w:val="auto"/>
              </w:rPr>
            </w:pPr>
          </w:p>
        </w:tc>
      </w:tr>
      <w:tr>
        <w:trPr>
          <w:trHeight w:val="23"/>
        </w:trPr>
        <w:tc>
          <w:tcPr>
            <w:tcW w:w="7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Intangible assets, net</w:t>
            </w:r>
          </w:p>
        </w:tc>
        <w:tc>
          <w:tcPr>
            <w:tcW w:w="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51,815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85,897</w:t>
            </w:r>
          </w:p>
        </w:tc>
        <w:tc>
          <w:tcPr>
            <w:tcW w:w="0" w:type="dxa"/>
            <w:vAlign w:val="bottom"/>
          </w:tcPr>
          <w:p>
            <w:pPr>
              <w:spacing w:after="0"/>
              <w:rPr>
                <w:sz w:val="1"/>
                <w:szCs w:val="1"/>
                <w:color w:val="auto"/>
              </w:rPr>
            </w:pPr>
          </w:p>
        </w:tc>
      </w:tr>
      <w:tr>
        <w:trPr>
          <w:trHeight w:val="193"/>
        </w:trPr>
        <w:tc>
          <w:tcPr>
            <w:tcW w:w="7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Goodwill</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776,760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776,760</w:t>
            </w:r>
          </w:p>
        </w:tc>
        <w:tc>
          <w:tcPr>
            <w:tcW w:w="0" w:type="dxa"/>
            <w:vAlign w:val="bottom"/>
          </w:tcPr>
          <w:p>
            <w:pPr>
              <w:spacing w:after="0"/>
              <w:rPr>
                <w:sz w:val="1"/>
                <w:szCs w:val="1"/>
                <w:color w:val="auto"/>
              </w:rPr>
            </w:pPr>
          </w:p>
        </w:tc>
      </w:tr>
      <w:tr>
        <w:trPr>
          <w:trHeight w:val="23"/>
        </w:trPr>
        <w:tc>
          <w:tcPr>
            <w:tcW w:w="7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tax assets, net</w:t>
            </w:r>
          </w:p>
        </w:tc>
        <w:tc>
          <w:tcPr>
            <w:tcW w:w="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8,074</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non-current assets, net</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126,903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141,679</w:t>
            </w:r>
          </w:p>
        </w:tc>
        <w:tc>
          <w:tcPr>
            <w:tcW w:w="0" w:type="dxa"/>
            <w:vAlign w:val="bottom"/>
          </w:tcPr>
          <w:p>
            <w:pPr>
              <w:spacing w:after="0"/>
              <w:rPr>
                <w:sz w:val="1"/>
                <w:szCs w:val="1"/>
                <w:color w:val="auto"/>
              </w:rPr>
            </w:pPr>
          </w:p>
        </w:tc>
      </w:tr>
      <w:tr>
        <w:trPr>
          <w:trHeight w:val="241"/>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10,501,245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7,705,082</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 portion of long-term debt and short-term borrowings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292,625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64,820</w:t>
            </w:r>
          </w:p>
        </w:tc>
        <w:tc>
          <w:tcPr>
            <w:tcW w:w="0" w:type="dxa"/>
            <w:vAlign w:val="bottom"/>
          </w:tcPr>
          <w:p>
            <w:pPr>
              <w:spacing w:after="0"/>
              <w:rPr>
                <w:sz w:val="1"/>
                <w:szCs w:val="1"/>
                <w:color w:val="auto"/>
              </w:rPr>
            </w:pPr>
          </w:p>
        </w:tc>
      </w:tr>
      <w:tr>
        <w:trPr>
          <w:trHeight w:val="193"/>
        </w:trPr>
        <w:tc>
          <w:tcPr>
            <w:tcW w:w="7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549,489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80,387</w:t>
            </w:r>
          </w:p>
        </w:tc>
        <w:tc>
          <w:tcPr>
            <w:tcW w:w="0" w:type="dxa"/>
            <w:vAlign w:val="bottom"/>
          </w:tcPr>
          <w:p>
            <w:pPr>
              <w:spacing w:after="0"/>
              <w:rPr>
                <w:sz w:val="1"/>
                <w:szCs w:val="1"/>
                <w:color w:val="auto"/>
              </w:rPr>
            </w:pPr>
          </w:p>
        </w:tc>
      </w:tr>
      <w:tr>
        <w:trPr>
          <w:trHeight w:val="23"/>
        </w:trPr>
        <w:tc>
          <w:tcPr>
            <w:tcW w:w="7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liabilities</w:t>
            </w:r>
          </w:p>
        </w:tc>
        <w:tc>
          <w:tcPr>
            <w:tcW w:w="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471,675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1,162,412</w:t>
            </w:r>
          </w:p>
        </w:tc>
        <w:tc>
          <w:tcPr>
            <w:tcW w:w="0" w:type="dxa"/>
            <w:vAlign w:val="bottom"/>
          </w:tcPr>
          <w:p>
            <w:pPr>
              <w:spacing w:after="0"/>
              <w:rPr>
                <w:sz w:val="1"/>
                <w:szCs w:val="1"/>
                <w:color w:val="auto"/>
              </w:rPr>
            </w:pPr>
          </w:p>
        </w:tc>
      </w:tr>
      <w:tr>
        <w:trPr>
          <w:trHeight w:val="193"/>
        </w:trPr>
        <w:tc>
          <w:tcPr>
            <w:tcW w:w="7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Current lease liabilities</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164,548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48,741</w:t>
            </w:r>
          </w:p>
        </w:tc>
        <w:tc>
          <w:tcPr>
            <w:tcW w:w="0" w:type="dxa"/>
            <w:vAlign w:val="bottom"/>
          </w:tcPr>
          <w:p>
            <w:pPr>
              <w:spacing w:after="0"/>
              <w:rPr>
                <w:sz w:val="1"/>
                <w:szCs w:val="1"/>
                <w:color w:val="auto"/>
              </w:rPr>
            </w:pPr>
          </w:p>
        </w:tc>
      </w:tr>
      <w:tr>
        <w:trPr>
          <w:trHeight w:val="23"/>
        </w:trPr>
        <w:tc>
          <w:tcPr>
            <w:tcW w:w="7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7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6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227,951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52,878</w:t>
            </w:r>
          </w:p>
        </w:tc>
        <w:tc>
          <w:tcPr>
            <w:tcW w:w="0" w:type="dxa"/>
            <w:vAlign w:val="bottom"/>
          </w:tcPr>
          <w:p>
            <w:pPr>
              <w:spacing w:after="0"/>
              <w:rPr>
                <w:sz w:val="1"/>
                <w:szCs w:val="1"/>
                <w:color w:val="auto"/>
              </w:rPr>
            </w:pPr>
          </w:p>
        </w:tc>
      </w:tr>
      <w:tr>
        <w:trPr>
          <w:trHeight w:val="185"/>
        </w:trPr>
        <w:tc>
          <w:tcPr>
            <w:tcW w:w="78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1,706,288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1,409,238</w:t>
            </w:r>
          </w:p>
        </w:tc>
        <w:tc>
          <w:tcPr>
            <w:tcW w:w="0" w:type="dxa"/>
            <w:vAlign w:val="bottom"/>
          </w:tcPr>
          <w:p>
            <w:pPr>
              <w:spacing w:after="0"/>
              <w:rPr>
                <w:sz w:val="1"/>
                <w:szCs w:val="1"/>
                <w:color w:val="auto"/>
              </w:rPr>
            </w:pPr>
          </w:p>
        </w:tc>
      </w:tr>
      <w:tr>
        <w:trPr>
          <w:trHeight w:val="23"/>
        </w:trPr>
        <w:tc>
          <w:tcPr>
            <w:tcW w:w="7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Long-term debt</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6,510,523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4,476,865</w:t>
            </w:r>
          </w:p>
        </w:tc>
        <w:tc>
          <w:tcPr>
            <w:tcW w:w="0" w:type="dxa"/>
            <w:vAlign w:val="bottom"/>
          </w:tcPr>
          <w:p>
            <w:pPr>
              <w:spacing w:after="0"/>
              <w:rPr>
                <w:sz w:val="1"/>
                <w:szCs w:val="1"/>
                <w:color w:val="auto"/>
              </w:rPr>
            </w:pPr>
          </w:p>
        </w:tc>
      </w:tr>
      <w:tr>
        <w:trPr>
          <w:trHeight w:val="23"/>
        </w:trPr>
        <w:tc>
          <w:tcPr>
            <w:tcW w:w="7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Non-current lease liabilities</w:t>
            </w:r>
          </w:p>
        </w:tc>
        <w:tc>
          <w:tcPr>
            <w:tcW w:w="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406,494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302,121</w:t>
            </w:r>
          </w:p>
        </w:tc>
        <w:tc>
          <w:tcPr>
            <w:tcW w:w="0" w:type="dxa"/>
            <w:vAlign w:val="bottom"/>
          </w:tcPr>
          <w:p>
            <w:pPr>
              <w:spacing w:after="0"/>
              <w:rPr>
                <w:sz w:val="1"/>
                <w:szCs w:val="1"/>
                <w:color w:val="auto"/>
              </w:rPr>
            </w:pPr>
          </w:p>
        </w:tc>
      </w:tr>
      <w:tr>
        <w:trPr>
          <w:trHeight w:val="193"/>
        </w:trPr>
        <w:tc>
          <w:tcPr>
            <w:tcW w:w="7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tax liabilities, net</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44,444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25,989</w:t>
            </w:r>
          </w:p>
        </w:tc>
        <w:tc>
          <w:tcPr>
            <w:tcW w:w="0" w:type="dxa"/>
            <w:vAlign w:val="bottom"/>
          </w:tcPr>
          <w:p>
            <w:pPr>
              <w:spacing w:after="0"/>
              <w:rPr>
                <w:sz w:val="1"/>
                <w:szCs w:val="1"/>
                <w:color w:val="auto"/>
              </w:rPr>
            </w:pPr>
          </w:p>
        </w:tc>
      </w:tr>
      <w:tr>
        <w:trPr>
          <w:trHeight w:val="23"/>
        </w:trPr>
        <w:tc>
          <w:tcPr>
            <w:tcW w:w="7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55,627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49,010</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8,723,376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6,263,223</w:t>
            </w: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 and contingencies</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Class A common stock, $0.01 par value, 750.0 million shares authorized, 205.0 million issued and outstanding as of December 31,</w:t>
            </w: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2023; 208.8 million issued and outstanding as of December 31, 2022</w:t>
            </w:r>
          </w:p>
        </w:tc>
        <w:tc>
          <w:tcPr>
            <w:tcW w:w="16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2,088</w:t>
            </w:r>
          </w:p>
        </w:tc>
        <w:tc>
          <w:tcPr>
            <w:tcW w:w="0" w:type="dxa"/>
            <w:vAlign w:val="bottom"/>
          </w:tcPr>
          <w:p>
            <w:pPr>
              <w:spacing w:after="0"/>
              <w:rPr>
                <w:sz w:val="1"/>
                <w:szCs w:val="1"/>
                <w:color w:val="auto"/>
              </w:rPr>
            </w:pPr>
          </w:p>
        </w:tc>
      </w:tr>
      <w:tr>
        <w:trPr>
          <w:trHeight w:val="193"/>
        </w:trPr>
        <w:tc>
          <w:tcPr>
            <w:tcW w:w="7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1,038,530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1,170,254</w:t>
            </w:r>
          </w:p>
        </w:tc>
        <w:tc>
          <w:tcPr>
            <w:tcW w:w="0" w:type="dxa"/>
            <w:vAlign w:val="bottom"/>
          </w:tcPr>
          <w:p>
            <w:pPr>
              <w:spacing w:after="0"/>
              <w:rPr>
                <w:sz w:val="1"/>
                <w:szCs w:val="1"/>
                <w:color w:val="auto"/>
              </w:rPr>
            </w:pPr>
          </w:p>
        </w:tc>
      </w:tr>
      <w:tr>
        <w:trPr>
          <w:trHeight w:val="23"/>
        </w:trPr>
        <w:tc>
          <w:tcPr>
            <w:tcW w:w="7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Retained earnings</w:t>
            </w:r>
          </w:p>
        </w:tc>
        <w:tc>
          <w:tcPr>
            <w:tcW w:w="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527,986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62,080</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71,528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55,398</w:t>
            </w:r>
          </w:p>
        </w:tc>
        <w:tc>
          <w:tcPr>
            <w:tcW w:w="0" w:type="dxa"/>
            <w:vAlign w:val="bottom"/>
          </w:tcPr>
          <w:p>
            <w:pPr>
              <w:spacing w:after="0"/>
              <w:rPr>
                <w:sz w:val="1"/>
                <w:szCs w:val="1"/>
                <w:color w:val="auto"/>
              </w:rPr>
            </w:pPr>
          </w:p>
        </w:tc>
      </w:tr>
      <w:tr>
        <w:trPr>
          <w:trHeight w:val="196"/>
        </w:trPr>
        <w:tc>
          <w:tcPr>
            <w:tcW w:w="7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stockholders' equity attributable to NFE</w:t>
            </w:r>
          </w:p>
        </w:tc>
        <w:tc>
          <w:tcPr>
            <w:tcW w:w="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1,640,094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1,289,820</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Non-controlling interest</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137,775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152,039</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1,777,869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1,441,859</w:t>
            </w:r>
          </w:p>
        </w:tc>
        <w:tc>
          <w:tcPr>
            <w:tcW w:w="0" w:type="dxa"/>
            <w:vAlign w:val="bottom"/>
          </w:tcPr>
          <w:p>
            <w:pPr>
              <w:spacing w:after="0"/>
              <w:rPr>
                <w:sz w:val="1"/>
                <w:szCs w:val="1"/>
                <w:color w:val="auto"/>
              </w:rPr>
            </w:pPr>
          </w:p>
        </w:tc>
      </w:tr>
      <w:tr>
        <w:trPr>
          <w:trHeight w:val="216"/>
        </w:trPr>
        <w:tc>
          <w:tcPr>
            <w:tcW w:w="78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10,501,245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7,705,082</w:t>
            </w:r>
          </w:p>
        </w:tc>
        <w:tc>
          <w:tcPr>
            <w:tcW w:w="0" w:type="dxa"/>
            <w:vAlign w:val="bottom"/>
          </w:tcPr>
          <w:p>
            <w:pPr>
              <w:spacing w:after="0"/>
              <w:rPr>
                <w:sz w:val="1"/>
                <w:szCs w:val="1"/>
                <w:color w:val="auto"/>
              </w:rPr>
            </w:pPr>
          </w:p>
        </w:tc>
      </w:tr>
      <w:tr>
        <w:trPr>
          <w:trHeight w:val="21"/>
        </w:trPr>
        <w:tc>
          <w:tcPr>
            <w:tcW w:w="7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2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 thousands of U.S. dollars, except share and per share amounts)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r>
      <w:tr>
        <w:trPr>
          <w:trHeight w:val="223"/>
        </w:trPr>
        <w:tc>
          <w:tcPr>
            <w:tcW w:w="66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2,060,212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1,978,645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930,816</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Vessel charter revenue</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230,809</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76,241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161,185</w:t>
            </w:r>
          </w:p>
        </w:tc>
      </w:tr>
      <w:tr>
        <w:trPr>
          <w:trHeight w:val="223"/>
        </w:trPr>
        <w:tc>
          <w:tcPr>
            <w:tcW w:w="6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2,413,296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2,368,272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1,322,810</w:t>
            </w:r>
          </w:p>
        </w:tc>
      </w:tr>
      <w:tr>
        <w:trPr>
          <w:trHeight w:val="237"/>
        </w:trPr>
        <w:tc>
          <w:tcPr>
            <w:tcW w:w="66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 (exclusive of depreciation and amortization shown separately below)</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877,451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1,010,428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616,010</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Vessel operating expenses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51,677</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73,316</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199,881</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44,671</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98,377</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impairment expense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assets, net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6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1,470,629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1,630,892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1,083,932</w:t>
            </w:r>
          </w:p>
        </w:tc>
      </w:tr>
      <w:tr>
        <w:trPr>
          <w:trHeight w:val="223"/>
        </w:trPr>
        <w:tc>
          <w:tcPr>
            <w:tcW w:w="660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942,667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737,380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238,878</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154,324</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(17,150)</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10,975</w:t>
            </w:r>
          </w:p>
        </w:tc>
      </w:tr>
      <w:tr>
        <w:trPr>
          <w:trHeight w:val="22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Income before income from equity method investments and income taxes</w:t>
            </w: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654,417</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533,566</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90,729</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equity method investments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14,443</w:t>
            </w:r>
          </w:p>
        </w:tc>
      </w:tr>
      <w:tr>
        <w:trPr>
          <w:trHeight w:val="229"/>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provision (benefit)</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115,513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(123,439)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12,461</w:t>
            </w:r>
          </w:p>
        </w:tc>
      </w:tr>
      <w:tr>
        <w:trPr>
          <w:trHeight w:val="223"/>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548,876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92,711</w:t>
            </w:r>
          </w:p>
        </w:tc>
      </w:tr>
      <w:tr>
        <w:trPr>
          <w:trHeight w:val="229"/>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4,393</w:t>
            </w:r>
          </w:p>
        </w:tc>
      </w:tr>
      <w:tr>
        <w:trPr>
          <w:trHeight w:val="248"/>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income attributable to stockholders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547,882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97,104</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6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Net income per share – diluted</w:t>
            </w: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0.93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0.47</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66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205,942,837</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209,501,298</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198,593,042</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 diluted</w:t>
            </w: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206,481,977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209,854,413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201,703,176</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92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 thousands of U.S. dollars)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0"/>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66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6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6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Net income</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548,876</w:t>
            </w:r>
          </w:p>
        </w:tc>
        <w:tc>
          <w:tcPr>
            <w:tcW w:w="440" w:type="dxa"/>
            <w:vAlign w:val="bottom"/>
            <w:gridSpan w:val="2"/>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184,786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92,711</w:t>
            </w:r>
          </w:p>
        </w:tc>
        <w:tc>
          <w:tcPr>
            <w:tcW w:w="0" w:type="dxa"/>
            <w:vAlign w:val="bottom"/>
          </w:tcPr>
          <w:p>
            <w:pPr>
              <w:spacing w:after="0"/>
              <w:rPr>
                <w:sz w:val="1"/>
                <w:szCs w:val="1"/>
                <w:color w:val="auto"/>
              </w:rPr>
            </w:pPr>
          </w:p>
        </w:tc>
      </w:tr>
      <w:tr>
        <w:trPr>
          <w:trHeight w:val="173"/>
        </w:trPr>
        <w:tc>
          <w:tcPr>
            <w:tcW w:w="66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Adjustments for:</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Amortization of deferred financing costs and debt guarantee, net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6,589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14,116</w:t>
            </w:r>
          </w:p>
        </w:tc>
        <w:tc>
          <w:tcPr>
            <w:tcW w:w="0" w:type="dxa"/>
            <w:vAlign w:val="bottom"/>
          </w:tcPr>
          <w:p>
            <w:pPr>
              <w:spacing w:after="0"/>
              <w:rPr>
                <w:sz w:val="1"/>
                <w:szCs w:val="1"/>
                <w:color w:val="auto"/>
              </w:rPr>
            </w:pPr>
          </w:p>
        </w:tc>
      </w:tr>
      <w:tr>
        <w:trPr>
          <w:trHeight w:val="195"/>
        </w:trPr>
        <w:tc>
          <w:tcPr>
            <w:tcW w:w="66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187,324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143,589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99,544</w:t>
            </w: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(Earnings) losses of equity method investees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472,219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(14,443)</w:t>
            </w:r>
          </w:p>
        </w:tc>
        <w:tc>
          <w:tcPr>
            <w:tcW w:w="0" w:type="dxa"/>
            <w:vAlign w:val="bottom"/>
          </w:tcPr>
          <w:p>
            <w:pPr>
              <w:spacing w:after="0"/>
              <w:rPr>
                <w:sz w:val="1"/>
                <w:szCs w:val="1"/>
                <w:color w:val="auto"/>
              </w:rPr>
            </w:pPr>
          </w:p>
        </w:tc>
      </w:tr>
      <w:tr>
        <w:trPr>
          <w:trHeight w:val="195"/>
        </w:trPr>
        <w:tc>
          <w:tcPr>
            <w:tcW w:w="66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Dividends received from equity method investees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5,830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29,372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21,365</w:t>
            </w: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Change in market value of derivatives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(136,811)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(8,691)</w:t>
            </w:r>
          </w:p>
        </w:tc>
        <w:tc>
          <w:tcPr>
            <w:tcW w:w="0" w:type="dxa"/>
            <w:vAlign w:val="bottom"/>
          </w:tcPr>
          <w:p>
            <w:pPr>
              <w:spacing w:after="0"/>
              <w:rPr>
                <w:sz w:val="1"/>
                <w:szCs w:val="1"/>
                <w:color w:val="auto"/>
              </w:rPr>
            </w:pPr>
          </w:p>
        </w:tc>
      </w:tr>
      <w:tr>
        <w:trPr>
          <w:trHeight w:val="194"/>
        </w:trPr>
        <w:tc>
          <w:tcPr>
            <w:tcW w:w="66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Deferred taxes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14,938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(279,536)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(8,825)</w:t>
            </w:r>
          </w:p>
        </w:tc>
        <w:tc>
          <w:tcPr>
            <w:tcW w:w="0" w:type="dxa"/>
            <w:vAlign w:val="bottom"/>
          </w:tcPr>
          <w:p>
            <w:pPr>
              <w:spacing w:after="0"/>
              <w:rPr>
                <w:sz w:val="1"/>
                <w:szCs w:val="1"/>
                <w:color w:val="auto"/>
              </w:rPr>
            </w:pPr>
          </w:p>
        </w:tc>
      </w:tr>
      <w:tr>
        <w:trPr>
          <w:trHeight w:val="211"/>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Share-based compensation</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30,382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37,043</w:t>
            </w:r>
          </w:p>
        </w:tc>
        <w:tc>
          <w:tcPr>
            <w:tcW w:w="0" w:type="dxa"/>
            <w:vAlign w:val="bottom"/>
          </w:tcPr>
          <w:p>
            <w:pPr>
              <w:spacing w:after="0"/>
              <w:rPr>
                <w:sz w:val="1"/>
                <w:szCs w:val="1"/>
                <w:color w:val="auto"/>
              </w:rPr>
            </w:pPr>
          </w:p>
        </w:tc>
      </w:tr>
      <w:tr>
        <w:trPr>
          <w:trHeight w:val="194"/>
        </w:trPr>
        <w:tc>
          <w:tcPr>
            <w:tcW w:w="66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Asset impairment expense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10,958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50,659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11"/>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Earnings recognized from vessels chartered to third parties transferred to Energos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(156,997)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(49,686)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4"/>
        </w:trPr>
        <w:tc>
          <w:tcPr>
            <w:tcW w:w="66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Loss on the disposal of equity method investment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37,401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11"/>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Gain on asset sales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(29,378)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4"/>
        </w:trPr>
        <w:tc>
          <w:tcPr>
            <w:tcW w:w="66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Loss on extinguishment of debt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14,997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10,975</w:t>
            </w:r>
          </w:p>
        </w:tc>
        <w:tc>
          <w:tcPr>
            <w:tcW w:w="0" w:type="dxa"/>
            <w:vAlign w:val="bottom"/>
          </w:tcPr>
          <w:p>
            <w:pPr>
              <w:spacing w:after="0"/>
              <w:rPr>
                <w:sz w:val="1"/>
                <w:szCs w:val="1"/>
                <w:color w:val="auto"/>
              </w:rPr>
            </w:pPr>
          </w:p>
        </w:tc>
      </w:tr>
      <w:tr>
        <w:trPr>
          <w:trHeight w:val="211"/>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Loss on sale of net investment in lease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11,592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4"/>
        </w:trPr>
        <w:tc>
          <w:tcPr>
            <w:tcW w:w="66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Other</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21,438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(14,186)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(11,177)</w:t>
            </w:r>
          </w:p>
        </w:tc>
        <w:tc>
          <w:tcPr>
            <w:tcW w:w="0" w:type="dxa"/>
            <w:vAlign w:val="bottom"/>
          </w:tcPr>
          <w:p>
            <w:pPr>
              <w:spacing w:after="0"/>
              <w:rPr>
                <w:sz w:val="1"/>
                <w:szCs w:val="1"/>
                <w:color w:val="auto"/>
              </w:rPr>
            </w:pPr>
          </w:p>
        </w:tc>
      </w:tr>
      <w:tr>
        <w:trPr>
          <w:trHeight w:val="191"/>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Changes in operating assets and liabilities, net of acquisitions:</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6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(Increase) in receivables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(41,019)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(139,938)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(123,583)</w:t>
            </w:r>
          </w:p>
        </w:tc>
        <w:tc>
          <w:tcPr>
            <w:tcW w:w="0" w:type="dxa"/>
            <w:vAlign w:val="bottom"/>
          </w:tcPr>
          <w:p>
            <w:pPr>
              <w:spacing w:after="0"/>
              <w:rPr>
                <w:sz w:val="1"/>
                <w:szCs w:val="1"/>
                <w:color w:val="auto"/>
              </w:rPr>
            </w:pPr>
          </w:p>
        </w:tc>
      </w:tr>
      <w:tr>
        <w:trPr>
          <w:trHeight w:val="211"/>
        </w:trPr>
        <w:tc>
          <w:tcPr>
            <w:tcW w:w="6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(Increase) in inventories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(7,933)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(11,152)</w:t>
            </w:r>
          </w:p>
        </w:tc>
        <w:tc>
          <w:tcPr>
            <w:tcW w:w="0" w:type="dxa"/>
            <w:vAlign w:val="bottom"/>
          </w:tcPr>
          <w:p>
            <w:pPr>
              <w:spacing w:after="0"/>
              <w:rPr>
                <w:sz w:val="1"/>
                <w:szCs w:val="1"/>
                <w:color w:val="auto"/>
              </w:rPr>
            </w:pPr>
          </w:p>
        </w:tc>
      </w:tr>
      <w:tr>
        <w:trPr>
          <w:trHeight w:val="194"/>
        </w:trPr>
        <w:tc>
          <w:tcPr>
            <w:tcW w:w="66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Decrease (increase) in other assets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41,828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(30,086)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(1,839)</w:t>
            </w:r>
          </w:p>
        </w:tc>
        <w:tc>
          <w:tcPr>
            <w:tcW w:w="0" w:type="dxa"/>
            <w:vAlign w:val="bottom"/>
          </w:tcPr>
          <w:p>
            <w:pPr>
              <w:spacing w:after="0"/>
              <w:rPr>
                <w:sz w:val="1"/>
                <w:szCs w:val="1"/>
                <w:color w:val="auto"/>
              </w:rPr>
            </w:pPr>
          </w:p>
        </w:tc>
      </w:tr>
      <w:tr>
        <w:trPr>
          <w:trHeight w:val="211"/>
        </w:trPr>
        <w:tc>
          <w:tcPr>
            <w:tcW w:w="6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Decrease in right-of-use assets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83,537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63,593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28,576</w:t>
            </w:r>
          </w:p>
        </w:tc>
        <w:tc>
          <w:tcPr>
            <w:tcW w:w="0" w:type="dxa"/>
            <w:vAlign w:val="bottom"/>
          </w:tcPr>
          <w:p>
            <w:pPr>
              <w:spacing w:after="0"/>
              <w:rPr>
                <w:sz w:val="1"/>
                <w:szCs w:val="1"/>
                <w:color w:val="auto"/>
              </w:rPr>
            </w:pPr>
          </w:p>
        </w:tc>
      </w:tr>
      <w:tr>
        <w:trPr>
          <w:trHeight w:val="194"/>
        </w:trPr>
        <w:tc>
          <w:tcPr>
            <w:tcW w:w="66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Increase in accounts payable/accrued liabilities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78,065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67,741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17,527</w:t>
            </w:r>
          </w:p>
        </w:tc>
        <w:tc>
          <w:tcPr>
            <w:tcW w:w="0" w:type="dxa"/>
            <w:vAlign w:val="bottom"/>
          </w:tcPr>
          <w:p>
            <w:pPr>
              <w:spacing w:after="0"/>
              <w:rPr>
                <w:sz w:val="1"/>
                <w:szCs w:val="1"/>
                <w:color w:val="auto"/>
              </w:rPr>
            </w:pPr>
          </w:p>
        </w:tc>
      </w:tr>
      <w:tr>
        <w:trPr>
          <w:trHeight w:val="211"/>
        </w:trPr>
        <w:tc>
          <w:tcPr>
            <w:tcW w:w="6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(Decrease) in lease liabilities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(74,576)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(63,493)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(36,126)</w:t>
            </w:r>
          </w:p>
        </w:tc>
        <w:tc>
          <w:tcPr>
            <w:tcW w:w="0" w:type="dxa"/>
            <w:vAlign w:val="bottom"/>
          </w:tcPr>
          <w:p>
            <w:pPr>
              <w:spacing w:after="0"/>
              <w:rPr>
                <w:sz w:val="1"/>
                <w:szCs w:val="1"/>
                <w:color w:val="auto"/>
              </w:rPr>
            </w:pPr>
          </w:p>
        </w:tc>
      </w:tr>
      <w:tr>
        <w:trPr>
          <w:trHeight w:val="196"/>
        </w:trPr>
        <w:tc>
          <w:tcPr>
            <w:tcW w:w="66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Increase (decrease) in other liabilities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141,335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5,314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(21,251)</w:t>
            </w:r>
          </w:p>
        </w:tc>
        <w:tc>
          <w:tcPr>
            <w:tcW w:w="0" w:type="dxa"/>
            <w:vAlign w:val="bottom"/>
          </w:tcPr>
          <w:p>
            <w:pPr>
              <w:spacing w:after="0"/>
              <w:rPr>
                <w:sz w:val="1"/>
                <w:szCs w:val="1"/>
                <w:color w:val="auto"/>
              </w:rPr>
            </w:pPr>
          </w:p>
        </w:tc>
      </w:tr>
      <w:tr>
        <w:trPr>
          <w:trHeight w:val="183"/>
        </w:trPr>
        <w:tc>
          <w:tcPr>
            <w:tcW w:w="6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Net cash provided by operating activities</w:t>
            </w: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824,756</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355,111</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84,770</w:t>
            </w:r>
          </w:p>
        </w:tc>
        <w:tc>
          <w:tcPr>
            <w:tcW w:w="0" w:type="dxa"/>
            <w:vAlign w:val="bottom"/>
          </w:tcPr>
          <w:p>
            <w:pPr>
              <w:spacing w:after="0"/>
              <w:rPr>
                <w:sz w:val="1"/>
                <w:szCs w:val="1"/>
                <w:color w:val="auto"/>
              </w:rPr>
            </w:pPr>
          </w:p>
        </w:tc>
      </w:tr>
      <w:tr>
        <w:trPr>
          <w:trHeight w:val="17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6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Capital expenditures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(3,029,834)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(1,174,008)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(669,348)</w:t>
            </w: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Cash paid for business combinations, net of cash acquired</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(1,586,042)</w:t>
            </w:r>
          </w:p>
        </w:tc>
        <w:tc>
          <w:tcPr>
            <w:tcW w:w="0" w:type="dxa"/>
            <w:vAlign w:val="bottom"/>
          </w:tcPr>
          <w:p>
            <w:pPr>
              <w:spacing w:after="0"/>
              <w:rPr>
                <w:sz w:val="1"/>
                <w:szCs w:val="1"/>
                <w:color w:val="auto"/>
              </w:rPr>
            </w:pPr>
          </w:p>
        </w:tc>
      </w:tr>
      <w:tr>
        <w:trPr>
          <w:trHeight w:val="195"/>
        </w:trPr>
        <w:tc>
          <w:tcPr>
            <w:tcW w:w="66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Entities acquired in asset acquisitions, net of cash acquired</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(8,817)</w:t>
            </w: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Proceeds from sale of net investment in lease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593,000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5"/>
        </w:trPr>
        <w:tc>
          <w:tcPr>
            <w:tcW w:w="66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Sale of equity method investment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500,076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Asset sales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16,464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66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Other investing activities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9,227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(1,794)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(9,354)</w:t>
            </w:r>
          </w:p>
        </w:tc>
        <w:tc>
          <w:tcPr>
            <w:tcW w:w="0" w:type="dxa"/>
            <w:vAlign w:val="bottom"/>
          </w:tcPr>
          <w:p>
            <w:pPr>
              <w:spacing w:after="0"/>
              <w:rPr>
                <w:sz w:val="1"/>
                <w:szCs w:val="1"/>
                <w:color w:val="auto"/>
              </w:rPr>
            </w:pPr>
          </w:p>
        </w:tc>
      </w:tr>
      <w:tr>
        <w:trPr>
          <w:trHeight w:val="170"/>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b w:val="1"/>
                <w:bCs w:val="1"/>
                <w:color w:val="auto"/>
              </w:rPr>
              <w:t>Net cash used in investing activities</w:t>
            </w: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(2,904,143)</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(82,726)</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(2,273,561)</w:t>
            </w:r>
          </w:p>
        </w:tc>
        <w:tc>
          <w:tcPr>
            <w:tcW w:w="0" w:type="dxa"/>
            <w:vAlign w:val="bottom"/>
          </w:tcPr>
          <w:p>
            <w:pPr>
              <w:spacing w:after="0"/>
              <w:rPr>
                <w:sz w:val="1"/>
                <w:szCs w:val="1"/>
                <w:color w:val="auto"/>
              </w:rPr>
            </w:pPr>
          </w:p>
        </w:tc>
      </w:tr>
      <w:tr>
        <w:trPr>
          <w:trHeight w:val="188"/>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6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Proceeds from borrowings of debt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3,005,387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2,032,020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2,434,650</w:t>
            </w: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Payment of deferred financing costs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(37,806)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(17,598)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(37,811)</w:t>
            </w:r>
          </w:p>
        </w:tc>
        <w:tc>
          <w:tcPr>
            <w:tcW w:w="0" w:type="dxa"/>
            <w:vAlign w:val="bottom"/>
          </w:tcPr>
          <w:p>
            <w:pPr>
              <w:spacing w:after="0"/>
              <w:rPr>
                <w:sz w:val="1"/>
                <w:szCs w:val="1"/>
                <w:color w:val="auto"/>
              </w:rPr>
            </w:pPr>
          </w:p>
        </w:tc>
      </w:tr>
      <w:tr>
        <w:trPr>
          <w:trHeight w:val="195"/>
        </w:trPr>
        <w:tc>
          <w:tcPr>
            <w:tcW w:w="66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Repayment of debt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(686,508)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(1,520,813)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(461,015)</w:t>
            </w: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Payments related to tax withholdings for share-based compensation</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(72,602)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(30,124)</w:t>
            </w:r>
          </w:p>
        </w:tc>
        <w:tc>
          <w:tcPr>
            <w:tcW w:w="0" w:type="dxa"/>
            <w:vAlign w:val="bottom"/>
          </w:tcPr>
          <w:p>
            <w:pPr>
              <w:spacing w:after="0"/>
              <w:rPr>
                <w:sz w:val="1"/>
                <w:szCs w:val="1"/>
                <w:color w:val="auto"/>
              </w:rPr>
            </w:pPr>
          </w:p>
        </w:tc>
      </w:tr>
      <w:tr>
        <w:trPr>
          <w:trHeight w:val="195"/>
        </w:trPr>
        <w:tc>
          <w:tcPr>
            <w:tcW w:w="66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Payment of dividends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(723,962)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(99,050)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(88,756)</w:t>
            </w: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financing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(18,642)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660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Net cash provided by financing activities</w:t>
            </w: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1,528,950</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321,957</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1,816,944</w:t>
            </w: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66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Impact of changes in foreign exchange rates on cash and cash equivalents</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6,168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6,541</w:t>
            </w:r>
          </w:p>
        </w:tc>
        <w:tc>
          <w:tcPr>
            <w:tcW w:w="0" w:type="dxa"/>
            <w:vAlign w:val="bottom"/>
          </w:tcPr>
          <w:p>
            <w:pPr>
              <w:spacing w:after="0"/>
              <w:rPr>
                <w:sz w:val="1"/>
                <w:szCs w:val="1"/>
                <w:color w:val="auto"/>
              </w:rPr>
            </w:pPr>
          </w:p>
        </w:tc>
      </w:tr>
      <w:tr>
        <w:trPr>
          <w:trHeight w:val="208"/>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(decrease) increase in cash, cash equivalents and restricted cash</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(544,269)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591,053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(365,306)</w:t>
            </w:r>
          </w:p>
        </w:tc>
        <w:tc>
          <w:tcPr>
            <w:tcW w:w="0" w:type="dxa"/>
            <w:vAlign w:val="bottom"/>
          </w:tcPr>
          <w:p>
            <w:pPr>
              <w:spacing w:after="0"/>
              <w:rPr>
                <w:sz w:val="1"/>
                <w:szCs w:val="1"/>
                <w:color w:val="auto"/>
              </w:rPr>
            </w:pPr>
          </w:p>
        </w:tc>
      </w:tr>
      <w:tr>
        <w:trPr>
          <w:trHeight w:val="196"/>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 beginning of period</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855,083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264,030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629,336</w:t>
            </w:r>
          </w:p>
        </w:tc>
        <w:tc>
          <w:tcPr>
            <w:tcW w:w="0" w:type="dxa"/>
            <w:vAlign w:val="bottom"/>
          </w:tcPr>
          <w:p>
            <w:pPr>
              <w:spacing w:after="0"/>
              <w:rPr>
                <w:sz w:val="1"/>
                <w:szCs w:val="1"/>
                <w:color w:val="auto"/>
              </w:rPr>
            </w:pPr>
          </w:p>
        </w:tc>
      </w:tr>
      <w:tr>
        <w:trPr>
          <w:trHeight w:val="199"/>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 end of period</w:t>
            </w: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310,814</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855,083</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264,030</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2"/>
    </w:lvl>
  </w:abstractNum>
  <w:abstractNum w:abstractNumId="4">
    <w:nsid w:val="79E2A9E3"/>
    <w:multiLevelType w:val="hybridMultilevel"/>
    <w:lvl w:ilvl="0">
      <w:lvlJc w:val="left"/>
      <w:lvlText w:val="%1)"/>
      <w:numFmt w:val="decimal"/>
      <w:start w:val="4"/>
    </w:lvl>
  </w:abstractNum>
  <w:abstractNum w:abstractNumId="5">
    <w:nsid w:val="7545E146"/>
    <w:multiLevelType w:val="hybridMultilevel"/>
    <w:lvl w:ilvl="0">
      <w:lvlJc w:val="left"/>
      <w:lvlText w:val="%1)"/>
      <w:numFmt w:val="decimal"/>
      <w:start w:val="12"/>
    </w:lvl>
  </w:abstractNum>
  <w:abstractNum w:abstractNumId="6">
    <w:nsid w:val="515F007C"/>
    <w:multiLevelType w:val="hybridMultilevel"/>
    <w:lvl w:ilvl="0">
      <w:lvlJc w:val="left"/>
      <w:lvlText w:val="%1)"/>
      <w:numFmt w:val="decimal"/>
      <w:start w:val="17"/>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2024-02-29T06:13:43Z</dcterms:created>
  <dcterms:modified xsi:type="dcterms:W3CDTF">2024-02-29T06:13:43Z</dcterms:modified>
</cp:coreProperties>
</file>