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21F1F"/>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21F1F"/>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21F1F"/>
        </w:rPr>
        <w:t>Washington, D.C. 20549</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221F1F"/>
        </w:rPr>
        <w:t>FORM 12b-25</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21F1F"/>
        </w:rPr>
        <w:t>NOTIFICATION OF LATE FILING</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001-38790</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644393100</w:t>
      </w:r>
    </w:p>
    <w:p>
      <w:pPr>
        <w:spacing w:after="0" w:line="256" w:lineRule="exact"/>
        <w:rPr>
          <w:sz w:val="24"/>
          <w:szCs w:val="24"/>
          <w:color w:val="auto"/>
        </w:rPr>
      </w:pPr>
    </w:p>
    <w:p>
      <w:pPr>
        <w:spacing w:after="0" w:line="207" w:lineRule="exact"/>
        <w:tabs>
          <w:tab w:leader="none" w:pos="1400" w:val="left"/>
          <w:tab w:leader="none" w:pos="3020" w:val="left"/>
          <w:tab w:leader="none" w:pos="4520" w:val="left"/>
          <w:tab w:leader="none" w:pos="6000" w:val="left"/>
          <w:tab w:leader="none" w:pos="7540" w:val="left"/>
          <w:tab w:leader="none" w:pos="9100" w:val="left"/>
        </w:tabs>
        <w:rPr>
          <w:sz w:val="20"/>
          <w:szCs w:val="20"/>
          <w:color w:val="auto"/>
        </w:rPr>
      </w:pPr>
      <w:r>
        <w:rPr>
          <w:rFonts w:ascii="Times New Roman" w:cs="Times New Roman" w:eastAsia="Times New Roman" w:hAnsi="Times New Roman"/>
          <w:sz w:val="18"/>
          <w:szCs w:val="18"/>
          <w:i w:val="1"/>
          <w:iCs w:val="1"/>
          <w:color w:val="221F1F"/>
        </w:rPr>
        <w:t>(Check one):</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221F1F"/>
        </w:rPr>
        <w:t>Form 10-K</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221F1F"/>
        </w:rPr>
        <w:t>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221F1F"/>
        </w:rPr>
        <w:t>Form 11-K</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221F1F"/>
        </w:rPr>
        <w:t>Form 10-Q</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221F1F"/>
        </w:rPr>
        <w:t>Form 10-D</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221F1F"/>
        </w:rPr>
        <w:t>Form N-CEN</w:t>
      </w:r>
    </w:p>
    <w:p>
      <w:pPr>
        <w:spacing w:after="0" w:line="117" w:lineRule="exact"/>
        <w:rPr>
          <w:sz w:val="24"/>
          <w:szCs w:val="24"/>
          <w:color w:val="auto"/>
        </w:rPr>
      </w:pPr>
    </w:p>
    <w:p>
      <w:pPr>
        <w:ind w:left="1640" w:hanging="228"/>
        <w:spacing w:after="0"/>
        <w:tabs>
          <w:tab w:leader="none" w:pos="1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21F1F"/>
        </w:rPr>
        <w:t>Form N-CSR</w:t>
      </w:r>
    </w:p>
    <w:p>
      <w:pPr>
        <w:spacing w:after="0" w:line="200" w:lineRule="exact"/>
        <w:rPr>
          <w:sz w:val="24"/>
          <w:szCs w:val="24"/>
          <w:color w:val="auto"/>
        </w:rPr>
      </w:pPr>
    </w:p>
    <w:p>
      <w:pPr>
        <w:spacing w:after="0" w:line="201" w:lineRule="exact"/>
        <w:rPr>
          <w:sz w:val="24"/>
          <w:szCs w:val="24"/>
          <w:color w:val="auto"/>
        </w:rPr>
      </w:pPr>
    </w:p>
    <w:p>
      <w:pPr>
        <w:ind w:left="220"/>
        <w:spacing w:after="0"/>
        <w:tabs>
          <w:tab w:leader="none" w:pos="2060" w:val="left"/>
        </w:tabs>
        <w:rPr>
          <w:sz w:val="20"/>
          <w:szCs w:val="20"/>
          <w:color w:val="auto"/>
        </w:rPr>
      </w:pPr>
      <w:r>
        <w:rPr>
          <w:rFonts w:ascii="Times New Roman" w:cs="Times New Roman" w:eastAsia="Times New Roman" w:hAnsi="Times New Roman"/>
          <w:sz w:val="18"/>
          <w:szCs w:val="18"/>
          <w:color w:val="221F1F"/>
        </w:rPr>
        <w:t>For Period Ended:</w:t>
      </w:r>
      <w:r>
        <w:rPr>
          <w:sz w:val="20"/>
          <w:szCs w:val="20"/>
          <w:color w:val="auto"/>
        </w:rPr>
        <w:tab/>
      </w:r>
      <w:r>
        <w:rPr>
          <w:rFonts w:ascii="Times New Roman" w:cs="Times New Roman" w:eastAsia="Times New Roman" w:hAnsi="Times New Roman"/>
          <w:sz w:val="17"/>
          <w:szCs w:val="17"/>
          <w:color w:val="auto"/>
        </w:rPr>
        <w:t>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1303655</wp:posOffset>
            </wp:positionH>
            <wp:positionV relativeFrom="paragraph">
              <wp:posOffset>17145</wp:posOffset>
            </wp:positionV>
            <wp:extent cx="12426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2695" cy="17145"/>
                    </a:xfrm>
                    <a:prstGeom prst="rect">
                      <a:avLst/>
                    </a:prstGeom>
                    <a:noFill/>
                  </pic:spPr>
                </pic:pic>
              </a:graphicData>
            </a:graphic>
          </wp:anchor>
        </w:drawing>
      </w:r>
    </w:p>
    <w:p>
      <w:pPr>
        <w:spacing w:after="0" w:line="394" w:lineRule="exact"/>
        <w:rPr>
          <w:sz w:val="24"/>
          <w:szCs w:val="24"/>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36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221F1F"/>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17145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248920</wp:posOffset>
            </wp:positionV>
            <wp:extent cx="712343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F1F"/>
        </w:rPr>
        <w:t>Nothing in this Form shall be construed to imply that the Commission has verified any information contained herein.</w:t>
      </w:r>
    </w:p>
    <w:p>
      <w:pPr>
        <w:spacing w:after="0" w:line="200" w:lineRule="exact"/>
        <w:rPr>
          <w:sz w:val="24"/>
          <w:szCs w:val="24"/>
          <w:color w:val="auto"/>
        </w:rPr>
      </w:pPr>
    </w:p>
    <w:p>
      <w:pPr>
        <w:spacing w:after="0" w:line="2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146050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291465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111 W. 19th Street, 8th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York, New York 10011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City, State and Zip Code</w:t>
      </w:r>
    </w:p>
    <w:p>
      <w:pPr>
        <w:sectPr>
          <w:pgSz w:w="11900" w:h="16838" w:orient="portrait"/>
          <w:cols w:equalWidth="0" w:num="1">
            <w:col w:w="11260"/>
          </w:cols>
          <w:pgMar w:left="30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21F1F"/>
        </w:rPr>
        <w:t>PART II - RULES 12b-25(b) AND (c)</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pacing w:after="0" w:line="22" w:lineRule="exact"/>
        <w:rPr>
          <w:sz w:val="20"/>
          <w:szCs w:val="20"/>
          <w:color w:val="auto"/>
        </w:rPr>
      </w:pPr>
    </w:p>
    <w:p>
      <w:pPr>
        <w:ind w:left="680" w:hanging="313"/>
        <w:spacing w:after="0"/>
        <w:tabs>
          <w:tab w:leader="none" w:pos="680" w:val="left"/>
        </w:tabs>
        <w:numPr>
          <w:ilvl w:val="1"/>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221F1F"/>
        </w:rPr>
        <w:t>The reason described in reasonable detail in Part III of this Form could not be eliminated without unreasonable effort or expense;</w:t>
      </w:r>
    </w:p>
    <w:p>
      <w:pPr>
        <w:spacing w:after="0" w:line="184" w:lineRule="exact"/>
        <w:rPr>
          <w:rFonts w:ascii="Times New Roman" w:cs="Times New Roman" w:eastAsia="Times New Roman" w:hAnsi="Times New Roman"/>
          <w:sz w:val="36"/>
          <w:szCs w:val="36"/>
          <w:color w:val="auto"/>
          <w:vertAlign w:val="subscript"/>
        </w:rPr>
      </w:pPr>
    </w:p>
    <w:p>
      <w:pPr>
        <w:ind w:left="68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7"/>
          <w:szCs w:val="17"/>
          <w:color w:val="221F1F"/>
        </w:rPr>
        <w:t>The subject annual report, semi-annual report, transition report on Form 10-K, Form 20-F, Form 11-K, Form N-CEN or Form N-CSR, or portion</w:t>
      </w:r>
    </w:p>
    <w:p>
      <w:pPr>
        <w:ind w:left="680" w:hanging="638"/>
        <w:spacing w:after="0" w:line="181" w:lineRule="auto"/>
        <w:tabs>
          <w:tab w:leader="none" w:pos="680" w:val="left"/>
        </w:tabs>
        <w:numPr>
          <w:ilvl w:val="0"/>
          <w:numId w:val="3"/>
        </w:numPr>
        <w:rPr>
          <w:rFonts w:ascii="MS PGothic" w:cs="MS PGothic" w:eastAsia="MS PGothic" w:hAnsi="MS PGothic"/>
          <w:sz w:val="25"/>
          <w:szCs w:val="25"/>
          <w:color w:val="auto"/>
          <w:vertAlign w:val="subscript"/>
        </w:rPr>
      </w:pPr>
      <w:r>
        <w:rPr>
          <w:rFonts w:ascii="Times New Roman" w:cs="Times New Roman" w:eastAsia="Times New Roman" w:hAnsi="Times New Roman"/>
          <w:sz w:val="14"/>
          <w:szCs w:val="14"/>
          <w:color w:val="221F1F"/>
        </w:rPr>
        <w:t>thereof, will be filed on or before the fifteenth calendar day following the prescribed due date; or the subject quarterly report or transition report</w:t>
      </w:r>
    </w:p>
    <w:p>
      <w:pPr>
        <w:ind w:left="680" w:right="400" w:hanging="318"/>
        <w:spacing w:after="0" w:line="226"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on Form 10-Q or subject distribution report on Form 10-D, or portion thereof, will be filed on or before the fifth calendar day following the prescribed due date; and</w:t>
      </w:r>
    </w:p>
    <w:p>
      <w:pPr>
        <w:spacing w:after="0" w:line="184" w:lineRule="exact"/>
        <w:rPr>
          <w:rFonts w:ascii="Times New Roman" w:cs="Times New Roman" w:eastAsia="Times New Roman" w:hAnsi="Times New Roman"/>
          <w:sz w:val="18"/>
          <w:szCs w:val="18"/>
          <w:color w:val="auto"/>
        </w:rPr>
      </w:pPr>
    </w:p>
    <w:p>
      <w:pPr>
        <w:ind w:left="680" w:hanging="313"/>
        <w:spacing w:after="0"/>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-1002030</wp:posOffset>
            </wp:positionV>
            <wp:extent cx="17145" cy="1036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1036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2" w:name="page3"/>
    <w:bookmarkEnd w:id="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New Fortress Energy Inc. (the “Company”) is working diligently and plans to file its Annual Report on Form 10-K for the fiscal year ended December 31, 2024 (the “Annual Report”) as soon as practicable. The Company requires additional time to complete its financial statement preparation and review process. In addition, the Company requires additional time in order to reflect certain financing transactions which will support the Company's obligations and debt service and are expected to close in the near term. As a result, the Company has determined that it is unable, without unreasonable effort or expense, to file its Annual Report within the prescribed time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IV - OTHER INFORMATION</w:t>
      </w:r>
    </w:p>
    <w:p>
      <w:pPr>
        <w:spacing w:after="0" w:line="270" w:lineRule="exact"/>
        <w:rPr>
          <w:sz w:val="20"/>
          <w:szCs w:val="20"/>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Name and telephone number of person to contact in regard to this notification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Christopher S. Guinta</w:t>
            </w:r>
          </w:p>
        </w:tc>
        <w:tc>
          <w:tcPr>
            <w:tcW w:w="2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21"/>
                <w:szCs w:val="21"/>
                <w:color w:val="auto"/>
              </w:rPr>
            </w:pPr>
          </w:p>
        </w:tc>
        <w:tc>
          <w:tcPr>
            <w:tcW w:w="416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268-7400</w:t>
            </w:r>
          </w:p>
        </w:tc>
      </w:tr>
      <w:tr>
        <w:trPr>
          <w:trHeight w:val="34"/>
        </w:trPr>
        <w:tc>
          <w:tcPr>
            <w:tcW w:w="4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4"/>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221F1F"/>
                <w:w w:val="98"/>
              </w:rPr>
              <w:t>(Name)</w:t>
            </w:r>
          </w:p>
        </w:tc>
        <w:tc>
          <w:tcPr>
            <w:tcW w:w="16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221F1F"/>
              </w:rPr>
              <w:t>(Area Code)</w:t>
            </w:r>
          </w:p>
        </w:tc>
        <w:tc>
          <w:tcPr>
            <w:tcW w:w="1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221F1F"/>
                <w:w w:val="99"/>
              </w:rPr>
              <w:t>(Telephone Number)</w:t>
            </w:r>
          </w:p>
        </w:tc>
      </w:tr>
    </w:tbl>
    <w:p>
      <w:pPr>
        <w:spacing w:after="0" w:line="355" w:lineRule="exact"/>
        <w:rPr>
          <w:sz w:val="20"/>
          <w:szCs w:val="20"/>
          <w:color w:val="auto"/>
        </w:rPr>
      </w:pPr>
    </w:p>
    <w:p>
      <w:pPr>
        <w:jc w:val="both"/>
        <w:ind w:left="440" w:right="20" w:hanging="414"/>
        <w:spacing w:after="0" w:line="232" w:lineRule="exact"/>
        <w:tabs>
          <w:tab w:leader="none" w:pos="440" w:val="left"/>
        </w:tabs>
        <w:numPr>
          <w:ilvl w:val="0"/>
          <w:numId w:val="6"/>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report(s).Yes </w:t>
      </w:r>
      <w:r>
        <w:rPr>
          <w:rFonts w:ascii="MS PGothic" w:cs="MS PGothic" w:eastAsia="MS PGothic" w:hAnsi="MS PGothic"/>
          <w:sz w:val="18"/>
          <w:szCs w:val="18"/>
          <w:color w:val="221F1F"/>
        </w:rPr>
        <w:t>☒</w:t>
      </w:r>
      <w:r>
        <w:rPr>
          <w:rFonts w:ascii="Times New Roman" w:cs="Times New Roman" w:eastAsia="Times New Roman" w:hAnsi="Times New Roman"/>
          <w:sz w:val="18"/>
          <w:szCs w:val="18"/>
          <w:color w:val="221F1F"/>
        </w:rPr>
        <w:t xml:space="preserve"> No </w:t>
      </w:r>
      <w:r>
        <w:rPr>
          <w:rFonts w:ascii="MS PGothic" w:cs="MS PGothic" w:eastAsia="MS PGothic" w:hAnsi="MS PGothic"/>
          <w:sz w:val="18"/>
          <w:szCs w:val="18"/>
          <w:color w:val="221F1F"/>
        </w:rPr>
        <w:t>☐</w:t>
      </w:r>
    </w:p>
    <w:p>
      <w:pPr>
        <w:spacing w:after="0" w:line="359" w:lineRule="exact"/>
        <w:rPr>
          <w:rFonts w:ascii="Times New Roman" w:cs="Times New Roman" w:eastAsia="Times New Roman" w:hAnsi="Times New Roman"/>
          <w:sz w:val="18"/>
          <w:szCs w:val="18"/>
          <w:color w:val="221F1F"/>
        </w:rPr>
      </w:pPr>
    </w:p>
    <w:p>
      <w:pPr>
        <w:ind w:left="440" w:right="500" w:hanging="414"/>
        <w:spacing w:after="0" w:line="237" w:lineRule="auto"/>
        <w:tabs>
          <w:tab w:leader="none" w:pos="440" w:val="left"/>
        </w:tabs>
        <w:numPr>
          <w:ilvl w:val="0"/>
          <w:numId w:val="6"/>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Is it anticipated that any significant change in results of operations from the corresponding period for the last fiscal year will be reflected by the earnings statements to be included in the subject report or portion thereof?</w:t>
      </w:r>
    </w:p>
    <w:p>
      <w:pPr>
        <w:spacing w:after="0" w:line="307" w:lineRule="exact"/>
        <w:rPr>
          <w:sz w:val="20"/>
          <w:szCs w:val="20"/>
          <w:color w:val="auto"/>
        </w:rPr>
      </w:pPr>
    </w:p>
    <w:p>
      <w:pPr>
        <w:ind w:left="9780"/>
        <w:spacing w:after="0" w:line="207" w:lineRule="exact"/>
        <w:tabs>
          <w:tab w:leader="none" w:pos="10240" w:val="left"/>
          <w:tab w:leader="none" w:pos="10560" w:val="left"/>
          <w:tab w:leader="none" w:pos="10980" w:val="left"/>
        </w:tabs>
        <w:rPr>
          <w:sz w:val="20"/>
          <w:szCs w:val="20"/>
          <w:color w:val="auto"/>
        </w:rPr>
      </w:pPr>
      <w:r>
        <w:rPr>
          <w:rFonts w:ascii="Times New Roman" w:cs="Times New Roman" w:eastAsia="Times New Roman" w:hAnsi="Times New Roman"/>
          <w:sz w:val="18"/>
          <w:szCs w:val="18"/>
          <w:color w:val="221F1F"/>
        </w:rPr>
        <w:t>Yes</w:t>
        <w:tab/>
      </w:r>
      <w:r>
        <w:rPr>
          <w:rFonts w:ascii="MS PGothic" w:cs="MS PGothic" w:eastAsia="MS PGothic" w:hAnsi="MS PGothic"/>
          <w:sz w:val="18"/>
          <w:szCs w:val="18"/>
          <w:color w:val="221F1F"/>
        </w:rPr>
        <w:t>☐</w:t>
      </w:r>
      <w:r>
        <w:rPr>
          <w:rFonts w:ascii="Times New Roman" w:cs="Times New Roman" w:eastAsia="Times New Roman" w:hAnsi="Times New Roman"/>
          <w:sz w:val="18"/>
          <w:szCs w:val="18"/>
          <w:color w:val="221F1F"/>
        </w:rPr>
        <w:tab/>
        <w:t>No</w:t>
      </w:r>
      <w:r>
        <w:rPr>
          <w:sz w:val="20"/>
          <w:szCs w:val="20"/>
          <w:color w:val="auto"/>
        </w:rPr>
        <w:tab/>
      </w:r>
      <w:r>
        <w:rPr>
          <w:rFonts w:ascii="MS PGothic" w:cs="MS PGothic" w:eastAsia="MS PGothic" w:hAnsi="MS PGothic"/>
          <w:sz w:val="16"/>
          <w:szCs w:val="16"/>
          <w:color w:val="221F1F"/>
        </w:rPr>
        <w:t>☒</w:t>
      </w:r>
    </w:p>
    <w:p>
      <w:pPr>
        <w:spacing w:after="0" w:line="200" w:lineRule="exact"/>
        <w:rPr>
          <w:sz w:val="20"/>
          <w:szCs w:val="20"/>
          <w:color w:val="auto"/>
        </w:rPr>
      </w:pPr>
    </w:p>
    <w:p>
      <w:pPr>
        <w:spacing w:after="0" w:line="201" w:lineRule="exact"/>
        <w:rPr>
          <w:sz w:val="20"/>
          <w:szCs w:val="20"/>
          <w:color w:val="auto"/>
        </w:rPr>
      </w:pPr>
    </w:p>
    <w:p>
      <w:pPr>
        <w:ind w:left="100" w:right="160"/>
        <w:spacing w:after="0" w:line="250" w:lineRule="auto"/>
        <w:rPr>
          <w:sz w:val="20"/>
          <w:szCs w:val="20"/>
          <w:color w:val="auto"/>
        </w:rPr>
      </w:pPr>
      <w:r>
        <w:rPr>
          <w:rFonts w:ascii="Times New Roman" w:cs="Times New Roman" w:eastAsia="Times New Roman" w:hAnsi="Times New Roman"/>
          <w:sz w:val="18"/>
          <w:szCs w:val="18"/>
          <w:color w:val="221F1F"/>
        </w:rPr>
        <w:t>If so, attach an explanation of the anticipated change, both narratively and quantitatively, and, if appropriate, state the reasons why a reasonable estimate of the results cannot be made.</w:t>
      </w:r>
    </w:p>
    <w:p>
      <w:pPr>
        <w:spacing w:after="0" w:line="3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3, 2025, the Company issued a press release (the “Earnings Release”) reporting certain unaudited results for the three and twelve months ended December 31, 2024. The Company continues to finalize its financial statements for the year ended December 31, 2024 and the unaudited financial results included in the Earnings Release are subject to change. Actual results may differ from the unaudited financial results and other financial information disclosed in the Earnings Release due to the completion of our internal procedures, the audit of our financial statements, final adjustments and other developments that may arise between now and the time the results are finalized.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This Form 12b-25 contains certain statements and information that may constitute “forward-looking statements” within the meaning of the Private Securities Litigation Reform Act of 1995. All statements contained in this Form 12b-25 (including, without limitation, statements regarding the anticipated timing of the filing of the Annual Report and the Company’s expected results for three and twelve months ending December 31, 2024)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w:t>
      </w:r>
    </w:p>
    <w:p>
      <w:pPr>
        <w:sectPr>
          <w:pgSz w:w="11900" w:h="16838" w:orient="portrait"/>
          <w:cols w:equalWidth="0" w:num="1">
            <w:col w:w="11240"/>
          </w:cols>
          <w:pgMar w:left="320" w:top="1440" w:right="33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t>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ectPr>
          <w:pgSz w:w="11900" w:h="16838" w:orient="portrait"/>
          <w:cols w:equalWidth="0" w:num="1">
            <w:col w:w="11240"/>
          </w:cols>
          <w:pgMar w:left="320" w:top="1417" w:right="339" w:bottom="1440" w:gutter="0" w:footer="0" w:header="0"/>
        </w:sectPr>
      </w:pPr>
    </w:p>
    <w:bookmarkStart w:id="4" w:name="page5"/>
    <w:bookmarkEnd w:id="4"/>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19685</wp:posOffset>
            </wp:positionV>
            <wp:extent cx="6900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Charter)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has caused this notification to be signed on its behalf by the undersigned hereunto duly authorized.</w:t>
      </w:r>
    </w:p>
    <w:p>
      <w:pPr>
        <w:spacing w:after="0" w:line="266" w:lineRule="exact"/>
        <w:rPr>
          <w:sz w:val="20"/>
          <w:szCs w:val="20"/>
          <w:color w:val="auto"/>
        </w:rPr>
      </w:pPr>
    </w:p>
    <w:p>
      <w:pPr>
        <w:ind w:left="20"/>
        <w:spacing w:after="0"/>
        <w:tabs>
          <w:tab w:leader="none" w:pos="4940" w:val="left"/>
        </w:tabs>
        <w:rPr>
          <w:sz w:val="20"/>
          <w:szCs w:val="20"/>
          <w:color w:val="auto"/>
        </w:rPr>
      </w:pPr>
      <w:r>
        <w:rPr>
          <w:rFonts w:ascii="Times New Roman" w:cs="Times New Roman" w:eastAsia="Times New Roman" w:hAnsi="Times New Roman"/>
          <w:sz w:val="18"/>
          <w:szCs w:val="18"/>
          <w:color w:val="221F1F"/>
        </w:rPr>
        <w:t>Date: March 4, 2025</w:t>
      </w:r>
      <w:r>
        <w:rPr>
          <w:sz w:val="20"/>
          <w:szCs w:val="20"/>
          <w:color w:val="auto"/>
        </w:rPr>
        <w:tab/>
      </w:r>
      <w:r>
        <w:rPr>
          <w:rFonts w:ascii="Times New Roman" w:cs="Times New Roman" w:eastAsia="Times New Roman" w:hAnsi="Times New Roman"/>
          <w:sz w:val="18"/>
          <w:szCs w:val="18"/>
          <w:u w:val="single" w:color="auto"/>
          <w:color w:val="221F1F"/>
        </w:rPr>
        <w:t>By /s/ Christopher S. Guinta</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21F1F"/>
        </w:rPr>
        <w:t>Christopher S. Guinta</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221F1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2025-03-04T15:19:37Z</dcterms:created>
  <dcterms:modified xsi:type="dcterms:W3CDTF">2025-03-04T15:19:37Z</dcterms:modified>
</cp:coreProperties>
</file>