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644393 100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Wesley R. Edens</w:t>
      </w:r>
    </w:p>
    <w:p>
      <w:pPr>
        <w:jc w:val="center"/>
        <w:ind w:right="-19"/>
        <w:spacing w:after="0" w:line="184" w:lineRule="auto"/>
        <w:rPr>
          <w:sz w:val="20"/>
          <w:szCs w:val="20"/>
          <w:color w:val="auto"/>
        </w:rPr>
      </w:pPr>
      <w:r>
        <w:rPr>
          <w:rFonts w:ascii="Arial" w:cs="Arial" w:eastAsia="Arial" w:hAnsi="Arial"/>
          <w:sz w:val="19"/>
          <w:szCs w:val="19"/>
          <w:b w:val="1"/>
          <w:bCs w:val="1"/>
          <w:color w:val="auto"/>
        </w:rPr>
        <w:t>111 W. 19</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St., 8</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Floor</w:t>
      </w:r>
    </w:p>
    <w:p>
      <w:pPr>
        <w:jc w:val="center"/>
        <w:ind w:right="-19"/>
        <w:spacing w:after="0" w:line="231" w:lineRule="auto"/>
        <w:rPr>
          <w:sz w:val="20"/>
          <w:szCs w:val="20"/>
          <w:color w:val="auto"/>
        </w:rPr>
      </w:pPr>
      <w:r>
        <w:rPr>
          <w:rFonts w:ascii="Arial" w:cs="Arial" w:eastAsia="Arial" w:hAnsi="Arial"/>
          <w:sz w:val="22"/>
          <w:szCs w:val="22"/>
          <w:b w:val="1"/>
          <w:bCs w:val="1"/>
          <w:color w:val="auto"/>
        </w:rPr>
        <w:t>New York, NY 10011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Address and Telephone Number of Person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ind w:right="80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4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firstLine="8"/>
        <w:spacing w:after="0"/>
        <w:tabs>
          <w:tab w:leader="none" w:pos="64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2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w:t>
      </w:r>
      <w:r>
        <w:rPr>
          <w:rFonts w:ascii="Arial" w:cs="Arial" w:eastAsia="Arial" w:hAnsi="Arial"/>
          <w:sz w:val="22"/>
          <w:szCs w:val="22"/>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†This Schedule 13D constitutes Amendment No. 3 to the Schedule 13D filed by Wesley R. Edens on February 4, 2019, Amendment No. 1 to the Schedule 13D filed by FEP HoldCo LLC on June 11, 2020 and the initial Schedule 13D filing by Edens Family Holdings LLC. See Explanatory Note.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1"/>
              </w:rPr>
              <w:t>Wesley R. Edens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47,540,925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47,540,925</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47,540,925</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27.0%</w:t>
            </w:r>
            <w:r>
              <w:rPr>
                <w:rFonts w:ascii="Arial" w:cs="Arial" w:eastAsia="Arial" w:hAnsi="Arial"/>
                <w:sz w:val="29"/>
                <w:szCs w:val="29"/>
                <w:color w:val="auto"/>
                <w:w w:val="93"/>
                <w:vertAlign w:val="superscript"/>
              </w:rPr>
              <w:t>(1)</w:t>
            </w:r>
          </w:p>
        </w:tc>
        <w:tc>
          <w:tcPr>
            <w:tcW w:w="5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00" w:hanging="41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175,958,649 Class A Shares outstanding as of March 15, 2021, as reported by the Issuer in its Form 10-K filed with the Securities and Exchange Commission on 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w w:val="94"/>
              </w:rPr>
              <w:t>FEP HoldCo LLC</w:t>
            </w: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9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9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gridSpan w:val="2"/>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7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9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20" w:type="dxa"/>
            <w:vAlign w:val="bottom"/>
          </w:tcPr>
          <w:p>
            <w:pPr>
              <w:spacing w:after="0"/>
              <w:rPr>
                <w:sz w:val="14"/>
                <w:szCs w:val="14"/>
                <w:color w:val="auto"/>
              </w:rPr>
            </w:pPr>
          </w:p>
        </w:tc>
        <w:tc>
          <w:tcPr>
            <w:tcW w:w="7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980" w:type="dxa"/>
            <w:vAlign w:val="bottom"/>
            <w:vMerge w:val="restart"/>
          </w:tcPr>
          <w:p>
            <w:pPr>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7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Edens Family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25,086,851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0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25,086,851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25,086,851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14.3%</w:t>
            </w:r>
            <w:r>
              <w:rPr>
                <w:rFonts w:ascii="Arial" w:cs="Arial" w:eastAsia="Arial" w:hAnsi="Arial"/>
                <w:sz w:val="29"/>
                <w:szCs w:val="29"/>
                <w:color w:val="auto"/>
                <w:w w:val="93"/>
                <w:vertAlign w:val="superscript"/>
              </w:rPr>
              <w:t>(1)</w:t>
            </w:r>
          </w:p>
        </w:tc>
        <w:tc>
          <w:tcPr>
            <w:tcW w:w="5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00" w:hanging="41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Calculations are based upon a total of 175,958,649 Class A Shares outstanding as of March 15, 2021, as reported by the Issuer in its Form 10-K filed with the Securities and Exchange Commission on 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filing constitutes (i) Amendment No. 3 (this “</w:t>
      </w:r>
      <w:r>
        <w:rPr>
          <w:rFonts w:ascii="Arial" w:cs="Arial" w:eastAsia="Arial" w:hAnsi="Arial"/>
          <w:sz w:val="19"/>
          <w:szCs w:val="19"/>
          <w:i w:val="1"/>
          <w:iCs w:val="1"/>
          <w:color w:val="auto"/>
        </w:rPr>
        <w:t>Amendment</w:t>
      </w:r>
      <w:r>
        <w:rPr>
          <w:rFonts w:ascii="Arial" w:cs="Arial" w:eastAsia="Arial" w:hAnsi="Arial"/>
          <w:sz w:val="19"/>
          <w:szCs w:val="19"/>
          <w:color w:val="auto"/>
        </w:rPr>
        <w:t>”) to the Schedule 13D filed by Wesley R. Edens with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Securities and Exchange Commission (the “</w:t>
      </w:r>
      <w:r>
        <w:rPr>
          <w:rFonts w:ascii="Arial" w:cs="Arial" w:eastAsia="Arial" w:hAnsi="Arial"/>
          <w:sz w:val="21"/>
          <w:szCs w:val="21"/>
          <w:i w:val="1"/>
          <w:iCs w:val="1"/>
          <w:color w:val="auto"/>
        </w:rPr>
        <w:t>SEC</w:t>
      </w:r>
      <w:r>
        <w:rPr>
          <w:rFonts w:ascii="Arial" w:cs="Arial" w:eastAsia="Arial" w:hAnsi="Arial"/>
          <w:sz w:val="21"/>
          <w:szCs w:val="21"/>
          <w:color w:val="auto"/>
        </w:rPr>
        <w:t>”) on February 4, 2019 (the “</w:t>
      </w:r>
      <w:r>
        <w:rPr>
          <w:rFonts w:ascii="Arial" w:cs="Arial" w:eastAsia="Arial" w:hAnsi="Arial"/>
          <w:sz w:val="21"/>
          <w:szCs w:val="21"/>
          <w:i w:val="1"/>
          <w:iCs w:val="1"/>
          <w:color w:val="auto"/>
        </w:rPr>
        <w:t>Original Schedule 13D</w:t>
      </w:r>
      <w:r>
        <w:rPr>
          <w:rFonts w:ascii="Arial" w:cs="Arial" w:eastAsia="Arial" w:hAnsi="Arial"/>
          <w:sz w:val="21"/>
          <w:szCs w:val="21"/>
          <w:color w:val="auto"/>
        </w:rPr>
        <w:t>”), as amended by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Amendment No. 1 filed with the SEC on March 28, 2019 and by Amendment No. 2 filed with the SEC on June 11, 2020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Original Schedule 13D, as previously amended and as further amended and supplemented by this Amendment, the “</w:t>
      </w:r>
      <w:r>
        <w:rPr>
          <w:rFonts w:ascii="Arial" w:cs="Arial" w:eastAsia="Arial" w:hAnsi="Arial"/>
          <w:sz w:val="19"/>
          <w:szCs w:val="19"/>
          <w:i w:val="1"/>
          <w:iCs w:val="1"/>
          <w:color w:val="auto"/>
        </w:rPr>
        <w:t>Schedule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13D</w:t>
      </w:r>
      <w:r>
        <w:rPr>
          <w:rFonts w:ascii="Arial" w:cs="Arial" w:eastAsia="Arial" w:hAnsi="Arial"/>
          <w:sz w:val="19"/>
          <w:szCs w:val="19"/>
          <w:color w:val="auto"/>
        </w:rPr>
        <w:t>”) with respect to the Class A common shares (“</w:t>
      </w:r>
      <w:r>
        <w:rPr>
          <w:rFonts w:ascii="Arial" w:cs="Arial" w:eastAsia="Arial" w:hAnsi="Arial"/>
          <w:sz w:val="19"/>
          <w:szCs w:val="19"/>
          <w:i w:val="1"/>
          <w:iCs w:val="1"/>
          <w:color w:val="auto"/>
        </w:rPr>
        <w:t>Class A Shares</w:t>
      </w:r>
      <w:r>
        <w:rPr>
          <w:rFonts w:ascii="Arial" w:cs="Arial" w:eastAsia="Arial" w:hAnsi="Arial"/>
          <w:sz w:val="19"/>
          <w:szCs w:val="19"/>
          <w:color w:val="auto"/>
        </w:rPr>
        <w:t>”) of New Fortress Energy Inc., a Delaware corporation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Issuer</w:t>
      </w:r>
      <w:r>
        <w:rPr>
          <w:rFonts w:ascii="Arial" w:cs="Arial" w:eastAsia="Arial" w:hAnsi="Arial"/>
          <w:sz w:val="19"/>
          <w:szCs w:val="19"/>
          <w:color w:val="auto"/>
        </w:rPr>
        <w:t>”), (ii) Amendment No. 1 to the Schedule 13D filed with the SEC on June 11, 2020 by FEP HoldCo LLC (“</w:t>
      </w:r>
      <w:r>
        <w:rPr>
          <w:rFonts w:ascii="Arial" w:cs="Arial" w:eastAsia="Arial" w:hAnsi="Arial"/>
          <w:sz w:val="19"/>
          <w:szCs w:val="19"/>
          <w:i w:val="1"/>
          <w:iCs w:val="1"/>
          <w:color w:val="auto"/>
        </w:rPr>
        <w:t>HoldCo</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the Class A Shares and (iii) the initial Schedule 13D filing by Edens Family Holdings LLC, a Delaware limited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liability company (“</w:t>
      </w:r>
      <w:r>
        <w:rPr>
          <w:rFonts w:ascii="Arial" w:cs="Arial" w:eastAsia="Arial" w:hAnsi="Arial"/>
          <w:sz w:val="21"/>
          <w:szCs w:val="21"/>
          <w:i w:val="1"/>
          <w:iCs w:val="1"/>
          <w:color w:val="auto"/>
        </w:rPr>
        <w:t>Family LLC</w:t>
      </w:r>
      <w:r>
        <w:rPr>
          <w:rFonts w:ascii="Arial" w:cs="Arial" w:eastAsia="Arial" w:hAnsi="Arial"/>
          <w:sz w:val="21"/>
          <w:szCs w:val="21"/>
          <w:color w:val="auto"/>
        </w:rPr>
        <w:t>”), with respect to the Class A Shares (Mr. Edens, HoldCo and Family LLC, together,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Reporting Persons</w:t>
      </w:r>
      <w:r>
        <w:rPr>
          <w:rFonts w:ascii="Arial" w:cs="Arial" w:eastAsia="Arial" w:hAnsi="Arial"/>
          <w:sz w:val="19"/>
          <w:szCs w:val="19"/>
          <w:color w:val="auto"/>
        </w:rPr>
        <w:t>”). As previously disclosed, on August 7, 2020, the Issuer completed its conversion from a Delaware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liability company named New Fortress Energy LLC to a Delaware corporation named New Fortress Energy Inc. and each Class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share, representing Class A limited liability company interests of New Fortress Energy LLC, outstanding immediately prior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effective time of the conversion was converted into one issued and outstanding Class A Share of the Issuer. The Reporting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Persons are filing this Amendment to disclose (i) the contribution of 25,086,851 Class A Shares (approximately 14.3%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outstanding Class A Shares) from Mr. Edens to Family LLC and (ii) the distribution of all of the Class A Shares formerly owned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by HoldCo to its members, including Mr. Edens, in a pro rata distribution (the “</w:t>
      </w:r>
      <w:r>
        <w:rPr>
          <w:rFonts w:ascii="Arial" w:cs="Arial" w:eastAsia="Arial" w:hAnsi="Arial"/>
          <w:sz w:val="22"/>
          <w:szCs w:val="22"/>
          <w:i w:val="1"/>
          <w:iCs w:val="1"/>
          <w:color w:val="auto"/>
        </w:rPr>
        <w:t>Pro Rata Distribution</w:t>
      </w:r>
      <w:r>
        <w:rPr>
          <w:rFonts w:ascii="Arial" w:cs="Arial" w:eastAsia="Arial" w:hAnsi="Arial"/>
          <w:sz w:val="22"/>
          <w:szCs w:val="22"/>
          <w:color w:val="auto"/>
        </w:rPr>
        <w:t>”). The Pro Rata</w:t>
      </w:r>
    </w:p>
    <w:p>
      <w:pPr>
        <w:spacing w:after="0"/>
        <w:rPr>
          <w:sz w:val="20"/>
          <w:szCs w:val="20"/>
          <w:color w:val="auto"/>
        </w:rPr>
      </w:pPr>
      <w:r>
        <w:rPr>
          <w:rFonts w:ascii="Arial" w:cs="Arial" w:eastAsia="Arial" w:hAnsi="Arial"/>
          <w:sz w:val="19"/>
          <w:szCs w:val="19"/>
          <w:color w:val="auto"/>
        </w:rPr>
        <w:t>Distribution resulted in Mr. Edens acquiring direct ownership of his pro rata portion of the Class A Shares formerly owned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HoldCo and Mr. Edens no longer having shared voting power and shared dispositive power over the Class A Shares formerly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owned by HoldCo, as more fully described below in Items 3 and 5. Additionally, the Pro Rata Distribution resulted in HoldCo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distributing all of the Class A Shares that it owned to its members and no longer having beneficial ownership of any Class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Shares. The Reporting Persons have made this filing jointly pursuant to Rule 13d-1(k)(1).</w:t>
      </w:r>
    </w:p>
    <w:p>
      <w:pPr>
        <w:spacing w:after="0" w:line="215" w:lineRule="exact"/>
        <w:rPr>
          <w:sz w:val="20"/>
          <w:szCs w:val="20"/>
          <w:color w:val="auto"/>
        </w:rPr>
      </w:pPr>
    </w:p>
    <w:p>
      <w:pPr>
        <w:ind w:right="600" w:firstLine="702"/>
        <w:spacing w:after="0"/>
        <w:rPr>
          <w:sz w:val="20"/>
          <w:szCs w:val="20"/>
          <w:color w:val="auto"/>
        </w:rPr>
      </w:pPr>
      <w:r>
        <w:rPr>
          <w:rFonts w:ascii="Arial" w:cs="Arial" w:eastAsia="Arial" w:hAnsi="Arial"/>
          <w:sz w:val="22"/>
          <w:szCs w:val="22"/>
          <w:color w:val="auto"/>
        </w:rPr>
        <w:t>Unless set forth below, all previous Items of the Original Schedule 13D, as previously amended, are unchanged. Capitalized terms used in this Amendment and not otherwise defined shall have the same meanings ascribed to them in the Original Schedule 13D, as previously amended.</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1 is hereby amended and restated as follows:</w:t>
      </w:r>
    </w:p>
    <w:p>
      <w:pPr>
        <w:spacing w:after="0" w:line="2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This Schedule 13D relates to the Class A Shares of the Issuer, which has its principal executive offices at 111 W. 19th St., 8th Floor, New York, NY 10011.</w:t>
      </w:r>
    </w:p>
    <w:p>
      <w:pPr>
        <w:spacing w:after="0" w:line="20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to the Schedule 13D is hereby amended by the addition of the following text:</w:t>
      </w:r>
    </w:p>
    <w:p>
      <w:pPr>
        <w:spacing w:after="0" w:line="233"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Family LLC is a holding company organized under the laws of the State of Delaware with its principal office located at 111 W. 19th St., 8th Floor, New York, NY 10011. Mr. Edens is the manager and common interests member of Family LLC.</w:t>
      </w:r>
    </w:p>
    <w:p>
      <w:pPr>
        <w:spacing w:after="0" w:line="132"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the past five years, Family LLC has not been convicted in a criminal proceeding (excluding traffic violations or similar misdemeanors), nor has it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to the Schedule 13D is hereby amended by the addition of the following text:</w:t>
      </w:r>
    </w:p>
    <w:p>
      <w:pPr>
        <w:spacing w:after="0" w:line="2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On December 24, 2020, HoldCo distributed all of the Class A Shares that it owned to its members, including Mr. Edens, in the Pro Rata Distribution. The Pro Rata Distribution resulted in Mr. Edens acquiring direct ownership of 5,613,695 Class A Shares that were formerly owned by HoldCo. Additionally, the Pro Rata Distribution resulted in Mr. Edens no longer having shared voting power and shared dispositive power over the 8,696,300 Class A Shares that were formerly owned by HoldCo (including the 5,613,695 Class A Shares that were distributed to Mr. Edens). The Pro Rata Distribution also resulted in HoldCo distributing all of the Class A Shares that it owned to its members and no longer having beneficial ownership of any Class A Shares. The Class A Shares were distributed in the Pro Rata Distribution for no consideration.</w:t>
      </w:r>
    </w:p>
    <w:p>
      <w:pPr>
        <w:spacing w:after="0" w:line="179"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On March 12, 2021, Mr. Edens formed Family LLC and, on March 16, 2021, contributed 25,086,851 Class A Shares (approximately 14.3% of the outstanding Class A Shares) and certain other securities to it. Family LLC is filing this Amendment on the basis of its acquisition of beneficial ownership of more than 5% of the outstanding Class A Shares as a result of such contribution, although Mr. Edens, as the manager and common interests member of Family LLC, continues to hold voting and investment power in respect of such Class A Shares and to remain a beneficial owner thereof.</w:t>
      </w:r>
    </w:p>
    <w:p>
      <w:pPr>
        <w:spacing w:after="0" w:line="17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to the Schedule 13D is hereby amended by the addition of the following text:</w:t>
      </w:r>
    </w:p>
    <w:p>
      <w:pPr>
        <w:spacing w:after="0" w:line="23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Mr. Edens expects that he will eventually transfer Family LLC common limited liability company interests to one or more family members for no consideration and will cease to be the manager. Family LLC may sell or otherwise monetize its holdings of Class A Shares for the benefit of its common interest members.</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hereby amended and restated as follows:</w:t>
      </w:r>
    </w:p>
    <w:p>
      <w:pPr>
        <w:spacing w:after="0" w:line="233" w:lineRule="exact"/>
        <w:rPr>
          <w:sz w:val="20"/>
          <w:szCs w:val="20"/>
          <w:color w:val="auto"/>
        </w:rPr>
      </w:pPr>
    </w:p>
    <w:p>
      <w:pPr>
        <w:ind w:firstLine="656"/>
        <w:spacing w:after="0"/>
        <w:tabs>
          <w:tab w:leader="none" w:pos="942" w:val="left"/>
        </w:tabs>
        <w:numPr>
          <w:ilvl w:val="0"/>
          <w:numId w:val="4"/>
        </w:numPr>
        <w:rPr>
          <w:rFonts w:ascii="Arial" w:cs="Arial" w:eastAsia="Arial" w:hAnsi="Arial"/>
          <w:sz w:val="22"/>
          <w:szCs w:val="22"/>
          <w:color w:val="auto"/>
        </w:rPr>
      </w:pPr>
      <w:r>
        <w:rPr>
          <w:rFonts w:ascii="Arial" w:cs="Arial" w:eastAsia="Arial" w:hAnsi="Arial"/>
          <w:sz w:val="22"/>
          <w:szCs w:val="22"/>
          <w:color w:val="auto"/>
        </w:rPr>
        <w:t>— (b) The aggregate number and percentage of Class A Shares beneficially owned by Mr. Edens (on the basis of a total of 175,958,649 Class A Shares issued and outstanding as of March 15, 2021, as reported by the Issuer in its Form 10-K filed with the Securities and Exchange Commission on March 16, 2021) are as follows: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Amount beneficially owned: 47,540,925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Percentage:</w:t>
            </w:r>
          </w:p>
        </w:tc>
        <w:tc>
          <w:tcPr>
            <w:tcW w:w="26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640" w:type="dxa"/>
            <w:vAlign w:val="bottom"/>
          </w:tcPr>
          <w:p>
            <w:pPr>
              <w:spacing w:after="0"/>
              <w:rPr>
                <w:sz w:val="18"/>
                <w:szCs w:val="18"/>
                <w:color w:val="auto"/>
              </w:rPr>
            </w:pP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2640" w:type="dxa"/>
            <w:vAlign w:val="bottom"/>
          </w:tcPr>
          <w:p>
            <w:pPr>
              <w:jc w:val="right"/>
              <w:spacing w:after="0"/>
              <w:rPr>
                <w:sz w:val="20"/>
                <w:szCs w:val="20"/>
                <w:color w:val="auto"/>
              </w:rPr>
            </w:pPr>
            <w:r>
              <w:rPr>
                <w:rFonts w:ascii="Arial" w:cs="Arial" w:eastAsia="Arial" w:hAnsi="Arial"/>
                <w:sz w:val="18"/>
                <w:szCs w:val="18"/>
                <w:color w:val="auto"/>
              </w:rPr>
              <w:t>47,540,925</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ii. Shared power to vote or to direct the vote:</w:t>
            </w:r>
          </w:p>
        </w:tc>
        <w:tc>
          <w:tcPr>
            <w:tcW w:w="2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iii. Sole power to dispose or to direct the disposition of:</w:t>
            </w:r>
          </w:p>
        </w:tc>
        <w:tc>
          <w:tcPr>
            <w:tcW w:w="2640" w:type="dxa"/>
            <w:vAlign w:val="bottom"/>
          </w:tcPr>
          <w:p>
            <w:pPr>
              <w:jc w:val="right"/>
              <w:spacing w:after="0"/>
              <w:rPr>
                <w:sz w:val="20"/>
                <w:szCs w:val="20"/>
                <w:color w:val="auto"/>
              </w:rPr>
            </w:pPr>
            <w:r>
              <w:rPr>
                <w:rFonts w:ascii="Arial" w:cs="Arial" w:eastAsia="Arial" w:hAnsi="Arial"/>
                <w:sz w:val="18"/>
                <w:szCs w:val="18"/>
                <w:color w:val="auto"/>
              </w:rPr>
              <w:t>47,540,925</w:t>
            </w:r>
          </w:p>
        </w:tc>
      </w:tr>
      <w:tr>
        <w:trPr>
          <w:trHeight w:val="230"/>
        </w:trPr>
        <w:tc>
          <w:tcPr>
            <w:tcW w:w="6340" w:type="dxa"/>
            <w:vAlign w:val="bottom"/>
          </w:tcPr>
          <w:p>
            <w:pPr>
              <w:ind w:left="340"/>
              <w:spacing w:after="0"/>
              <w:rPr>
                <w:sz w:val="20"/>
                <w:szCs w:val="20"/>
                <w:color w:val="auto"/>
              </w:rPr>
            </w:pPr>
            <w:r>
              <w:rPr>
                <w:rFonts w:ascii="Arial" w:cs="Arial" w:eastAsia="Arial" w:hAnsi="Arial"/>
                <w:sz w:val="18"/>
                <w:szCs w:val="18"/>
                <w:color w:val="auto"/>
              </w:rPr>
              <w:t>iv. Shared power to dispose or to direct the disposition of:</w:t>
            </w:r>
          </w:p>
        </w:tc>
        <w:tc>
          <w:tcPr>
            <w:tcW w:w="26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HoldCo does not beneficially own any Class A Shares and does not have sole or shared power to vote or to direct the vote or to dispose or to direct the disposition of any Class A Shares.</w:t>
      </w:r>
    </w:p>
    <w:p>
      <w:pPr>
        <w:spacing w:after="0" w:line="202"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The aggregate number and percentage of Class A Shares beneficially owned by Family LLC (on the basis of a total of 175,958,649 Class A Shares issued and outstanding as of March 15, 2021, as reported by the Issuer in its Form 10-K filed with the Securities and Exchange Commission on March 16,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Arial" w:cs="Arial" w:eastAsia="Arial" w:hAnsi="Arial"/>
          <w:sz w:val="22"/>
          <w:szCs w:val="22"/>
          <w:color w:val="auto"/>
        </w:rPr>
        <w:t>Amount beneficially owned: 25,086,851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Percentage:</w:t>
            </w:r>
          </w:p>
        </w:tc>
        <w:tc>
          <w:tcPr>
            <w:tcW w:w="26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640" w:type="dxa"/>
            <w:vAlign w:val="bottom"/>
          </w:tcPr>
          <w:p>
            <w:pPr>
              <w:spacing w:after="0"/>
              <w:rPr>
                <w:sz w:val="18"/>
                <w:szCs w:val="18"/>
                <w:color w:val="auto"/>
              </w:rPr>
            </w:pP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2640" w:type="dxa"/>
            <w:vAlign w:val="bottom"/>
          </w:tcPr>
          <w:p>
            <w:pPr>
              <w:jc w:val="right"/>
              <w:spacing w:after="0"/>
              <w:rPr>
                <w:sz w:val="20"/>
                <w:szCs w:val="20"/>
                <w:color w:val="auto"/>
              </w:rPr>
            </w:pPr>
            <w:r>
              <w:rPr>
                <w:rFonts w:ascii="Arial" w:cs="Arial" w:eastAsia="Arial" w:hAnsi="Arial"/>
                <w:sz w:val="18"/>
                <w:szCs w:val="18"/>
                <w:color w:val="auto"/>
              </w:rPr>
              <w:t>25,086,851</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ii. Shared power to vote or to direct the vote:</w:t>
            </w:r>
          </w:p>
        </w:tc>
        <w:tc>
          <w:tcPr>
            <w:tcW w:w="2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iii. Sole power to dispose or to direct the disposition of:</w:t>
            </w:r>
          </w:p>
        </w:tc>
        <w:tc>
          <w:tcPr>
            <w:tcW w:w="2640" w:type="dxa"/>
            <w:vAlign w:val="bottom"/>
          </w:tcPr>
          <w:p>
            <w:pPr>
              <w:jc w:val="right"/>
              <w:spacing w:after="0"/>
              <w:rPr>
                <w:sz w:val="20"/>
                <w:szCs w:val="20"/>
                <w:color w:val="auto"/>
              </w:rPr>
            </w:pPr>
            <w:r>
              <w:rPr>
                <w:rFonts w:ascii="Arial" w:cs="Arial" w:eastAsia="Arial" w:hAnsi="Arial"/>
                <w:sz w:val="18"/>
                <w:szCs w:val="18"/>
                <w:color w:val="auto"/>
              </w:rPr>
              <w:t>25,086,851</w:t>
            </w:r>
          </w:p>
        </w:tc>
      </w:tr>
      <w:tr>
        <w:trPr>
          <w:trHeight w:val="230"/>
        </w:trPr>
        <w:tc>
          <w:tcPr>
            <w:tcW w:w="6340" w:type="dxa"/>
            <w:vAlign w:val="bottom"/>
          </w:tcPr>
          <w:p>
            <w:pPr>
              <w:ind w:left="340"/>
              <w:spacing w:after="0"/>
              <w:rPr>
                <w:sz w:val="20"/>
                <w:szCs w:val="20"/>
                <w:color w:val="auto"/>
              </w:rPr>
            </w:pPr>
            <w:r>
              <w:rPr>
                <w:rFonts w:ascii="Arial" w:cs="Arial" w:eastAsia="Arial" w:hAnsi="Arial"/>
                <w:sz w:val="18"/>
                <w:szCs w:val="18"/>
                <w:color w:val="auto"/>
              </w:rPr>
              <w:t>iv. Shared power to dispose or to direct the disposition of:</w:t>
            </w:r>
          </w:p>
        </w:tc>
        <w:tc>
          <w:tcPr>
            <w:tcW w:w="26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2" w:lineRule="exact"/>
        <w:rPr>
          <w:sz w:val="20"/>
          <w:szCs w:val="20"/>
          <w:color w:val="auto"/>
        </w:rPr>
      </w:pPr>
    </w:p>
    <w:p>
      <w:pPr>
        <w:ind w:firstLine="656"/>
        <w:spacing w:after="0" w:line="274" w:lineRule="auto"/>
        <w:tabs>
          <w:tab w:leader="none" w:pos="142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information contained in Item 3 above is incorporated herein by reference. Except as described therein, none of the Reporting Persons has effected any transactions in the Class A Shares during the past 60 days.</w:t>
      </w:r>
    </w:p>
    <w:p>
      <w:pPr>
        <w:spacing w:after="0" w:line="177" w:lineRule="exact"/>
        <w:rPr>
          <w:rFonts w:ascii="Arial" w:cs="Arial" w:eastAsia="Arial" w:hAnsi="Arial"/>
          <w:sz w:val="21"/>
          <w:szCs w:val="21"/>
          <w:color w:val="auto"/>
        </w:rPr>
      </w:pPr>
    </w:p>
    <w:p>
      <w:pPr>
        <w:ind w:right="40" w:firstLine="656"/>
        <w:spacing w:after="0" w:line="236" w:lineRule="auto"/>
        <w:tabs>
          <w:tab w:leader="none" w:pos="1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Mr. Edens holds certain Class A Shares through WRE 2012 Trust LLC, an entity controlled by Mr. Edens, but has the sole right to receive or direct the receipt of dividends on and the proceeds from the sale of the Class A Shares reported on the cover page of this Schedule 13D and in this Item 5. No other person is known by the Reporting Persons to have the right to receive or the power to direct the receipt of dividends on or the proceeds from the sale of the Class A Shares beneficially owned by the Reporting Persons.</w:t>
      </w:r>
    </w:p>
    <w:p>
      <w:pPr>
        <w:spacing w:after="0" w:line="214" w:lineRule="exact"/>
        <w:rPr>
          <w:rFonts w:ascii="Arial" w:cs="Arial" w:eastAsia="Arial" w:hAnsi="Arial"/>
          <w:sz w:val="22"/>
          <w:szCs w:val="22"/>
          <w:color w:val="auto"/>
        </w:rPr>
      </w:pPr>
    </w:p>
    <w:p>
      <w:pPr>
        <w:ind w:left="1440" w:hanging="784"/>
        <w:spacing w:after="0"/>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On December 24, 2020, HoldCo ceased to be the beneficial owner of more than five percent of the outstanding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Class A Shares.</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tabs>
          <w:tab w:leader="none" w:pos="960" w:val="left"/>
        </w:tabs>
        <w:rPr>
          <w:rFonts w:ascii="Arial" w:cs="Arial" w:eastAsia="Arial" w:hAnsi="Arial"/>
          <w:sz w:val="18"/>
          <w:szCs w:val="18"/>
          <w:color w:val="0000EE"/>
        </w:rPr>
      </w:pPr>
      <w:hyperlink w:anchor="page9">
        <w:r>
          <w:rPr>
            <w:rFonts w:ascii="Arial" w:cs="Arial" w:eastAsia="Arial" w:hAnsi="Arial"/>
            <w:sz w:val="18"/>
            <w:szCs w:val="18"/>
            <w:u w:val="single" w:color="auto"/>
            <w:color w:val="0000EE"/>
          </w:rPr>
          <w:t>Exhibit A</w:t>
        </w:r>
      </w:hyperlink>
      <w:r>
        <w:rPr>
          <w:rFonts w:ascii="Arial" w:cs="Arial" w:eastAsia="Arial" w:hAnsi="Arial"/>
          <w:sz w:val="18"/>
          <w:szCs w:val="18"/>
          <w:color w:val="0000EE"/>
        </w:rPr>
        <w:tab/>
      </w:r>
      <w:r>
        <w:rPr>
          <w:rFonts w:ascii="Arial" w:cs="Arial" w:eastAsia="Arial" w:hAnsi="Arial"/>
          <w:sz w:val="16"/>
          <w:szCs w:val="16"/>
          <w:color w:val="0000EE"/>
        </w:rPr>
        <w:t>Joint Filing Agreement by and among Wesley R. Edens, FEP HoldCo LLC and Edens Family Holdings LLC, dated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March 18, 2021</w:t>
      </w:r>
    </w:p>
    <w:p>
      <w:pPr>
        <w:spacing w:after="0" w:line="240"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45"/>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FEP HoldCo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 Wesley R. Edens</w:t>
            </w:r>
          </w:p>
        </w:tc>
      </w:tr>
    </w:tbl>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Board of Managers</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A. Nardone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Board of Managers</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Edens Family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Wesley R. Edens</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60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3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JOINT FILING AGREEMENT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PURSUANT TO RULE 13d-1(k)</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Rule 13d-1(k), the undersigned acknowledge and agree that only one statement on Schedule 13D, constituting</w:t>
      </w:r>
    </w:p>
    <w:p>
      <w:pPr>
        <w:spacing w:after="0" w:line="43" w:lineRule="exact"/>
        <w:rPr>
          <w:sz w:val="20"/>
          <w:szCs w:val="20"/>
          <w:color w:val="auto"/>
        </w:rPr>
      </w:pPr>
    </w:p>
    <w:p>
      <w:pPr>
        <w:ind w:right="60" w:firstLine="8"/>
        <w:spacing w:after="0" w:line="270" w:lineRule="auto"/>
        <w:tabs>
          <w:tab w:leader="none" w:pos="258" w:val="left"/>
        </w:tabs>
        <w:numPr>
          <w:ilvl w:val="0"/>
          <w:numId w:val="6"/>
        </w:numPr>
        <w:rPr>
          <w:rFonts w:ascii="Arial" w:cs="Arial" w:eastAsia="Arial" w:hAnsi="Arial"/>
          <w:sz w:val="19"/>
          <w:szCs w:val="19"/>
          <w:color w:val="auto"/>
        </w:rPr>
      </w:pPr>
      <w:r>
        <w:rPr>
          <w:rFonts w:ascii="Arial" w:cs="Arial" w:eastAsia="Arial" w:hAnsi="Arial"/>
          <w:sz w:val="19"/>
          <w:szCs w:val="19"/>
          <w:color w:val="auto"/>
        </w:rPr>
        <w:t>Amendment No. 1 to the Schedule 13D filed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on June 11, 2020 by FEP HoldCo LLC with respect to the Class A common shares (“</w:t>
      </w:r>
      <w:r>
        <w:rPr>
          <w:rFonts w:ascii="Arial" w:cs="Arial" w:eastAsia="Arial" w:hAnsi="Arial"/>
          <w:sz w:val="19"/>
          <w:szCs w:val="19"/>
          <w:i w:val="1"/>
          <w:iCs w:val="1"/>
          <w:color w:val="auto"/>
        </w:rPr>
        <w:t>Class A Shares</w:t>
      </w:r>
      <w:r>
        <w:rPr>
          <w:rFonts w:ascii="Arial" w:cs="Arial" w:eastAsia="Arial" w:hAnsi="Arial"/>
          <w:sz w:val="19"/>
          <w:szCs w:val="19"/>
          <w:color w:val="auto"/>
        </w:rPr>
        <w:t>”) of New Fortress Energy Inc., a Delaware corporation, (ii) Amendment No. 3 to the Schedule 13D filed with the SEC on February 4, 2019 (the “</w:t>
      </w:r>
      <w:r>
        <w:rPr>
          <w:rFonts w:ascii="Arial" w:cs="Arial" w:eastAsia="Arial" w:hAnsi="Arial"/>
          <w:sz w:val="19"/>
          <w:szCs w:val="19"/>
          <w:i w:val="1"/>
          <w:iCs w:val="1"/>
          <w:color w:val="auto"/>
        </w:rPr>
        <w:t>Original Schedule 13D</w:t>
      </w:r>
      <w:r>
        <w:rPr>
          <w:rFonts w:ascii="Arial" w:cs="Arial" w:eastAsia="Arial" w:hAnsi="Arial"/>
          <w:sz w:val="19"/>
          <w:szCs w:val="19"/>
          <w:color w:val="auto"/>
        </w:rPr>
        <w:t>”), as amended by Amendment No. 1 filed with the SEC on March 28, 2019 and by Amendment No. 2 filed with the SEC on June 11, 2020 (the Original Schedule 13D, as previously amended and as further amended and supplemented by this Amendment, the “</w:t>
      </w:r>
      <w:r>
        <w:rPr>
          <w:rFonts w:ascii="Arial" w:cs="Arial" w:eastAsia="Arial" w:hAnsi="Arial"/>
          <w:sz w:val="19"/>
          <w:szCs w:val="19"/>
          <w:i w:val="1"/>
          <w:iCs w:val="1"/>
          <w:color w:val="auto"/>
        </w:rPr>
        <w:t>Schedule 13D</w:t>
      </w:r>
      <w:r>
        <w:rPr>
          <w:rFonts w:ascii="Arial" w:cs="Arial" w:eastAsia="Arial" w:hAnsi="Arial"/>
          <w:sz w:val="19"/>
          <w:szCs w:val="19"/>
          <w:color w:val="auto"/>
        </w:rPr>
        <w:t>”) by Wesley R. Edens and (iii) the initial Schedule 13D filing by Edens Family Holdings LLC, a Delaware limited liability company, with respect to the Class A Shares, and any further amendments thereto, need be filed with respect to each of the undersigned’s beneficial ownership of Class A Shares,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Dated: March 18, 2021</w:t>
      </w:r>
    </w:p>
    <w:p>
      <w:pPr>
        <w:spacing w:after="0" w:line="240"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45"/>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FEP HoldCo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 Wesley R. Edens</w:t>
            </w:r>
          </w:p>
        </w:tc>
      </w:tr>
    </w:tbl>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Board of Managers</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A. Nardone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 Board of Managers</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Edens Family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Wesley R. Edens</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60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2021-03-18T16:00:18Z</dcterms:created>
  <dcterms:modified xsi:type="dcterms:W3CDTF">2021-03-18T16:00:18Z</dcterms:modified>
</cp:coreProperties>
</file>