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12, 2021</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2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100" w:type="dxa"/>
            <w:vAlign w:val="bottom"/>
            <w:gridSpan w:val="2"/>
            <w:vMerge w:val="restart"/>
          </w:tcPr>
          <w:p>
            <w:pPr>
              <w:jc w:val="center"/>
              <w:ind w:right="940"/>
              <w:spacing w:after="0"/>
              <w:rPr>
                <w:sz w:val="20"/>
                <w:szCs w:val="20"/>
                <w:color w:val="auto"/>
              </w:rPr>
            </w:pPr>
            <w:r>
              <w:rPr>
                <w:rFonts w:ascii="Arial" w:cs="Arial" w:eastAsia="Arial" w:hAnsi="Arial"/>
                <w:sz w:val="18"/>
                <w:szCs w:val="18"/>
                <w:b w:val="1"/>
                <w:bCs w:val="1"/>
                <w:color w:val="auto"/>
                <w:w w:val="91"/>
              </w:rPr>
              <w:t>Trading Symbol(s)</w:t>
            </w:r>
          </w:p>
        </w:tc>
        <w:tc>
          <w:tcPr>
            <w:tcW w:w="3620" w:type="dxa"/>
            <w:vAlign w:val="bottom"/>
          </w:tcPr>
          <w:p>
            <w:pPr>
              <w:ind w:left="720"/>
              <w:spacing w:after="0" w:line="198" w:lineRule="exact"/>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26"/>
        </w:trPr>
        <w:tc>
          <w:tcPr>
            <w:tcW w:w="4520" w:type="dxa"/>
            <w:vAlign w:val="bottom"/>
            <w:gridSpan w:val="3"/>
            <w:vMerge w:val="continue"/>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3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registered</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Class A Common Stock, par value $0.01 per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80" w:type="dxa"/>
            <w:vAlign w:val="bottom"/>
          </w:tcPr>
          <w:p>
            <w:pPr>
              <w:jc w:val="center"/>
              <w:ind w:right="630"/>
              <w:spacing w:after="0" w:line="198" w:lineRule="exact"/>
              <w:rPr>
                <w:sz w:val="20"/>
                <w:szCs w:val="20"/>
                <w:color w:val="auto"/>
              </w:rPr>
            </w:pPr>
            <w:r>
              <w:rPr>
                <w:rFonts w:ascii="Arial" w:cs="Arial" w:eastAsia="Arial" w:hAnsi="Arial"/>
                <w:sz w:val="18"/>
                <w:szCs w:val="18"/>
                <w:b w:val="1"/>
                <w:bCs w:val="1"/>
                <w:color w:val="auto"/>
                <w:w w:val="99"/>
              </w:rPr>
              <w:t>NFE</w:t>
            </w:r>
          </w:p>
        </w:tc>
        <w:tc>
          <w:tcPr>
            <w:tcW w:w="220" w:type="dxa"/>
            <w:vAlign w:val="bottom"/>
          </w:tcPr>
          <w:p>
            <w:pPr>
              <w:spacing w:after="0"/>
              <w:rPr>
                <w:sz w:val="17"/>
                <w:szCs w:val="17"/>
                <w:color w:val="auto"/>
              </w:rPr>
            </w:pPr>
          </w:p>
        </w:tc>
        <w:tc>
          <w:tcPr>
            <w:tcW w:w="36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share</w:t>
            </w: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883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68834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12, 2021 (the “Issue Date”), New Fortress Energy Inc. (the “Company”) closed its previously announced private offering of $1,500,000,000 aggregate principal amount of 6.500% senior secured notes due 2026 (the “Notes”). The Notes were issued pursuant to an indenture, dated as of April 12, 2021 (the “Indenture”), by and among the Company, the subsidiary guarantors party thereto and U.S. Bank National Association, as trustee and as notes collateral agent.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the Issue Date, the Notes will be guaranteed, jointly and severally, subject to certain exceptions and thresholds, by each domestic subsidiary and foreign subsidiary that is a wholly-owned restricted subsidiary of the Company, other than (as defined in the Indenture) (i) any Qualified Liquefaction Development Entities, (ii) any Receivables Subsidiaries, (iii) any Immaterial Subsidiaries, (iv) any Captive Insurance Subsidiaries, (v) any not-for-profit or special purpose Subsidiaries and (vi) any Subsidiary with respect to which a guarantee would result in material adverse tax consequences, as reasonably determined by the Company (the “guarantors”). The Notes and the guarantees thereof will be senior secured obligations of the Company and the guarantors, secured on a first-priority basis by liens on the Collateral (as defined in the Indenture), subject to permitted liens and certain other exceptions.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Notes will bear interest at a rate of 6.500% per annum, payable semi-annually in arrears on March 31 and September 30 of each year, commencing on September 30, 2021, to persons who are registered holders of the Notes on the immediately preceding March 15 and September 15, respectively.</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limits the ability of the Company and its restricted subsidiaries to, among other things, incur additional indebtedness or issue certain preferred shares, incur liens that secure indebtedness, make restricted payments, create dividend restrictions and other payment restrictions that affect the Company’s restricted subsidiaries, sell or transfer certain assets, engage in certain transactions with affiliates and merge or consolidate or transfer all or substantially all of the Company’s assets, in each case subject to certain exceptions and qualifications set forth in the Indenture.</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event of a Change of Control (as defined in the Indenture), each holder of the Notes will have the right to require the Company to repurchase all or any part of that holder’s Notes at a purchase price equal to 101% of the principal amount of the Notes repurchased thereof, plus accrued and unpaid interest thereon, if any, to, but excluding, the date of such repurchase.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Notes will mature on September 30, 2026. Prior to March 31, 2023, the Company may redeem some or all of the Notes at a redemption price equal to 100% of the principal amount of the Notes to be redeemed, plus accrued and unpaid interest, if any, to, but excluding, the applicable redemption date, plus a “make-whole” premium, as described in the Indenture. On or after March 31, 2023, the Company may redeem some or all of the Notes at the applicable redemption prices set forth in the Indenture, plus accrued and unpaid interest, if any, to, but excluding, the applicable redemption date. In addition, prior to March 31, 2023, the Company may redeem up to 40.0% of the aggregate principal amount of the Notes at a redemption price equal to 106.500% of the principal amount thereof, in an aggregate amount equal to or less than the amount of net cash proceeds from certain equity offerings, plus accrued and unpaid interest, if any, to, but excluding, the applicable redemption date.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security interest of the secured parties under the Notes in the collateral will rank pari passu with the security interest of the holders of the Company’s existing 6.750% Senior Secured Notes due 2025 in the collateral, and an equal priority intercreditor agreement will govern the treatment of such equal priority collateral.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Indenture, the Notes and the related pledge and security agreement (the “Pledge and Security Agreement”) does not purport to be complete and is subject to, and qualified in its entirety by reference to, the full text of the Indenture and the Pledge and Security Agreement, copies of which are attached hereto as Exhibit 4.1 and Exhibit 4.2 respectively, and incorporated herein by reference.</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Notes and the guarantees thereof have not been registered under the Securities Act of 1933, as amended, or any state securities laws, and, unless so registered, may not be offered or sold in the United States absent registration or an applicable exemption from registration requirements.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disclosed, the Company intends to use the net proceeds from the sale of the Notes to fund the cash consideration for its previously announced acquisition of Golar LNG Partners L.P. and pay related fees and expenses. The Company intends to use any remaining proceeds from this offering for general corporate purposes, including making investments in developing projects.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will be subject to a special mandatory redemption. If the acquisition is not consummated on or prior to October 13, 2021, the Notes will be redeemed at a price equal to 100% of the aggregate principal amount of the Notes, plus accrued and unpaid interest on the principal amount of the Notes to, but not including, the special mandatory redemption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740" w:type="dxa"/>
            <w:vAlign w:val="bottom"/>
          </w:tcPr>
          <w:p>
            <w:pPr>
              <w:spacing w:after="0"/>
              <w:rPr>
                <w:sz w:val="20"/>
                <w:szCs w:val="20"/>
                <w:color w:val="auto"/>
              </w:rPr>
            </w:pP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4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500" w:type="dxa"/>
            <w:vAlign w:val="bottom"/>
            <w:gridSpan w:val="2"/>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740" w:type="dxa"/>
            <w:vAlign w:val="bottom"/>
          </w:tcPr>
          <w:p>
            <w:pPr>
              <w:ind w:left="200"/>
              <w:spacing w:after="0" w:line="190" w:lineRule="exact"/>
              <w:rPr>
                <w:sz w:val="20"/>
                <w:szCs w:val="20"/>
                <w:color w:val="auto"/>
              </w:rPr>
            </w:pPr>
            <w:r>
              <w:rPr>
                <w:rFonts w:ascii="Arial" w:cs="Arial" w:eastAsia="Arial" w:hAnsi="Arial"/>
                <w:sz w:val="18"/>
                <w:szCs w:val="18"/>
                <w:color w:val="auto"/>
                <w:w w:val="90"/>
              </w:rPr>
              <w:t>Indenture, dated April 12, 2021, by and among New Fortress Energy, Inc., the subsidiary guarantors from time to time party thereto,</w:t>
            </w:r>
          </w:p>
        </w:tc>
      </w:tr>
      <w:tr>
        <w:trPr>
          <w:trHeight w:val="222"/>
        </w:trPr>
        <w:tc>
          <w:tcPr>
            <w:tcW w:w="240" w:type="dxa"/>
            <w:vAlign w:val="bottom"/>
            <w:tcBorders>
              <w:top w:val="single" w:sz="8" w:color="0000EE"/>
            </w:tcBorders>
          </w:tcPr>
          <w:p>
            <w:pPr>
              <w:spacing w:after="0"/>
              <w:rPr>
                <w:sz w:val="19"/>
                <w:szCs w:val="19"/>
                <w:color w:val="auto"/>
              </w:rPr>
            </w:pPr>
          </w:p>
        </w:tc>
        <w:tc>
          <w:tcPr>
            <w:tcW w:w="126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and U.S. Bank National Association, as trustee and as notes collateral agent.</w:t>
            </w:r>
          </w:p>
        </w:tc>
      </w:tr>
      <w:tr>
        <w:trPr>
          <w:trHeight w:val="190"/>
        </w:trPr>
        <w:tc>
          <w:tcPr>
            <w:tcW w:w="1500" w:type="dxa"/>
            <w:vAlign w:val="bottom"/>
            <w:gridSpan w:val="2"/>
          </w:tcPr>
          <w:p>
            <w:pPr>
              <w:spacing w:after="0" w:line="190" w:lineRule="exact"/>
              <w:rPr>
                <w:rFonts w:ascii="Arial" w:cs="Arial" w:eastAsia="Arial" w:hAnsi="Arial"/>
                <w:sz w:val="18"/>
                <w:szCs w:val="18"/>
                <w:color w:val="0000EE"/>
              </w:rPr>
            </w:pPr>
            <w:hyperlink w:anchor="page23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9740" w:type="dxa"/>
            <w:vAlign w:val="bottom"/>
          </w:tcPr>
          <w:p>
            <w:pPr>
              <w:ind w:left="200"/>
              <w:spacing w:after="0" w:line="190" w:lineRule="exact"/>
              <w:rPr>
                <w:sz w:val="20"/>
                <w:szCs w:val="20"/>
                <w:color w:val="auto"/>
              </w:rPr>
            </w:pPr>
            <w:r>
              <w:rPr>
                <w:rFonts w:ascii="Arial" w:cs="Arial" w:eastAsia="Arial" w:hAnsi="Arial"/>
                <w:sz w:val="18"/>
                <w:szCs w:val="18"/>
                <w:color w:val="auto"/>
                <w:w w:val="93"/>
              </w:rPr>
              <w:t>Pledge and Security Agreement, dated April 12, 2021, by and among New Fortress Energy Inc., the subsidiary guarantors, from</w:t>
            </w:r>
          </w:p>
        </w:tc>
      </w:tr>
      <w:tr>
        <w:trPr>
          <w:trHeight w:val="222"/>
        </w:trPr>
        <w:tc>
          <w:tcPr>
            <w:tcW w:w="240" w:type="dxa"/>
            <w:vAlign w:val="bottom"/>
            <w:tcBorders>
              <w:top w:val="single" w:sz="8" w:color="0000EE"/>
            </w:tcBorders>
          </w:tcPr>
          <w:p>
            <w:pPr>
              <w:spacing w:after="0"/>
              <w:rPr>
                <w:sz w:val="19"/>
                <w:szCs w:val="19"/>
                <w:color w:val="auto"/>
              </w:rPr>
            </w:pPr>
          </w:p>
        </w:tc>
        <w:tc>
          <w:tcPr>
            <w:tcW w:w="126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time to time party thereto, and U.S. Bank National Association, as notes collateral agent.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104</w:t>
            </w:r>
          </w:p>
        </w:tc>
        <w:tc>
          <w:tcPr>
            <w:tcW w:w="9740" w:type="dxa"/>
            <w:vAlign w:val="bottom"/>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63"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communication contains forward-looking statements, including but not limited to statements regarding the Company’s anticipated use of the net proceeds from the offering.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0" w:right="14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FORTRESS ENERGY INC.</w:t>
            </w:r>
          </w:p>
        </w:tc>
      </w:tr>
      <w:tr>
        <w:trPr>
          <w:trHeight w:val="251"/>
        </w:trPr>
        <w:tc>
          <w:tcPr>
            <w:tcW w:w="3540" w:type="dxa"/>
            <w:vAlign w:val="bottom"/>
          </w:tcPr>
          <w:p>
            <w:pPr>
              <w:spacing w:after="0"/>
              <w:rPr>
                <w:sz w:val="20"/>
                <w:szCs w:val="20"/>
                <w:color w:val="auto"/>
              </w:rPr>
            </w:pPr>
            <w:r>
              <w:rPr>
                <w:rFonts w:ascii="Arial" w:cs="Arial" w:eastAsia="Arial" w:hAnsi="Arial"/>
                <w:sz w:val="18"/>
                <w:szCs w:val="18"/>
                <w:color w:val="auto"/>
              </w:rPr>
              <w:t>Date: April 12, 2021</w:t>
            </w:r>
          </w:p>
        </w:tc>
        <w:tc>
          <w:tcPr>
            <w:tcW w:w="7700" w:type="dxa"/>
            <w:vAlign w:val="bottom"/>
            <w:gridSpan w:val="2"/>
          </w:tcPr>
          <w:p>
            <w:pPr>
              <w:ind w:left="2060"/>
              <w:spacing w:after="0"/>
              <w:rPr>
                <w:sz w:val="20"/>
                <w:szCs w:val="20"/>
                <w:color w:val="auto"/>
              </w:rPr>
            </w:pPr>
            <w:r>
              <w:rPr>
                <w:rFonts w:ascii="Arial" w:cs="Arial" w:eastAsia="Arial" w:hAnsi="Arial"/>
                <w:sz w:val="18"/>
                <w:szCs w:val="18"/>
                <w:color w:val="auto"/>
              </w:rPr>
              <w:t>By:   /s/ Christopher S. Guinta</w:t>
            </w:r>
          </w:p>
        </w:tc>
      </w:tr>
      <w:tr>
        <w:trPr>
          <w:trHeight w:val="202"/>
        </w:trPr>
        <w:tc>
          <w:tcPr>
            <w:tcW w:w="3540" w:type="dxa"/>
            <w:vAlign w:val="bottom"/>
          </w:tcPr>
          <w:p>
            <w:pPr>
              <w:spacing w:after="0"/>
              <w:rPr>
                <w:sz w:val="17"/>
                <w:szCs w:val="17"/>
                <w:color w:val="auto"/>
              </w:rPr>
            </w:pPr>
          </w:p>
        </w:tc>
        <w:tc>
          <w:tcPr>
            <w:tcW w:w="2540" w:type="dxa"/>
            <w:vAlign w:val="bottom"/>
          </w:tcPr>
          <w:p>
            <w:pPr>
              <w:ind w:left="2060"/>
              <w:spacing w:after="0" w:line="201" w:lineRule="exact"/>
              <w:rPr>
                <w:sz w:val="20"/>
                <w:szCs w:val="20"/>
                <w:color w:val="auto"/>
              </w:rPr>
            </w:pPr>
            <w:r>
              <w:rPr>
                <w:rFonts w:ascii="Arial" w:cs="Arial" w:eastAsia="Arial" w:hAnsi="Arial"/>
                <w:sz w:val="18"/>
                <w:szCs w:val="18"/>
                <w:color w:val="auto"/>
                <w:w w:val="86"/>
              </w:rPr>
              <w:t>Name:</w:t>
            </w:r>
          </w:p>
        </w:tc>
        <w:tc>
          <w:tcPr>
            <w:tcW w:w="5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Arial" w:cs="Arial" w:eastAsia="Arial" w:hAnsi="Arial"/>
                <w:sz w:val="18"/>
                <w:szCs w:val="18"/>
                <w:color w:val="auto"/>
              </w:rPr>
              <w:t>Title: 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INDENTURE</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April 12</w:t>
      </w:r>
      <w:r>
        <w:rPr>
          <w:rFonts w:ascii="Arial" w:cs="Arial" w:eastAsia="Arial" w:hAnsi="Arial"/>
          <w:sz w:val="18"/>
          <w:szCs w:val="18"/>
          <w:color w:val="auto"/>
        </w:rPr>
        <w:t>,</w:t>
      </w:r>
      <w:r>
        <w:rPr>
          <w:rFonts w:ascii="Arial" w:cs="Arial" w:eastAsia="Arial" w:hAnsi="Arial"/>
          <w:sz w:val="18"/>
          <w:szCs w:val="18"/>
          <w:b w:val="1"/>
          <w:bCs w:val="1"/>
          <w:color w:val="auto"/>
        </w:rPr>
        <w:t xml:space="preserve"> 2021</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Among</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NEW FORTRESS ENERGY INC.</w:t>
      </w:r>
      <w:r>
        <w:rPr>
          <w:rFonts w:ascii="Arial" w:cs="Arial" w:eastAsia="Arial" w:hAnsi="Arial"/>
          <w:sz w:val="18"/>
          <w:szCs w:val="18"/>
          <w:color w:val="auto"/>
        </w:rPr>
        <w:t>,</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Issuer</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GUARANTORS FROM TIME TO TIME PARTIES HERETO</w:t>
      </w:r>
      <w:r>
        <w:rPr>
          <w:rFonts w:ascii="Arial" w:cs="Arial" w:eastAsia="Arial" w:hAnsi="Arial"/>
          <w:sz w:val="18"/>
          <w:szCs w:val="18"/>
          <w:color w:val="auto"/>
        </w:rPr>
        <w:t>,</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Trustee and Notes Collateral Agent</w:t>
      </w:r>
    </w:p>
    <w:p>
      <w:pPr>
        <w:spacing w:after="0" w:line="233"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6.500% SENIOR SECURED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1</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380" w:type="dxa"/>
            <w:vAlign w:val="bottom"/>
          </w:tcPr>
          <w:p>
            <w:pPr>
              <w:jc w:val="center"/>
              <w:ind w:left="750"/>
              <w:spacing w:after="0"/>
              <w:rPr>
                <w:sz w:val="20"/>
                <w:szCs w:val="20"/>
                <w:color w:val="auto"/>
              </w:rPr>
            </w:pPr>
            <w:r>
              <w:rPr>
                <w:rFonts w:ascii="Arial" w:cs="Arial" w:eastAsia="Arial" w:hAnsi="Arial"/>
                <w:sz w:val="18"/>
                <w:szCs w:val="18"/>
                <w:color w:val="auto"/>
                <w:w w:val="96"/>
              </w:rPr>
              <w:t>DEFINITIONS AND INCORPORATION BY REFERENCE</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1.01</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1.02</w:t>
            </w:r>
          </w:p>
        </w:tc>
        <w:tc>
          <w:tcPr>
            <w:tcW w:w="838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1.03   No Incorporation by Reference of Trust Indenture Act.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1.04   Rules of Construction.</w:t>
            </w: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1.05   Limited Condition Transactions.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1.06   Certain Compliance Determinations.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1.07   Acts of Holders.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380" w:type="dxa"/>
            <w:vAlign w:val="bottom"/>
          </w:tcPr>
          <w:p>
            <w:pPr>
              <w:jc w:val="center"/>
              <w:ind w:left="690"/>
              <w:spacing w:after="0"/>
              <w:rPr>
                <w:sz w:val="20"/>
                <w:szCs w:val="20"/>
                <w:color w:val="auto"/>
              </w:rPr>
            </w:pPr>
            <w:r>
              <w:rPr>
                <w:rFonts w:ascii="Arial" w:cs="Arial" w:eastAsia="Arial" w:hAnsi="Arial"/>
                <w:sz w:val="18"/>
                <w:szCs w:val="18"/>
                <w:color w:val="auto"/>
                <w:w w:val="96"/>
              </w:rPr>
              <w:t>ARTICLE 2</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380" w:type="dxa"/>
            <w:vAlign w:val="bottom"/>
          </w:tcPr>
          <w:p>
            <w:pPr>
              <w:ind w:left="4100"/>
              <w:spacing w:after="0"/>
              <w:rPr>
                <w:sz w:val="20"/>
                <w:szCs w:val="20"/>
                <w:color w:val="auto"/>
              </w:rPr>
            </w:pPr>
            <w:r>
              <w:rPr>
                <w:rFonts w:ascii="Arial" w:cs="Arial" w:eastAsia="Arial" w:hAnsi="Arial"/>
                <w:sz w:val="18"/>
                <w:szCs w:val="18"/>
                <w:color w:val="auto"/>
              </w:rPr>
              <w:t>THE NOTES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2.01   Form and Dating; Terms.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2.03   Registrar and Paying Agent.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2.04   Paying Agent to Hold Money in Trust.</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2.05</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Holder Lists.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2.06   Transfer and Exchange.</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2.07</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Replacement Notes.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2.08</w:t>
            </w:r>
          </w:p>
        </w:tc>
        <w:tc>
          <w:tcPr>
            <w:tcW w:w="8380" w:type="dxa"/>
            <w:vAlign w:val="bottom"/>
          </w:tcPr>
          <w:p>
            <w:pPr>
              <w:ind w:left="120"/>
              <w:spacing w:after="0"/>
              <w:rPr>
                <w:sz w:val="20"/>
                <w:szCs w:val="20"/>
                <w:color w:val="auto"/>
              </w:rPr>
            </w:pPr>
            <w:r>
              <w:rPr>
                <w:rFonts w:ascii="Arial" w:cs="Arial" w:eastAsia="Arial" w:hAnsi="Arial"/>
                <w:sz w:val="18"/>
                <w:szCs w:val="18"/>
                <w:color w:val="auto"/>
              </w:rPr>
              <w:t>Outstanding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2.09</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Notes.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2.10</w:t>
            </w:r>
          </w:p>
        </w:tc>
        <w:tc>
          <w:tcPr>
            <w:tcW w:w="8380" w:type="dxa"/>
            <w:vAlign w:val="bottom"/>
          </w:tcPr>
          <w:p>
            <w:pPr>
              <w:ind w:left="120"/>
              <w:spacing w:after="0"/>
              <w:rPr>
                <w:sz w:val="20"/>
                <w:szCs w:val="20"/>
                <w:color w:val="auto"/>
              </w:rPr>
            </w:pPr>
            <w:r>
              <w:rPr>
                <w:rFonts w:ascii="Arial" w:cs="Arial" w:eastAsia="Arial" w:hAnsi="Arial"/>
                <w:sz w:val="18"/>
                <w:szCs w:val="18"/>
                <w:color w:val="auto"/>
              </w:rPr>
              <w:t>Temporary Notes.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2.11</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Cancellation.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2.12</w:t>
            </w:r>
          </w:p>
        </w:tc>
        <w:tc>
          <w:tcPr>
            <w:tcW w:w="8380" w:type="dxa"/>
            <w:vAlign w:val="bottom"/>
          </w:tcPr>
          <w:p>
            <w:pPr>
              <w:ind w:left="120"/>
              <w:spacing w:after="0"/>
              <w:rPr>
                <w:sz w:val="20"/>
                <w:szCs w:val="20"/>
                <w:color w:val="auto"/>
              </w:rPr>
            </w:pPr>
            <w:r>
              <w:rPr>
                <w:rFonts w:ascii="Arial" w:cs="Arial" w:eastAsia="Arial" w:hAnsi="Arial"/>
                <w:sz w:val="18"/>
                <w:szCs w:val="18"/>
                <w:color w:val="auto"/>
              </w:rPr>
              <w:t>Defaulted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2.13</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CUSIP Numbers.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380" w:type="dxa"/>
            <w:vAlign w:val="bottom"/>
          </w:tcPr>
          <w:p>
            <w:pPr>
              <w:jc w:val="center"/>
              <w:ind w:left="690"/>
              <w:spacing w:after="0"/>
              <w:rPr>
                <w:sz w:val="20"/>
                <w:szCs w:val="20"/>
                <w:color w:val="auto"/>
              </w:rPr>
            </w:pPr>
            <w:r>
              <w:rPr>
                <w:rFonts w:ascii="Arial" w:cs="Arial" w:eastAsia="Arial" w:hAnsi="Arial"/>
                <w:sz w:val="18"/>
                <w:szCs w:val="18"/>
                <w:color w:val="auto"/>
                <w:w w:val="96"/>
              </w:rPr>
              <w:t>ARTICLE 3</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REDEMPTION</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3.01   Notices to Trustee.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3.02   Selection of Notes to be Redeemed or Purchased.</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3.03   Notice of Redemption.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 or Purchase.</w:t>
            </w:r>
          </w:p>
        </w:tc>
        <w:tc>
          <w:tcPr>
            <w:tcW w:w="18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3.05   Deposit of Redemption or Purchase Price.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3.06   Notes Redeemed or Purchased in Part.</w:t>
            </w: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3.07</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Optional Redemption.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3.08</w:t>
            </w:r>
          </w:p>
        </w:tc>
        <w:tc>
          <w:tcPr>
            <w:tcW w:w="8380" w:type="dxa"/>
            <w:vAlign w:val="bottom"/>
          </w:tcPr>
          <w:p>
            <w:pPr>
              <w:ind w:left="120"/>
              <w:spacing w:after="0"/>
              <w:rPr>
                <w:sz w:val="20"/>
                <w:szCs w:val="20"/>
                <w:color w:val="auto"/>
              </w:rPr>
            </w:pPr>
            <w:r>
              <w:rPr>
                <w:rFonts w:ascii="Arial" w:cs="Arial" w:eastAsia="Arial" w:hAnsi="Arial"/>
                <w:sz w:val="18"/>
                <w:szCs w:val="18"/>
                <w:color w:val="auto"/>
              </w:rPr>
              <w:t>Mandatory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3.09   Offers to Repurchase by Application of Excess Proceeds.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Section 3.10   Special Mandatory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8560" w:type="dxa"/>
            <w:vAlign w:val="bottom"/>
          </w:tcPr>
          <w:p>
            <w:pPr>
              <w:jc w:val="center"/>
              <w:ind w:left="550"/>
              <w:spacing w:after="0"/>
              <w:rPr>
                <w:sz w:val="20"/>
                <w:szCs w:val="20"/>
                <w:color w:val="auto"/>
              </w:rPr>
            </w:pPr>
            <w:r>
              <w:rPr>
                <w:rFonts w:ascii="Arial" w:cs="Arial" w:eastAsia="Arial" w:hAnsi="Arial"/>
                <w:sz w:val="18"/>
                <w:szCs w:val="18"/>
                <w:color w:val="auto"/>
                <w:w w:val="96"/>
              </w:rPr>
              <w:t>ARTICLE 4</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560" w:type="dxa"/>
            <w:vAlign w:val="bottom"/>
          </w:tcPr>
          <w:p>
            <w:pPr>
              <w:jc w:val="center"/>
              <w:ind w:left="550"/>
              <w:spacing w:after="0"/>
              <w:rPr>
                <w:sz w:val="20"/>
                <w:szCs w:val="20"/>
                <w:color w:val="auto"/>
              </w:rPr>
            </w:pPr>
            <w:r>
              <w:rPr>
                <w:rFonts w:ascii="Arial" w:cs="Arial" w:eastAsia="Arial" w:hAnsi="Arial"/>
                <w:sz w:val="18"/>
                <w:szCs w:val="18"/>
                <w:color w:val="auto"/>
                <w:w w:val="96"/>
              </w:rPr>
              <w:t>COVENANTS</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4.01   Payment of Notes.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4.03   Reports and Other Information.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4.04</w:t>
            </w:r>
          </w:p>
        </w:tc>
        <w:tc>
          <w:tcPr>
            <w:tcW w:w="856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4.05</w:t>
            </w:r>
          </w:p>
        </w:tc>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4.06   Stay, Extension and Usury Laws.</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4.07   Limitation on Restricted Payments.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4.08   Dividend and Other Payment Restrictions Affecting Restricted Subsidiaries.</w:t>
            </w: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4.09   Limitation on Incurrence of Indebtedness and Issuance of Disqualified Stock and Preferred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4.10</w:t>
            </w:r>
          </w:p>
        </w:tc>
        <w:tc>
          <w:tcPr>
            <w:tcW w:w="8560" w:type="dxa"/>
            <w:vAlign w:val="bottom"/>
          </w:tcPr>
          <w:p>
            <w:pPr>
              <w:ind w:left="120"/>
              <w:spacing w:after="0"/>
              <w:rPr>
                <w:sz w:val="20"/>
                <w:szCs w:val="20"/>
                <w:color w:val="auto"/>
              </w:rPr>
            </w:pPr>
            <w:r>
              <w:rPr>
                <w:rFonts w:ascii="Arial" w:cs="Arial" w:eastAsia="Arial" w:hAnsi="Arial"/>
                <w:sz w:val="18"/>
                <w:szCs w:val="18"/>
                <w:color w:val="auto"/>
              </w:rPr>
              <w:t>Asset Sales.</w:t>
            </w:r>
          </w:p>
        </w:tc>
        <w:tc>
          <w:tcPr>
            <w:tcW w:w="166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4.11   Transactions with Affiliates.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4.12   Limitation on Liens.</w:t>
            </w:r>
          </w:p>
        </w:tc>
        <w:tc>
          <w:tcPr>
            <w:tcW w:w="166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4.13</w:t>
            </w:r>
          </w:p>
        </w:tc>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[Reserved].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4.14   Offer to Repurchase Upon Change of Control.</w:t>
            </w:r>
          </w:p>
        </w:tc>
        <w:tc>
          <w:tcPr>
            <w:tcW w:w="16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4.15   Additional Note Guarantees.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4.16   Effectiveness Of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4.17   After-Acquired Collateral; Real Property Mortgage; Ship Mortgage.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560" w:type="dxa"/>
            <w:vAlign w:val="bottom"/>
          </w:tcPr>
          <w:p>
            <w:pPr>
              <w:jc w:val="center"/>
              <w:ind w:left="550"/>
              <w:spacing w:after="0"/>
              <w:rPr>
                <w:sz w:val="20"/>
                <w:szCs w:val="20"/>
                <w:color w:val="auto"/>
              </w:rPr>
            </w:pPr>
            <w:r>
              <w:rPr>
                <w:rFonts w:ascii="Arial" w:cs="Arial" w:eastAsia="Arial" w:hAnsi="Arial"/>
                <w:sz w:val="18"/>
                <w:szCs w:val="18"/>
                <w:color w:val="auto"/>
                <w:w w:val="96"/>
              </w:rPr>
              <w:t>ARTICLE 5</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560" w:type="dxa"/>
            <w:vAlign w:val="bottom"/>
          </w:tcPr>
          <w:p>
            <w:pPr>
              <w:jc w:val="center"/>
              <w:ind w:left="550"/>
              <w:spacing w:after="0"/>
              <w:rPr>
                <w:sz w:val="20"/>
                <w:szCs w:val="20"/>
                <w:color w:val="auto"/>
              </w:rPr>
            </w:pPr>
            <w:r>
              <w:rPr>
                <w:rFonts w:ascii="Arial" w:cs="Arial" w:eastAsia="Arial" w:hAnsi="Arial"/>
                <w:sz w:val="18"/>
                <w:szCs w:val="18"/>
                <w:color w:val="auto"/>
                <w:w w:val="88"/>
              </w:rPr>
              <w:t>SUCCESSORS</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5.01   Merger, Consolidation, Amalgamation or Sale of All Or Substantially All Assets.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560" w:type="dxa"/>
            <w:vAlign w:val="bottom"/>
          </w:tcPr>
          <w:p>
            <w:pPr>
              <w:jc w:val="center"/>
              <w:ind w:left="550"/>
              <w:spacing w:after="0"/>
              <w:rPr>
                <w:sz w:val="20"/>
                <w:szCs w:val="20"/>
                <w:color w:val="auto"/>
              </w:rPr>
            </w:pPr>
            <w:r>
              <w:rPr>
                <w:rFonts w:ascii="Arial" w:cs="Arial" w:eastAsia="Arial" w:hAnsi="Arial"/>
                <w:sz w:val="18"/>
                <w:szCs w:val="18"/>
                <w:color w:val="auto"/>
                <w:w w:val="96"/>
              </w:rPr>
              <w:t>ARTICLE 6</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560" w:type="dxa"/>
            <w:vAlign w:val="bottom"/>
          </w:tcPr>
          <w:p>
            <w:pPr>
              <w:jc w:val="center"/>
              <w:ind w:left="550"/>
              <w:spacing w:after="0"/>
              <w:rPr>
                <w:sz w:val="20"/>
                <w:szCs w:val="20"/>
                <w:color w:val="auto"/>
              </w:rPr>
            </w:pPr>
            <w:r>
              <w:rPr>
                <w:rFonts w:ascii="Arial" w:cs="Arial" w:eastAsia="Arial" w:hAnsi="Arial"/>
                <w:sz w:val="18"/>
                <w:szCs w:val="18"/>
                <w:color w:val="auto"/>
                <w:w w:val="96"/>
              </w:rPr>
              <w:t>DEFAULTS AND REMEDIES</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6.01   Events of Default.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6.02   Acceleration; Noteholder Direction.</w:t>
            </w:r>
          </w:p>
        </w:tc>
        <w:tc>
          <w:tcPr>
            <w:tcW w:w="166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6.03</w:t>
            </w:r>
          </w:p>
        </w:tc>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Remedies.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6.05   Control by Majority.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6.07   Rights of Holders to Receive Payment.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6.09   Restoration of Rights and Remedies.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6.10   Rights and Remedies Cumulative.</w:t>
            </w:r>
          </w:p>
        </w:tc>
        <w:tc>
          <w:tcPr>
            <w:tcW w:w="16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6.11   Delay or Omission Not Waiver.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6.12   Trustee May File Proofs of Claim.</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6.13</w:t>
            </w:r>
          </w:p>
        </w:tc>
        <w:tc>
          <w:tcPr>
            <w:tcW w:w="884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6.14   Undertaking for Costs.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40" w:type="dxa"/>
            <w:vAlign w:val="bottom"/>
          </w:tcPr>
          <w:p>
            <w:pPr>
              <w:jc w:val="center"/>
              <w:ind w:left="270"/>
              <w:spacing w:after="0"/>
              <w:rPr>
                <w:sz w:val="20"/>
                <w:szCs w:val="20"/>
                <w:color w:val="auto"/>
              </w:rPr>
            </w:pPr>
            <w:r>
              <w:rPr>
                <w:rFonts w:ascii="Arial" w:cs="Arial" w:eastAsia="Arial" w:hAnsi="Arial"/>
                <w:sz w:val="18"/>
                <w:szCs w:val="18"/>
                <w:color w:val="auto"/>
                <w:w w:val="96"/>
              </w:rPr>
              <w:t>ARTICLE 7</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40" w:type="dxa"/>
            <w:vAlign w:val="bottom"/>
          </w:tcPr>
          <w:p>
            <w:pPr>
              <w:jc w:val="center"/>
              <w:ind w:left="270"/>
              <w:spacing w:after="0"/>
              <w:rPr>
                <w:sz w:val="20"/>
                <w:szCs w:val="20"/>
                <w:color w:val="auto"/>
              </w:rPr>
            </w:pPr>
            <w:r>
              <w:rPr>
                <w:rFonts w:ascii="Arial" w:cs="Arial" w:eastAsia="Arial" w:hAnsi="Arial"/>
                <w:sz w:val="18"/>
                <w:szCs w:val="18"/>
                <w:color w:val="auto"/>
                <w:w w:val="95"/>
              </w:rPr>
              <w:t>TRUSTEE</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7.01   Duties of Trustee.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138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7.03   Individual Rights of Trustee.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7.04</w:t>
            </w:r>
          </w:p>
        </w:tc>
        <w:tc>
          <w:tcPr>
            <w:tcW w:w="884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7.05   Notice of Defaults.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7.06   Compensation and Indemnity.</w:t>
            </w: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7.07   Replacement of Trustee.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7.08   Successor Trustee by Merger, Etc.</w:t>
            </w:r>
          </w:p>
        </w:tc>
        <w:tc>
          <w:tcPr>
            <w:tcW w:w="138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7.09</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Eligibility; Disqualification.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7.10   Certain Tax Matters.</w:t>
            </w: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7.11   Security Documents; Intercreditor Agreements.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40" w:type="dxa"/>
            <w:vAlign w:val="bottom"/>
          </w:tcPr>
          <w:p>
            <w:pPr>
              <w:jc w:val="center"/>
              <w:ind w:left="270"/>
              <w:spacing w:after="0"/>
              <w:rPr>
                <w:sz w:val="20"/>
                <w:szCs w:val="20"/>
                <w:color w:val="auto"/>
              </w:rPr>
            </w:pPr>
            <w:r>
              <w:rPr>
                <w:rFonts w:ascii="Arial" w:cs="Arial" w:eastAsia="Arial" w:hAnsi="Arial"/>
                <w:sz w:val="18"/>
                <w:szCs w:val="18"/>
                <w:color w:val="auto"/>
                <w:w w:val="96"/>
              </w:rPr>
              <w:t>ARTICLE 8</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40" w:type="dxa"/>
            <w:vAlign w:val="bottom"/>
          </w:tcPr>
          <w:p>
            <w:pPr>
              <w:jc w:val="center"/>
              <w:ind w:left="270"/>
              <w:spacing w:after="0"/>
              <w:rPr>
                <w:sz w:val="20"/>
                <w:szCs w:val="20"/>
                <w:color w:val="auto"/>
              </w:rPr>
            </w:pPr>
            <w:r>
              <w:rPr>
                <w:rFonts w:ascii="Arial" w:cs="Arial" w:eastAsia="Arial" w:hAnsi="Arial"/>
                <w:sz w:val="18"/>
                <w:szCs w:val="18"/>
                <w:color w:val="auto"/>
                <w:w w:val="97"/>
              </w:rPr>
              <w:t>LEGAL DEFEASANCE AND COVENANT DEFEASANCE</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8.02   Legal Defeasance and Discharge.</w:t>
            </w: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8.03</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Covenant Defeasance.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8.04   Conditions to Legal or Covenant Defeasance.</w:t>
            </w: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8.05   Deposited Money and U.S. Government Obligations to be Held in Trust; Other Miscellaneous Provisions.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8.06   Repayment to Issuer.</w:t>
            </w:r>
          </w:p>
        </w:tc>
        <w:tc>
          <w:tcPr>
            <w:tcW w:w="138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8.07</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Reinstatement.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40" w:type="dxa"/>
            <w:vAlign w:val="bottom"/>
          </w:tcPr>
          <w:p>
            <w:pPr>
              <w:jc w:val="center"/>
              <w:ind w:left="270"/>
              <w:spacing w:after="0"/>
              <w:rPr>
                <w:sz w:val="20"/>
                <w:szCs w:val="20"/>
                <w:color w:val="auto"/>
              </w:rPr>
            </w:pPr>
            <w:r>
              <w:rPr>
                <w:rFonts w:ascii="Arial" w:cs="Arial" w:eastAsia="Arial" w:hAnsi="Arial"/>
                <w:sz w:val="18"/>
                <w:szCs w:val="18"/>
                <w:color w:val="auto"/>
                <w:w w:val="96"/>
              </w:rPr>
              <w:t>ARTICLE 9</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40" w:type="dxa"/>
            <w:vAlign w:val="bottom"/>
          </w:tcPr>
          <w:p>
            <w:pPr>
              <w:jc w:val="center"/>
              <w:ind w:left="290"/>
              <w:spacing w:after="0"/>
              <w:rPr>
                <w:sz w:val="20"/>
                <w:szCs w:val="20"/>
                <w:color w:val="auto"/>
              </w:rPr>
            </w:pPr>
            <w:r>
              <w:rPr>
                <w:rFonts w:ascii="Arial" w:cs="Arial" w:eastAsia="Arial" w:hAnsi="Arial"/>
                <w:sz w:val="18"/>
                <w:szCs w:val="18"/>
                <w:color w:val="auto"/>
                <w:w w:val="97"/>
              </w:rPr>
              <w:t>AMENDMENT, SUPPLEMENT AND WAIVER</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9.01   Without Consent of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9.02   With Consent of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9.03</w:t>
            </w:r>
          </w:p>
        </w:tc>
        <w:tc>
          <w:tcPr>
            <w:tcW w:w="8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[Reserved].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9.04   Revocation and Effect of Consents.</w:t>
            </w:r>
          </w:p>
        </w:tc>
        <w:tc>
          <w:tcPr>
            <w:tcW w:w="138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9.05   Notation on or Exchange of Notes.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Section 9.06   Trustee to Sign Amendments, Etc.</w:t>
            </w:r>
          </w:p>
        </w:tc>
        <w:tc>
          <w:tcPr>
            <w:tcW w:w="138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080" w:type="dxa"/>
            <w:vAlign w:val="bottom"/>
          </w:tcPr>
          <w:p>
            <w:pPr>
              <w:jc w:val="center"/>
              <w:ind w:left="970"/>
              <w:spacing w:after="0"/>
              <w:rPr>
                <w:sz w:val="20"/>
                <w:szCs w:val="20"/>
                <w:color w:val="auto"/>
              </w:rPr>
            </w:pPr>
            <w:r>
              <w:rPr>
                <w:rFonts w:ascii="Arial" w:cs="Arial" w:eastAsia="Arial" w:hAnsi="Arial"/>
                <w:sz w:val="18"/>
                <w:szCs w:val="18"/>
                <w:color w:val="auto"/>
                <w:w w:val="96"/>
              </w:rPr>
              <w:t>ARTICLE 10</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080" w:type="dxa"/>
            <w:vAlign w:val="bottom"/>
          </w:tcPr>
          <w:p>
            <w:pPr>
              <w:jc w:val="center"/>
              <w:ind w:left="950"/>
              <w:spacing w:after="0"/>
              <w:rPr>
                <w:sz w:val="20"/>
                <w:szCs w:val="20"/>
                <w:color w:val="auto"/>
              </w:rPr>
            </w:pPr>
            <w:r>
              <w:rPr>
                <w:rFonts w:ascii="Arial" w:cs="Arial" w:eastAsia="Arial" w:hAnsi="Arial"/>
                <w:sz w:val="18"/>
                <w:szCs w:val="18"/>
                <w:color w:val="auto"/>
                <w:w w:val="96"/>
              </w:rPr>
              <w:t>GUARANTEES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10.01</w:t>
            </w: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Guarantee.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10.02  Limitation on Guarantor Liability.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10.03  Execution and Delivery.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10.04</w:t>
            </w:r>
          </w:p>
        </w:tc>
        <w:tc>
          <w:tcPr>
            <w:tcW w:w="8080" w:type="dxa"/>
            <w:vAlign w:val="bottom"/>
          </w:tcPr>
          <w:p>
            <w:pPr>
              <w:ind w:left="80"/>
              <w:spacing w:after="0"/>
              <w:rPr>
                <w:sz w:val="20"/>
                <w:szCs w:val="20"/>
                <w:color w:val="auto"/>
              </w:rPr>
            </w:pPr>
            <w:r>
              <w:rPr>
                <w:rFonts w:ascii="Arial" w:cs="Arial" w:eastAsia="Arial" w:hAnsi="Arial"/>
                <w:sz w:val="18"/>
                <w:szCs w:val="18"/>
                <w:color w:val="auto"/>
              </w:rPr>
              <w:t>Subrogation.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10.05</w:t>
            </w: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Acknowledged.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Section 10.06  Release of Note Guarantees.</w:t>
            </w:r>
          </w:p>
        </w:tc>
        <w:tc>
          <w:tcPr>
            <w:tcW w:w="210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8080" w:type="dxa"/>
            <w:vAlign w:val="bottom"/>
          </w:tcPr>
          <w:p>
            <w:pPr>
              <w:jc w:val="center"/>
              <w:ind w:left="950"/>
              <w:spacing w:after="0"/>
              <w:rPr>
                <w:sz w:val="20"/>
                <w:szCs w:val="20"/>
                <w:color w:val="auto"/>
              </w:rPr>
            </w:pPr>
            <w:r>
              <w:rPr>
                <w:rFonts w:ascii="Arial" w:cs="Arial" w:eastAsia="Arial" w:hAnsi="Arial"/>
                <w:sz w:val="18"/>
                <w:szCs w:val="18"/>
                <w:color w:val="auto"/>
                <w:w w:val="94"/>
              </w:rPr>
              <w:t>ARTICLE 11</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080" w:type="dxa"/>
            <w:vAlign w:val="bottom"/>
          </w:tcPr>
          <w:p>
            <w:pPr>
              <w:jc w:val="center"/>
              <w:ind w:left="950"/>
              <w:spacing w:after="0"/>
              <w:rPr>
                <w:sz w:val="20"/>
                <w:szCs w:val="20"/>
                <w:color w:val="auto"/>
              </w:rPr>
            </w:pPr>
            <w:r>
              <w:rPr>
                <w:rFonts w:ascii="Arial" w:cs="Arial" w:eastAsia="Arial" w:hAnsi="Arial"/>
                <w:sz w:val="18"/>
                <w:szCs w:val="18"/>
                <w:color w:val="auto"/>
                <w:w w:val="96"/>
              </w:rPr>
              <w:t>SATISFACTION AND DISCHARGE</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11.01  Satisfaction and Discharge.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Section 11.02  Application of Trust Money.</w:t>
            </w:r>
          </w:p>
        </w:tc>
        <w:tc>
          <w:tcPr>
            <w:tcW w:w="21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8080" w:type="dxa"/>
            <w:vAlign w:val="bottom"/>
          </w:tcPr>
          <w:p>
            <w:pPr>
              <w:jc w:val="center"/>
              <w:ind w:left="970"/>
              <w:spacing w:after="0"/>
              <w:rPr>
                <w:sz w:val="20"/>
                <w:szCs w:val="20"/>
                <w:color w:val="auto"/>
              </w:rPr>
            </w:pPr>
            <w:r>
              <w:rPr>
                <w:rFonts w:ascii="Arial" w:cs="Arial" w:eastAsia="Arial" w:hAnsi="Arial"/>
                <w:sz w:val="18"/>
                <w:szCs w:val="18"/>
                <w:color w:val="auto"/>
                <w:w w:val="96"/>
              </w:rPr>
              <w:t>ARTICLE 12</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080" w:type="dxa"/>
            <w:vAlign w:val="bottom"/>
          </w:tcPr>
          <w:p>
            <w:pPr>
              <w:jc w:val="center"/>
              <w:ind w:left="950"/>
              <w:spacing w:after="0"/>
              <w:rPr>
                <w:sz w:val="20"/>
                <w:szCs w:val="20"/>
                <w:color w:val="auto"/>
              </w:rPr>
            </w:pPr>
            <w:r>
              <w:rPr>
                <w:rFonts w:ascii="Arial" w:cs="Arial" w:eastAsia="Arial" w:hAnsi="Arial"/>
                <w:sz w:val="18"/>
                <w:szCs w:val="18"/>
                <w:color w:val="auto"/>
                <w:w w:val="99"/>
              </w:rPr>
              <w:t>COLLATERAL</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12.01</w:t>
            </w: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Security Documents.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12.02  Release of Collateral.</w:t>
            </w:r>
          </w:p>
        </w:tc>
        <w:tc>
          <w:tcPr>
            <w:tcW w:w="210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12.03  Suits to Protect the Collateral.</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12.04  Authorization of Receipt of Funds by the Trustee Under the Security Documents.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12.05</w:t>
            </w: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Purchaser Protected.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12.06  Powers Exercisable by Receiver or Trustee.</w:t>
            </w:r>
          </w:p>
        </w:tc>
        <w:tc>
          <w:tcPr>
            <w:tcW w:w="210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12.07  Certain Limitations on Collateral.</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Section 12.08  Notes Collateral Agent.</w:t>
            </w:r>
          </w:p>
        </w:tc>
        <w:tc>
          <w:tcPr>
            <w:tcW w:w="210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8080" w:type="dxa"/>
            <w:vAlign w:val="bottom"/>
          </w:tcPr>
          <w:p>
            <w:pPr>
              <w:jc w:val="center"/>
              <w:ind w:left="970"/>
              <w:spacing w:after="0"/>
              <w:rPr>
                <w:sz w:val="20"/>
                <w:szCs w:val="20"/>
                <w:color w:val="auto"/>
              </w:rPr>
            </w:pPr>
            <w:r>
              <w:rPr>
                <w:rFonts w:ascii="Arial" w:cs="Arial" w:eastAsia="Arial" w:hAnsi="Arial"/>
                <w:sz w:val="18"/>
                <w:szCs w:val="18"/>
                <w:color w:val="auto"/>
                <w:w w:val="96"/>
              </w:rPr>
              <w:t>ARTICLE 13</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080" w:type="dxa"/>
            <w:vAlign w:val="bottom"/>
          </w:tcPr>
          <w:p>
            <w:pPr>
              <w:jc w:val="center"/>
              <w:ind w:left="970"/>
              <w:spacing w:after="0"/>
              <w:rPr>
                <w:sz w:val="20"/>
                <w:szCs w:val="20"/>
                <w:color w:val="auto"/>
              </w:rPr>
            </w:pPr>
            <w:r>
              <w:rPr>
                <w:rFonts w:ascii="Arial" w:cs="Arial" w:eastAsia="Arial" w:hAnsi="Arial"/>
                <w:sz w:val="18"/>
                <w:szCs w:val="18"/>
                <w:color w:val="auto"/>
                <w:w w:val="97"/>
              </w:rPr>
              <w:t>MISCELLANEOUS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13.01</w:t>
            </w:r>
          </w:p>
        </w:tc>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13.02  Mexican Process Agent.</w:t>
            </w:r>
          </w:p>
        </w:tc>
        <w:tc>
          <w:tcPr>
            <w:tcW w:w="210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13.03  Communication by Holders with Other Holders.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13.04  Certificate and Opinion as to Conditions Precedent.</w:t>
            </w:r>
          </w:p>
        </w:tc>
        <w:tc>
          <w:tcPr>
            <w:tcW w:w="210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13.05  Statements Required in Certificate or Opinion.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13.06  Rules by Trustee and Agents.</w:t>
            </w:r>
          </w:p>
        </w:tc>
        <w:tc>
          <w:tcPr>
            <w:tcW w:w="210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13.07  No Personal Liability of Directors, Managers, Officers, Employees and Stockholders.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Section 13.08  Governing Law; Jurisdiction.</w:t>
            </w:r>
          </w:p>
        </w:tc>
        <w:tc>
          <w:tcPr>
            <w:tcW w:w="210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13.09  Waiver of Jury Trial.</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13.10</w:t>
            </w:r>
          </w:p>
        </w:tc>
        <w:tc>
          <w:tcPr>
            <w:tcW w:w="808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210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13.11</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Adverse Interpretation of Other Agreements.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13.12</w:t>
            </w:r>
          </w:p>
        </w:tc>
        <w:tc>
          <w:tcPr>
            <w:tcW w:w="7680" w:type="dxa"/>
            <w:vAlign w:val="bottom"/>
          </w:tcPr>
          <w:p>
            <w:pPr>
              <w:ind w:left="40"/>
              <w:spacing w:after="0"/>
              <w:rPr>
                <w:sz w:val="20"/>
                <w:szCs w:val="20"/>
                <w:color w:val="auto"/>
              </w:rPr>
            </w:pPr>
            <w:r>
              <w:rPr>
                <w:rFonts w:ascii="Arial" w:cs="Arial" w:eastAsia="Arial" w:hAnsi="Arial"/>
                <w:sz w:val="18"/>
                <w:szCs w:val="18"/>
                <w:color w:val="auto"/>
              </w:rPr>
              <w:t>Successors.</w:t>
            </w:r>
          </w:p>
        </w:tc>
        <w:tc>
          <w:tcPr>
            <w:tcW w:w="24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13.13</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13.14</w:t>
            </w:r>
          </w:p>
        </w:tc>
        <w:tc>
          <w:tcPr>
            <w:tcW w:w="7680" w:type="dxa"/>
            <w:vAlign w:val="bottom"/>
          </w:tcPr>
          <w:p>
            <w:pPr>
              <w:ind w:left="40"/>
              <w:spacing w:after="0"/>
              <w:rPr>
                <w:sz w:val="20"/>
                <w:szCs w:val="20"/>
                <w:color w:val="auto"/>
              </w:rPr>
            </w:pPr>
            <w:r>
              <w:rPr>
                <w:rFonts w:ascii="Arial" w:cs="Arial" w:eastAsia="Arial" w:hAnsi="Arial"/>
                <w:sz w:val="18"/>
                <w:szCs w:val="18"/>
                <w:color w:val="auto"/>
              </w:rPr>
              <w:t>Intercreditor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13.15</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Counterparts and Electronic Execution.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13.16</w:t>
            </w:r>
          </w:p>
        </w:tc>
        <w:tc>
          <w:tcPr>
            <w:tcW w:w="7680" w:type="dxa"/>
            <w:vAlign w:val="bottom"/>
          </w:tcPr>
          <w:p>
            <w:pPr>
              <w:ind w:left="40"/>
              <w:spacing w:after="0"/>
              <w:rPr>
                <w:sz w:val="20"/>
                <w:szCs w:val="20"/>
                <w:color w:val="auto"/>
              </w:rPr>
            </w:pPr>
            <w:r>
              <w:rPr>
                <w:rFonts w:ascii="Arial" w:cs="Arial" w:eastAsia="Arial" w:hAnsi="Arial"/>
                <w:sz w:val="18"/>
                <w:szCs w:val="18"/>
                <w:color w:val="auto"/>
              </w:rPr>
              <w:t>Table Of Contents, Headings, Etc.</w:t>
            </w:r>
          </w:p>
        </w:tc>
        <w:tc>
          <w:tcPr>
            <w:tcW w:w="24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13.17</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USA Patriot Act.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496"/>
        </w:trPr>
        <w:tc>
          <w:tcPr>
            <w:tcW w:w="110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7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3"/>
        </w:trPr>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Form of Note</w:t>
            </w:r>
          </w:p>
        </w:tc>
        <w:tc>
          <w:tcPr>
            <w:tcW w:w="246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B</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Form of Certificate of Transfer</w:t>
            </w:r>
          </w:p>
        </w:tc>
        <w:tc>
          <w:tcPr>
            <w:tcW w:w="246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C</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Form of Certificate of Exchange</w:t>
            </w:r>
          </w:p>
        </w:tc>
        <w:tc>
          <w:tcPr>
            <w:tcW w:w="246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Exhibit D</w:t>
            </w:r>
          </w:p>
        </w:tc>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Form of Supplemental Indenture to be Delivered by Subsequent Guarantors</w:t>
            </w:r>
          </w:p>
        </w:tc>
        <w:tc>
          <w:tcPr>
            <w:tcW w:w="2460" w:type="dxa"/>
            <w:vAlign w:val="bottom"/>
            <w:shd w:val="clear" w:color="auto" w:fill="CCEEFF"/>
          </w:tcPr>
          <w:p>
            <w:pPr>
              <w:spacing w:after="0"/>
              <w:rPr>
                <w:sz w:val="18"/>
                <w:szCs w:val="18"/>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jc w:val="both"/>
        <w:ind w:firstLine="648"/>
        <w:spacing w:after="0" w:line="297" w:lineRule="auto"/>
        <w:rPr>
          <w:sz w:val="20"/>
          <w:szCs w:val="20"/>
          <w:color w:val="auto"/>
        </w:rPr>
      </w:pPr>
      <w:r>
        <w:rPr>
          <w:rFonts w:ascii="Arial" w:cs="Arial" w:eastAsia="Arial" w:hAnsi="Arial"/>
          <w:sz w:val="19"/>
          <w:szCs w:val="19"/>
          <w:color w:val="auto"/>
        </w:rPr>
        <w:t>INDENTURE, dated as of April 12, 2021, among New Fortress Energy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the Guarantors (as defined herein) from time to time parties hereto and U.S. Bank National Association, a national banking corporation, as Trustee (in such capacity, the “</w:t>
      </w:r>
      <w:r>
        <w:rPr>
          <w:rFonts w:ascii="Arial" w:cs="Arial" w:eastAsia="Arial" w:hAnsi="Arial"/>
          <w:sz w:val="19"/>
          <w:szCs w:val="19"/>
          <w:u w:val="single" w:color="auto"/>
          <w:color w:val="auto"/>
        </w:rPr>
        <w:t>Trustee</w:t>
      </w:r>
      <w:r>
        <w:rPr>
          <w:rFonts w:ascii="Arial" w:cs="Arial" w:eastAsia="Arial" w:hAnsi="Arial"/>
          <w:sz w:val="19"/>
          <w:szCs w:val="19"/>
          <w:color w:val="auto"/>
        </w:rPr>
        <w:t>”) and Collateral Agent (in such capacity, the “</w:t>
      </w:r>
      <w:r>
        <w:rPr>
          <w:rFonts w:ascii="Arial" w:cs="Arial" w:eastAsia="Arial" w:hAnsi="Arial"/>
          <w:sz w:val="19"/>
          <w:szCs w:val="19"/>
          <w:u w:val="single" w:color="auto"/>
          <w:color w:val="auto"/>
        </w:rPr>
        <w:t>Notes Collateral Agent</w:t>
      </w:r>
      <w:r>
        <w:rPr>
          <w:rFonts w:ascii="Arial" w:cs="Arial" w:eastAsia="Arial" w:hAnsi="Arial"/>
          <w:sz w:val="19"/>
          <w:szCs w:val="19"/>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Issuer has duly authorized the creation of and issuance of $1,500,000,000 aggregate principal amount of 6.500% Senior Secured Notes due 2026 (the “</w:t>
      </w:r>
      <w:r>
        <w:rPr>
          <w:rFonts w:ascii="Arial" w:cs="Arial" w:eastAsia="Arial" w:hAnsi="Arial"/>
          <w:sz w:val="22"/>
          <w:szCs w:val="22"/>
          <w:u w:val="single" w:color="auto"/>
          <w:color w:val="auto"/>
        </w:rPr>
        <w:t>Initial Notes</w:t>
      </w:r>
      <w:r>
        <w:rPr>
          <w:rFonts w:ascii="Arial" w:cs="Arial" w:eastAsia="Arial" w:hAnsi="Arial"/>
          <w:sz w:val="22"/>
          <w:szCs w:val="22"/>
          <w:color w:val="auto"/>
        </w:rPr>
        <w:t>”);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Issuer and each of the Guarantors has duly authorized the execution and delivery of this Indenture.</w:t>
      </w:r>
    </w:p>
    <w:p>
      <w:pPr>
        <w:spacing w:after="0" w:line="26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NOW, THEREFORE, the Issuer, the Guarantors, the Trustee and the Notes Collateral Agent agree as follows for the benefit of each other and for the equal and ratable benefit of the Holders.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ind w:left="2820"/>
        <w:spacing w:after="0"/>
        <w:rPr>
          <w:sz w:val="20"/>
          <w:szCs w:val="20"/>
          <w:color w:val="auto"/>
        </w:rPr>
      </w:pPr>
      <w:r>
        <w:rPr>
          <w:rFonts w:ascii="Arial" w:cs="Arial" w:eastAsia="Arial" w:hAnsi="Arial"/>
          <w:sz w:val="22"/>
          <w:szCs w:val="22"/>
          <w:b w:val="1"/>
          <w:bCs w:val="1"/>
          <w:u w:val="single" w:color="auto"/>
          <w:color w:val="auto"/>
        </w:rPr>
        <w:t>DEFINITIONS AND INCORPORATION BY REFERENCE</w:t>
      </w:r>
    </w:p>
    <w:p>
      <w:pPr>
        <w:spacing w:after="0" w:line="239"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144A Global Note</w:t>
      </w:r>
      <w:r>
        <w:rPr>
          <w:rFonts w:ascii="Arial" w:cs="Arial" w:eastAsia="Arial" w:hAnsi="Arial"/>
          <w:sz w:val="22"/>
          <w:szCs w:val="22"/>
          <w:color w:val="auto"/>
        </w:rPr>
        <w:t xml:space="preserve">” means a Global Note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Indebtedness</w:t>
      </w:r>
      <w:r>
        <w:rPr>
          <w:rFonts w:ascii="Arial" w:cs="Arial" w:eastAsia="Arial" w:hAnsi="Arial"/>
          <w:sz w:val="22"/>
          <w:szCs w:val="22"/>
          <w:color w:val="auto"/>
        </w:rPr>
        <w:t>” means, with respect to any specified Person,</w:t>
      </w:r>
    </w:p>
    <w:p>
      <w:pPr>
        <w:spacing w:after="0" w:line="233" w:lineRule="exact"/>
        <w:rPr>
          <w:sz w:val="20"/>
          <w:szCs w:val="20"/>
          <w:color w:val="auto"/>
        </w:rPr>
      </w:pPr>
    </w:p>
    <w:p>
      <w:pPr>
        <w:jc w:val="both"/>
        <w:ind w:left="660" w:firstLine="644"/>
        <w:spacing w:after="0" w:line="252" w:lineRule="auto"/>
        <w:tabs>
          <w:tab w:leader="none" w:pos="2309" w:val="left"/>
        </w:tabs>
        <w:numPr>
          <w:ilvl w:val="0"/>
          <w:numId w:val="2"/>
        </w:numPr>
        <w:rPr>
          <w:rFonts w:ascii="Arial" w:cs="Arial" w:eastAsia="Arial" w:hAnsi="Arial"/>
          <w:sz w:val="21"/>
          <w:szCs w:val="21"/>
          <w:color w:val="auto"/>
        </w:rPr>
      </w:pPr>
      <w:r>
        <w:rPr>
          <w:rFonts w:ascii="Arial" w:cs="Arial" w:eastAsia="Arial" w:hAnsi="Arial"/>
          <w:sz w:val="21"/>
          <w:szCs w:val="21"/>
          <w:color w:val="auto"/>
        </w:rPr>
        <w:t>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w:t>
      </w:r>
    </w:p>
    <w:p>
      <w:pPr>
        <w:spacing w:after="0" w:line="200" w:lineRule="exact"/>
        <w:rPr>
          <w:rFonts w:ascii="Arial" w:cs="Arial" w:eastAsia="Arial" w:hAnsi="Arial"/>
          <w:sz w:val="21"/>
          <w:szCs w:val="21"/>
          <w:color w:val="auto"/>
        </w:rPr>
      </w:pPr>
    </w:p>
    <w:p>
      <w:pPr>
        <w:ind w:left="2100" w:hanging="796"/>
        <w:spacing w:after="0"/>
        <w:tabs>
          <w:tab w:leader="none" w:pos="21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xml:space="preserve">” means (1) any property or other assets used or useful in a Similar Business, (2) the Capital Stock of a Person that becomes a Restricted Subsidiary of the Issuer as a result of the acquisition of such Capital Stock by the Issuer or another Restricted Subsidiary or (3) Capital Stock constituting a minority interest in any Person that at such time is a Restricted Subsidiary of the Issuer;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Restricted Subsidiary described in clause (2) or (3) above is engaged in a Similar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Equal Priority Obligations</w:t>
      </w:r>
      <w:r>
        <w:rPr>
          <w:rFonts w:ascii="Arial" w:cs="Arial" w:eastAsia="Arial" w:hAnsi="Arial"/>
          <w:sz w:val="22"/>
          <w:szCs w:val="22"/>
          <w:color w:val="auto"/>
        </w:rPr>
        <w:t xml:space="preserve">” means the Obligations with respect to any Indebtedness having, or intended to have, Equal Lien Priority (but without regard to the control of remedies) relative to the Notes with respect to the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authorized representative of the holders of such Indebtedness shall have executed an Equal Priority Intercreditor Agreement.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Equal Priority Secured Parties</w:t>
      </w:r>
      <w:r>
        <w:rPr>
          <w:rFonts w:ascii="Arial" w:cs="Arial" w:eastAsia="Arial" w:hAnsi="Arial"/>
          <w:sz w:val="22"/>
          <w:szCs w:val="22"/>
          <w:color w:val="auto"/>
        </w:rPr>
        <w:t>” means the holders of any Additional Equal Priority Obligations and any trustee, authorized representative or agent of such Additional Equal Priority Obligations.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Notes</w:t>
      </w:r>
      <w:r>
        <w:rPr>
          <w:rFonts w:ascii="Arial" w:cs="Arial" w:eastAsia="Arial" w:hAnsi="Arial"/>
          <w:sz w:val="22"/>
          <w:szCs w:val="22"/>
          <w:color w:val="auto"/>
        </w:rPr>
        <w:t xml:space="preserve">” means additional Notes (other than the Initial Notes) issued under this Indenture in accordance with </w:t>
      </w:r>
      <w:r>
        <w:rPr>
          <w:rFonts w:ascii="Arial" w:cs="Arial" w:eastAsia="Arial" w:hAnsi="Arial"/>
          <w:sz w:val="22"/>
          <w:szCs w:val="22"/>
          <w:u w:val="single" w:color="auto"/>
          <w:color w:val="auto"/>
        </w:rPr>
        <w:t>Sections 2.01</w:t>
      </w:r>
      <w:r>
        <w:rPr>
          <w:rFonts w:ascii="Arial" w:cs="Arial" w:eastAsia="Arial" w:hAnsi="Arial"/>
          <w:sz w:val="22"/>
          <w:szCs w:val="22"/>
          <w:color w:val="auto"/>
        </w:rPr>
        <w:t xml:space="preserve">, </w:t>
      </w:r>
      <w:r>
        <w:rPr>
          <w:rFonts w:ascii="Arial" w:cs="Arial" w:eastAsia="Arial" w:hAnsi="Arial"/>
          <w:sz w:val="22"/>
          <w:szCs w:val="22"/>
          <w:u w:val="single" w:color="auto"/>
          <w:color w:val="auto"/>
        </w:rPr>
        <w:t>4.09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4.12</w:t>
      </w:r>
      <w:r>
        <w:rPr>
          <w:rFonts w:ascii="Arial" w:cs="Arial" w:eastAsia="Arial" w:hAnsi="Arial"/>
          <w:sz w:val="22"/>
          <w:szCs w:val="22"/>
          <w:color w:val="auto"/>
        </w:rPr>
        <w:t>, as part of the same series as the Initial Notes.</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as applied to any Person, any other Person directly or indirectly Controlling, Controlled by, or under common Control with, that Person. For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have meanings correlative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any Registrar or Paying Agent.</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Annualized EBITDA</w:t>
      </w:r>
      <w:r>
        <w:rPr>
          <w:rFonts w:ascii="Arial" w:cs="Arial" w:eastAsia="Arial" w:hAnsi="Arial"/>
          <w:sz w:val="19"/>
          <w:szCs w:val="19"/>
          <w:color w:val="auto"/>
        </w:rPr>
        <w:t>” means, on any date of determination, Consolidated EBITDA for the most recently ended fiscal quarter for which internal financial statements are available on or prior to the date of such determination, multiplied by four.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Premium</w:t>
      </w:r>
      <w:r>
        <w:rPr>
          <w:rFonts w:ascii="Arial" w:cs="Arial" w:eastAsia="Arial" w:hAnsi="Arial"/>
          <w:sz w:val="22"/>
          <w:szCs w:val="22"/>
          <w:color w:val="auto"/>
        </w:rPr>
        <w:t>” means, with respect to any Note on any Redemption Date, the greater of:</w:t>
      </w:r>
    </w:p>
    <w:p>
      <w:pPr>
        <w:spacing w:after="0" w:line="233" w:lineRule="exact"/>
        <w:rPr>
          <w:sz w:val="20"/>
          <w:szCs w:val="20"/>
          <w:color w:val="auto"/>
        </w:rPr>
      </w:pPr>
    </w:p>
    <w:p>
      <w:pPr>
        <w:ind w:left="2100" w:hanging="796"/>
        <w:spacing w:after="0"/>
        <w:tabs>
          <w:tab w:leader="none" w:pos="2100" w:val="left"/>
        </w:tabs>
        <w:numPr>
          <w:ilvl w:val="0"/>
          <w:numId w:val="3"/>
        </w:numPr>
        <w:rPr>
          <w:rFonts w:ascii="Arial" w:cs="Arial" w:eastAsia="Arial" w:hAnsi="Arial"/>
          <w:sz w:val="22"/>
          <w:szCs w:val="22"/>
          <w:color w:val="auto"/>
        </w:rPr>
      </w:pPr>
      <w:r>
        <w:rPr>
          <w:rFonts w:ascii="Arial" w:cs="Arial" w:eastAsia="Arial" w:hAnsi="Arial"/>
          <w:sz w:val="22"/>
          <w:szCs w:val="22"/>
          <w:color w:val="auto"/>
        </w:rPr>
        <w:t>1.0% of the principal amount of such Note; and</w:t>
      </w:r>
    </w:p>
    <w:p>
      <w:pPr>
        <w:spacing w:after="0" w:line="233" w:lineRule="exact"/>
        <w:rPr>
          <w:rFonts w:ascii="Arial" w:cs="Arial" w:eastAsia="Arial" w:hAnsi="Arial"/>
          <w:sz w:val="22"/>
          <w:szCs w:val="22"/>
          <w:color w:val="auto"/>
        </w:rPr>
      </w:pPr>
    </w:p>
    <w:p>
      <w:pPr>
        <w:jc w:val="both"/>
        <w:ind w:left="660" w:firstLine="644"/>
        <w:spacing w:after="0" w:line="248" w:lineRule="auto"/>
        <w:tabs>
          <w:tab w:leader="none" w:pos="2163"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the excess, if any, of (a) the present value at such Redemption Date of (i) the redemption price of such Note at March 31, 2023 (such redemption price being set forth in the table appearing in </w:t>
      </w:r>
      <w:r>
        <w:rPr>
          <w:rFonts w:ascii="Arial" w:cs="Arial" w:eastAsia="Arial" w:hAnsi="Arial"/>
          <w:sz w:val="21"/>
          <w:szCs w:val="21"/>
          <w:u w:val="single" w:color="auto"/>
          <w:color w:val="auto"/>
        </w:rPr>
        <w:t>Section 3.07(b)</w:t>
      </w:r>
      <w:r>
        <w:rPr>
          <w:rFonts w:ascii="Arial" w:cs="Arial" w:eastAsia="Arial" w:hAnsi="Arial"/>
          <w:sz w:val="21"/>
          <w:szCs w:val="21"/>
          <w:color w:val="auto"/>
        </w:rPr>
        <w:t xml:space="preserv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all required remaining scheduled interest payments due on such Note through March 31, 2023 (excluding accrued but unpaid interest to the Redemption Date), computed by the Issuer on a semi-annual basis (assuming a 360-day year consisting of twelve 30-day months) using a discount rate equal to the Treasury Rate as of such Redemption Date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50 basis points; over (b) the principal amount of such Note.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Calculation of the Applicable Premium will be made by the Issuer and shall not be a duty or obligation of the Trustee.</w:t>
      </w:r>
    </w:p>
    <w:p>
      <w:pPr>
        <w:spacing w:after="0" w:line="268"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Procedures</w:t>
      </w:r>
      <w:r>
        <w:rPr>
          <w:rFonts w:ascii="Arial" w:cs="Arial" w:eastAsia="Arial" w:hAnsi="Arial"/>
          <w:sz w:val="19"/>
          <w:szCs w:val="19"/>
          <w:color w:val="auto"/>
        </w:rPr>
        <w:t>” means, with respect to any transfer or exchange of or for beneficial interests in any Global Note, the rules and procedures of the Depositary, Euroclear and/or Clearstream that apply to such transfer or exchange.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means:</w:t>
      </w:r>
    </w:p>
    <w:p>
      <w:pPr>
        <w:spacing w:after="0" w:line="234" w:lineRule="exact"/>
        <w:rPr>
          <w:sz w:val="20"/>
          <w:szCs w:val="20"/>
          <w:color w:val="auto"/>
        </w:rPr>
      </w:pPr>
    </w:p>
    <w:p>
      <w:pPr>
        <w:jc w:val="both"/>
        <w:ind w:left="4" w:firstLine="644"/>
        <w:spacing w:after="0"/>
        <w:tabs>
          <w:tab w:leader="none" w:pos="155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sale, conveyance, transfer or other disposition, whether in a single transaction or a series of related transactions, of property or assets (including by way of a Sale and Lease-Back Transaction) of the Issuer or any of its Restricted Subsidiaries (a “</w:t>
      </w:r>
      <w:r>
        <w:rPr>
          <w:rFonts w:ascii="Arial" w:cs="Arial" w:eastAsia="Arial" w:hAnsi="Arial"/>
          <w:sz w:val="22"/>
          <w:szCs w:val="22"/>
          <w:u w:val="single" w:color="auto"/>
          <w:color w:val="auto"/>
        </w:rPr>
        <w:t>Disposition</w:t>
      </w:r>
      <w:r>
        <w:rPr>
          <w:rFonts w:ascii="Arial" w:cs="Arial" w:eastAsia="Arial" w:hAnsi="Arial"/>
          <w:sz w:val="22"/>
          <w:szCs w:val="22"/>
          <w:color w:val="auto"/>
        </w:rPr>
        <w:t>”); or</w:t>
      </w:r>
    </w:p>
    <w:p>
      <w:pPr>
        <w:spacing w:after="0" w:line="213" w:lineRule="exact"/>
        <w:rPr>
          <w:rFonts w:ascii="Arial" w:cs="Arial" w:eastAsia="Arial" w:hAnsi="Arial"/>
          <w:sz w:val="22"/>
          <w:szCs w:val="22"/>
          <w:color w:val="auto"/>
        </w:rPr>
      </w:pPr>
    </w:p>
    <w:p>
      <w:pPr>
        <w:jc w:val="both"/>
        <w:ind w:left="4" w:firstLine="644"/>
        <w:spacing w:after="0"/>
        <w:tabs>
          <w:tab w:leader="none" w:pos="1764"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the sale of Equity Interests of any Restricted Subsidiary (other than Preferred Stock of Restricted Subsidiaries issued in compliance with </w:t>
      </w:r>
      <w:r>
        <w:rPr>
          <w:rFonts w:ascii="Arial" w:cs="Arial" w:eastAsia="Arial" w:hAnsi="Arial"/>
          <w:sz w:val="22"/>
          <w:szCs w:val="22"/>
          <w:u w:val="single" w:color="auto"/>
          <w:color w:val="auto"/>
        </w:rPr>
        <w:t>Section 4.09</w:t>
      </w:r>
      <w:r>
        <w:rPr>
          <w:rFonts w:ascii="Arial" w:cs="Arial" w:eastAsia="Arial" w:hAnsi="Arial"/>
          <w:sz w:val="22"/>
          <w:szCs w:val="22"/>
          <w:color w:val="auto"/>
        </w:rPr>
        <w:t>), whether in a single transaction or a series of related transactions and whether effected pursuant to a Division or otherwise; in each case, other than:</w:t>
      </w:r>
    </w:p>
    <w:p>
      <w:pPr>
        <w:spacing w:after="0" w:line="213" w:lineRule="exact"/>
        <w:rPr>
          <w:sz w:val="20"/>
          <w:szCs w:val="20"/>
          <w:color w:val="auto"/>
        </w:rPr>
      </w:pPr>
    </w:p>
    <w:p>
      <w:pPr>
        <w:jc w:val="both"/>
        <w:ind w:left="4" w:firstLine="644"/>
        <w:spacing w:after="0"/>
        <w:tabs>
          <w:tab w:leader="none" w:pos="1585"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the Disposition of all or substantially all of the assets of the Issuer or any Restricted Subsidiary in a manner permitted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or any Disposition that constitutes a Change of Control pursuant to this Indenture;</w:t>
      </w:r>
    </w:p>
    <w:p>
      <w:pPr>
        <w:spacing w:after="0" w:line="213" w:lineRule="exact"/>
        <w:rPr>
          <w:rFonts w:ascii="Arial" w:cs="Arial" w:eastAsia="Arial" w:hAnsi="Arial"/>
          <w:sz w:val="22"/>
          <w:szCs w:val="22"/>
          <w:color w:val="auto"/>
        </w:rPr>
      </w:pPr>
    </w:p>
    <w:p>
      <w:pPr>
        <w:ind w:left="4" w:firstLine="644"/>
        <w:spacing w:after="0" w:line="250" w:lineRule="auto"/>
        <w:tabs>
          <w:tab w:leader="none" w:pos="1462" w:val="left"/>
        </w:tabs>
        <w:numPr>
          <w:ilvl w:val="1"/>
          <w:numId w:val="5"/>
        </w:numPr>
        <w:rPr>
          <w:rFonts w:ascii="Arial" w:cs="Arial" w:eastAsia="Arial" w:hAnsi="Arial"/>
          <w:sz w:val="22"/>
          <w:szCs w:val="22"/>
          <w:color w:val="auto"/>
        </w:rPr>
      </w:pPr>
      <w:r>
        <w:rPr>
          <w:rFonts w:ascii="Arial" w:cs="Arial" w:eastAsia="Arial" w:hAnsi="Arial"/>
          <w:sz w:val="22"/>
          <w:szCs w:val="22"/>
          <w:color w:val="auto"/>
        </w:rPr>
        <w:t>Dispositions (including of Equity Interests issued by any Restricted Subsidiary) among the Issuer and/or any Restricted Subsidiary (upon voluntary liquidation or otherwise);</w:t>
      </w:r>
    </w:p>
    <w:p>
      <w:pPr>
        <w:spacing w:after="0" w:line="201" w:lineRule="exact"/>
        <w:rPr>
          <w:rFonts w:ascii="Arial" w:cs="Arial" w:eastAsia="Arial" w:hAnsi="Arial"/>
          <w:sz w:val="22"/>
          <w:szCs w:val="22"/>
          <w:color w:val="auto"/>
        </w:rPr>
      </w:pPr>
    </w:p>
    <w:p>
      <w:pPr>
        <w:jc w:val="both"/>
        <w:ind w:left="4" w:firstLine="644"/>
        <w:spacing w:after="0" w:line="275" w:lineRule="auto"/>
        <w:tabs>
          <w:tab w:leader="none" w:pos="1454" w:val="left"/>
        </w:tabs>
        <w:numPr>
          <w:ilvl w:val="1"/>
          <w:numId w:val="5"/>
        </w:numPr>
        <w:rPr>
          <w:rFonts w:ascii="Arial" w:cs="Arial" w:eastAsia="Arial" w:hAnsi="Arial"/>
          <w:sz w:val="19"/>
          <w:szCs w:val="19"/>
          <w:color w:val="auto"/>
        </w:rPr>
      </w:pPr>
      <w:r>
        <w:rPr>
          <w:rFonts w:ascii="Arial" w:cs="Arial" w:eastAsia="Arial" w:hAnsi="Arial"/>
          <w:sz w:val="19"/>
          <w:szCs w:val="19"/>
          <w:color w:val="auto"/>
        </w:rPr>
        <w:t xml:space="preserve">(i) the liquidation or dissolution of any Restricted Subsidiary if the Issuer determines in good faith that such liquidation or dissolution is in the best interests of the Issuer or such Restricted Subsidiary, is not materially disadvantageous to the Holders, and the Issuer or any Restricted Subsidiary receives any assets of the relevant dissolved or liquidated Restricted Subsidiary, (ii) any merger, amalgamation, dissolution, liquidation or consolidation, the purpose of which is to effect (A) any Disposition referred to in clauses (d) through (jj) of this definition or (B) any Permitted Investment or any Investment permitted under </w:t>
      </w:r>
      <w:r>
        <w:rPr>
          <w:rFonts w:ascii="Arial" w:cs="Arial" w:eastAsia="Arial" w:hAnsi="Arial"/>
          <w:sz w:val="19"/>
          <w:szCs w:val="19"/>
          <w:u w:val="single" w:color="auto"/>
          <w:color w:val="auto"/>
        </w:rPr>
        <w:t>Section 4.07</w:t>
      </w:r>
      <w:r>
        <w:rPr>
          <w:rFonts w:ascii="Arial" w:cs="Arial" w:eastAsia="Arial" w:hAnsi="Arial"/>
          <w:sz w:val="19"/>
          <w:szCs w:val="19"/>
          <w:color w:val="auto"/>
        </w:rPr>
        <w:t>; and (iii) the conversion of the Issuer or any Restricted Subsidiary into another form of entity (and solely with respect to the Issuer, organized in the U.S., any state thereof or the District of Columbia), so long as such conversion does not adversely affect the Note Guarantees, taken as a whole;</w:t>
      </w:r>
    </w:p>
    <w:p>
      <w:pPr>
        <w:spacing w:after="0" w:line="184" w:lineRule="exact"/>
        <w:rPr>
          <w:rFonts w:ascii="Arial" w:cs="Arial" w:eastAsia="Arial" w:hAnsi="Arial"/>
          <w:sz w:val="19"/>
          <w:szCs w:val="19"/>
          <w:color w:val="auto"/>
        </w:rPr>
      </w:pPr>
    </w:p>
    <w:p>
      <w:pPr>
        <w:jc w:val="both"/>
        <w:ind w:left="4" w:firstLine="644"/>
        <w:spacing w:after="0" w:line="270" w:lineRule="auto"/>
        <w:tabs>
          <w:tab w:leader="none" w:pos="1456" w:val="left"/>
        </w:tabs>
        <w:numPr>
          <w:ilvl w:val="1"/>
          <w:numId w:val="5"/>
        </w:numPr>
        <w:rPr>
          <w:rFonts w:ascii="Arial" w:cs="Arial" w:eastAsia="Arial" w:hAnsi="Arial"/>
          <w:sz w:val="19"/>
          <w:szCs w:val="19"/>
          <w:color w:val="auto"/>
        </w:rPr>
      </w:pPr>
      <w:r>
        <w:rPr>
          <w:rFonts w:ascii="Arial" w:cs="Arial" w:eastAsia="Arial" w:hAnsi="Arial"/>
          <w:sz w:val="19"/>
          <w:szCs w:val="19"/>
          <w:color w:val="auto"/>
        </w:rPr>
        <w:t>(i)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Issuer and its Restricted Subsidiaries), (ii) the conversion of accounts receivable for notes receivable or other Dispositions of accounts receivable in connection with the collection or compromise thereof and</w:t>
      </w:r>
    </w:p>
    <w:p>
      <w:pPr>
        <w:spacing w:after="0" w:line="4" w:lineRule="exact"/>
        <w:rPr>
          <w:rFonts w:ascii="Arial" w:cs="Arial" w:eastAsia="Arial" w:hAnsi="Arial"/>
          <w:sz w:val="19"/>
          <w:szCs w:val="19"/>
          <w:color w:val="auto"/>
        </w:rPr>
      </w:pPr>
    </w:p>
    <w:p>
      <w:pPr>
        <w:jc w:val="both"/>
        <w:ind w:left="4" w:hanging="4"/>
        <w:spacing w:after="0" w:line="233" w:lineRule="auto"/>
        <w:tabs>
          <w:tab w:leader="none" w:pos="382"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spacing w:after="0" w:line="390"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3" w:name="page14"/>
    <w:bookmarkEnd w:id="13"/>
    <w:p>
      <w:pPr>
        <w:jc w:val="both"/>
        <w:ind w:left="4" w:firstLine="644"/>
        <w:spacing w:after="0" w:line="297" w:lineRule="auto"/>
        <w:tabs>
          <w:tab w:leader="none" w:pos="1552" w:val="left"/>
        </w:tabs>
        <w:numPr>
          <w:ilvl w:val="1"/>
          <w:numId w:val="7"/>
        </w:numPr>
        <w:rPr>
          <w:rFonts w:ascii="Arial" w:cs="Arial" w:eastAsia="Arial" w:hAnsi="Arial"/>
          <w:sz w:val="19"/>
          <w:szCs w:val="19"/>
          <w:color w:val="auto"/>
        </w:rPr>
      </w:pPr>
      <w:r>
        <w:rPr>
          <w:rFonts w:ascii="Arial" w:cs="Arial" w:eastAsia="Arial" w:hAnsi="Arial"/>
          <w:sz w:val="19"/>
          <w:szCs w:val="19"/>
          <w:color w:val="auto"/>
        </w:rPr>
        <w:t>Dispositions of surplus, obsolete, damaged, used or worn out property or other property (including IP Rights) that, in the reasonable judgment of the Issuer, is (i) no longer used or useful in its business (or in the business of any Restricted Subsidiary of the Issuer) or (ii) otherwise economically impracticable to maintain;</w:t>
      </w:r>
    </w:p>
    <w:p>
      <w:pPr>
        <w:spacing w:after="0" w:line="161" w:lineRule="exact"/>
        <w:rPr>
          <w:rFonts w:ascii="Arial" w:cs="Arial" w:eastAsia="Arial" w:hAnsi="Arial"/>
          <w:sz w:val="19"/>
          <w:szCs w:val="19"/>
          <w:color w:val="auto"/>
        </w:rPr>
      </w:pPr>
    </w:p>
    <w:p>
      <w:pPr>
        <w:ind w:left="4" w:firstLine="644"/>
        <w:spacing w:after="0" w:line="250" w:lineRule="auto"/>
        <w:tabs>
          <w:tab w:leader="none" w:pos="1315"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Dispositions of cash, Cash Equivalents, and/or Investment Grade Assets and/or other assets that were Cash Equivalents or Investment Grade Assets when the relevant original Investment was made;</w:t>
      </w:r>
    </w:p>
    <w:p>
      <w:pPr>
        <w:spacing w:after="0" w:line="201" w:lineRule="exact"/>
        <w:rPr>
          <w:rFonts w:ascii="Arial" w:cs="Arial" w:eastAsia="Arial" w:hAnsi="Arial"/>
          <w:sz w:val="22"/>
          <w:szCs w:val="22"/>
          <w:color w:val="auto"/>
        </w:rPr>
      </w:pPr>
    </w:p>
    <w:p>
      <w:pPr>
        <w:jc w:val="both"/>
        <w:ind w:left="4" w:firstLine="644"/>
        <w:spacing w:after="0" w:line="276" w:lineRule="auto"/>
        <w:tabs>
          <w:tab w:leader="none" w:pos="1754" w:val="left"/>
        </w:tabs>
        <w:numPr>
          <w:ilvl w:val="1"/>
          <w:numId w:val="7"/>
        </w:numPr>
        <w:rPr>
          <w:rFonts w:ascii="Arial" w:cs="Arial" w:eastAsia="Arial" w:hAnsi="Arial"/>
          <w:sz w:val="19"/>
          <w:szCs w:val="19"/>
          <w:color w:val="auto"/>
        </w:rPr>
      </w:pPr>
      <w:r>
        <w:rPr>
          <w:rFonts w:ascii="Arial" w:cs="Arial" w:eastAsia="Arial" w:hAnsi="Arial"/>
          <w:sz w:val="19"/>
          <w:szCs w:val="19"/>
          <w:color w:val="auto"/>
        </w:rPr>
        <w:t>Dispositions, mergers, amalgamations, consolidations or conveyances that constitute (i) Permitted Investments (other than pursuant to clause (j) of the definition thereof), (ii) Liens not prohibited under this Indenture or</w:t>
      </w:r>
    </w:p>
    <w:p>
      <w:pPr>
        <w:spacing w:after="0" w:line="1" w:lineRule="exact"/>
        <w:rPr>
          <w:rFonts w:ascii="Arial" w:cs="Arial" w:eastAsia="Arial" w:hAnsi="Arial"/>
          <w:sz w:val="19"/>
          <w:szCs w:val="19"/>
          <w:color w:val="auto"/>
        </w:rPr>
      </w:pPr>
    </w:p>
    <w:p>
      <w:pPr>
        <w:ind w:left="384" w:hanging="384"/>
        <w:spacing w:after="0"/>
        <w:tabs>
          <w:tab w:leader="none" w:pos="384"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Restricted Payments permitted to be made, and that are made, under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4.07(b)(ix)</w:t>
      </w:r>
      <w:r>
        <w:rPr>
          <w:rFonts w:ascii="Arial" w:cs="Arial" w:eastAsia="Arial" w:hAnsi="Arial"/>
          <w:sz w:val="19"/>
          <w:szCs w:val="19"/>
          <w:color w:val="auto"/>
        </w:rPr>
        <w:t>);</w:t>
      </w:r>
    </w:p>
    <w:p>
      <w:pPr>
        <w:spacing w:after="0" w:line="249" w:lineRule="exact"/>
        <w:rPr>
          <w:rFonts w:ascii="Arial" w:cs="Arial" w:eastAsia="Arial" w:hAnsi="Arial"/>
          <w:sz w:val="19"/>
          <w:szCs w:val="19"/>
          <w:color w:val="auto"/>
        </w:rPr>
      </w:pPr>
    </w:p>
    <w:p>
      <w:pPr>
        <w:ind w:left="1444" w:hanging="796"/>
        <w:spacing w:after="0"/>
        <w:tabs>
          <w:tab w:leader="none" w:pos="1444" w:val="left"/>
        </w:tabs>
        <w:numPr>
          <w:ilvl w:val="1"/>
          <w:numId w:val="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 w:firstLine="644"/>
        <w:spacing w:after="0"/>
        <w:tabs>
          <w:tab w:leader="none" w:pos="1505" w:val="left"/>
        </w:tabs>
        <w:numPr>
          <w:ilvl w:val="1"/>
          <w:numId w:val="8"/>
        </w:numPr>
        <w:rPr>
          <w:rFonts w:ascii="Arial" w:cs="Arial" w:eastAsia="Arial" w:hAnsi="Arial"/>
          <w:sz w:val="22"/>
          <w:szCs w:val="22"/>
          <w:color w:val="auto"/>
        </w:rPr>
      </w:pPr>
      <w:r>
        <w:rPr>
          <w:rFonts w:ascii="Arial" w:cs="Arial" w:eastAsia="Arial" w:hAnsi="Arial"/>
          <w:sz w:val="22"/>
          <w:szCs w:val="22"/>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213" w:lineRule="exact"/>
        <w:rPr>
          <w:rFonts w:ascii="Arial" w:cs="Arial" w:eastAsia="Arial" w:hAnsi="Arial"/>
          <w:sz w:val="22"/>
          <w:szCs w:val="22"/>
          <w:color w:val="auto"/>
        </w:rPr>
      </w:pPr>
    </w:p>
    <w:p>
      <w:pPr>
        <w:jc w:val="both"/>
        <w:ind w:left="4" w:firstLine="644"/>
        <w:spacing w:after="0"/>
        <w:tabs>
          <w:tab w:leader="none" w:pos="1612" w:val="left"/>
        </w:tabs>
        <w:numPr>
          <w:ilvl w:val="1"/>
          <w:numId w:val="8"/>
        </w:numPr>
        <w:rPr>
          <w:rFonts w:ascii="Arial" w:cs="Arial" w:eastAsia="Arial" w:hAnsi="Arial"/>
          <w:sz w:val="22"/>
          <w:szCs w:val="22"/>
          <w:color w:val="auto"/>
        </w:rPr>
      </w:pPr>
      <w:r>
        <w:rPr>
          <w:rFonts w:ascii="Arial" w:cs="Arial" w:eastAsia="Arial" w:hAnsi="Arial"/>
          <w:sz w:val="22"/>
          <w:szCs w:val="22"/>
          <w:color w:val="auto"/>
        </w:rPr>
        <w:t>Dispositions of Investments in joint ventures to the extent required by, or made pursuant to, buy/sell and/or put/call arrangements between joint venture or similar parties set forth in the relevant joint venture arrangements and/or similar binding arrangements;</w:t>
      </w:r>
    </w:p>
    <w:p>
      <w:pPr>
        <w:spacing w:after="0" w:line="213" w:lineRule="exact"/>
        <w:rPr>
          <w:rFonts w:ascii="Arial" w:cs="Arial" w:eastAsia="Arial" w:hAnsi="Arial"/>
          <w:sz w:val="22"/>
          <w:szCs w:val="22"/>
          <w:color w:val="auto"/>
        </w:rPr>
      </w:pPr>
    </w:p>
    <w:p>
      <w:pPr>
        <w:jc w:val="both"/>
        <w:ind w:left="4" w:firstLine="644"/>
        <w:spacing w:after="0" w:line="282" w:lineRule="auto"/>
        <w:tabs>
          <w:tab w:leader="none" w:pos="1644" w:val="left"/>
        </w:tabs>
        <w:numPr>
          <w:ilvl w:val="1"/>
          <w:numId w:val="8"/>
        </w:numPr>
        <w:rPr>
          <w:rFonts w:ascii="Arial" w:cs="Arial" w:eastAsia="Arial" w:hAnsi="Arial"/>
          <w:sz w:val="19"/>
          <w:szCs w:val="19"/>
          <w:color w:val="auto"/>
        </w:rPr>
      </w:pPr>
      <w:r>
        <w:rPr>
          <w:rFonts w:ascii="Arial" w:cs="Arial" w:eastAsia="Arial" w:hAnsi="Arial"/>
          <w:sz w:val="19"/>
          <w:szCs w:val="19"/>
          <w:color w:val="auto"/>
        </w:rPr>
        <w:t>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w:t>
      </w:r>
    </w:p>
    <w:p>
      <w:pPr>
        <w:spacing w:after="0" w:line="174" w:lineRule="exact"/>
        <w:rPr>
          <w:rFonts w:ascii="Arial" w:cs="Arial" w:eastAsia="Arial" w:hAnsi="Arial"/>
          <w:sz w:val="19"/>
          <w:szCs w:val="19"/>
          <w:color w:val="auto"/>
        </w:rPr>
      </w:pPr>
    </w:p>
    <w:p>
      <w:pPr>
        <w:jc w:val="both"/>
        <w:ind w:left="4" w:firstLine="644"/>
        <w:spacing w:after="0" w:line="238" w:lineRule="auto"/>
        <w:tabs>
          <w:tab w:leader="none" w:pos="1494" w:val="left"/>
        </w:tabs>
        <w:numPr>
          <w:ilvl w:val="1"/>
          <w:numId w:val="8"/>
        </w:numPr>
        <w:rPr>
          <w:rFonts w:ascii="Arial" w:cs="Arial" w:eastAsia="Arial" w:hAnsi="Arial"/>
          <w:sz w:val="22"/>
          <w:szCs w:val="22"/>
          <w:color w:val="auto"/>
        </w:rPr>
      </w:pPr>
      <w:r>
        <w:rPr>
          <w:rFonts w:ascii="Arial" w:cs="Arial" w:eastAsia="Arial" w:hAnsi="Arial"/>
          <w:sz w:val="22"/>
          <w:szCs w:val="22"/>
          <w:color w:val="auto"/>
        </w:rPr>
        <w:t>Dispositions and/or terminations of leases, subleases, licenses or sublicenses (including the provision of software under any open source license), (i) the Disposition or termination of which will not materially interfere with the business of the Issuer and its Restricted Subsidiaries or (ii) that relate to closed facilities or the discontinuation of any product or business line;</w:t>
      </w:r>
    </w:p>
    <w:p>
      <w:pPr>
        <w:spacing w:after="0" w:line="211" w:lineRule="exact"/>
        <w:rPr>
          <w:rFonts w:ascii="Arial" w:cs="Arial" w:eastAsia="Arial" w:hAnsi="Arial"/>
          <w:sz w:val="22"/>
          <w:szCs w:val="22"/>
          <w:color w:val="auto"/>
        </w:rPr>
      </w:pPr>
    </w:p>
    <w:p>
      <w:pPr>
        <w:jc w:val="both"/>
        <w:ind w:left="4" w:firstLine="644"/>
        <w:spacing w:after="0" w:line="234" w:lineRule="auto"/>
        <w:tabs>
          <w:tab w:leader="none" w:pos="1565" w:val="left"/>
        </w:tabs>
        <w:numPr>
          <w:ilvl w:val="1"/>
          <w:numId w:val="8"/>
        </w:numPr>
        <w:rPr>
          <w:rFonts w:ascii="Arial" w:cs="Arial" w:eastAsia="Arial" w:hAnsi="Arial"/>
          <w:sz w:val="22"/>
          <w:szCs w:val="22"/>
          <w:color w:val="auto"/>
        </w:rPr>
      </w:pPr>
      <w:r>
        <w:rPr>
          <w:rFonts w:ascii="Arial" w:cs="Arial" w:eastAsia="Arial" w:hAnsi="Arial"/>
          <w:sz w:val="22"/>
          <w:szCs w:val="22"/>
          <w:color w:val="auto"/>
        </w:rPr>
        <w:t>(i)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Issuer determines in good faith that such action is in the best interests of the Issuer and the Restricted Subsidiaries, taken as a whole, and is not materially disadvantageous to the Holders;</w:t>
      </w:r>
    </w:p>
    <w:p>
      <w:pPr>
        <w:spacing w:after="0" w:line="396"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4" w:name="page15"/>
    <w:bookmarkEnd w:id="14"/>
    <w:p>
      <w:pPr>
        <w:jc w:val="both"/>
        <w:ind w:left="-460" w:firstLine="644"/>
        <w:spacing w:after="0" w:line="236" w:lineRule="auto"/>
        <w:tabs>
          <w:tab w:leader="none" w:pos="1184" w:val="left"/>
        </w:tabs>
        <w:numPr>
          <w:ilvl w:val="0"/>
          <w:numId w:val="9"/>
        </w:numPr>
        <w:rPr>
          <w:rFonts w:ascii="Arial" w:cs="Arial" w:eastAsia="Arial" w:hAnsi="Arial"/>
          <w:sz w:val="22"/>
          <w:szCs w:val="22"/>
          <w:color w:val="auto"/>
        </w:rPr>
      </w:pPr>
      <w:r>
        <w:rPr>
          <w:rFonts w:ascii="Arial" w:cs="Arial" w:eastAsia="Arial" w:hAnsi="Arial"/>
          <w:sz w:val="22"/>
          <w:szCs w:val="22"/>
          <w:color w:val="auto"/>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spacing w:after="0" w:line="214" w:lineRule="exact"/>
        <w:rPr>
          <w:rFonts w:ascii="Arial" w:cs="Arial" w:eastAsia="Arial" w:hAnsi="Arial"/>
          <w:sz w:val="22"/>
          <w:szCs w:val="22"/>
          <w:color w:val="auto"/>
        </w:rPr>
      </w:pPr>
    </w:p>
    <w:p>
      <w:pPr>
        <w:jc w:val="both"/>
        <w:ind w:left="-460" w:firstLine="644"/>
        <w:spacing w:after="0"/>
        <w:tabs>
          <w:tab w:leader="none" w:pos="1139" w:val="left"/>
        </w:tabs>
        <w:numPr>
          <w:ilvl w:val="0"/>
          <w:numId w:val="9"/>
        </w:numPr>
        <w:rPr>
          <w:rFonts w:ascii="Arial" w:cs="Arial" w:eastAsia="Arial" w:hAnsi="Arial"/>
          <w:sz w:val="22"/>
          <w:szCs w:val="22"/>
          <w:color w:val="auto"/>
        </w:rPr>
      </w:pPr>
      <w:r>
        <w:rPr>
          <w:rFonts w:ascii="Arial" w:cs="Arial" w:eastAsia="Arial" w:hAnsi="Arial"/>
          <w:sz w:val="22"/>
          <w:szCs w:val="22"/>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213" w:lineRule="exact"/>
        <w:rPr>
          <w:rFonts w:ascii="Arial" w:cs="Arial" w:eastAsia="Arial" w:hAnsi="Arial"/>
          <w:sz w:val="22"/>
          <w:szCs w:val="22"/>
          <w:color w:val="auto"/>
        </w:rPr>
      </w:pPr>
    </w:p>
    <w:p>
      <w:pPr>
        <w:ind w:left="980" w:hanging="796"/>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257" w:lineRule="auto"/>
        <w:tabs>
          <w:tab w:leader="none" w:pos="1052" w:val="left"/>
        </w:tabs>
        <w:numPr>
          <w:ilvl w:val="0"/>
          <w:numId w:val="9"/>
        </w:numPr>
        <w:rPr>
          <w:rFonts w:ascii="Arial" w:cs="Arial" w:eastAsia="Arial" w:hAnsi="Arial"/>
          <w:sz w:val="21"/>
          <w:szCs w:val="21"/>
          <w:color w:val="auto"/>
        </w:rPr>
      </w:pPr>
      <w:r>
        <w:rPr>
          <w:rFonts w:ascii="Arial" w:cs="Arial" w:eastAsia="Arial" w:hAnsi="Arial"/>
          <w:sz w:val="21"/>
          <w:szCs w:val="21"/>
          <w:color w:val="auto"/>
        </w:rPr>
        <w:t>Dispositions of non-core assets (including Equity Interests) and sales of real estate assets acquired in a transaction after the Issue Date that the Issuer determines in good faith will not be used or useful for the continued operation of the Issuer or any of its Restricted Subsidiaries or any of their respective businesses;</w:t>
      </w:r>
    </w:p>
    <w:p>
      <w:pPr>
        <w:spacing w:after="0" w:line="196" w:lineRule="exact"/>
        <w:rPr>
          <w:rFonts w:ascii="Arial" w:cs="Arial" w:eastAsia="Arial" w:hAnsi="Arial"/>
          <w:sz w:val="21"/>
          <w:szCs w:val="21"/>
          <w:color w:val="auto"/>
        </w:rPr>
      </w:pPr>
    </w:p>
    <w:p>
      <w:pPr>
        <w:jc w:val="both"/>
        <w:ind w:left="-460" w:firstLine="644"/>
        <w:spacing w:after="0"/>
        <w:tabs>
          <w:tab w:leader="none" w:pos="1135"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exchanges or swaps, including transactions covered by Section 1031 of the Code (or any comparable provision of any foreign jurisdiction), of assets so long as any such exchange or swap is made for fair value (as reasonably determined by the Issuer) for like assets;</w:t>
      </w:r>
    </w:p>
    <w:p>
      <w:pPr>
        <w:spacing w:after="0" w:line="213" w:lineRule="exact"/>
        <w:rPr>
          <w:rFonts w:ascii="Arial" w:cs="Arial" w:eastAsia="Arial" w:hAnsi="Arial"/>
          <w:sz w:val="22"/>
          <w:szCs w:val="22"/>
          <w:color w:val="auto"/>
        </w:rPr>
      </w:pPr>
    </w:p>
    <w:p>
      <w:pPr>
        <w:ind w:left="960" w:hanging="776"/>
        <w:spacing w:after="0"/>
        <w:tabs>
          <w:tab w:leader="none" w:pos="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246" w:lineRule="auto"/>
        <w:tabs>
          <w:tab w:leader="none" w:pos="1266" w:val="left"/>
        </w:tabs>
        <w:numPr>
          <w:ilvl w:val="0"/>
          <w:numId w:val="9"/>
        </w:numPr>
        <w:rPr>
          <w:rFonts w:ascii="Arial" w:cs="Arial" w:eastAsia="Arial" w:hAnsi="Arial"/>
          <w:sz w:val="21"/>
          <w:szCs w:val="21"/>
          <w:color w:val="auto"/>
        </w:rPr>
      </w:pPr>
      <w:r>
        <w:rPr>
          <w:rFonts w:ascii="Arial" w:cs="Arial" w:eastAsia="Arial" w:hAnsi="Arial"/>
          <w:sz w:val="21"/>
          <w:szCs w:val="21"/>
          <w:color w:val="auto"/>
        </w:rPr>
        <w:t>(i) licensing, sub-licensing and cross-licensing arrangements involving any technology, intellectual property, other IP Rights or other general intangibles of the Issuer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Issuer, are not material to the conduct of the business of the Issuer and its Restricted Subsidiaries, taken as a whole, or are no longer economically practicable or commercially reasonable to maintain;</w:t>
      </w:r>
    </w:p>
    <w:p>
      <w:pPr>
        <w:spacing w:after="0" w:line="211" w:lineRule="exact"/>
        <w:rPr>
          <w:rFonts w:ascii="Arial" w:cs="Arial" w:eastAsia="Arial" w:hAnsi="Arial"/>
          <w:sz w:val="21"/>
          <w:szCs w:val="21"/>
          <w:color w:val="auto"/>
        </w:rPr>
      </w:pPr>
    </w:p>
    <w:p>
      <w:pPr>
        <w:ind w:left="980" w:hanging="796"/>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terminations or unwinds of Derivative Transactions and Banking Services;</w:t>
      </w:r>
    </w:p>
    <w:p>
      <w:pPr>
        <w:spacing w:after="0" w:line="233" w:lineRule="exact"/>
        <w:rPr>
          <w:rFonts w:ascii="Arial" w:cs="Arial" w:eastAsia="Arial" w:hAnsi="Arial"/>
          <w:sz w:val="22"/>
          <w:szCs w:val="22"/>
          <w:color w:val="auto"/>
        </w:rPr>
      </w:pPr>
    </w:p>
    <w:p>
      <w:pPr>
        <w:jc w:val="both"/>
        <w:ind w:left="-460" w:firstLine="644"/>
        <w:spacing w:after="0"/>
        <w:tabs>
          <w:tab w:leader="none" w:pos="1144"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5" w:name="page16"/>
    <w:bookmarkEnd w:id="15"/>
    <w:p>
      <w:pPr>
        <w:jc w:val="both"/>
        <w:ind w:left="-460" w:firstLine="644"/>
        <w:spacing w:after="0" w:line="238" w:lineRule="auto"/>
        <w:tabs>
          <w:tab w:leader="none" w:pos="942"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Dispositions of real estate assets and related assets in the ordinary course of business, consistent with past practice or consistent with industry norm of the Issuer and/or its Restricted Subsidiaries in connection with relocation activities for directors, officers, employees, members of management, managers, partners or consultants of the Issuer and/or any Restricted Subsidiary;</w:t>
      </w:r>
    </w:p>
    <w:p>
      <w:pPr>
        <w:spacing w:after="0" w:line="212" w:lineRule="exact"/>
        <w:rPr>
          <w:rFonts w:ascii="Arial" w:cs="Arial" w:eastAsia="Arial" w:hAnsi="Arial"/>
          <w:sz w:val="22"/>
          <w:szCs w:val="22"/>
          <w:color w:val="auto"/>
        </w:rPr>
      </w:pPr>
    </w:p>
    <w:p>
      <w:pPr>
        <w:jc w:val="both"/>
        <w:ind w:left="-460" w:firstLine="644"/>
        <w:spacing w:after="0"/>
        <w:tabs>
          <w:tab w:leader="none" w:pos="1253"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Dispositions made to comply with any order of any governmental authority or any applicable Requirements of Law (including the Dispositions of any assets (including Equity Interests) made to obtain the approval of any applicable antitrust authority in connection with any acquisition);</w:t>
      </w:r>
    </w:p>
    <w:p>
      <w:pPr>
        <w:spacing w:after="0" w:line="213" w:lineRule="exact"/>
        <w:rPr>
          <w:rFonts w:ascii="Arial" w:cs="Arial" w:eastAsia="Arial" w:hAnsi="Arial"/>
          <w:sz w:val="22"/>
          <w:szCs w:val="22"/>
          <w:color w:val="auto"/>
        </w:rPr>
      </w:pPr>
    </w:p>
    <w:p>
      <w:pPr>
        <w:jc w:val="both"/>
        <w:ind w:left="-460" w:firstLine="644"/>
        <w:spacing w:after="0"/>
        <w:tabs>
          <w:tab w:leader="none" w:pos="112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merger, consolidation, Disposition or conveyance the sole purpose of which is to reincorporate or reorganize (i) any Domestic Subsidiary in the U.S., any state thereof or the District of Columbia and/or (ii) any Foreign Subsidiary in the U.S. or any other jurisdiction;</w:t>
      </w:r>
    </w:p>
    <w:p>
      <w:pPr>
        <w:spacing w:after="0" w:line="213" w:lineRule="exact"/>
        <w:rPr>
          <w:rFonts w:ascii="Arial" w:cs="Arial" w:eastAsia="Arial" w:hAnsi="Arial"/>
          <w:sz w:val="22"/>
          <w:szCs w:val="22"/>
          <w:color w:val="auto"/>
        </w:rPr>
      </w:pPr>
    </w:p>
    <w:p>
      <w:pPr>
        <w:ind w:left="960" w:hanging="776"/>
        <w:spacing w:after="0"/>
        <w:tabs>
          <w:tab w:leader="none" w:pos="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sale of equipment purchased at the end of an operating lease and resold thereafter;</w:t>
      </w:r>
    </w:p>
    <w:p>
      <w:pPr>
        <w:spacing w:after="0" w:line="233" w:lineRule="exact"/>
        <w:rPr>
          <w:sz w:val="20"/>
          <w:szCs w:val="20"/>
          <w:color w:val="auto"/>
        </w:rPr>
      </w:pPr>
    </w:p>
    <w:p>
      <w:pPr>
        <w:ind w:left="960" w:hanging="776"/>
        <w:spacing w:after="0"/>
        <w:tabs>
          <w:tab w:leader="none" w:pos="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980" w:hanging="796"/>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sale of Equity Interests of the Issuer;</w:t>
      </w:r>
    </w:p>
    <w:p>
      <w:pPr>
        <w:spacing w:after="0" w:line="233" w:lineRule="exact"/>
        <w:rPr>
          <w:rFonts w:ascii="Arial" w:cs="Arial" w:eastAsia="Arial" w:hAnsi="Arial"/>
          <w:sz w:val="22"/>
          <w:szCs w:val="22"/>
          <w:color w:val="auto"/>
        </w:rPr>
      </w:pPr>
    </w:p>
    <w:p>
      <w:pPr>
        <w:ind w:left="960" w:hanging="776"/>
        <w:spacing w:after="0"/>
        <w:tabs>
          <w:tab w:leader="none" w:pos="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Disposition made in connection with any tax restructuring;</w:t>
      </w:r>
    </w:p>
    <w:p>
      <w:pPr>
        <w:spacing w:after="0" w:line="233" w:lineRule="exact"/>
        <w:rPr>
          <w:rFonts w:ascii="Arial" w:cs="Arial" w:eastAsia="Arial" w:hAnsi="Arial"/>
          <w:sz w:val="22"/>
          <w:szCs w:val="22"/>
          <w:color w:val="auto"/>
        </w:rPr>
      </w:pPr>
    </w:p>
    <w:p>
      <w:pPr>
        <w:ind w:left="-460" w:firstLine="644"/>
        <w:spacing w:after="0" w:line="328" w:lineRule="auto"/>
        <w:tabs>
          <w:tab w:leader="none" w:pos="1158"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financing transaction with respect to property built or acquired by the Issuer or any Restricted Subsidiary after the Issue Date, including Sale and Lease-Back Transactions and asset securitizations permitted hereby;</w:t>
      </w:r>
    </w:p>
    <w:p>
      <w:pPr>
        <w:spacing w:after="0" w:line="131" w:lineRule="exact"/>
        <w:rPr>
          <w:rFonts w:ascii="Arial" w:cs="Arial" w:eastAsia="Arial" w:hAnsi="Arial"/>
          <w:sz w:val="19"/>
          <w:szCs w:val="19"/>
          <w:color w:val="auto"/>
        </w:rPr>
      </w:pPr>
    </w:p>
    <w:p>
      <w:pPr>
        <w:jc w:val="both"/>
        <w:ind w:left="-460" w:firstLine="644"/>
        <w:spacing w:after="0" w:line="236" w:lineRule="auto"/>
        <w:tabs>
          <w:tab w:leader="none" w:pos="9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Disposition of Equity Interests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w:t>
      </w:r>
    </w:p>
    <w:p>
      <w:pPr>
        <w:spacing w:after="0" w:line="214" w:lineRule="exact"/>
        <w:rPr>
          <w:rFonts w:ascii="Arial" w:cs="Arial" w:eastAsia="Arial" w:hAnsi="Arial"/>
          <w:sz w:val="22"/>
          <w:szCs w:val="22"/>
          <w:color w:val="auto"/>
        </w:rPr>
      </w:pPr>
    </w:p>
    <w:p>
      <w:pPr>
        <w:jc w:val="both"/>
        <w:ind w:left="-460" w:firstLine="644"/>
        <w:spacing w:after="0"/>
        <w:tabs>
          <w:tab w:leader="none" w:pos="976"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any sale of property or assets, if the acquisition of such property or assets was financed with Excluded Contributions and the proceeds of such sale are used to make a Restricted Payment pursuant to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4.07(a)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4.07(b)(iii)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460" w:firstLine="644"/>
        <w:spacing w:after="0"/>
        <w:tabs>
          <w:tab w:leader="none" w:pos="1046"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Disposition of non-revenue producing assets to a Person who is providing services related to such assets, the provision of which have been or are to be outsourced by the Issuer or any Restricted Subsidiaries to such Person;</w:t>
      </w:r>
    </w:p>
    <w:p>
      <w:pPr>
        <w:spacing w:after="0" w:line="213" w:lineRule="exact"/>
        <w:rPr>
          <w:rFonts w:ascii="Arial" w:cs="Arial" w:eastAsia="Arial" w:hAnsi="Arial"/>
          <w:sz w:val="22"/>
          <w:szCs w:val="22"/>
          <w:color w:val="auto"/>
        </w:rPr>
      </w:pPr>
    </w:p>
    <w:p>
      <w:pPr>
        <w:jc w:val="both"/>
        <w:ind w:left="-460" w:firstLine="644"/>
        <w:spacing w:after="0" w:line="257" w:lineRule="auto"/>
        <w:tabs>
          <w:tab w:leader="none" w:pos="9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other Dispositions (including those of the type otherwise described herein) involving assets having a fair market value of not more than the greater of $20.0 million and 5.0% of Annualized EBITDA of the Issuer and its Restricted Subsidiaries (measured at the time of contractually agreeing to such Disposition);</w:t>
      </w:r>
    </w:p>
    <w:p>
      <w:pPr>
        <w:spacing w:after="0" w:line="374"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6" w:name="page17"/>
    <w:bookmarkEnd w:id="16"/>
    <w:p>
      <w:pPr>
        <w:ind w:left="660" w:firstLine="644"/>
        <w:spacing w:after="0" w:line="251" w:lineRule="auto"/>
        <w:tabs>
          <w:tab w:leader="none" w:pos="2106"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issuance of directors’ qualifying shares and shares issued to foreign nationals or other third parties as required by applicable law;</w:t>
      </w:r>
    </w:p>
    <w:p>
      <w:pPr>
        <w:spacing w:after="0" w:line="200" w:lineRule="exact"/>
        <w:rPr>
          <w:rFonts w:ascii="Arial" w:cs="Arial" w:eastAsia="Arial" w:hAnsi="Arial"/>
          <w:sz w:val="22"/>
          <w:szCs w:val="22"/>
          <w:color w:val="auto"/>
        </w:rPr>
      </w:pPr>
    </w:p>
    <w:p>
      <w:pPr>
        <w:jc w:val="both"/>
        <w:ind w:left="660" w:firstLine="644"/>
        <w:spacing w:after="0" w:line="238" w:lineRule="auto"/>
        <w:tabs>
          <w:tab w:leader="none" w:pos="2195"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any sale, conveyance, transfer or other disposition to effect the formation of any Restricted Subsidiary that has been formed upon the consummation of a Division;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Disposition or other allocation of assets (including any equity interests of such Subsidiary) in connection therewith is otherwise not prohibited under this Indenture; and</w:t>
      </w:r>
    </w:p>
    <w:p>
      <w:pPr>
        <w:spacing w:after="0" w:line="211" w:lineRule="exact"/>
        <w:rPr>
          <w:rFonts w:ascii="Arial" w:cs="Arial" w:eastAsia="Arial" w:hAnsi="Arial"/>
          <w:sz w:val="22"/>
          <w:szCs w:val="22"/>
          <w:color w:val="auto"/>
        </w:rPr>
      </w:pPr>
    </w:p>
    <w:p>
      <w:pPr>
        <w:jc w:val="both"/>
        <w:ind w:left="660" w:firstLine="644"/>
        <w:spacing w:after="0"/>
        <w:tabs>
          <w:tab w:leader="none" w:pos="20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transfer of properties or assets that is a maritime vessel sharing arrangement in the ordinary course of business, or entry by the Issuer or any Subsidiary of the Issuer into one or more leases, charters, pool agreements or operations or service contracts with respect to any vessels.</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the event that a transaction (or any portion thereof) meets the criteria of a permitted Asset Sale (or constitutes a permitted exception to the definition of “</w:t>
      </w:r>
      <w:r>
        <w:rPr>
          <w:rFonts w:ascii="Arial" w:cs="Arial" w:eastAsia="Arial" w:hAnsi="Arial"/>
          <w:sz w:val="19"/>
          <w:szCs w:val="19"/>
          <w:u w:val="single" w:color="auto"/>
          <w:color w:val="auto"/>
        </w:rPr>
        <w:t>Asset Sale</w:t>
      </w:r>
      <w:r>
        <w:rPr>
          <w:rFonts w:ascii="Arial" w:cs="Arial" w:eastAsia="Arial" w:hAnsi="Arial"/>
          <w:sz w:val="19"/>
          <w:szCs w:val="19"/>
          <w:color w:val="auto"/>
        </w:rPr>
        <w:t>”) and would also be a permitted Restricted Payment or Permitted Investment, the Issuer, in its sole discretion, will be entitled to divide and classify such transaction (or a portion thereof) as an Asset Sale (or a permitted exception thereto) and/or one or more of the types of permitted Restricted Payments or Permitted Investments.</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w:t>
      </w:r>
      <w:r>
        <w:rPr>
          <w:rFonts w:ascii="Arial" w:cs="Arial" w:eastAsia="Arial" w:hAnsi="Arial"/>
          <w:sz w:val="19"/>
          <w:szCs w:val="19"/>
          <w:color w:val="auto"/>
        </w:rPr>
        <w:t>” 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Law</w:t>
      </w:r>
      <w:r>
        <w:rPr>
          <w:rFonts w:ascii="Arial" w:cs="Arial" w:eastAsia="Arial" w:hAnsi="Arial"/>
          <w:sz w:val="19"/>
          <w:szCs w:val="19"/>
          <w:color w:val="auto"/>
        </w:rPr>
        <w:t>” means the Bankruptcy Code and any similar federal, state or foreign law for the relief of debtors.</w:t>
      </w:r>
    </w:p>
    <w:p>
      <w:pPr>
        <w:spacing w:after="0" w:line="26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w:t>
      </w:r>
      <w:r>
        <w:rPr>
          <w:rFonts w:ascii="Arial" w:cs="Arial" w:eastAsia="Arial" w:hAnsi="Arial"/>
          <w:sz w:val="22"/>
          <w:szCs w:val="22"/>
          <w:u w:val="single" w:color="auto"/>
          <w:color w:val="auto"/>
        </w:rPr>
        <w:t>director</w:t>
      </w:r>
      <w:r>
        <w:rPr>
          <w:rFonts w:ascii="Arial" w:cs="Arial" w:eastAsia="Arial" w:hAnsi="Arial"/>
          <w:sz w:val="22"/>
          <w:szCs w:val="22"/>
          <w:color w:val="auto"/>
        </w:rPr>
        <w:t>” means a director or functional equivalent thereof with respect to the relevant Board of Directors.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each day which is not a Legal Holiday.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w:t>
      </w:r>
    </w:p>
    <w:p>
      <w:pPr>
        <w:spacing w:after="0" w:line="234" w:lineRule="exact"/>
        <w:rPr>
          <w:sz w:val="20"/>
          <w:szCs w:val="20"/>
          <w:color w:val="auto"/>
        </w:rPr>
      </w:pPr>
    </w:p>
    <w:p>
      <w:pPr>
        <w:ind w:left="2100" w:hanging="796"/>
        <w:spacing w:after="0"/>
        <w:tabs>
          <w:tab w:leader="none" w:pos="21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left="660" w:firstLine="644"/>
        <w:spacing w:after="0" w:line="250" w:lineRule="auto"/>
        <w:tabs>
          <w:tab w:leader="none" w:pos="2052"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1" w:lineRule="exact"/>
        <w:rPr>
          <w:rFonts w:ascii="Arial" w:cs="Arial" w:eastAsia="Arial" w:hAnsi="Arial"/>
          <w:sz w:val="22"/>
          <w:szCs w:val="22"/>
          <w:color w:val="auto"/>
        </w:rPr>
      </w:pPr>
    </w:p>
    <w:p>
      <w:pPr>
        <w:ind w:left="660" w:right="20" w:firstLine="644"/>
        <w:spacing w:after="0" w:line="250" w:lineRule="auto"/>
        <w:tabs>
          <w:tab w:leader="none" w:pos="2235"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or membership interests (whether general or limited); and</w:t>
      </w:r>
    </w:p>
    <w:p>
      <w:pPr>
        <w:spacing w:after="0" w:line="201" w:lineRule="exact"/>
        <w:rPr>
          <w:rFonts w:ascii="Arial" w:cs="Arial" w:eastAsia="Arial" w:hAnsi="Arial"/>
          <w:sz w:val="22"/>
          <w:szCs w:val="22"/>
          <w:color w:val="auto"/>
        </w:rPr>
      </w:pPr>
    </w:p>
    <w:p>
      <w:pPr>
        <w:ind w:left="660" w:firstLine="644"/>
        <w:spacing w:after="0" w:line="250" w:lineRule="auto"/>
        <w:tabs>
          <w:tab w:leader="none" w:pos="2188"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Software Expenditures</w:t>
      </w:r>
      <w:r>
        <w:rPr>
          <w:rFonts w:ascii="Arial" w:cs="Arial" w:eastAsia="Arial" w:hAnsi="Arial"/>
          <w:sz w:val="22"/>
          <w:szCs w:val="22"/>
          <w:color w:val="auto"/>
        </w:rPr>
        <w:t>” means, for any period, the aggregate of all expenditures (whether paid in cash or accrued as liabilities) by the Issuer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Issuer and its Restricted Subsidiaries.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Subsidiary</w:t>
      </w:r>
      <w:r>
        <w:rPr>
          <w:rFonts w:ascii="Arial" w:cs="Arial" w:eastAsia="Arial" w:hAnsi="Arial"/>
          <w:sz w:val="22"/>
          <w:szCs w:val="22"/>
          <w:color w:val="auto"/>
        </w:rPr>
        <w:t>” means any Restricted Subsidiary of the Issuer that is subject to regulation as an insurance company (and any Restricted Subsidiary thereof).</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as at any date of determination,</w:t>
      </w:r>
    </w:p>
    <w:p>
      <w:pPr>
        <w:spacing w:after="0" w:line="233" w:lineRule="exact"/>
        <w:rPr>
          <w:sz w:val="20"/>
          <w:szCs w:val="20"/>
          <w:color w:val="auto"/>
        </w:rPr>
      </w:pPr>
    </w:p>
    <w:p>
      <w:pPr>
        <w:jc w:val="both"/>
        <w:ind w:left="660" w:firstLine="644"/>
        <w:spacing w:after="0" w:line="238" w:lineRule="auto"/>
        <w:tabs>
          <w:tab w:leader="none" w:pos="2109" w:val="left"/>
        </w:tabs>
        <w:numPr>
          <w:ilvl w:val="0"/>
          <w:numId w:val="14"/>
        </w:numPr>
        <w:rPr>
          <w:rFonts w:ascii="Arial" w:cs="Arial" w:eastAsia="Arial" w:hAnsi="Arial"/>
          <w:sz w:val="22"/>
          <w:szCs w:val="22"/>
          <w:color w:val="auto"/>
        </w:rPr>
      </w:pPr>
      <w:r>
        <w:rPr>
          <w:rFonts w:ascii="Arial" w:cs="Arial" w:eastAsia="Arial" w:hAnsi="Arial"/>
          <w:sz w:val="22"/>
          <w:szCs w:val="22"/>
          <w:color w:val="auto"/>
        </w:rPr>
        <w:t>United States dollars, Australian Dollars, Canadian Dollars, Euros, Japanese Yen, New Swedish Krona, Pounds Sterling, Swiss Francs, any national currency of any member nation of the European Union, Yuan or such other currencies held by the Issuer and its Restricted Subsidiaries from time to time in the ordinary course of business, consistent with past practice or consistent with industry norm;</w:t>
      </w:r>
    </w:p>
    <w:p>
      <w:pPr>
        <w:spacing w:after="0" w:line="211" w:lineRule="exact"/>
        <w:rPr>
          <w:rFonts w:ascii="Arial" w:cs="Arial" w:eastAsia="Arial" w:hAnsi="Arial"/>
          <w:sz w:val="22"/>
          <w:szCs w:val="22"/>
          <w:color w:val="auto"/>
        </w:rPr>
      </w:pPr>
    </w:p>
    <w:p>
      <w:pPr>
        <w:jc w:val="both"/>
        <w:ind w:left="660" w:firstLine="644"/>
        <w:spacing w:after="0" w:line="274" w:lineRule="auto"/>
        <w:tabs>
          <w:tab w:leader="none" w:pos="2156" w:val="left"/>
        </w:tabs>
        <w:numPr>
          <w:ilvl w:val="0"/>
          <w:numId w:val="14"/>
        </w:numPr>
        <w:rPr>
          <w:rFonts w:ascii="Arial" w:cs="Arial" w:eastAsia="Arial" w:hAnsi="Arial"/>
          <w:sz w:val="19"/>
          <w:szCs w:val="19"/>
          <w:color w:val="auto"/>
        </w:rPr>
      </w:pPr>
      <w:r>
        <w:rPr>
          <w:rFonts w:ascii="Arial" w:cs="Arial" w:eastAsia="Arial" w:hAnsi="Arial"/>
          <w:sz w:val="19"/>
          <w:szCs w:val="19"/>
          <w:color w:val="auto"/>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ind w:left="-460" w:firstLine="644"/>
        <w:spacing w:after="0" w:line="248" w:lineRule="auto"/>
        <w:tabs>
          <w:tab w:leader="none" w:pos="1153" w:val="left"/>
        </w:tabs>
        <w:numPr>
          <w:ilvl w:val="0"/>
          <w:numId w:val="15"/>
        </w:numPr>
        <w:rPr>
          <w:rFonts w:ascii="Arial" w:cs="Arial" w:eastAsia="Arial" w:hAnsi="Arial"/>
          <w:sz w:val="21"/>
          <w:szCs w:val="21"/>
          <w:color w:val="auto"/>
        </w:rPr>
      </w:pPr>
      <w:r>
        <w:rPr>
          <w:rFonts w:ascii="Arial" w:cs="Arial" w:eastAsia="Arial" w:hAnsi="Arial"/>
          <w:sz w:val="21"/>
          <w:szCs w:val="21"/>
          <w:color w:val="auto"/>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spacing w:after="0" w:line="204" w:lineRule="exact"/>
        <w:rPr>
          <w:rFonts w:ascii="Arial" w:cs="Arial" w:eastAsia="Arial" w:hAnsi="Arial"/>
          <w:sz w:val="21"/>
          <w:szCs w:val="21"/>
          <w:color w:val="auto"/>
        </w:rPr>
      </w:pPr>
    </w:p>
    <w:p>
      <w:pPr>
        <w:jc w:val="both"/>
        <w:ind w:left="-460" w:firstLine="644"/>
        <w:spacing w:after="0" w:line="236" w:lineRule="auto"/>
        <w:tabs>
          <w:tab w:leader="none" w:pos="945"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spacing w:after="0" w:line="214" w:lineRule="exact"/>
        <w:rPr>
          <w:rFonts w:ascii="Arial" w:cs="Arial" w:eastAsia="Arial" w:hAnsi="Arial"/>
          <w:sz w:val="22"/>
          <w:szCs w:val="22"/>
          <w:color w:val="auto"/>
        </w:rPr>
      </w:pPr>
    </w:p>
    <w:p>
      <w:pPr>
        <w:jc w:val="both"/>
        <w:ind w:left="-460" w:firstLine="644"/>
        <w:spacing w:after="0" w:line="279" w:lineRule="auto"/>
        <w:tabs>
          <w:tab w:leader="none" w:pos="885"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spacing w:after="0" w:line="177" w:lineRule="exact"/>
        <w:rPr>
          <w:rFonts w:ascii="Arial" w:cs="Arial" w:eastAsia="Arial" w:hAnsi="Arial"/>
          <w:sz w:val="19"/>
          <w:szCs w:val="19"/>
          <w:color w:val="auto"/>
        </w:rPr>
      </w:pPr>
    </w:p>
    <w:p>
      <w:pPr>
        <w:ind w:left="-460" w:firstLine="644"/>
        <w:spacing w:after="0" w:line="250" w:lineRule="auto"/>
        <w:tabs>
          <w:tab w:leader="none" w:pos="993"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securities with maturities of six months or less from the date of acquisition backed by standby letters of credit issued by any financial institution meeting the qualifications specified in clause (e) above;</w:t>
      </w:r>
    </w:p>
    <w:p>
      <w:pPr>
        <w:spacing w:after="0" w:line="201" w:lineRule="exact"/>
        <w:rPr>
          <w:rFonts w:ascii="Arial" w:cs="Arial" w:eastAsia="Arial" w:hAnsi="Arial"/>
          <w:sz w:val="22"/>
          <w:szCs w:val="22"/>
          <w:color w:val="auto"/>
        </w:rPr>
      </w:pPr>
    </w:p>
    <w:p>
      <w:pPr>
        <w:jc w:val="both"/>
        <w:ind w:left="-460" w:firstLine="644"/>
        <w:spacing w:after="0"/>
        <w:tabs>
          <w:tab w:leader="none" w:pos="1015" w:val="left"/>
        </w:tabs>
        <w:numPr>
          <w:ilvl w:val="0"/>
          <w:numId w:val="15"/>
        </w:numPr>
        <w:rPr>
          <w:rFonts w:ascii="Arial" w:cs="Arial" w:eastAsia="Arial" w:hAnsi="Arial"/>
          <w:sz w:val="22"/>
          <w:szCs w:val="22"/>
          <w:color w:val="auto"/>
        </w:rPr>
      </w:pPr>
      <w:r>
        <w:rPr>
          <w:rFonts w:ascii="Arial" w:cs="Arial" w:eastAsia="Arial" w:hAnsi="Arial"/>
          <w:sz w:val="22"/>
          <w:szCs w:val="22"/>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213" w:lineRule="exact"/>
        <w:rPr>
          <w:rFonts w:ascii="Arial" w:cs="Arial" w:eastAsia="Arial" w:hAnsi="Arial"/>
          <w:sz w:val="22"/>
          <w:szCs w:val="22"/>
          <w:color w:val="auto"/>
        </w:rPr>
      </w:pPr>
    </w:p>
    <w:p>
      <w:pPr>
        <w:jc w:val="both"/>
        <w:ind w:left="-460" w:firstLine="644"/>
        <w:spacing w:after="0" w:line="238" w:lineRule="auto"/>
        <w:tabs>
          <w:tab w:leader="none" w:pos="1038"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211" w:lineRule="exact"/>
        <w:rPr>
          <w:rFonts w:ascii="Arial" w:cs="Arial" w:eastAsia="Arial" w:hAnsi="Arial"/>
          <w:sz w:val="22"/>
          <w:szCs w:val="22"/>
          <w:color w:val="auto"/>
        </w:rPr>
      </w:pPr>
    </w:p>
    <w:p>
      <w:pPr>
        <w:jc w:val="both"/>
        <w:ind w:left="-460" w:firstLine="644"/>
        <w:spacing w:after="0" w:line="297" w:lineRule="auto"/>
        <w:tabs>
          <w:tab w:leader="none" w:pos="1081"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spacing w:after="0" w:line="160" w:lineRule="exact"/>
        <w:rPr>
          <w:rFonts w:ascii="Arial" w:cs="Arial" w:eastAsia="Arial" w:hAnsi="Arial"/>
          <w:sz w:val="19"/>
          <w:szCs w:val="19"/>
          <w:color w:val="auto"/>
        </w:rPr>
      </w:pPr>
    </w:p>
    <w:p>
      <w:pPr>
        <w:jc w:val="both"/>
        <w:ind w:left="-460" w:firstLine="644"/>
        <w:spacing w:after="0" w:line="252" w:lineRule="auto"/>
        <w:tabs>
          <w:tab w:leader="none" w:pos="983" w:val="left"/>
        </w:tabs>
        <w:numPr>
          <w:ilvl w:val="0"/>
          <w:numId w:val="15"/>
        </w:numPr>
        <w:rPr>
          <w:rFonts w:ascii="Arial" w:cs="Arial" w:eastAsia="Arial" w:hAnsi="Arial"/>
          <w:sz w:val="21"/>
          <w:szCs w:val="21"/>
          <w:color w:val="auto"/>
        </w:rPr>
      </w:pPr>
      <w:r>
        <w:rPr>
          <w:rFonts w:ascii="Arial" w:cs="Arial" w:eastAsia="Arial" w:hAnsi="Arial"/>
          <w:sz w:val="21"/>
          <w:szCs w:val="21"/>
          <w:color w:val="auto"/>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9" w:name="page20"/>
    <w:bookmarkEnd w:id="19"/>
    <w:p>
      <w:pPr>
        <w:jc w:val="both"/>
        <w:ind w:left="660" w:firstLine="644"/>
        <w:spacing w:after="0" w:line="258" w:lineRule="auto"/>
        <w:tabs>
          <w:tab w:leader="none" w:pos="2065" w:val="left"/>
        </w:tabs>
        <w:numPr>
          <w:ilvl w:val="1"/>
          <w:numId w:val="16"/>
        </w:numPr>
        <w:rPr>
          <w:rFonts w:ascii="Arial" w:cs="Arial" w:eastAsia="Arial" w:hAnsi="Arial"/>
          <w:sz w:val="21"/>
          <w:szCs w:val="21"/>
          <w:color w:val="auto"/>
        </w:rPr>
      </w:pPr>
      <w:r>
        <w:rPr>
          <w:rFonts w:ascii="Arial" w:cs="Arial" w:eastAsia="Arial" w:hAnsi="Arial"/>
          <w:sz w:val="21"/>
          <w:szCs w:val="21"/>
          <w:color w:val="auto"/>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spacing w:after="0" w:line="193" w:lineRule="exact"/>
        <w:rPr>
          <w:rFonts w:ascii="Arial" w:cs="Arial" w:eastAsia="Arial" w:hAnsi="Arial"/>
          <w:sz w:val="21"/>
          <w:szCs w:val="21"/>
          <w:color w:val="auto"/>
        </w:rPr>
      </w:pPr>
    </w:p>
    <w:p>
      <w:pPr>
        <w:jc w:val="both"/>
        <w:ind w:left="660" w:firstLine="644"/>
        <w:spacing w:after="0" w:line="236" w:lineRule="auto"/>
        <w:tabs>
          <w:tab w:leader="none" w:pos="2246" w:val="left"/>
        </w:tabs>
        <w:numPr>
          <w:ilvl w:val="1"/>
          <w:numId w:val="16"/>
        </w:numPr>
        <w:rPr>
          <w:rFonts w:ascii="Arial" w:cs="Arial" w:eastAsia="Arial" w:hAnsi="Arial"/>
          <w:sz w:val="22"/>
          <w:szCs w:val="22"/>
          <w:color w:val="auto"/>
        </w:rPr>
      </w:pPr>
      <w:r>
        <w:rPr>
          <w:rFonts w:ascii="Arial" w:cs="Arial" w:eastAsia="Arial" w:hAnsi="Arial"/>
          <w:sz w:val="22"/>
          <w:szCs w:val="22"/>
          <w:color w:val="auto"/>
        </w:rPr>
        <w:t>investments, classified in accordance with GAAP as current assets of the Issuer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spacing w:after="0" w:line="214" w:lineRule="exact"/>
        <w:rPr>
          <w:rFonts w:ascii="Arial" w:cs="Arial" w:eastAsia="Arial" w:hAnsi="Arial"/>
          <w:sz w:val="22"/>
          <w:szCs w:val="22"/>
          <w:color w:val="auto"/>
        </w:rPr>
      </w:pPr>
    </w:p>
    <w:p>
      <w:pPr>
        <w:ind w:left="2120" w:hanging="816"/>
        <w:spacing w:after="0"/>
        <w:tabs>
          <w:tab w:leader="none" w:pos="2120"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investment funds investing at least 90.0% of their assets in the types of investments referred to in clauses</w:t>
      </w:r>
    </w:p>
    <w:p>
      <w:pPr>
        <w:spacing w:after="0" w:line="42" w:lineRule="exact"/>
        <w:rPr>
          <w:rFonts w:ascii="Arial" w:cs="Arial" w:eastAsia="Arial" w:hAnsi="Arial"/>
          <w:sz w:val="19"/>
          <w:szCs w:val="19"/>
          <w:color w:val="auto"/>
        </w:rPr>
      </w:pPr>
    </w:p>
    <w:p>
      <w:pPr>
        <w:ind w:left="940" w:hanging="284"/>
        <w:spacing w:after="0"/>
        <w:tabs>
          <w:tab w:leader="none" w:pos="9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through (l) above;</w:t>
      </w:r>
    </w:p>
    <w:p>
      <w:pPr>
        <w:spacing w:after="0" w:line="215" w:lineRule="exact"/>
        <w:rPr>
          <w:rFonts w:ascii="Arial" w:cs="Arial" w:eastAsia="Arial" w:hAnsi="Arial"/>
          <w:sz w:val="22"/>
          <w:szCs w:val="22"/>
          <w:color w:val="auto"/>
        </w:rPr>
      </w:pPr>
    </w:p>
    <w:p>
      <w:pPr>
        <w:ind w:left="660" w:right="20" w:firstLine="644"/>
        <w:spacing w:after="0" w:line="250" w:lineRule="auto"/>
        <w:tabs>
          <w:tab w:leader="none" w:pos="2261" w:val="left"/>
        </w:tabs>
        <w:numPr>
          <w:ilvl w:val="1"/>
          <w:numId w:val="17"/>
        </w:numPr>
        <w:rPr>
          <w:rFonts w:ascii="Arial" w:cs="Arial" w:eastAsia="Arial" w:hAnsi="Arial"/>
          <w:sz w:val="22"/>
          <w:szCs w:val="22"/>
          <w:color w:val="auto"/>
        </w:rPr>
      </w:pPr>
      <w:r>
        <w:rPr>
          <w:rFonts w:ascii="Arial" w:cs="Arial" w:eastAsia="Arial" w:hAnsi="Arial"/>
          <w:sz w:val="22"/>
          <w:szCs w:val="22"/>
          <w:color w:val="auto"/>
        </w:rPr>
        <w:t>solely with respect to any Captive Insurance Subsidiary, any investment that such Captive Insurance Subsidiary is not prohibited to make in accordance with applicable law; and</w:t>
      </w:r>
    </w:p>
    <w:p>
      <w:pPr>
        <w:spacing w:after="0" w:line="201" w:lineRule="exact"/>
        <w:rPr>
          <w:rFonts w:ascii="Arial" w:cs="Arial" w:eastAsia="Arial" w:hAnsi="Arial"/>
          <w:sz w:val="22"/>
          <w:szCs w:val="22"/>
          <w:color w:val="auto"/>
        </w:rPr>
      </w:pPr>
    </w:p>
    <w:p>
      <w:pPr>
        <w:jc w:val="both"/>
        <w:ind w:left="660" w:firstLine="644"/>
        <w:spacing w:after="0" w:line="282" w:lineRule="auto"/>
        <w:tabs>
          <w:tab w:leader="none" w:pos="2131"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w:t>
      </w:r>
      <w:r>
        <w:rPr>
          <w:rFonts w:ascii="Arial" w:cs="Arial" w:eastAsia="Arial" w:hAnsi="Arial"/>
          <w:sz w:val="19"/>
          <w:szCs w:val="19"/>
          <w:u w:val="single" w:color="auto"/>
          <w:color w:val="auto"/>
        </w:rPr>
        <w:t>clause (o)</w:t>
      </w:r>
      <w:r>
        <w:rPr>
          <w:rFonts w:ascii="Arial" w:cs="Arial" w:eastAsia="Arial" w:hAnsi="Arial"/>
          <w:sz w:val="19"/>
          <w:szCs w:val="19"/>
          <w:color w:val="auto"/>
        </w:rPr>
        <w: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Notwithstanding the foregoing, Cash Equivalents shall include amounts denominated in currencies other than those set forth in clause (a)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amounts are converted into any currency listed in clause (a) as promptly as practicable and in any event within ten Business Days following the receipt of such amounts.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avoidance of doubt, any items identified as Cash Equivalents under this definition will be deemed to be Cash Equivalents under this Indenture regardless of the treatment of such items under GAAP.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one or more of the following events after the Issue Date:</w:t>
      </w:r>
    </w:p>
    <w:p>
      <w:pPr>
        <w:spacing w:after="0" w:line="233" w:lineRule="exact"/>
        <w:rPr>
          <w:sz w:val="20"/>
          <w:szCs w:val="20"/>
          <w:color w:val="auto"/>
        </w:rPr>
      </w:pPr>
    </w:p>
    <w:p>
      <w:pPr>
        <w:ind w:left="660" w:firstLine="644"/>
        <w:spacing w:after="0" w:line="328" w:lineRule="auto"/>
        <w:tabs>
          <w:tab w:leader="none" w:pos="1999"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sale, lease or transfer, in one or a series of related transactions, of all or substantially all of the assets of the Issuer and its Subsidiaries, taken as a whole, to any Person other than one or more Permitted Holders; or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both"/>
        <w:ind w:left="660" w:firstLine="644"/>
        <w:spacing w:after="0" w:line="245" w:lineRule="auto"/>
        <w:tabs>
          <w:tab w:leader="none" w:pos="2245"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Issuer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Issuer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Issuer, unless the Permitted Holders otherwise have the right (pursuant to contract, proxy or otherwise), directly or indirectly, to designate, nominate or appoint directors having a majority of the aggregate votes on the Board of Directors of the Issuer.</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Issuer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19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w:t>
      </w:r>
      <w:r>
        <w:rPr>
          <w:rFonts w:ascii="Arial" w:cs="Arial" w:eastAsia="Arial" w:hAnsi="Arial"/>
          <w:sz w:val="22"/>
          <w:szCs w:val="22"/>
          <w:color w:val="auto"/>
        </w:rPr>
        <w:t>” means any fee, loss, charge, expense, cost, accrual or reserve of any kind (in each case, if applicable, as defined under GAAP).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means Clearstream Banking, Société Anonyme.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or any successor thereto.</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the assets and property of the Issuer or any Guarantor, whether real, personal or mixed, securing or purported to secure any Secured Notes Obligations, other than Excluded Assets.</w:t>
      </w:r>
    </w:p>
    <w:p>
      <w:pPr>
        <w:spacing w:after="0" w:line="202"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Agent</w:t>
      </w:r>
      <w:r>
        <w:rPr>
          <w:rFonts w:ascii="Arial" w:cs="Arial" w:eastAsia="Arial" w:hAnsi="Arial"/>
          <w:sz w:val="19"/>
          <w:szCs w:val="19"/>
          <w:color w:val="auto"/>
        </w:rPr>
        <w:t>” means (1) in the case of the Secured Notes Obligations, the Notes Collateral Agent and (2) in the case of any Additional Equal Priority Obligations, the collateral agent, administrative agent or the trustee with respect thereto.</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with respect to any Person for any Test Period, the sum of:</w:t>
      </w:r>
    </w:p>
    <w:p>
      <w:pPr>
        <w:spacing w:after="0" w:line="233" w:lineRule="exact"/>
        <w:rPr>
          <w:sz w:val="20"/>
          <w:szCs w:val="20"/>
          <w:color w:val="auto"/>
        </w:rPr>
      </w:pPr>
    </w:p>
    <w:p>
      <w:pPr>
        <w:ind w:left="2080" w:hanging="776"/>
        <w:spacing w:after="0"/>
        <w:tabs>
          <w:tab w:leader="none" w:pos="2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Consolidated Net Income of such Person for such period; </w:t>
      </w:r>
      <w:r>
        <w:rPr>
          <w:rFonts w:ascii="Arial" w:cs="Arial" w:eastAsia="Arial" w:hAnsi="Arial"/>
          <w:sz w:val="22"/>
          <w:szCs w:val="22"/>
          <w:u w:val="single" w:color="auto"/>
          <w:color w:val="auto"/>
        </w:rPr>
        <w:t>plus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both"/>
        <w:ind w:left="-460" w:firstLine="644"/>
        <w:spacing w:after="0"/>
        <w:tabs>
          <w:tab w:leader="none" w:pos="1125" w:val="left"/>
        </w:tabs>
        <w:numPr>
          <w:ilvl w:val="0"/>
          <w:numId w:val="21"/>
        </w:numPr>
        <w:rPr>
          <w:rFonts w:ascii="Arial" w:cs="Arial" w:eastAsia="Arial" w:hAnsi="Arial"/>
          <w:sz w:val="22"/>
          <w:szCs w:val="22"/>
          <w:color w:val="auto"/>
        </w:rPr>
      </w:pPr>
      <w:r>
        <w:rPr>
          <w:rFonts w:ascii="Arial" w:cs="Arial" w:eastAsia="Arial" w:hAnsi="Arial"/>
          <w:sz w:val="22"/>
          <w:szCs w:val="22"/>
          <w:color w:val="auto"/>
        </w:rPr>
        <w:t>without duplication and, other than with respect to clauses (b)(vii), (xiii) and (xv) of this definition of “Consolidated EBITDA”, to the extent already deducted (and not added back) or not included in arriving at such Consolidated Net Income, the sum of the following amounts:</w:t>
      </w:r>
    </w:p>
    <w:p>
      <w:pPr>
        <w:spacing w:after="0" w:line="213" w:lineRule="exact"/>
        <w:rPr>
          <w:rFonts w:ascii="Arial" w:cs="Arial" w:eastAsia="Arial" w:hAnsi="Arial"/>
          <w:sz w:val="22"/>
          <w:szCs w:val="22"/>
          <w:color w:val="auto"/>
        </w:rPr>
      </w:pPr>
    </w:p>
    <w:p>
      <w:pPr>
        <w:jc w:val="both"/>
        <w:ind w:left="840" w:firstLine="640"/>
        <w:spacing w:after="0" w:line="236" w:lineRule="auto"/>
        <w:tabs>
          <w:tab w:leader="none" w:pos="2536" w:val="left"/>
        </w:tabs>
        <w:numPr>
          <w:ilvl w:val="1"/>
          <w:numId w:val="21"/>
        </w:numPr>
        <w:rPr>
          <w:rFonts w:ascii="Arial" w:cs="Arial" w:eastAsia="Arial" w:hAnsi="Arial"/>
          <w:sz w:val="22"/>
          <w:szCs w:val="22"/>
          <w:color w:val="auto"/>
        </w:rPr>
      </w:pPr>
      <w:r>
        <w:rPr>
          <w:rFonts w:ascii="Arial" w:cs="Arial" w:eastAsia="Arial" w:hAnsi="Arial"/>
          <w:sz w:val="22"/>
          <w:szCs w:val="22"/>
          <w:color w:val="auto"/>
        </w:rPr>
        <w:t>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pursuant to clauses (a) through (n) thereof;</w:t>
      </w:r>
    </w:p>
    <w:p>
      <w:pPr>
        <w:spacing w:after="0" w:line="214" w:lineRule="exact"/>
        <w:rPr>
          <w:rFonts w:ascii="Arial" w:cs="Arial" w:eastAsia="Arial" w:hAnsi="Arial"/>
          <w:sz w:val="22"/>
          <w:szCs w:val="22"/>
          <w:color w:val="auto"/>
        </w:rPr>
      </w:pPr>
    </w:p>
    <w:p>
      <w:pPr>
        <w:jc w:val="both"/>
        <w:ind w:left="840" w:firstLine="640"/>
        <w:spacing w:after="0" w:line="246" w:lineRule="auto"/>
        <w:tabs>
          <w:tab w:leader="none" w:pos="2234" w:val="left"/>
        </w:tabs>
        <w:numPr>
          <w:ilvl w:val="1"/>
          <w:numId w:val="21"/>
        </w:numPr>
        <w:rPr>
          <w:rFonts w:ascii="Arial" w:cs="Arial" w:eastAsia="Arial" w:hAnsi="Arial"/>
          <w:sz w:val="21"/>
          <w:szCs w:val="21"/>
          <w:color w:val="auto"/>
        </w:rPr>
      </w:pPr>
      <w:r>
        <w:rPr>
          <w:rFonts w:ascii="Arial" w:cs="Arial" w:eastAsia="Arial" w:hAnsi="Arial"/>
          <w:sz w:val="21"/>
          <w:szCs w:val="21"/>
          <w:color w:val="auto"/>
        </w:rPr>
        <w:t>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w:t>
      </w:r>
    </w:p>
    <w:p>
      <w:pPr>
        <w:spacing w:after="0" w:line="211" w:lineRule="exact"/>
        <w:rPr>
          <w:rFonts w:ascii="Arial" w:cs="Arial" w:eastAsia="Arial" w:hAnsi="Arial"/>
          <w:sz w:val="21"/>
          <w:szCs w:val="21"/>
          <w:color w:val="auto"/>
        </w:rPr>
      </w:pPr>
    </w:p>
    <w:p>
      <w:pPr>
        <w:jc w:val="both"/>
        <w:ind w:left="840" w:firstLine="640"/>
        <w:spacing w:after="0" w:line="275" w:lineRule="auto"/>
        <w:tabs>
          <w:tab w:leader="none" w:pos="2357" w:val="left"/>
        </w:tabs>
        <w:numPr>
          <w:ilvl w:val="1"/>
          <w:numId w:val="21"/>
        </w:numPr>
        <w:rPr>
          <w:rFonts w:ascii="Arial" w:cs="Arial" w:eastAsia="Arial" w:hAnsi="Arial"/>
          <w:sz w:val="19"/>
          <w:szCs w:val="19"/>
          <w:color w:val="auto"/>
        </w:rPr>
      </w:pPr>
      <w:r>
        <w:rPr>
          <w:rFonts w:ascii="Arial" w:cs="Arial" w:eastAsia="Arial" w:hAnsi="Arial"/>
          <w:sz w:val="19"/>
          <w:szCs w:val="19"/>
          <w:color w:val="auto"/>
        </w:rPr>
        <w:t>(A)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w:t>
      </w:r>
    </w:p>
    <w:p>
      <w:pPr>
        <w:spacing w:after="0" w:line="184" w:lineRule="exact"/>
        <w:rPr>
          <w:rFonts w:ascii="Arial" w:cs="Arial" w:eastAsia="Arial" w:hAnsi="Arial"/>
          <w:sz w:val="19"/>
          <w:szCs w:val="19"/>
          <w:color w:val="auto"/>
        </w:rPr>
      </w:pPr>
    </w:p>
    <w:p>
      <w:pPr>
        <w:jc w:val="both"/>
        <w:ind w:left="840" w:firstLine="640"/>
        <w:spacing w:after="0" w:line="246" w:lineRule="auto"/>
        <w:tabs>
          <w:tab w:leader="none" w:pos="2433" w:val="left"/>
        </w:tabs>
        <w:numPr>
          <w:ilvl w:val="1"/>
          <w:numId w:val="21"/>
        </w:numPr>
        <w:rPr>
          <w:rFonts w:ascii="Arial" w:cs="Arial" w:eastAsia="Arial" w:hAnsi="Arial"/>
          <w:sz w:val="21"/>
          <w:szCs w:val="21"/>
          <w:color w:val="auto"/>
        </w:rPr>
      </w:pPr>
      <w:r>
        <w:rPr>
          <w:rFonts w:ascii="Arial" w:cs="Arial" w:eastAsia="Arial" w:hAnsi="Arial"/>
          <w:sz w:val="21"/>
          <w:szCs w:val="21"/>
          <w:color w:val="auto"/>
        </w:rPr>
        <w:t>any non-cash Charge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w:t>
      </w:r>
    </w:p>
    <w:p>
      <w:pPr>
        <w:spacing w:after="0" w:line="38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 w:name="page23"/>
    <w:bookmarkEnd w:id="22"/>
    <w:p>
      <w:pPr>
        <w:jc w:val="both"/>
        <w:ind w:left="840" w:firstLine="640"/>
        <w:spacing w:after="0" w:line="272" w:lineRule="auto"/>
        <w:tabs>
          <w:tab w:leader="none" w:pos="2276"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2280" w:hanging="800"/>
        <w:spacing w:after="0"/>
        <w:tabs>
          <w:tab w:leader="none" w:pos="22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840" w:firstLine="640"/>
        <w:spacing w:after="0" w:line="297" w:lineRule="auto"/>
        <w:tabs>
          <w:tab w:leader="none" w:pos="245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aggregate amount of Consolidated Net Income for such period attributable to non-controlling interests and/or minority interests of third parties in any non-Wholly-Owned Subsidiary, excluding cash distributions in respect thereof to the extent already included in Consolidated Net Income;</w:t>
      </w:r>
    </w:p>
    <w:p>
      <w:pPr>
        <w:spacing w:after="0" w:line="160" w:lineRule="exact"/>
        <w:rPr>
          <w:rFonts w:ascii="Arial" w:cs="Arial" w:eastAsia="Arial" w:hAnsi="Arial"/>
          <w:sz w:val="19"/>
          <w:szCs w:val="19"/>
          <w:color w:val="auto"/>
        </w:rPr>
      </w:pPr>
    </w:p>
    <w:p>
      <w:pPr>
        <w:ind w:left="840" w:firstLine="640"/>
        <w:spacing w:after="0" w:line="250" w:lineRule="auto"/>
        <w:tabs>
          <w:tab w:leader="none" w:pos="2427"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amount of any contingent payments in connection with the licensing of intellectual property or other assets;</w:t>
      </w:r>
    </w:p>
    <w:p>
      <w:pPr>
        <w:spacing w:after="0" w:line="201" w:lineRule="exact"/>
        <w:rPr>
          <w:rFonts w:ascii="Arial" w:cs="Arial" w:eastAsia="Arial" w:hAnsi="Arial"/>
          <w:sz w:val="22"/>
          <w:szCs w:val="22"/>
          <w:color w:val="auto"/>
        </w:rPr>
      </w:pPr>
    </w:p>
    <w:p>
      <w:pPr>
        <w:ind w:left="2280" w:hanging="800"/>
        <w:spacing w:after="0"/>
        <w:tabs>
          <w:tab w:leader="none" w:pos="22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280" w:hanging="800"/>
        <w:spacing w:after="0"/>
        <w:tabs>
          <w:tab w:leader="none" w:pos="22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amount of fees, Charges, expense reimbursements and indemnities paid to directors;</w:t>
      </w:r>
    </w:p>
    <w:p>
      <w:pPr>
        <w:spacing w:after="0" w:line="267" w:lineRule="exact"/>
        <w:rPr>
          <w:rFonts w:ascii="Arial" w:cs="Arial" w:eastAsia="Arial" w:hAnsi="Arial"/>
          <w:sz w:val="19"/>
          <w:szCs w:val="19"/>
          <w:color w:val="auto"/>
        </w:rPr>
      </w:pPr>
    </w:p>
    <w:p>
      <w:pPr>
        <w:ind w:left="840" w:firstLine="640"/>
        <w:spacing w:after="0" w:line="250" w:lineRule="auto"/>
        <w:tabs>
          <w:tab w:leader="none" w:pos="220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amount of any Charge incurred or accrued in connection with sales of receivables and related assets in connection with any Permitted Receivables Financing;</w:t>
      </w:r>
    </w:p>
    <w:p>
      <w:pPr>
        <w:spacing w:after="0" w:line="201" w:lineRule="exact"/>
        <w:rPr>
          <w:rFonts w:ascii="Arial" w:cs="Arial" w:eastAsia="Arial" w:hAnsi="Arial"/>
          <w:sz w:val="22"/>
          <w:szCs w:val="22"/>
          <w:color w:val="auto"/>
        </w:rPr>
      </w:pPr>
    </w:p>
    <w:p>
      <w:pPr>
        <w:jc w:val="both"/>
        <w:ind w:left="840" w:firstLine="640"/>
        <w:spacing w:after="0" w:line="236" w:lineRule="auto"/>
        <w:tabs>
          <w:tab w:leader="none" w:pos="2482"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w:t>
      </w:r>
    </w:p>
    <w:p>
      <w:pPr>
        <w:spacing w:after="0" w:line="214" w:lineRule="exact"/>
        <w:rPr>
          <w:rFonts w:ascii="Arial" w:cs="Arial" w:eastAsia="Arial" w:hAnsi="Arial"/>
          <w:sz w:val="22"/>
          <w:szCs w:val="22"/>
          <w:color w:val="auto"/>
        </w:rPr>
      </w:pPr>
    </w:p>
    <w:p>
      <w:pPr>
        <w:ind w:left="2280" w:hanging="800"/>
        <w:spacing w:after="0"/>
        <w:tabs>
          <w:tab w:leader="none" w:pos="22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adjustments permitted or required by Article 11 of Regulation S-X of the Securities Act;</w:t>
      </w:r>
    </w:p>
    <w:p>
      <w:pPr>
        <w:spacing w:after="0" w:line="200" w:lineRule="exact"/>
        <w:rPr>
          <w:sz w:val="20"/>
          <w:szCs w:val="20"/>
          <w:color w:val="auto"/>
        </w:rPr>
      </w:pPr>
    </w:p>
    <w:p>
      <w:pPr>
        <w:spacing w:after="0" w:line="24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 w:name="page24"/>
    <w:bookmarkEnd w:id="23"/>
    <w:p>
      <w:pPr>
        <w:jc w:val="both"/>
        <w:ind w:left="840" w:firstLine="640"/>
        <w:spacing w:after="0"/>
        <w:tabs>
          <w:tab w:leader="none" w:pos="2332" w:val="left"/>
        </w:tabs>
        <w:numPr>
          <w:ilvl w:val="1"/>
          <w:numId w:val="23"/>
        </w:numPr>
        <w:rPr>
          <w:rFonts w:ascii="Arial" w:cs="Arial" w:eastAsia="Arial" w:hAnsi="Arial"/>
          <w:sz w:val="22"/>
          <w:szCs w:val="22"/>
          <w:color w:val="auto"/>
        </w:rPr>
      </w:pPr>
      <w:r>
        <w:rPr>
          <w:rFonts w:ascii="Arial" w:cs="Arial" w:eastAsia="Arial" w:hAnsi="Arial"/>
          <w:sz w:val="22"/>
          <w:szCs w:val="22"/>
          <w:color w:val="auto"/>
        </w:rPr>
        <w:t>expenses consisting of internal software development costs that are expensed during the period but could have been capitalized under alternative accounting policies in accordance with GAAP; and</w:t>
      </w:r>
    </w:p>
    <w:p>
      <w:pPr>
        <w:spacing w:after="0" w:line="213" w:lineRule="exact"/>
        <w:rPr>
          <w:rFonts w:ascii="Arial" w:cs="Arial" w:eastAsia="Arial" w:hAnsi="Arial"/>
          <w:sz w:val="22"/>
          <w:szCs w:val="22"/>
          <w:color w:val="auto"/>
        </w:rPr>
      </w:pPr>
    </w:p>
    <w:p>
      <w:pPr>
        <w:jc w:val="both"/>
        <w:ind w:left="840" w:firstLine="640"/>
        <w:spacing w:after="0" w:line="279" w:lineRule="auto"/>
        <w:tabs>
          <w:tab w:leader="none" w:pos="2289"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with respect to any joint venture that is not a Subsidiary of the Issuer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w:t>
      </w:r>
      <w:r>
        <w:rPr>
          <w:rFonts w:ascii="Arial" w:cs="Arial" w:eastAsia="Arial" w:hAnsi="Arial"/>
          <w:sz w:val="19"/>
          <w:szCs w:val="19"/>
          <w:u w:val="single" w:color="auto"/>
          <w:color w:val="auto"/>
        </w:rPr>
        <w:t>plus</w:t>
      </w:r>
    </w:p>
    <w:p>
      <w:pPr>
        <w:spacing w:after="0" w:line="177" w:lineRule="exact"/>
        <w:rPr>
          <w:rFonts w:ascii="Arial" w:cs="Arial" w:eastAsia="Arial" w:hAnsi="Arial"/>
          <w:sz w:val="19"/>
          <w:szCs w:val="19"/>
          <w:color w:val="auto"/>
        </w:rPr>
      </w:pPr>
    </w:p>
    <w:p>
      <w:pPr>
        <w:jc w:val="both"/>
        <w:ind w:left="-460" w:firstLine="644"/>
        <w:spacing w:after="0" w:line="252" w:lineRule="auto"/>
        <w:tabs>
          <w:tab w:leader="none" w:pos="1126"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w:t>
      </w:r>
      <w:r>
        <w:rPr>
          <w:rFonts w:ascii="Arial" w:cs="Arial" w:eastAsia="Arial" w:hAnsi="Arial"/>
          <w:sz w:val="21"/>
          <w:szCs w:val="21"/>
          <w:u w:val="single" w:color="auto"/>
          <w:color w:val="auto"/>
        </w:rPr>
        <w:t>plus</w:t>
      </w:r>
    </w:p>
    <w:p>
      <w:pPr>
        <w:spacing w:after="0" w:line="200" w:lineRule="exact"/>
        <w:rPr>
          <w:rFonts w:ascii="Arial" w:cs="Arial" w:eastAsia="Arial" w:hAnsi="Arial"/>
          <w:sz w:val="21"/>
          <w:szCs w:val="21"/>
          <w:color w:val="auto"/>
        </w:rPr>
      </w:pPr>
    </w:p>
    <w:p>
      <w:pPr>
        <w:jc w:val="both"/>
        <w:ind w:left="-460" w:firstLine="644"/>
        <w:spacing w:after="0" w:line="270" w:lineRule="auto"/>
        <w:tabs>
          <w:tab w:leader="none" w:pos="995" w:val="left"/>
        </w:tabs>
        <w:numPr>
          <w:ilvl w:val="0"/>
          <w:numId w:val="24"/>
        </w:numPr>
        <w:rPr>
          <w:rFonts w:ascii="Arial" w:cs="Arial" w:eastAsia="Arial" w:hAnsi="Arial"/>
          <w:sz w:val="19"/>
          <w:szCs w:val="19"/>
          <w:color w:val="auto"/>
        </w:rPr>
      </w:pPr>
      <w:r>
        <w:rPr>
          <w:rFonts w:ascii="Arial" w:cs="Arial" w:eastAsia="Arial" w:hAnsi="Arial"/>
          <w:sz w:val="19"/>
          <w:szCs w:val="19"/>
          <w:color w:val="auto"/>
        </w:rPr>
        <w:t>without duplication, the amount of “run rate” cost savings, operating expense reductions, synergies and operating improvements (including the entry into or termination of material contracts (including Customer Contracts) and arrangements) (collectively, “</w:t>
      </w:r>
      <w:r>
        <w:rPr>
          <w:rFonts w:ascii="Arial" w:cs="Arial" w:eastAsia="Arial" w:hAnsi="Arial"/>
          <w:sz w:val="19"/>
          <w:szCs w:val="19"/>
          <w:u w:val="single" w:color="auto"/>
          <w:color w:val="auto"/>
        </w:rPr>
        <w:t>Run Rate Benefits</w:t>
      </w:r>
      <w:r>
        <w:rPr>
          <w:rFonts w:ascii="Arial" w:cs="Arial" w:eastAsia="Arial" w:hAnsi="Arial"/>
          <w:sz w:val="19"/>
          <w:szCs w:val="19"/>
          <w:color w:val="auto"/>
        </w:rPr>
        <w:t>”) related to any acquisition, Investment, disposition, incurrence, repayment or refinancing of Indebtedness, Restricted Payment, Subsidiary designation, operating improvement, tax restructuring or other restructuring, cost savings initiative and/or any similar transaction or initiative (any such operating improvement, restructuring, cost savings initiative or other transaction, action or initiative, a “</w:t>
      </w:r>
      <w:r>
        <w:rPr>
          <w:rFonts w:ascii="Arial" w:cs="Arial" w:eastAsia="Arial" w:hAnsi="Arial"/>
          <w:sz w:val="19"/>
          <w:szCs w:val="19"/>
          <w:u w:val="single" w:color="auto"/>
          <w:color w:val="auto"/>
        </w:rPr>
        <w:t>Run Rate Initiative</w:t>
      </w:r>
      <w:r>
        <w:rPr>
          <w:rFonts w:ascii="Arial" w:cs="Arial" w:eastAsia="Arial" w:hAnsi="Arial"/>
          <w:sz w:val="19"/>
          <w:szCs w:val="19"/>
          <w:color w:val="auto"/>
        </w:rPr>
        <w:t xml:space="preserve">”) projected by the Issuer in good faith, including as a result of any alternative arrangements projected by the Issuer in good faith to be available, to be realized as a result of actions that have been taken or initiated (or with respect to which substantial steps have been taken or initiated) or are expected to be taken (in the good faith determination of the Issuer), including any cost savings, expenses and Charges (including restructuring and integration charges) in connection with, or incurred by or on behalf of, the Issuer or any of its Restricted Subsidiaries within 24 months after such Run Rate Initiative (which Run Rate Benefits shall be added to Consolidated EBITDA until fully realized and calculated on a pro forma basis as though such Run Rate Benefits had been realized on the first day of the relevant period), in each case net of the amount of actual benefits realized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cost savings are reasonably identifiable (for the avoidance of doubt, whether or not permitted to be added back under the rules and regulations of the SEC) and (B) no Run Rate Benefits shall be added pursuant to this clause (d) to the extent duplicative of any Charges relating to such Run Rate Benefits that increased Consolidated Net Income pursuant to clause (d) of the definition thereof (it being understood and agreed that “</w:t>
      </w:r>
      <w:r>
        <w:rPr>
          <w:rFonts w:ascii="Arial" w:cs="Arial" w:eastAsia="Arial" w:hAnsi="Arial"/>
          <w:sz w:val="19"/>
          <w:szCs w:val="19"/>
          <w:u w:val="single" w:color="auto"/>
          <w:color w:val="auto"/>
        </w:rPr>
        <w:t>run rate</w:t>
      </w:r>
      <w:r>
        <w:rPr>
          <w:rFonts w:ascii="Arial" w:cs="Arial" w:eastAsia="Arial" w:hAnsi="Arial"/>
          <w:sz w:val="19"/>
          <w:szCs w:val="19"/>
          <w:color w:val="auto"/>
        </w:rPr>
        <w:t xml:space="preserve">” shall mean the full recurring benefit that is associated with any action taken or initiated or that is expected to be taken); </w:t>
      </w: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4" w:name="page25"/>
    <w:bookmarkEnd w:id="24"/>
    <w:p>
      <w:pPr>
        <w:jc w:val="both"/>
        <w:ind w:left="660" w:firstLine="644"/>
        <w:spacing w:after="0" w:line="274" w:lineRule="auto"/>
        <w:tabs>
          <w:tab w:leader="none" w:pos="239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 the aggregate amount of “run rate” income that would have been earned pursuant to Customer Contracts entered into on or prior to the last day of such period (net of actual income earned pursuant to such Customer Contracts during such period) as estimated by the Issuer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Issuer to be a reasonable good faith estimate of the actual volumes and costs associated with such Customer Contract) during the entire Test Period, less (ii) any actual income earned under any Customer Contract that was cancelled or otherwise terminated in accordance with its terms during such period, or for which the Issuer has received notice that such cancellation or termination will occur; </w:t>
      </w:r>
      <w:r>
        <w:rPr>
          <w:rFonts w:ascii="Arial" w:cs="Arial" w:eastAsia="Arial" w:hAnsi="Arial"/>
          <w:sz w:val="19"/>
          <w:szCs w:val="19"/>
          <w:u w:val="single" w:color="auto"/>
          <w:color w:val="auto"/>
        </w:rPr>
        <w:t>minus</w:t>
      </w:r>
    </w:p>
    <w:p>
      <w:pPr>
        <w:spacing w:after="0" w:line="185" w:lineRule="exact"/>
        <w:rPr>
          <w:rFonts w:ascii="Arial" w:cs="Arial" w:eastAsia="Arial" w:hAnsi="Arial"/>
          <w:sz w:val="19"/>
          <w:szCs w:val="19"/>
          <w:color w:val="auto"/>
        </w:rPr>
      </w:pPr>
    </w:p>
    <w:p>
      <w:pPr>
        <w:jc w:val="both"/>
        <w:ind w:left="660" w:firstLine="644"/>
        <w:spacing w:after="0" w:line="236" w:lineRule="auto"/>
        <w:tabs>
          <w:tab w:leader="none" w:pos="2249"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without duplication, any amount that, in the determination of such Consolidated Net Income for such period, has been included for any non-cash income or non-cash gain, all as determined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22"/>
          <w:szCs w:val="22"/>
          <w:u w:val="single" w:color="auto"/>
          <w:color w:val="auto"/>
        </w:rPr>
        <w:t>minus</w:t>
      </w:r>
    </w:p>
    <w:p>
      <w:pPr>
        <w:spacing w:after="0" w:line="214" w:lineRule="exact"/>
        <w:rPr>
          <w:rFonts w:ascii="Arial" w:cs="Arial" w:eastAsia="Arial" w:hAnsi="Arial"/>
          <w:sz w:val="22"/>
          <w:szCs w:val="22"/>
          <w:color w:val="auto"/>
        </w:rPr>
      </w:pPr>
    </w:p>
    <w:p>
      <w:pPr>
        <w:jc w:val="both"/>
        <w:ind w:left="660" w:firstLine="644"/>
        <w:spacing w:after="0" w:line="238" w:lineRule="auto"/>
        <w:tabs>
          <w:tab w:leader="none" w:pos="2075"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without duplication, the amount of any cash payment made during such period in respect of any non-cash accrual, reserve or other non-cash Charge that is accounted for in a prior period and that was added to Consolidated Net Income of the Issuer to determine Consolidated EBITDA of the Issuer for such prior period and that does not otherwise reduce such Consolidated Net Income for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Consolidated EBITDA of the Issuer and its Restricted Subsidiaries for any period shall be calculated on a pro forma basis.</w:t>
      </w:r>
    </w:p>
    <w:p>
      <w:pPr>
        <w:spacing w:after="0" w:line="26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First Lien Debt</w:t>
      </w:r>
      <w:r>
        <w:rPr>
          <w:rFonts w:ascii="Arial" w:cs="Arial" w:eastAsia="Arial" w:hAnsi="Arial"/>
          <w:sz w:val="22"/>
          <w:szCs w:val="22"/>
          <w:color w:val="auto"/>
        </w:rPr>
        <w:t>” means, as to any Person at any date of determination, the aggregate principal amount of Consolidated Total Debt of such Person outstanding on such date (a) that constitutes Secured Notes Obligations or (b) that is secured by a Lien on the Collateral that does not rank junior to the Liens on the Collateral securing the Secured Notes Obligations (excluding, for the avoidance of doubt, any obligation with respect to a Financing Lease of the Issuer or any Restricted Subsidiary secured by Liens on the assets subject thereto).</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First Lien Debt Ratio</w:t>
      </w:r>
      <w:r>
        <w:rPr>
          <w:rFonts w:ascii="Arial" w:cs="Arial" w:eastAsia="Arial" w:hAnsi="Arial"/>
          <w:sz w:val="21"/>
          <w:szCs w:val="21"/>
          <w:color w:val="auto"/>
        </w:rPr>
        <w:t>” means the ratio, as of any date of determination, of (a) Consolidated First Lien Debt as of the last day of the Test Period then most recently ended on or prior to such date of determination to (b) Annualized EBITDA, in each case of the Issuer and its Restricted Subsidiaries on a consolidated basis.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xml:space="preserve">” means, cash interest expense (including that attributable to Financing Leases), net of cash interest income of the Issuer and the Restricted Subsidiaries with respect to all outstanding Indebtedness of the Issuer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w:t>
      </w:r>
      <w:r>
        <w:rPr>
          <w:rFonts w:ascii="Arial" w:cs="Arial" w:eastAsia="Arial" w:hAnsi="Arial"/>
          <w:sz w:val="19"/>
          <w:szCs w:val="19"/>
          <w:u w:val="single" w:color="auto"/>
          <w:color w:val="auto"/>
        </w:rPr>
        <w:t>Section 4.07(b)(xiv)</w:t>
      </w:r>
      <w:r>
        <w:rPr>
          <w:rFonts w:ascii="Arial" w:cs="Arial" w:eastAsia="Arial" w:hAnsi="Arial"/>
          <w:sz w:val="19"/>
          <w:szCs w:val="19"/>
          <w:color w:val="auto"/>
        </w:rPr>
        <w:t>,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Indebtedness, (h) penalties and interest relating to taxes, (i) accretion or accrual of discounted liabilities not constituting Indebtedness, (j) [Reserved],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September 2, 2020, (m) any lease, rental or other expense in connection with Non-Financing Lease Obligations or (n) annual agency or similar fees paid to the administrative agents, collateral agents and other agents under any Credit Facility.</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Subject Person</w:t>
      </w:r>
      <w:r>
        <w:rPr>
          <w:rFonts w:ascii="Arial" w:cs="Arial" w:eastAsia="Arial" w:hAnsi="Arial"/>
          <w:sz w:val="22"/>
          <w:szCs w:val="22"/>
          <w:color w:val="auto"/>
        </w:rPr>
        <w:t>”) for any Test Period, an amount equal to the net income (loss), determined in accordance with GAAP, attributable to such Person and its Restricted Subsidiaries on a consolidated basis, but excluding (and excluding the effect of), without duplication:</w:t>
      </w:r>
    </w:p>
    <w:p>
      <w:pPr>
        <w:spacing w:after="0" w:line="213" w:lineRule="exact"/>
        <w:rPr>
          <w:sz w:val="20"/>
          <w:szCs w:val="20"/>
          <w:color w:val="auto"/>
        </w:rPr>
      </w:pPr>
    </w:p>
    <w:p>
      <w:pPr>
        <w:jc w:val="both"/>
        <w:ind w:left="660" w:firstLine="644"/>
        <w:spacing w:after="0" w:line="275" w:lineRule="auto"/>
        <w:tabs>
          <w:tab w:leader="none" w:pos="2017" w:val="left"/>
        </w:tabs>
        <w:numPr>
          <w:ilvl w:val="0"/>
          <w:numId w:val="26"/>
        </w:numPr>
        <w:rPr>
          <w:rFonts w:ascii="Arial" w:cs="Arial" w:eastAsia="Arial" w:hAnsi="Arial"/>
          <w:sz w:val="19"/>
          <w:szCs w:val="19"/>
          <w:color w:val="auto"/>
        </w:rPr>
      </w:pPr>
      <w:r>
        <w:rPr>
          <w:rFonts w:ascii="Arial" w:cs="Arial" w:eastAsia="Arial" w:hAnsi="Arial"/>
          <w:sz w:val="19"/>
          <w:szCs w:val="19"/>
          <w:color w:val="auto"/>
        </w:rPr>
        <w:t>(i)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980" w:hanging="796"/>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238" w:lineRule="auto"/>
        <w:tabs>
          <w:tab w:leader="none" w:pos="1121"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gain or Charge from (A) any extraordinary or exceptional items and/or (B) 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w:t>
      </w:r>
    </w:p>
    <w:p>
      <w:pPr>
        <w:spacing w:after="0" w:line="211" w:lineRule="exact"/>
        <w:rPr>
          <w:rFonts w:ascii="Arial" w:cs="Arial" w:eastAsia="Arial" w:hAnsi="Arial"/>
          <w:sz w:val="22"/>
          <w:szCs w:val="22"/>
          <w:color w:val="auto"/>
        </w:rPr>
      </w:pPr>
    </w:p>
    <w:p>
      <w:pPr>
        <w:jc w:val="both"/>
        <w:ind w:left="-460" w:firstLine="644"/>
        <w:spacing w:after="0" w:line="270" w:lineRule="auto"/>
        <w:tabs>
          <w:tab w:leader="none" w:pos="12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960" w:hanging="776"/>
        <w:spacing w:after="0"/>
        <w:tabs>
          <w:tab w:leader="none" w:pos="9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Transaction Costs;</w:t>
      </w:r>
    </w:p>
    <w:p>
      <w:pPr>
        <w:spacing w:after="0" w:line="233" w:lineRule="exact"/>
        <w:rPr>
          <w:rFonts w:ascii="Arial" w:cs="Arial" w:eastAsia="Arial" w:hAnsi="Arial"/>
          <w:sz w:val="22"/>
          <w:szCs w:val="22"/>
          <w:color w:val="auto"/>
        </w:rPr>
      </w:pPr>
    </w:p>
    <w:p>
      <w:pPr>
        <w:jc w:val="both"/>
        <w:ind w:left="-460" w:firstLine="644"/>
        <w:spacing w:after="0" w:line="271" w:lineRule="auto"/>
        <w:tabs>
          <w:tab w:leader="none" w:pos="1011"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Charge (including any transaction or retention bonus or similar payment or any amortization thereof for such period) incurred in connection with the consummation of any transaction (including any such transaction consummated prior to the Issue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 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7" w:name="page28"/>
    <w:bookmarkEnd w:id="27"/>
    <w:p>
      <w:pPr>
        <w:jc w:val="both"/>
        <w:ind w:left="-460" w:firstLine="644"/>
        <w:spacing w:after="0" w:line="282" w:lineRule="auto"/>
        <w:tabs>
          <w:tab w:leader="none" w:pos="111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the amount of any Charge that is actually reimbursed (or reimbursable by one or more third parties pursuant to indemnification or reimbursement provisions or similar agreements or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174" w:lineRule="exact"/>
        <w:rPr>
          <w:rFonts w:ascii="Arial" w:cs="Arial" w:eastAsia="Arial" w:hAnsi="Arial"/>
          <w:sz w:val="19"/>
          <w:szCs w:val="19"/>
          <w:color w:val="auto"/>
        </w:rPr>
      </w:pPr>
    </w:p>
    <w:p>
      <w:pPr>
        <w:jc w:val="both"/>
        <w:ind w:left="-460" w:firstLine="644"/>
        <w:spacing w:after="0" w:line="282" w:lineRule="auto"/>
        <w:tabs>
          <w:tab w:leader="none" w:pos="101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net gain or Charge (less all fees and expenses chargeable thereto) with respect to (i) any disposed, abandoned, divested and/or discontinued asset, property or operation (including asset retirement costs, but other than (A) at the option of the Issuer,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w:t>
      </w:r>
    </w:p>
    <w:p>
      <w:pPr>
        <w:spacing w:after="0" w:line="174" w:lineRule="exact"/>
        <w:rPr>
          <w:rFonts w:ascii="Arial" w:cs="Arial" w:eastAsia="Arial" w:hAnsi="Arial"/>
          <w:sz w:val="19"/>
          <w:szCs w:val="19"/>
          <w:color w:val="auto"/>
        </w:rPr>
      </w:pPr>
    </w:p>
    <w:p>
      <w:pPr>
        <w:jc w:val="both"/>
        <w:ind w:left="-460" w:firstLine="644"/>
        <w:spacing w:after="0"/>
        <w:tabs>
          <w:tab w:leader="none" w:pos="103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net income or Charge that is established, adjusted and/or incurred, as applicable, and attributable to the early extinguishment of Indebtedness, any Hedge Agreement or other derivative instrument (including deferred financing costs written off and premiums paid);</w:t>
      </w:r>
    </w:p>
    <w:p>
      <w:pPr>
        <w:spacing w:after="0" w:line="213" w:lineRule="exact"/>
        <w:rPr>
          <w:rFonts w:ascii="Arial" w:cs="Arial" w:eastAsia="Arial" w:hAnsi="Arial"/>
          <w:sz w:val="22"/>
          <w:szCs w:val="22"/>
          <w:color w:val="auto"/>
        </w:rPr>
      </w:pPr>
    </w:p>
    <w:p>
      <w:pPr>
        <w:jc w:val="both"/>
        <w:ind w:left="-460" w:firstLine="644"/>
        <w:spacing w:after="0" w:line="297" w:lineRule="auto"/>
        <w:tabs>
          <w:tab w:leader="none" w:pos="889"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Charge that is established, adjusted or incurred, as applicable, within 24 months of the closing of any acquisition or other Investment, in each case, in accordance with GAAP (including any adjustment of estimated payouts on existing earn-outs) or changes as a result of the adoption or modification of accounting policies during such period;</w:t>
      </w:r>
    </w:p>
    <w:p>
      <w:pPr>
        <w:spacing w:after="0" w:line="160" w:lineRule="exact"/>
        <w:rPr>
          <w:rFonts w:ascii="Arial" w:cs="Arial" w:eastAsia="Arial" w:hAnsi="Arial"/>
          <w:sz w:val="19"/>
          <w:szCs w:val="19"/>
          <w:color w:val="auto"/>
        </w:rPr>
      </w:pPr>
    </w:p>
    <w:p>
      <w:pPr>
        <w:jc w:val="both"/>
        <w:ind w:left="-460" w:firstLine="644"/>
        <w:spacing w:after="0" w:line="272" w:lineRule="auto"/>
        <w:tabs>
          <w:tab w:leader="none" w:pos="1093" w:val="left"/>
        </w:tabs>
        <w:numPr>
          <w:ilvl w:val="0"/>
          <w:numId w:val="28"/>
        </w:numPr>
        <w:rPr>
          <w:rFonts w:ascii="Arial" w:cs="Arial" w:eastAsia="Arial" w:hAnsi="Arial"/>
          <w:sz w:val="19"/>
          <w:szCs w:val="19"/>
          <w:color w:val="auto"/>
        </w:rPr>
      </w:pPr>
      <w:r>
        <w:rPr>
          <w:rFonts w:ascii="Arial" w:cs="Arial" w:eastAsia="Arial" w:hAnsi="Arial"/>
          <w:sz w:val="19"/>
          <w:szCs w:val="19"/>
          <w:color w:val="auto"/>
        </w:rPr>
        <w:t>(i)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Issuer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Issuer to apply IFRS or other accounting changes) and any costs, charges, losses, fees or expenses in connection with the implementation or tracking of such changes or modifications;</w:t>
      </w: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8" w:name="page29"/>
    <w:bookmarkEnd w:id="28"/>
    <w:p>
      <w:pPr>
        <w:jc w:val="both"/>
        <w:ind w:left="-460" w:firstLine="644"/>
        <w:spacing w:after="0" w:line="272" w:lineRule="auto"/>
        <w:tabs>
          <w:tab w:leader="none" w:pos="1005" w:val="left"/>
        </w:tabs>
        <w:numPr>
          <w:ilvl w:val="0"/>
          <w:numId w:val="29"/>
        </w:numPr>
        <w:rPr>
          <w:rFonts w:ascii="Arial" w:cs="Arial" w:eastAsia="Arial" w:hAnsi="Arial"/>
          <w:sz w:val="19"/>
          <w:szCs w:val="19"/>
          <w:color w:val="auto"/>
        </w:rPr>
      </w:pPr>
      <w:r>
        <w:rPr>
          <w:rFonts w:ascii="Arial" w:cs="Arial" w:eastAsia="Arial" w:hAnsi="Arial"/>
          <w:sz w:val="19"/>
          <w:szCs w:val="19"/>
          <w:color w:val="auto"/>
        </w:rPr>
        <w:t>(i)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Indenture (including expenses relating to distributions made to equity holders of such Person resulting from the application of FASB Accounting Standards Codification Topic 718);</w:t>
      </w:r>
    </w:p>
    <w:p>
      <w:pPr>
        <w:spacing w:after="0" w:line="183" w:lineRule="exact"/>
        <w:rPr>
          <w:rFonts w:ascii="Arial" w:cs="Arial" w:eastAsia="Arial" w:hAnsi="Arial"/>
          <w:sz w:val="19"/>
          <w:szCs w:val="19"/>
          <w:color w:val="auto"/>
        </w:rPr>
      </w:pPr>
    </w:p>
    <w:p>
      <w:pPr>
        <w:ind w:left="980" w:hanging="79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amortization of intangible assets;</w:t>
      </w:r>
    </w:p>
    <w:p>
      <w:pPr>
        <w:spacing w:after="0" w:line="233" w:lineRule="exact"/>
        <w:rPr>
          <w:rFonts w:ascii="Arial" w:cs="Arial" w:eastAsia="Arial" w:hAnsi="Arial"/>
          <w:sz w:val="22"/>
          <w:szCs w:val="22"/>
          <w:color w:val="auto"/>
        </w:rPr>
      </w:pPr>
    </w:p>
    <w:p>
      <w:pPr>
        <w:ind w:left="-460" w:firstLine="644"/>
        <w:spacing w:after="0" w:line="274" w:lineRule="auto"/>
        <w:tabs>
          <w:tab w:leader="none" w:pos="998" w:val="left"/>
        </w:tabs>
        <w:numPr>
          <w:ilvl w:val="0"/>
          <w:numId w:val="29"/>
        </w:numPr>
        <w:rPr>
          <w:rFonts w:ascii="Arial" w:cs="Arial" w:eastAsia="Arial" w:hAnsi="Arial"/>
          <w:sz w:val="21"/>
          <w:szCs w:val="21"/>
          <w:color w:val="auto"/>
        </w:rPr>
      </w:pPr>
      <w:r>
        <w:rPr>
          <w:rFonts w:ascii="Arial" w:cs="Arial" w:eastAsia="Arial" w:hAnsi="Arial"/>
          <w:sz w:val="21"/>
          <w:szCs w:val="21"/>
          <w:color w:val="auto"/>
        </w:rPr>
        <w:t>any impairment charge or asset write-off or write-down (including related to intangible assets (including goodwill), long-lived assets, leased right of use assets and investments in debt and equity securities);</w:t>
      </w:r>
    </w:p>
    <w:p>
      <w:pPr>
        <w:spacing w:after="0" w:line="177" w:lineRule="exact"/>
        <w:rPr>
          <w:rFonts w:ascii="Arial" w:cs="Arial" w:eastAsia="Arial" w:hAnsi="Arial"/>
          <w:sz w:val="21"/>
          <w:szCs w:val="21"/>
          <w:color w:val="auto"/>
        </w:rPr>
      </w:pPr>
    </w:p>
    <w:p>
      <w:pPr>
        <w:jc w:val="both"/>
        <w:ind w:left="-460" w:firstLine="644"/>
        <w:spacing w:after="0" w:line="271" w:lineRule="auto"/>
        <w:tabs>
          <w:tab w:leader="none" w:pos="1003"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amount available under </w:t>
      </w:r>
      <w:r>
        <w:rPr>
          <w:rFonts w:ascii="Arial" w:cs="Arial" w:eastAsia="Arial" w:hAnsi="Arial"/>
          <w:sz w:val="19"/>
          <w:szCs w:val="19"/>
          <w:u w:val="single" w:color="auto"/>
          <w:color w:val="auto"/>
        </w:rPr>
        <w:t>clause (2)(a)(ii)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4.07(a)</w:t>
      </w:r>
      <w:r>
        <w:rPr>
          <w:rFonts w:ascii="Arial" w:cs="Arial" w:eastAsia="Arial" w:hAnsi="Arial"/>
          <w:sz w:val="19"/>
          <w:szCs w:val="19"/>
          <w:color w:val="auto"/>
        </w:rPr>
        <w:t>,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Indenture, similar restrictions (or other customary restrictions, as determined in good faith by the Issuer) set forth in any Credit Facilities or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Holders than the encumbrances and restrictions contained in this Indenture, any Credit Facilities or other Indebtedness contemplated by the preceding clause (B) (as determined by the Issuer in good faith)); it being understood and agreed that Consolidated Net Income will be increased by the amount of any payments made in cash (or converted into cash) or in Cash Equivalents to the Issuer or any Restricted Subsidiary (other than the Restricted Subsidiary that is subject to the relevant restriction) in respect of any such income;</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9" w:name="page30"/>
    <w:bookmarkEnd w:id="29"/>
    <w:p>
      <w:pPr>
        <w:jc w:val="both"/>
        <w:ind w:left="660" w:firstLine="644"/>
        <w:spacing w:after="0" w:line="277" w:lineRule="auto"/>
        <w:tabs>
          <w:tab w:leader="none" w:pos="2077" w:val="left"/>
        </w:tabs>
        <w:numPr>
          <w:ilvl w:val="0"/>
          <w:numId w:val="30"/>
        </w:numPr>
        <w:rPr>
          <w:rFonts w:ascii="Arial" w:cs="Arial" w:eastAsia="Arial" w:hAnsi="Arial"/>
          <w:sz w:val="19"/>
          <w:szCs w:val="19"/>
          <w:color w:val="auto"/>
        </w:rPr>
      </w:pPr>
      <w:r>
        <w:rPr>
          <w:rFonts w:ascii="Arial" w:cs="Arial" w:eastAsia="Arial" w:hAnsi="Arial"/>
          <w:sz w:val="19"/>
          <w:szCs w:val="19"/>
          <w:color w:val="auto"/>
        </w:rPr>
        <w:t>(i)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w:t>
      </w:r>
    </w:p>
    <w:p>
      <w:pPr>
        <w:spacing w:after="0" w:line="179" w:lineRule="exact"/>
        <w:rPr>
          <w:rFonts w:ascii="Arial" w:cs="Arial" w:eastAsia="Arial" w:hAnsi="Arial"/>
          <w:sz w:val="19"/>
          <w:szCs w:val="19"/>
          <w:color w:val="auto"/>
        </w:rPr>
      </w:pPr>
    </w:p>
    <w:p>
      <w:pPr>
        <w:ind w:left="660" w:firstLine="644"/>
        <w:spacing w:after="0" w:line="250" w:lineRule="auto"/>
        <w:tabs>
          <w:tab w:leader="none" w:pos="2095"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deferred tax expense associated with any tax deduction or net operating loss arising as a result of the Transactions, or the release of any valuation allowance related to any such item;</w:t>
      </w:r>
    </w:p>
    <w:p>
      <w:pPr>
        <w:spacing w:after="0" w:line="201" w:lineRule="exact"/>
        <w:rPr>
          <w:rFonts w:ascii="Arial" w:cs="Arial" w:eastAsia="Arial" w:hAnsi="Arial"/>
          <w:sz w:val="22"/>
          <w:szCs w:val="22"/>
          <w:color w:val="auto"/>
        </w:rPr>
      </w:pPr>
    </w:p>
    <w:p>
      <w:pPr>
        <w:jc w:val="both"/>
        <w:ind w:left="660" w:firstLine="644"/>
        <w:spacing w:after="0" w:line="287" w:lineRule="auto"/>
        <w:tabs>
          <w:tab w:leader="none" w:pos="2053"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reserves, accruals or non-cash Charges related to adjustments to historical tax exposures, including social security, federal unemployment, state unemployment and state disability taxes deducted in the calculation of net income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the cash payment in respect thereof in such future period shall be subtracted from Consolidated Net Income for the period in which such cash payment was made);</w:t>
      </w:r>
    </w:p>
    <w:p>
      <w:pPr>
        <w:spacing w:after="0" w:line="169" w:lineRule="exact"/>
        <w:rPr>
          <w:rFonts w:ascii="Arial" w:cs="Arial" w:eastAsia="Arial" w:hAnsi="Arial"/>
          <w:sz w:val="19"/>
          <w:szCs w:val="19"/>
          <w:color w:val="auto"/>
        </w:rPr>
      </w:pPr>
    </w:p>
    <w:p>
      <w:pPr>
        <w:jc w:val="both"/>
        <w:ind w:left="660" w:firstLine="644"/>
        <w:spacing w:after="0"/>
        <w:tabs>
          <w:tab w:leader="none" w:pos="1997"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213" w:lineRule="exact"/>
        <w:rPr>
          <w:rFonts w:ascii="Arial" w:cs="Arial" w:eastAsia="Arial" w:hAnsi="Arial"/>
          <w:sz w:val="22"/>
          <w:szCs w:val="22"/>
          <w:color w:val="auto"/>
        </w:rPr>
      </w:pPr>
    </w:p>
    <w:p>
      <w:pPr>
        <w:ind w:left="2040" w:hanging="736"/>
        <w:spacing w:after="0"/>
        <w:tabs>
          <w:tab w:leader="none" w:pos="20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net income or Charge attributable to deferred compensation plans or trusts;</w:t>
      </w:r>
    </w:p>
    <w:p>
      <w:pPr>
        <w:spacing w:after="0" w:line="233" w:lineRule="exact"/>
        <w:rPr>
          <w:rFonts w:ascii="Arial" w:cs="Arial" w:eastAsia="Arial" w:hAnsi="Arial"/>
          <w:sz w:val="22"/>
          <w:szCs w:val="22"/>
          <w:color w:val="auto"/>
        </w:rPr>
      </w:pPr>
    </w:p>
    <w:p>
      <w:pPr>
        <w:ind w:left="660" w:firstLine="644"/>
        <w:spacing w:after="0" w:line="328" w:lineRule="auto"/>
        <w:tabs>
          <w:tab w:leader="none" w:pos="2114"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income or expense related to changes in the fair value of contingent liability in connection with earn-out obligations, purchase price adjustments and similar liabilities in connection with any acquisition or Investment;</w:t>
      </w:r>
    </w:p>
    <w:p>
      <w:pPr>
        <w:spacing w:after="0" w:line="131" w:lineRule="exact"/>
        <w:rPr>
          <w:rFonts w:ascii="Arial" w:cs="Arial" w:eastAsia="Arial" w:hAnsi="Arial"/>
          <w:sz w:val="19"/>
          <w:szCs w:val="19"/>
          <w:color w:val="auto"/>
        </w:rPr>
      </w:pPr>
    </w:p>
    <w:p>
      <w:pPr>
        <w:ind w:left="660" w:firstLine="644"/>
        <w:spacing w:after="0" w:line="250" w:lineRule="auto"/>
        <w:tabs>
          <w:tab w:leader="none" w:pos="2265"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non-cash interest expense or non-cash interest income, in each case, to the extent that there is no associated cash disbursement or receipt; and</w:t>
      </w:r>
    </w:p>
    <w:p>
      <w:pPr>
        <w:spacing w:after="0" w:line="201" w:lineRule="exact"/>
        <w:rPr>
          <w:rFonts w:ascii="Arial" w:cs="Arial" w:eastAsia="Arial" w:hAnsi="Arial"/>
          <w:sz w:val="22"/>
          <w:szCs w:val="22"/>
          <w:color w:val="auto"/>
        </w:rPr>
      </w:pPr>
    </w:p>
    <w:p>
      <w:pPr>
        <w:ind w:left="660" w:firstLine="644"/>
        <w:spacing w:after="0" w:line="328" w:lineRule="auto"/>
        <w:tabs>
          <w:tab w:leader="none" w:pos="20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effects of adjustments to accruals and reserves during a period relating to any change in the methodology of calculating reserves for returns, rebates and other chargebacks (including government program rebates).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-2550795</wp:posOffset>
            </wp:positionV>
            <wp:extent cx="34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September 2, 2020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both"/>
        <w:ind w:firstLine="648"/>
        <w:spacing w:after="0" w:line="235" w:lineRule="auto"/>
        <w:rPr>
          <w:sz w:val="20"/>
          <w:szCs w:val="20"/>
          <w:color w:val="auto"/>
        </w:rPr>
      </w:pPr>
      <w:r>
        <w:rPr>
          <w:rFonts w:ascii="Arial" w:cs="Arial" w:eastAsia="Arial" w:hAnsi="Arial"/>
          <w:sz w:val="22"/>
          <w:szCs w:val="22"/>
          <w:color w:val="auto"/>
        </w:rPr>
        <w:t xml:space="preserve">For the purpose of </w:t>
      </w:r>
      <w:r>
        <w:rPr>
          <w:rFonts w:ascii="Arial" w:cs="Arial" w:eastAsia="Arial" w:hAnsi="Arial"/>
          <w:sz w:val="22"/>
          <w:szCs w:val="22"/>
          <w:u w:val="single" w:color="auto"/>
          <w:color w:val="auto"/>
        </w:rPr>
        <w:t>clause (2)(a)(ii)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4.07(a)</w:t>
      </w:r>
      <w:r>
        <w:rPr>
          <w:rFonts w:ascii="Arial" w:cs="Arial" w:eastAsia="Arial" w:hAnsi="Arial"/>
          <w:sz w:val="22"/>
          <w:szCs w:val="22"/>
          <w:color w:val="auto"/>
        </w:rPr>
        <w:t xml:space="preserve">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w:t>
      </w:r>
      <w:r>
        <w:rPr>
          <w:rFonts w:ascii="Arial" w:cs="Arial" w:eastAsia="Arial" w:hAnsi="Arial"/>
          <w:sz w:val="22"/>
          <w:szCs w:val="22"/>
          <w:u w:val="single" w:color="auto"/>
          <w:color w:val="auto"/>
        </w:rPr>
        <w:t>clause (2)(a)(v)</w:t>
      </w:r>
      <w:r>
        <w:rPr>
          <w:rFonts w:ascii="Arial" w:cs="Arial" w:eastAsia="Arial" w:hAnsi="Arial"/>
          <w:sz w:val="22"/>
          <w:szCs w:val="22"/>
          <w:color w:val="auto"/>
        </w:rPr>
        <w:t xml:space="preserve">, </w:t>
      </w:r>
      <w:r>
        <w:rPr>
          <w:rFonts w:ascii="Arial" w:cs="Arial" w:eastAsia="Arial" w:hAnsi="Arial"/>
          <w:sz w:val="22"/>
          <w:szCs w:val="22"/>
          <w:u w:val="single" w:color="auto"/>
          <w:color w:val="auto"/>
        </w:rPr>
        <w:t>(2)(a)(vi)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(2)(a)(vii)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4.07(a)</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Secured Debt</w:t>
      </w:r>
      <w:r>
        <w:rPr>
          <w:rFonts w:ascii="Arial" w:cs="Arial" w:eastAsia="Arial" w:hAnsi="Arial"/>
          <w:sz w:val="22"/>
          <w:szCs w:val="22"/>
          <w:color w:val="auto"/>
        </w:rPr>
        <w:t>” means, as to any Person at any date of determination, the aggregate principal amount of Consolidated Total Debt of such Person outstanding on such date that is secured by a Lien on the Collateral (excluding, for the avoidance of doubt, any obligation with respect to a Financing Lease of the Issuer or any Restricted Subsidiary secured by Liens on the assets subject thereto).</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Secured Debt Ratio</w:t>
      </w:r>
      <w:r>
        <w:rPr>
          <w:rFonts w:ascii="Arial" w:cs="Arial" w:eastAsia="Arial" w:hAnsi="Arial"/>
          <w:sz w:val="21"/>
          <w:szCs w:val="21"/>
          <w:color w:val="auto"/>
        </w:rPr>
        <w:t>” means the ratio, as of any date of determination, of (a) Consolidated Secured Debt as of the last day of the Test Period then most recently ended on or prior to such date of determination to (b) Annualized EBITDA, in each case of the Issuer and its Restricted Subsidiaries on a consolidated basis.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Assets</w:t>
      </w:r>
      <w:r>
        <w:rPr>
          <w:rFonts w:ascii="Arial" w:cs="Arial" w:eastAsia="Arial" w:hAnsi="Arial"/>
          <w:sz w:val="21"/>
          <w:szCs w:val="21"/>
          <w:color w:val="auto"/>
        </w:rPr>
        <w:t>” means, at any date, all amounts that would, in conformity with GAAP, be set forth opposite the caption “</w:t>
      </w:r>
      <w:r>
        <w:rPr>
          <w:rFonts w:ascii="Arial" w:cs="Arial" w:eastAsia="Arial" w:hAnsi="Arial"/>
          <w:sz w:val="21"/>
          <w:szCs w:val="21"/>
          <w:u w:val="single" w:color="auto"/>
          <w:color w:val="auto"/>
        </w:rPr>
        <w:t>total assets</w:t>
      </w:r>
      <w:r>
        <w:rPr>
          <w:rFonts w:ascii="Arial" w:cs="Arial" w:eastAsia="Arial" w:hAnsi="Arial"/>
          <w:sz w:val="21"/>
          <w:szCs w:val="21"/>
          <w:color w:val="auto"/>
        </w:rPr>
        <w:t>” (or any like caption) on a consolidated balance sheet of the applicable Person at such date (assuming, for such purpose, that such Person’s only Subsidiaries are its Restricted Subsidiaries).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xml:space="preserve">” means, as to any Person at any date of determination, an amount equal to the sum of (1) the aggregate principal amount of all third party debt for borrowed money (including letter of 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 (2) 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Total Debt” shall be calculated (i) net of all unrestricted cash and Cash Equivalents of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Indenture, and if such price is based upon, or measured by, the fair market value of such Disqualified Stock or Preferred Stock, such fair market value shall be determined in good faith by the Board of Directors or senior management of such Person.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Debt Ratio</w:t>
      </w:r>
      <w:r>
        <w:rPr>
          <w:rFonts w:ascii="Arial" w:cs="Arial" w:eastAsia="Arial" w:hAnsi="Arial"/>
          <w:sz w:val="21"/>
          <w:szCs w:val="21"/>
          <w:color w:val="auto"/>
        </w:rPr>
        <w:t>” means the ratio, as of any date of determination, of (a) Consolidated Total Debt outstanding as of the last day of the Test Period then most recently ended on or prior to such date of determination to (b) Annualized EBITDA, in each case of the Issuer and its Restricted Subsidiaries on a consolidated basis.</w:t>
      </w:r>
    </w:p>
    <w:p>
      <w:pPr>
        <w:spacing w:after="0" w:line="19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Obligations</w:t>
      </w:r>
      <w:r>
        <w:rPr>
          <w:rFonts w:ascii="Arial" w:cs="Arial" w:eastAsia="Arial" w:hAnsi="Arial"/>
          <w:sz w:val="22"/>
          <w:szCs w:val="22"/>
          <w:color w:val="auto"/>
        </w:rPr>
        <w:t>” means, with respect to any Person, any obligation of such Person guaranteeing any leases, dividends or other obligations that do not constitute Indebtedness (“</w:t>
      </w:r>
      <w:r>
        <w:rPr>
          <w:rFonts w:ascii="Arial" w:cs="Arial" w:eastAsia="Arial" w:hAnsi="Arial"/>
          <w:sz w:val="22"/>
          <w:szCs w:val="22"/>
          <w:u w:val="single" w:color="auto"/>
          <w:color w:val="auto"/>
        </w:rPr>
        <w:t>primary obligations</w:t>
      </w:r>
      <w:r>
        <w:rPr>
          <w:rFonts w:ascii="Arial" w:cs="Arial" w:eastAsia="Arial" w:hAnsi="Arial"/>
          <w:sz w:val="22"/>
          <w:szCs w:val="22"/>
          <w:color w:val="auto"/>
        </w:rPr>
        <w:t>”) of any other Person (the “</w:t>
      </w:r>
      <w:r>
        <w:rPr>
          <w:rFonts w:ascii="Arial" w:cs="Arial" w:eastAsia="Arial" w:hAnsi="Arial"/>
          <w:sz w:val="22"/>
          <w:szCs w:val="22"/>
          <w:u w:val="single" w:color="auto"/>
          <w:color w:val="auto"/>
        </w:rPr>
        <w:t>primary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obligor</w:t>
      </w:r>
      <w:r>
        <w:rPr>
          <w:rFonts w:ascii="Arial" w:cs="Arial" w:eastAsia="Arial" w:hAnsi="Arial"/>
          <w:sz w:val="22"/>
          <w:szCs w:val="22"/>
          <w:color w:val="auto"/>
        </w:rPr>
        <w:t>”) in respect of such primary obligations in any manner, whether directly or indirectly, including any obligation of such Person, whether or not contingent,</w:t>
      </w:r>
    </w:p>
    <w:p>
      <w:pPr>
        <w:spacing w:after="0" w:line="212" w:lineRule="exact"/>
        <w:rPr>
          <w:sz w:val="20"/>
          <w:szCs w:val="20"/>
          <w:color w:val="auto"/>
        </w:rPr>
      </w:pPr>
    </w:p>
    <w:p>
      <w:pPr>
        <w:ind w:left="2080" w:hanging="776"/>
        <w:spacing w:after="0"/>
        <w:tabs>
          <w:tab w:leader="none" w:pos="20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purchase any such primary obligation or any property constituting direct or indirect security therefor,</w:t>
      </w:r>
    </w:p>
    <w:p>
      <w:pPr>
        <w:spacing w:after="0" w:line="267" w:lineRule="exact"/>
        <w:rPr>
          <w:rFonts w:ascii="Arial" w:cs="Arial" w:eastAsia="Arial" w:hAnsi="Arial"/>
          <w:sz w:val="19"/>
          <w:szCs w:val="19"/>
          <w:color w:val="auto"/>
        </w:rPr>
      </w:pPr>
    </w:p>
    <w:p>
      <w:pPr>
        <w:ind w:left="2100" w:hanging="796"/>
        <w:spacing w:after="0"/>
        <w:tabs>
          <w:tab w:leader="none" w:pos="21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233" w:lineRule="exact"/>
        <w:rPr>
          <w:rFonts w:ascii="Arial" w:cs="Arial" w:eastAsia="Arial" w:hAnsi="Arial"/>
          <w:sz w:val="22"/>
          <w:szCs w:val="22"/>
          <w:color w:val="auto"/>
        </w:rPr>
      </w:pPr>
    </w:p>
    <w:p>
      <w:pPr>
        <w:ind w:left="3340" w:hanging="740"/>
        <w:spacing w:after="0"/>
        <w:tabs>
          <w:tab w:leader="none" w:pos="33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233" w:lineRule="exact"/>
        <w:rPr>
          <w:rFonts w:ascii="Arial" w:cs="Arial" w:eastAsia="Arial" w:hAnsi="Arial"/>
          <w:sz w:val="22"/>
          <w:szCs w:val="22"/>
          <w:color w:val="auto"/>
        </w:rPr>
      </w:pPr>
    </w:p>
    <w:p>
      <w:pPr>
        <w:ind w:left="1960" w:firstLine="640"/>
        <w:spacing w:after="0" w:line="250" w:lineRule="auto"/>
        <w:tabs>
          <w:tab w:leader="none" w:pos="3602" w:val="left"/>
        </w:tabs>
        <w:numPr>
          <w:ilvl w:val="1"/>
          <w:numId w:val="31"/>
        </w:numPr>
        <w:rPr>
          <w:rFonts w:ascii="Arial" w:cs="Arial" w:eastAsia="Arial" w:hAnsi="Arial"/>
          <w:sz w:val="22"/>
          <w:szCs w:val="22"/>
          <w:color w:val="auto"/>
        </w:rPr>
      </w:pPr>
      <w:r>
        <w:rPr>
          <w:rFonts w:ascii="Arial" w:cs="Arial" w:eastAsia="Arial" w:hAnsi="Arial"/>
          <w:sz w:val="22"/>
          <w:szCs w:val="22"/>
          <w:color w:val="auto"/>
        </w:rPr>
        <w:t>to maintain working capital or equity capital of the primary obligor or otherwise to maintain the net worth or solvency of the primary obligor, or</w:t>
      </w:r>
    </w:p>
    <w:p>
      <w:pPr>
        <w:spacing w:after="0" w:line="201" w:lineRule="exact"/>
        <w:rPr>
          <w:rFonts w:ascii="Arial" w:cs="Arial" w:eastAsia="Arial" w:hAnsi="Arial"/>
          <w:sz w:val="22"/>
          <w:szCs w:val="22"/>
          <w:color w:val="auto"/>
        </w:rPr>
      </w:pPr>
    </w:p>
    <w:p>
      <w:pPr>
        <w:jc w:val="both"/>
        <w:ind w:left="660" w:firstLine="644"/>
        <w:spacing w:after="0"/>
        <w:tabs>
          <w:tab w:leader="none" w:pos="21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Collateral Agent</w:t>
      </w:r>
      <w:r>
        <w:rPr>
          <w:rFonts w:ascii="Arial" w:cs="Arial" w:eastAsia="Arial" w:hAnsi="Arial"/>
          <w:sz w:val="22"/>
          <w:szCs w:val="22"/>
          <w:color w:val="auto"/>
        </w:rPr>
        <w:t>” means, with respect to any Shared Collateral, the Collateral Agent designated as the Controlling Collateral Agent pursuant to the Equal Priority Intercreditor Agreement.</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Trust Office</w:t>
      </w:r>
      <w:r>
        <w:rPr>
          <w:rFonts w:ascii="Arial" w:cs="Arial" w:eastAsia="Arial" w:hAnsi="Arial"/>
          <w:sz w:val="22"/>
          <w:szCs w:val="22"/>
          <w:color w:val="auto"/>
        </w:rPr>
        <w:t>” means the principal corporate trust office of the Trustee, at which at any particular time its corporate trust business in relation to this Indenture shall be administered, which office at the date of execution of this Indenture is located at U.S. Bank National Association, U.S. Bank National Association, EP-MN-WS3C, 60 Livingston Avenue, Saint Paul, MN 55107, except that with respect to presentation of the Notes for payment or for registration of transfer or exchange, such term shall mean the office or agency of the Trustee at which, at any particular time, its corporate agency business in relation to this Indenture shall be conducted.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Facility</w:t>
      </w:r>
      <w:r>
        <w:rPr>
          <w:rFonts w:ascii="Arial" w:cs="Arial" w:eastAsia="Arial" w:hAnsi="Arial"/>
          <w:sz w:val="21"/>
          <w:szCs w:val="21"/>
          <w:color w:val="auto"/>
        </w:rPr>
        <w:t>” means, with respect to the Issuer or any of its Restricted Subsidiaries, one or more debt facilities or other financing arrangements (including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refundings, 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refunding, replacement, exchanged or refinancing financing arrangement that increases the amount permitted to be borrowed or issued thereunder or alters the maturity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increase in borrowings or issuance is permitted under </w:t>
      </w:r>
      <w:r>
        <w:rPr>
          <w:rFonts w:ascii="Arial" w:cs="Arial" w:eastAsia="Arial" w:hAnsi="Arial"/>
          <w:sz w:val="21"/>
          <w:szCs w:val="21"/>
          <w:u w:val="single" w:color="auto"/>
          <w:color w:val="auto"/>
        </w:rPr>
        <w:t>Section 4.09</w:t>
      </w:r>
      <w:r>
        <w:rPr>
          <w:rFonts w:ascii="Arial" w:cs="Arial" w:eastAsia="Arial" w:hAnsi="Arial"/>
          <w:sz w:val="21"/>
          <w:szCs w:val="21"/>
          <w:color w:val="auto"/>
        </w:rPr>
        <w:t>) or adds Restricted Subsidiaries as additional borrowers or guarantors thereunder and whether by the same or any other agent, trustee, lender or group of lenders, investors, holders or otherwise.</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Customer Contracts</w:t>
      </w:r>
      <w:r>
        <w:rPr>
          <w:rFonts w:ascii="Arial" w:cs="Arial" w:eastAsia="Arial" w:hAnsi="Arial"/>
          <w:sz w:val="22"/>
          <w:szCs w:val="22"/>
          <w:color w:val="auto"/>
        </w:rPr>
        <w:t>” means contracts entered into by the Issuer or any of its Restricted Subsidiaries for the sale, lease and/or other provision of products, goods and services by the Issuer or any such Restricted Subsidiary.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determination</w:t>
      </w:r>
      <w:r>
        <w:rPr>
          <w:rFonts w:ascii="Arial" w:cs="Arial" w:eastAsia="Arial" w:hAnsi="Arial"/>
          <w:sz w:val="21"/>
          <w:szCs w:val="21"/>
          <w:color w:val="auto"/>
        </w:rPr>
        <w:t>” means the applicable date of determination for the specified ratio, amount or percentage.</w:t>
      </w:r>
    </w:p>
    <w:p>
      <w:pPr>
        <w:spacing w:after="0" w:line="24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Declined Proceeds</w:t>
      </w:r>
      <w:r>
        <w:rPr>
          <w:rFonts w:ascii="Arial" w:cs="Arial" w:eastAsia="Arial" w:hAnsi="Arial"/>
          <w:sz w:val="22"/>
          <w:szCs w:val="22"/>
          <w:color w:val="auto"/>
        </w:rPr>
        <w:t xml:space="preserve">” means the aggregate amount of any Net Proceeds that are declined by the Holders of the Notes or holders of Pari Passu Indebtedness in connection with any Asset Sale Offer or Advance Offer made by the Issuer or any Restricted Subsidiary in accordance with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means any event that is, or after notice or lapse of time or both would become,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Deferred Revenue</w:t>
      </w:r>
      <w:r>
        <w:rPr>
          <w:rFonts w:ascii="Arial" w:cs="Arial" w:eastAsia="Arial" w:hAnsi="Arial"/>
          <w:sz w:val="21"/>
          <w:szCs w:val="21"/>
          <w:color w:val="auto"/>
        </w:rPr>
        <w:t xml:space="preserve">” means, at any date, the amount set forth opposite the caption “deferred revenue” (or any like caption or included in any other caption, including current and non-current designations) on a consolidated balance sheet at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balance shall be determined excluding the effects of acquisition method accounting.</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Definitive Note</w:t>
      </w:r>
      <w:r>
        <w:rPr>
          <w:rFonts w:ascii="Arial" w:cs="Arial" w:eastAsia="Arial" w:hAnsi="Arial"/>
          <w:sz w:val="21"/>
          <w:szCs w:val="21"/>
          <w:color w:val="auto"/>
        </w:rPr>
        <w:t xml:space="preserve">” means a certificated Note registered in the name of the Holder thereof and issued in accordance with </w:t>
      </w:r>
      <w:r>
        <w:rPr>
          <w:rFonts w:ascii="Arial" w:cs="Arial" w:eastAsia="Arial" w:hAnsi="Arial"/>
          <w:sz w:val="21"/>
          <w:szCs w:val="21"/>
          <w:u w:val="single" w:color="auto"/>
          <w:color w:val="auto"/>
        </w:rPr>
        <w:t>Section 2.06(c)</w:t>
      </w:r>
      <w:r>
        <w:rPr>
          <w:rFonts w:ascii="Arial" w:cs="Arial" w:eastAsia="Arial" w:hAnsi="Arial"/>
          <w:sz w:val="21"/>
          <w:szCs w:val="21"/>
          <w:color w:val="auto"/>
        </w:rPr>
        <w:t xml:space="preserv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except that such Note shall not bear the Global Note Legend and shall not have the “Schedule of Exchanges of Interests in the Global Note” attached thereto.</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w:t>
      </w:r>
      <w:r>
        <w:rPr>
          <w:rFonts w:ascii="Arial" w:cs="Arial" w:eastAsia="Arial" w:hAnsi="Arial"/>
          <w:sz w:val="22"/>
          <w:szCs w:val="22"/>
          <w:color w:val="auto"/>
        </w:rPr>
        <w:t>” means a demand, time, savings, passbook or like account with a bank, excluding, for the avoidance of doubt, any investment property (within the meaning of the UCC) or any account evidenced by an instrument (within the meaning of the UCC).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Depositary</w:t>
      </w:r>
      <w:r>
        <w:rPr>
          <w:rFonts w:ascii="Arial" w:cs="Arial" w:eastAsia="Arial" w:hAnsi="Arial"/>
          <w:sz w:val="21"/>
          <w:szCs w:val="21"/>
          <w:color w:val="auto"/>
        </w:rPr>
        <w:t xml:space="preserve">” means, with respect to the Notes issuable or issued in whole or in part in global form, the Person specified in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as the Depositary with respect to the Notes, and any and all successors thereto appointed as Depositary under this Indenture and having become such pursuant to the applicable provision of this Indenture.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Derivative Instrument</w:t>
      </w:r>
      <w:r>
        <w:rPr>
          <w:rFonts w:ascii="Arial" w:cs="Arial" w:eastAsia="Arial" w:hAnsi="Arial"/>
          <w:sz w:val="21"/>
          <w:szCs w:val="21"/>
          <w:color w:val="auto"/>
        </w:rPr>
        <w:t>”, with respect to a Person, means any contract, instrument or other right to receive payment or delivery of cash or other assets (including a physical short position)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any securities of the Issuer and/or the creditworthiness of the Issuer and/or any one or more of the Guarantors (the “</w:t>
      </w:r>
      <w:r>
        <w:rPr>
          <w:rFonts w:ascii="Arial" w:cs="Arial" w:eastAsia="Arial" w:hAnsi="Arial"/>
          <w:sz w:val="21"/>
          <w:szCs w:val="21"/>
          <w:u w:val="single" w:color="auto"/>
          <w:color w:val="auto"/>
        </w:rPr>
        <w:t>Performance References</w:t>
      </w:r>
      <w:r>
        <w:rPr>
          <w:rFonts w:ascii="Arial" w:cs="Arial" w:eastAsia="Arial" w:hAnsi="Arial"/>
          <w:sz w:val="21"/>
          <w:szCs w:val="21"/>
          <w:color w:val="auto"/>
        </w:rPr>
        <w:t>”). For the avoidance of doubt, the term “Derivative Instrument” shall not include any Notes.</w:t>
      </w:r>
    </w:p>
    <w:p>
      <w:pPr>
        <w:spacing w:after="0" w:line="2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Derivative Transaction</w:t>
      </w:r>
      <w:r>
        <w:rPr>
          <w:rFonts w:ascii="Arial" w:cs="Arial" w:eastAsia="Arial" w:hAnsi="Arial"/>
          <w:sz w:val="21"/>
          <w:szCs w:val="21"/>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members of management, managers, members, partners, independent contractors or consultants of the Issuer or its Subsidiaries shall constitute a Derivative Transaction.</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Non-Cash Consideration</w:t>
      </w:r>
      <w:r>
        <w:rPr>
          <w:rFonts w:ascii="Arial" w:cs="Arial" w:eastAsia="Arial" w:hAnsi="Arial"/>
          <w:sz w:val="19"/>
          <w:szCs w:val="19"/>
          <w:color w:val="auto"/>
        </w:rPr>
        <w:t xml:space="preserve">” means the fair market value of non-cash consideration received by the Issuer or a Restricted Subsidiary in connection with an Asset Sale that is designated as Designated Non-Cash Consideration pursuant to an Officer’s Certificate, setting forth the basis of such valuation (which amount shall be reduced 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 otherwise retired or sold or otherwise disposed of in exchange for, in each case, cash or Cash Equivalents in compliance with </w:t>
      </w:r>
      <w:r>
        <w:rPr>
          <w:rFonts w:ascii="Arial" w:cs="Arial" w:eastAsia="Arial" w:hAnsi="Arial"/>
          <w:sz w:val="19"/>
          <w:szCs w:val="19"/>
          <w:u w:val="single" w:color="auto"/>
          <w:color w:val="auto"/>
        </w:rPr>
        <w:t>Section 4.10</w:t>
      </w:r>
      <w:r>
        <w:rPr>
          <w:rFonts w:ascii="Arial" w:cs="Arial" w:eastAsia="Arial" w:hAnsi="Arial"/>
          <w:sz w:val="19"/>
          <w:szCs w:val="19"/>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Preferred Stock</w:t>
      </w:r>
      <w:r>
        <w:rPr>
          <w:rFonts w:ascii="Arial" w:cs="Arial" w:eastAsia="Arial" w:hAnsi="Arial"/>
          <w:sz w:val="22"/>
          <w:szCs w:val="22"/>
          <w:color w:val="auto"/>
        </w:rPr>
        <w:t xml:space="preserve">” means Preferred Stock of the Issuer (other than Disqualified Stock) that is issued for cash (other than to the Issuer or a Restricted Subsidiary or an employee stock ownership plan or trust established by the Issuer or any of its Subsidiaries) and is so designated as Designated Preferred Stock, the cash proceeds of which shall be excluded from the calculation set forth in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4.07(a)</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Designs</w:t>
      </w:r>
      <w:r>
        <w:rPr>
          <w:rFonts w:ascii="Arial" w:cs="Arial" w:eastAsia="Arial" w:hAnsi="Arial"/>
          <w:sz w:val="19"/>
          <w:szCs w:val="19"/>
          <w:color w:val="auto"/>
        </w:rPr>
        <w:t>” means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following the maturity date of the Notes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following the maturity date of the Notes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maturity date of the Notes at the time such Capital Stock is issued (it being understood that if any such repurchase obligation is in part, only such part coming into effect prior to the date that is 91 days following the maturity date of the Notes shall constitute Disqualified Stock) or (d) provides for the scheduled payments of dividends in cash on or prior to the date that is 91 days following the maturity date of the Notes at the time such Capital Stock is issued;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Issuer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Issuer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Division</w:t>
      </w:r>
      <w:r>
        <w:rPr>
          <w:rFonts w:ascii="Arial" w:cs="Arial" w:eastAsia="Arial" w:hAnsi="Arial"/>
          <w:sz w:val="22"/>
          <w:szCs w:val="22"/>
          <w:color w:val="auto"/>
        </w:rPr>
        <w:t>” means the division of the assets, liabilities and/or obligations of a Person (the “</w:t>
      </w:r>
      <w:r>
        <w:rPr>
          <w:rFonts w:ascii="Arial" w:cs="Arial" w:eastAsia="Arial" w:hAnsi="Arial"/>
          <w:sz w:val="22"/>
          <w:szCs w:val="22"/>
          <w:u w:val="single" w:color="auto"/>
          <w:color w:val="auto"/>
        </w:rPr>
        <w:t>Dividing Person</w:t>
      </w:r>
      <w:r>
        <w:rPr>
          <w:rFonts w:ascii="Arial" w:cs="Arial" w:eastAsia="Arial" w:hAnsi="Arial"/>
          <w:sz w:val="22"/>
          <w:szCs w:val="22"/>
          <w:color w:val="auto"/>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Restricted Subsidiary (other than a Foreign Subsidiary) that is organized or existing under the laws of the United States, any state thereof or the District of Columbia.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Lien Priority</w:t>
      </w:r>
      <w:r>
        <w:rPr>
          <w:rFonts w:ascii="Arial" w:cs="Arial" w:eastAsia="Arial" w:hAnsi="Arial"/>
          <w:sz w:val="22"/>
          <w:szCs w:val="22"/>
          <w:color w:val="auto"/>
        </w:rPr>
        <w:t>” means, with respect to specified Indebtedness, such Indebtedness is secured by a Lien that is equal in priority to the Liens on specified Collateral (but without regard to control of remedies) and is subject to the Equal Priority Intercreditor Agreement (or such other intercreditor agreement having substantially similar terms as the Equal Priority Intercreditor Agreement, taken as a whole).</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Priority Collateral Agent</w:t>
      </w:r>
      <w:r>
        <w:rPr>
          <w:rFonts w:ascii="Arial" w:cs="Arial" w:eastAsia="Arial" w:hAnsi="Arial"/>
          <w:sz w:val="22"/>
          <w:szCs w:val="22"/>
          <w:color w:val="auto"/>
        </w:rPr>
        <w:t>” means the Equal Priority Representative for the holders of the Equal Priority Obligations.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Equal Priority Intercreditor Agreement</w:t>
      </w:r>
      <w:r>
        <w:rPr>
          <w:rFonts w:ascii="Arial" w:cs="Arial" w:eastAsia="Arial" w:hAnsi="Arial"/>
          <w:sz w:val="19"/>
          <w:szCs w:val="19"/>
          <w:color w:val="auto"/>
        </w:rPr>
        <w:t>” means the intercreditor agreement, dated as of the date hereof, with respect to the Collateral, entered into by, among others, the Notes Collateral Agent and the other applicable Equal Priority Collateral Agent(s), as the same may be amended, restated, renewed, replaced or otherwise modified from time to time.</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Priority Obligations</w:t>
      </w:r>
      <w:r>
        <w:rPr>
          <w:rFonts w:ascii="Arial" w:cs="Arial" w:eastAsia="Arial" w:hAnsi="Arial"/>
          <w:sz w:val="22"/>
          <w:szCs w:val="22"/>
          <w:color w:val="auto"/>
        </w:rPr>
        <w:t>” means, collectively, (1) the Secured Notes Obligations, (2) the Existing Notes Secured Obligations, (3) upon the effectiveness of the Revolving Credit Facility, the Revolving Credit Secured Obligations and (4) each Series of Additional Equal Priority Obligations.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Equal Priority Representative</w:t>
      </w:r>
      <w:r>
        <w:rPr>
          <w:rFonts w:ascii="Arial" w:cs="Arial" w:eastAsia="Arial" w:hAnsi="Arial"/>
          <w:sz w:val="21"/>
          <w:szCs w:val="21"/>
          <w:color w:val="auto"/>
        </w:rPr>
        <w:t>” means any duly authorized representative of any holders of Equal Priority Obligations, which representative is named as such in the Equal Priority Intercreditor Agreement or any joinder thereto.</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Equal Priority Secured Parties</w:t>
      </w:r>
      <w:r>
        <w:rPr>
          <w:rFonts w:ascii="Arial" w:cs="Arial" w:eastAsia="Arial" w:hAnsi="Arial"/>
          <w:sz w:val="22"/>
          <w:szCs w:val="22"/>
          <w:color w:val="auto"/>
        </w:rPr>
        <w:t>” means collectively, (1) the Secured Notes Secured Parties, (2) the Existing Notes Secured Parties, (3) upon the effectiveness of the Revolving Credit Facility, the Revolving Credit Secured Parties and (4) any Additional Equal Priority Secured Parties.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Offering</w:t>
      </w:r>
      <w:r>
        <w:rPr>
          <w:rFonts w:ascii="Arial" w:cs="Arial" w:eastAsia="Arial" w:hAnsi="Arial"/>
          <w:sz w:val="22"/>
          <w:szCs w:val="22"/>
          <w:color w:val="auto"/>
        </w:rPr>
        <w:t>” means any public or private sale or issuance of common equity or Preferred Stock of the Issuer (excluding Disqualified Stock), other than:</w:t>
      </w:r>
    </w:p>
    <w:p>
      <w:pPr>
        <w:spacing w:after="0" w:line="200" w:lineRule="exact"/>
        <w:rPr>
          <w:sz w:val="20"/>
          <w:szCs w:val="20"/>
          <w:color w:val="auto"/>
        </w:rPr>
      </w:pPr>
    </w:p>
    <w:p>
      <w:pPr>
        <w:ind w:left="2100" w:hanging="796"/>
        <w:spacing w:after="0"/>
        <w:tabs>
          <w:tab w:leader="none" w:pos="21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public offerings with respect to the Issuer’s common stock registered on Form S-8;</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issuances to any Subsidiary of the Issuer; and</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such public or private sale or issuance that constitutes an Excluded Contribution.</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(with respect to the definitions of “Change of Control” and “Permitted Holders” only, as in effect on the Issue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means the following:</w:t>
      </w:r>
    </w:p>
    <w:p>
      <w:pPr>
        <w:spacing w:after="0" w:line="233" w:lineRule="exact"/>
        <w:rPr>
          <w:sz w:val="20"/>
          <w:szCs w:val="20"/>
          <w:color w:val="auto"/>
        </w:rPr>
      </w:pPr>
    </w:p>
    <w:p>
      <w:pPr>
        <w:jc w:val="both"/>
        <w:ind w:left="660" w:firstLine="644"/>
        <w:spacing w:after="0" w:line="270" w:lineRule="auto"/>
        <w:tabs>
          <w:tab w:leader="none" w:pos="237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asset the grant of a security interest in which would (i) be prohibited by any enforceable anti-assignment provision set forth in any contract relating to such asset that is permitted or otherwise not prohibited by the terms of this Indenture, (ii) violate the terms of any contract relating to such asset that is permitted or otherwise not prohibited by the terms of this Indenture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Indenture pursuant to any “change of control” or similar provision; it being understood that (A) the term “Excluded Asset” shall not include proceeds or receivables arising out of any contract described in this clause (1) to the extent that the assignment of such proceeds or receivables is expressly deemed to be effective under the UCC or any other applicable Requirements of Law notwithstanding the relevant prohibition, violation or termination right, (B) the exclusions referenced in clauses (1)(i), (1)(ii) and (1)(iii) above shall not apply to the extent that the relevant contract expressly permits the grant of a security interest in all or substantially all of the assets of the Issuer or any Guarantor and (C) the exclusion set forth in this clause (1) shall only apply if the contractual prohibitions or contractual provisions that would be so violated or that would trigger any such termination, right or modification under clause (1)(i), (1)(ii) or (1)(iii) above (x) existed on the Issue Date (or in the case of any contract of a Subsidiary that is acquired following the Issue Date, as of the date of such acquisition) and were not entered into in contemplation of the Issue Date (or such acquisition) and (y) cannot be waived unilaterally by the Issuer or any of its Wholly-Owned Subsidiaries;</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left="660" w:firstLine="644"/>
        <w:spacing w:after="0"/>
        <w:tabs>
          <w:tab w:leader="none" w:pos="215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Equity Interests of any (A) Captive Insurance Subsidiary, (B) Unrestricted Subsidiary, (C) not-for-profit or special purpose Subsidiary, (D) Receivables Subsidiary, (E) Qualified Liquefaction Development Entity or (F) Immaterial Subsidiary (other than NFE Shannon Holdings Limited);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left="4" w:firstLine="644"/>
        <w:spacing w:after="0" w:line="251" w:lineRule="auto"/>
        <w:tabs>
          <w:tab w:leader="none" w:pos="147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intent-to-use (or similar) trademark application prior to the filing and acceptance of a “</w:t>
      </w:r>
      <w:r>
        <w:rPr>
          <w:rFonts w:ascii="Arial" w:cs="Arial" w:eastAsia="Arial" w:hAnsi="Arial"/>
          <w:sz w:val="22"/>
          <w:szCs w:val="22"/>
          <w:u w:val="single" w:color="auto"/>
          <w:color w:val="auto"/>
        </w:rPr>
        <w:t>Statement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Use</w:t>
      </w:r>
      <w:r>
        <w:rPr>
          <w:rFonts w:ascii="Arial" w:cs="Arial" w:eastAsia="Arial" w:hAnsi="Arial"/>
          <w:sz w:val="22"/>
          <w:szCs w:val="22"/>
          <w:color w:val="auto"/>
        </w:rPr>
        <w:t>” or “</w:t>
      </w:r>
      <w:r>
        <w:rPr>
          <w:rFonts w:ascii="Arial" w:cs="Arial" w:eastAsia="Arial" w:hAnsi="Arial"/>
          <w:sz w:val="22"/>
          <w:szCs w:val="22"/>
          <w:u w:val="single" w:color="auto"/>
          <w:color w:val="auto"/>
        </w:rPr>
        <w:t>Amendment to Allege Use</w:t>
      </w:r>
      <w:r>
        <w:rPr>
          <w:rFonts w:ascii="Arial" w:cs="Arial" w:eastAsia="Arial" w:hAnsi="Arial"/>
          <w:sz w:val="22"/>
          <w:szCs w:val="22"/>
          <w:color w:val="auto"/>
        </w:rPr>
        <w:t>” notice and/or filing with respect thereto;</w:t>
      </w:r>
    </w:p>
    <w:p>
      <w:pPr>
        <w:spacing w:after="0" w:line="200" w:lineRule="exact"/>
        <w:rPr>
          <w:rFonts w:ascii="Arial" w:cs="Arial" w:eastAsia="Arial" w:hAnsi="Arial"/>
          <w:sz w:val="22"/>
          <w:szCs w:val="22"/>
          <w:color w:val="auto"/>
        </w:rPr>
      </w:pPr>
    </w:p>
    <w:p>
      <w:pPr>
        <w:jc w:val="both"/>
        <w:ind w:left="4" w:firstLine="644"/>
        <w:spacing w:after="0" w:line="269" w:lineRule="auto"/>
        <w:tabs>
          <w:tab w:leader="none" w:pos="1364"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asset, the grant of a security interest in which would (i) require any governmental consent, approval, license, permit or authorization (collectively, “</w:t>
      </w:r>
      <w:r>
        <w:rPr>
          <w:rFonts w:ascii="Arial" w:cs="Arial" w:eastAsia="Arial" w:hAnsi="Arial"/>
          <w:sz w:val="19"/>
          <w:szCs w:val="19"/>
          <w:u w:val="single" w:color="auto"/>
          <w:color w:val="auto"/>
        </w:rPr>
        <w:t>Governmental Consents</w:t>
      </w:r>
      <w:r>
        <w:rPr>
          <w:rFonts w:ascii="Arial" w:cs="Arial" w:eastAsia="Arial" w:hAnsi="Arial"/>
          <w:sz w:val="19"/>
          <w:szCs w:val="19"/>
          <w:color w:val="auto"/>
        </w:rPr>
        <w:t>”) that has not been obtained (provided that, in the case of the Issuer’s port lease in San Juan, Puerto Rico and the concession in respect of the Issuer’s LNG regasification terminal at the Puerto Pichilingue in Baja California Sur, Mexico (the “</w:t>
      </w:r>
      <w:r>
        <w:rPr>
          <w:rFonts w:ascii="Arial" w:cs="Arial" w:eastAsia="Arial" w:hAnsi="Arial"/>
          <w:sz w:val="19"/>
          <w:szCs w:val="19"/>
          <w:u w:val="single" w:color="auto"/>
          <w:color w:val="auto"/>
        </w:rPr>
        <w:t>La Paz Facility Concession</w:t>
      </w:r>
      <w:r>
        <w:rPr>
          <w:rFonts w:ascii="Arial" w:cs="Arial" w:eastAsia="Arial" w:hAnsi="Arial"/>
          <w:sz w:val="19"/>
          <w:szCs w:val="19"/>
          <w:color w:val="auto"/>
        </w:rPr>
        <w:t>”), the Issuer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(4)(i) or clause (4)</w:t>
      </w:r>
    </w:p>
    <w:p>
      <w:pPr>
        <w:spacing w:after="0" w:line="1" w:lineRule="exact"/>
        <w:rPr>
          <w:rFonts w:ascii="Arial" w:cs="Arial" w:eastAsia="Arial" w:hAnsi="Arial"/>
          <w:sz w:val="19"/>
          <w:szCs w:val="19"/>
          <w:color w:val="auto"/>
        </w:rPr>
      </w:pPr>
    </w:p>
    <w:p>
      <w:pPr>
        <w:jc w:val="both"/>
        <w:ind w:left="4" w:hanging="4"/>
        <w:spacing w:after="0" w:line="246" w:lineRule="auto"/>
        <w:tabs>
          <w:tab w:leader="none" w:pos="322" w:val="left"/>
        </w:tabs>
        <w:numPr>
          <w:ilvl w:val="0"/>
          <w:numId w:val="35"/>
        </w:numPr>
        <w:rPr>
          <w:rFonts w:ascii="Arial" w:cs="Arial" w:eastAsia="Arial" w:hAnsi="Arial"/>
          <w:sz w:val="21"/>
          <w:szCs w:val="21"/>
          <w:color w:val="auto"/>
        </w:rPr>
      </w:pPr>
      <w:r>
        <w:rPr>
          <w:rFonts w:ascii="Arial" w:cs="Arial" w:eastAsia="Arial" w:hAnsi="Arial"/>
          <w:sz w:val="21"/>
          <w:szCs w:val="21"/>
          <w:color w:val="auto"/>
        </w:rPr>
        <w:t>to the extent that the assignment of such proceeds or receivables is expressly deemed to be effective under the UCC or any other applicable Requirements of Law notwithstanding the relevant requirement or prohibition or (iii) result in material adverse tax consequences to the Issuer or any of its direct or indirect Subsidiaries as reasonably determined by the Issuer, including as a result of the operation of Section 956 of the Code;</w:t>
      </w:r>
    </w:p>
    <w:p>
      <w:pPr>
        <w:spacing w:after="0" w:line="206" w:lineRule="exact"/>
        <w:rPr>
          <w:rFonts w:ascii="Arial" w:cs="Arial" w:eastAsia="Arial" w:hAnsi="Arial"/>
          <w:sz w:val="21"/>
          <w:szCs w:val="21"/>
          <w:color w:val="auto"/>
        </w:rPr>
      </w:pPr>
    </w:p>
    <w:p>
      <w:pPr>
        <w:jc w:val="both"/>
        <w:ind w:left="4" w:firstLine="644"/>
        <w:spacing w:after="0" w:line="246" w:lineRule="auto"/>
        <w:tabs>
          <w:tab w:leader="none" w:pos="1511" w:val="left"/>
        </w:tabs>
        <w:numPr>
          <w:ilvl w:val="1"/>
          <w:numId w:val="35"/>
        </w:numPr>
        <w:rPr>
          <w:rFonts w:ascii="Arial" w:cs="Arial" w:eastAsia="Arial" w:hAnsi="Arial"/>
          <w:sz w:val="21"/>
          <w:szCs w:val="21"/>
          <w:color w:val="auto"/>
        </w:rPr>
      </w:pPr>
      <w:r>
        <w:rPr>
          <w:rFonts w:ascii="Arial" w:cs="Arial" w:eastAsia="Arial" w:hAnsi="Arial"/>
          <w:sz w:val="21"/>
          <w:szCs w:val="21"/>
          <w:color w:val="auto"/>
        </w:rPr>
        <w:t>(i) any leasehold real property interests (other than the leasehold of property located at 6800 NW 72nd Street, Miami, Florida, or the leasehold interest relating to the LNG storage and regasification facility at the Port of Montego Bay, Jamaica) or concessions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our port lease in San Juan, Puerto Rico and the La Paz Facility Concession, the Issuer has used commercially reasonable efforts to obtain any Governmental Consents necessary to grant a mortgage or similar security instrument thereon) and (ii) any fee owned real property that is not a Material Real Estate Asset or that is located in a “special flood zone” (and no landlord lien waivers, estoppels or collateral access letters shall be required to be delivered);</w:t>
      </w:r>
    </w:p>
    <w:p>
      <w:pPr>
        <w:spacing w:after="0" w:line="211" w:lineRule="exact"/>
        <w:rPr>
          <w:rFonts w:ascii="Arial" w:cs="Arial" w:eastAsia="Arial" w:hAnsi="Arial"/>
          <w:sz w:val="21"/>
          <w:szCs w:val="21"/>
          <w:color w:val="auto"/>
        </w:rPr>
      </w:pPr>
    </w:p>
    <w:p>
      <w:pPr>
        <w:jc w:val="both"/>
        <w:ind w:left="4" w:firstLine="644"/>
        <w:spacing w:after="0" w:line="246" w:lineRule="auto"/>
        <w:tabs>
          <w:tab w:leader="none" w:pos="1539" w:val="left"/>
        </w:tabs>
        <w:numPr>
          <w:ilvl w:val="1"/>
          <w:numId w:val="35"/>
        </w:numPr>
        <w:rPr>
          <w:rFonts w:ascii="Arial" w:cs="Arial" w:eastAsia="Arial" w:hAnsi="Arial"/>
          <w:sz w:val="21"/>
          <w:szCs w:val="21"/>
          <w:color w:val="auto"/>
        </w:rPr>
      </w:pPr>
      <w:r>
        <w:rPr>
          <w:rFonts w:ascii="Arial" w:cs="Arial" w:eastAsia="Arial" w:hAnsi="Arial"/>
          <w:sz w:val="21"/>
          <w:szCs w:val="21"/>
          <w:color w:val="auto"/>
        </w:rPr>
        <w:t>any interest in any partnership, joint venture or non-Wholly-Owned Subsidiary that cannot be pledged without (i) the consent of one or more third parties other than the Issuer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Indenture that may be exercised by any third party other than the Issuer or any of its Restricted Subsidiaries in accordance with the organizational documents (and/or shareholders’ or similar agreement) of such partnership, joint venture or non-Wholly-Owned Subsidiary;</w:t>
      </w:r>
    </w:p>
    <w:p>
      <w:pPr>
        <w:spacing w:after="0" w:line="211" w:lineRule="exact"/>
        <w:rPr>
          <w:rFonts w:ascii="Arial" w:cs="Arial" w:eastAsia="Arial" w:hAnsi="Arial"/>
          <w:sz w:val="21"/>
          <w:szCs w:val="21"/>
          <w:color w:val="auto"/>
        </w:rPr>
      </w:pPr>
    </w:p>
    <w:p>
      <w:pPr>
        <w:jc w:val="both"/>
        <w:ind w:left="4" w:firstLine="644"/>
        <w:spacing w:after="0" w:line="282" w:lineRule="auto"/>
        <w:tabs>
          <w:tab w:leader="none" w:pos="1451" w:val="left"/>
        </w:tabs>
        <w:numPr>
          <w:ilvl w:val="1"/>
          <w:numId w:val="35"/>
        </w:numPr>
        <w:rPr>
          <w:rFonts w:ascii="Arial" w:cs="Arial" w:eastAsia="Arial" w:hAnsi="Arial"/>
          <w:sz w:val="19"/>
          <w:szCs w:val="19"/>
          <w:color w:val="auto"/>
        </w:rPr>
      </w:pPr>
      <w:r>
        <w:rPr>
          <w:rFonts w:ascii="Arial" w:cs="Arial" w:eastAsia="Arial" w:hAnsi="Arial"/>
          <w:sz w:val="19"/>
          <w:szCs w:val="19"/>
          <w:color w:val="auto"/>
        </w:rPr>
        <w:t>(i) motor vehicles, tankers, marine vessels, ISO containers and other assets subject to certificates of title, other than any tankers or other marine vessels with a value (as reasonably estimated by the Issuer) in excess of $40.0 million, (ii) letter-of-credit rights not constituting supporting obligations of other Collateral and (iii) commercial tort claims with a value (as reasonably estimated by the Issuer) of less than $40.0 million, except, in each case of clauses (i)-(iii), to the extent a security interest therein can be perfected solely by the filing of a UCC financing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6076315</wp:posOffset>
            </wp:positionH>
            <wp:positionV relativeFrom="paragraph">
              <wp:posOffset>-5147310</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38" w:name="page39"/>
    <w:bookmarkEnd w:id="38"/>
    <w:p>
      <w:pPr>
        <w:ind w:left="2100" w:hanging="796"/>
        <w:spacing w:after="0"/>
        <w:tabs>
          <w:tab w:leader="none" w:pos="21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margin stock;</w:t>
      </w:r>
    </w:p>
    <w:p>
      <w:pPr>
        <w:spacing w:after="0" w:line="233" w:lineRule="exact"/>
        <w:rPr>
          <w:rFonts w:ascii="Arial" w:cs="Arial" w:eastAsia="Arial" w:hAnsi="Arial"/>
          <w:sz w:val="22"/>
          <w:szCs w:val="22"/>
          <w:color w:val="auto"/>
        </w:rPr>
      </w:pPr>
    </w:p>
    <w:p>
      <w:pPr>
        <w:jc w:val="both"/>
        <w:ind w:left="660" w:firstLine="644"/>
        <w:spacing w:after="0"/>
        <w:tabs>
          <w:tab w:leader="none" w:pos="2159"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cash or Cash Equivalents, Deposit Account, commodities account or securities account (including securities entitlements and related assets but excluding cash and Cash Equivalents representing the proceeds of assets otherwise constituting Collateral);</w:t>
      </w:r>
    </w:p>
    <w:p>
      <w:pPr>
        <w:spacing w:after="0" w:line="213" w:lineRule="exact"/>
        <w:rPr>
          <w:rFonts w:ascii="Arial" w:cs="Arial" w:eastAsia="Arial" w:hAnsi="Arial"/>
          <w:sz w:val="22"/>
          <w:szCs w:val="22"/>
          <w:color w:val="auto"/>
        </w:rPr>
      </w:pPr>
    </w:p>
    <w:p>
      <w:pPr>
        <w:jc w:val="both"/>
        <w:ind w:left="660" w:firstLine="644"/>
        <w:spacing w:after="0" w:line="274" w:lineRule="auto"/>
        <w:tabs>
          <w:tab w:leader="none" w:pos="214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lease, license or other agreement or contract or any asset subject thereto (including pursuant to a purchase money security interest, Financing Lease or similar arrangement) that is, in each case, not prohibited by the terms of this Indenture to the extent that the grant of a security interest therein would violate or invalidate such lease, license or agreement or contract or purchase money, Financing Lease or similar arrangement or trigger a right of termination in favor of any other party thereto (other than the Issuer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(10) to the extent that the assignment of such proceeds or receivables is expressly deemed to be effective under the UCC or any other applicable Requirements of Law notwithstanding the relevant requirement or prohibition;</w:t>
      </w:r>
    </w:p>
    <w:p>
      <w:pPr>
        <w:spacing w:after="0" w:line="185" w:lineRule="exact"/>
        <w:rPr>
          <w:rFonts w:ascii="Arial" w:cs="Arial" w:eastAsia="Arial" w:hAnsi="Arial"/>
          <w:sz w:val="19"/>
          <w:szCs w:val="19"/>
          <w:color w:val="auto"/>
        </w:rPr>
      </w:pPr>
    </w:p>
    <w:p>
      <w:pPr>
        <w:jc w:val="both"/>
        <w:ind w:left="660" w:firstLine="644"/>
        <w:spacing w:after="0" w:line="236" w:lineRule="auto"/>
        <w:tabs>
          <w:tab w:leader="none" w:pos="2105"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asset with respect to which the Issuer and the Notes Collateral Agent has reasonably agreed that the cost, burden, difficulty or consequence (including any effect on the ability of the Issuer or any Guarantor to conduct its operations and business in the ordinary course of business) of obtaining or perfecting a security interest therein outweighs the benefit of a security interest to the Holders of the security afforded thereby, which determination is evidenced in writing;</w:t>
      </w:r>
    </w:p>
    <w:p>
      <w:pPr>
        <w:spacing w:after="0" w:line="214" w:lineRule="exact"/>
        <w:rPr>
          <w:rFonts w:ascii="Arial" w:cs="Arial" w:eastAsia="Arial" w:hAnsi="Arial"/>
          <w:sz w:val="22"/>
          <w:szCs w:val="22"/>
          <w:color w:val="auto"/>
        </w:rPr>
      </w:pPr>
    </w:p>
    <w:p>
      <w:pPr>
        <w:jc w:val="both"/>
        <w:ind w:left="660" w:firstLine="644"/>
        <w:spacing w:after="0"/>
        <w:tabs>
          <w:tab w:leader="none" w:pos="2207"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receivables and related assets (or interests therein) (i) disposed of to any Receivables Subsidiary in connection with a Permitted Receivables Financing or (ii) otherwise pledged, factored, transferred or sold in connection with any Permitted Receivables Financing; and</w:t>
      </w:r>
    </w:p>
    <w:p>
      <w:pPr>
        <w:spacing w:after="0" w:line="213" w:lineRule="exact"/>
        <w:rPr>
          <w:rFonts w:ascii="Arial" w:cs="Arial" w:eastAsia="Arial" w:hAnsi="Arial"/>
          <w:sz w:val="22"/>
          <w:szCs w:val="22"/>
          <w:color w:val="auto"/>
        </w:rPr>
      </w:pPr>
    </w:p>
    <w:p>
      <w:pPr>
        <w:jc w:val="both"/>
        <w:ind w:left="660" w:firstLine="644"/>
        <w:spacing w:after="0" w:line="249" w:lineRule="auto"/>
        <w:tabs>
          <w:tab w:leader="none" w:pos="2045"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Issuer’s or any Guarantor’s ability to utilize such license, permit franchise, charter or authorization in the conduct of its business in the ordinary course.</w:t>
      </w:r>
    </w:p>
    <w:p>
      <w:pPr>
        <w:spacing w:after="0" w:line="20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Contribution</w:t>
      </w:r>
      <w:r>
        <w:rPr>
          <w:rFonts w:ascii="Arial" w:cs="Arial" w:eastAsia="Arial" w:hAnsi="Arial"/>
          <w:sz w:val="22"/>
          <w:szCs w:val="22"/>
          <w:color w:val="auto"/>
        </w:rPr>
        <w:t>” means the aggregate amount of cash or Cash Equivalents or the fair market value of other assets received by the Issuer or any of its Restricted Subsidiaries after September 2, 2020 from: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left="660" w:firstLine="644"/>
        <w:spacing w:after="0" w:line="251" w:lineRule="auto"/>
        <w:tabs>
          <w:tab w:leader="none" w:pos="2043" w:val="left"/>
        </w:tabs>
        <w:numPr>
          <w:ilvl w:val="1"/>
          <w:numId w:val="37"/>
        </w:numPr>
        <w:rPr>
          <w:rFonts w:ascii="Arial" w:cs="Arial" w:eastAsia="Arial" w:hAnsi="Arial"/>
          <w:sz w:val="22"/>
          <w:szCs w:val="22"/>
          <w:color w:val="auto"/>
        </w:rPr>
      </w:pPr>
      <w:r>
        <w:rPr>
          <w:rFonts w:ascii="Arial" w:cs="Arial" w:eastAsia="Arial" w:hAnsi="Arial"/>
          <w:sz w:val="22"/>
          <w:szCs w:val="22"/>
          <w:color w:val="auto"/>
        </w:rPr>
        <w:t>contributions in respect of Qualified Capital Stock of the Issuer or any of its Restricted Subsidiaries (other than any amounts received from the Issuer or any of its Restricted Subsidiaries),</w:t>
      </w:r>
    </w:p>
    <w:p>
      <w:pPr>
        <w:spacing w:after="0" w:line="200" w:lineRule="exact"/>
        <w:rPr>
          <w:rFonts w:ascii="Arial" w:cs="Arial" w:eastAsia="Arial" w:hAnsi="Arial"/>
          <w:sz w:val="22"/>
          <w:szCs w:val="22"/>
          <w:color w:val="auto"/>
        </w:rPr>
      </w:pPr>
    </w:p>
    <w:p>
      <w:pPr>
        <w:ind w:left="2020" w:hanging="716"/>
        <w:spacing w:after="0"/>
        <w:tabs>
          <w:tab w:leader="none" w:pos="202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sale of Qualified Capital Stock of the Issuer (other than (i) to any Restricted Subsidiary of the Issuer,</w:t>
      </w:r>
    </w:p>
    <w:p>
      <w:pPr>
        <w:spacing w:after="0" w:line="42" w:lineRule="exact"/>
        <w:rPr>
          <w:rFonts w:ascii="Arial" w:cs="Arial" w:eastAsia="Arial" w:hAnsi="Arial"/>
          <w:sz w:val="19"/>
          <w:szCs w:val="19"/>
          <w:color w:val="auto"/>
        </w:rPr>
      </w:pPr>
    </w:p>
    <w:p>
      <w:pPr>
        <w:jc w:val="both"/>
        <w:ind w:left="660" w:hanging="4"/>
        <w:spacing w:after="0" w:line="266" w:lineRule="auto"/>
        <w:tabs>
          <w:tab w:leader="none" w:pos="982" w:val="left"/>
        </w:tabs>
        <w:numPr>
          <w:ilvl w:val="0"/>
          <w:numId w:val="38"/>
        </w:numPr>
        <w:rPr>
          <w:rFonts w:ascii="Arial" w:cs="Arial" w:eastAsia="Arial" w:hAnsi="Arial"/>
          <w:sz w:val="19"/>
          <w:szCs w:val="19"/>
          <w:color w:val="auto"/>
        </w:rPr>
      </w:pPr>
      <w:r>
        <w:rPr>
          <w:rFonts w:ascii="Arial" w:cs="Arial" w:eastAsia="Arial" w:hAnsi="Arial"/>
          <w:sz w:val="19"/>
          <w:szCs w:val="19"/>
          <w:color w:val="auto"/>
        </w:rPr>
        <w:t>pursuant to any management equity plan or stock option plan or any other management or employee benefit plan, (iii) with the proceeds of any loan or advance made pursuant to clause (h)(i) of the definition of “Permitted Investments” or</w:t>
      </w:r>
    </w:p>
    <w:p>
      <w:pPr>
        <w:spacing w:after="0" w:line="1" w:lineRule="exact"/>
        <w:rPr>
          <w:rFonts w:ascii="Arial" w:cs="Arial" w:eastAsia="Arial" w:hAnsi="Arial"/>
          <w:sz w:val="19"/>
          <w:szCs w:val="19"/>
          <w:color w:val="auto"/>
        </w:rPr>
      </w:pPr>
    </w:p>
    <w:p>
      <w:pPr>
        <w:jc w:val="both"/>
        <w:ind w:left="660" w:hanging="4"/>
        <w:spacing w:after="0" w:line="233" w:lineRule="auto"/>
        <w:tabs>
          <w:tab w:leader="none" w:pos="1053"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Designated Preferred Stock), including any addition to capital as a result of any consolidation, merger or similar transaction with the Issuer or any Restricted Subsidiary, to the extent designated as an Excluded Contribution and the proceeds of which have not been applied in reliance on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4.07(a)</w:t>
      </w:r>
      <w:r>
        <w:rPr>
          <w:rFonts w:ascii="Arial" w:cs="Arial" w:eastAsia="Arial" w:hAnsi="Arial"/>
          <w:sz w:val="22"/>
          <w:szCs w:val="22"/>
          <w:color w:val="auto"/>
        </w:rPr>
        <w:t xml:space="preserve"> or to make a Restricted Payment pursuant to </w:t>
      </w:r>
      <w:r>
        <w:rPr>
          <w:rFonts w:ascii="Arial" w:cs="Arial" w:eastAsia="Arial" w:hAnsi="Arial"/>
          <w:sz w:val="22"/>
          <w:szCs w:val="22"/>
          <w:u w:val="single" w:color="auto"/>
          <w:color w:val="auto"/>
        </w:rPr>
        <w:t>Section 4.07(b)(ii)(B)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4.07(b)(xxix)(A)</w:t>
      </w:r>
      <w:r>
        <w:rPr>
          <w:rFonts w:ascii="Arial" w:cs="Arial" w:eastAsia="Arial" w:hAnsi="Arial"/>
          <w:sz w:val="22"/>
          <w:szCs w:val="22"/>
          <w:color w:val="auto"/>
        </w:rPr>
        <w:t>, and</w:t>
      </w:r>
    </w:p>
    <w:p>
      <w:pPr>
        <w:spacing w:after="0" w:line="214" w:lineRule="exact"/>
        <w:rPr>
          <w:rFonts w:ascii="Arial" w:cs="Arial" w:eastAsia="Arial" w:hAnsi="Arial"/>
          <w:sz w:val="22"/>
          <w:szCs w:val="22"/>
          <w:color w:val="auto"/>
        </w:rPr>
      </w:pPr>
    </w:p>
    <w:p>
      <w:pPr>
        <w:ind w:left="660" w:firstLine="644"/>
        <w:spacing w:after="0" w:line="250" w:lineRule="auto"/>
        <w:tabs>
          <w:tab w:leader="none" w:pos="2201" w:val="left"/>
        </w:tabs>
        <w:numPr>
          <w:ilvl w:val="1"/>
          <w:numId w:val="39"/>
        </w:numPr>
        <w:rPr>
          <w:rFonts w:ascii="Arial" w:cs="Arial" w:eastAsia="Arial" w:hAnsi="Arial"/>
          <w:sz w:val="22"/>
          <w:szCs w:val="22"/>
          <w:color w:val="auto"/>
        </w:rPr>
      </w:pPr>
      <w:r>
        <w:rPr>
          <w:rFonts w:ascii="Arial" w:cs="Arial" w:eastAsia="Arial" w:hAnsi="Arial"/>
          <w:sz w:val="22"/>
          <w:szCs w:val="22"/>
          <w:color w:val="auto"/>
        </w:rPr>
        <w:t>dividends, distributions, other Returns, fees and other payments from any Unrestricted Subsidiaries or joint ventures or Investments in entities that are not Restricted Subsidiaries.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Notes</w:t>
      </w:r>
      <w:r>
        <w:rPr>
          <w:rFonts w:ascii="Arial" w:cs="Arial" w:eastAsia="Arial" w:hAnsi="Arial"/>
          <w:sz w:val="22"/>
          <w:szCs w:val="22"/>
          <w:color w:val="auto"/>
        </w:rPr>
        <w:t>” means the Issuer’s $1,250,000,000 aggregate principal amount of 6.750% senior secured notes due 2025 issued pursuant to the Existing Notes Indenture.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Notes Guarantee</w:t>
      </w:r>
      <w:r>
        <w:rPr>
          <w:rFonts w:ascii="Arial" w:cs="Arial" w:eastAsia="Arial" w:hAnsi="Arial"/>
          <w:sz w:val="22"/>
          <w:szCs w:val="22"/>
          <w:color w:val="auto"/>
        </w:rPr>
        <w:t>” means the guarantee by any Guarantor of the Issuer’s Obligations under the Existing Notes Indenture and the Existing Notes.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Notes Indenture</w:t>
      </w:r>
      <w:r>
        <w:rPr>
          <w:rFonts w:ascii="Arial" w:cs="Arial" w:eastAsia="Arial" w:hAnsi="Arial"/>
          <w:sz w:val="19"/>
          <w:szCs w:val="19"/>
          <w:color w:val="auto"/>
        </w:rPr>
        <w:t>” means the indenture dated September 2, 2020, among the Issuer, the Guarantors and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Bank National Association, as trustee and as collateral agent, as amended, restated or modified from time to time.</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Notes Secured Obligations</w:t>
      </w:r>
      <w:r>
        <w:rPr>
          <w:rFonts w:ascii="Arial" w:cs="Arial" w:eastAsia="Arial" w:hAnsi="Arial"/>
          <w:sz w:val="21"/>
          <w:szCs w:val="21"/>
          <w:color w:val="auto"/>
        </w:rPr>
        <w:t>” means the Obligations in respect of the Existing Notes, the Existing Notes Indenture, the guarantees in respect of the foregoing, and the security documents relating to the Existing Notes.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Notes Secured Parties</w:t>
      </w:r>
      <w:r>
        <w:rPr>
          <w:rFonts w:ascii="Arial" w:cs="Arial" w:eastAsia="Arial" w:hAnsi="Arial"/>
          <w:sz w:val="22"/>
          <w:szCs w:val="22"/>
          <w:color w:val="auto"/>
        </w:rPr>
        <w:t>” means with respect to the Existing Notes Indenture, the trustee and notes collateral agent thereunder, and the holders of the Existing Notes.</w:t>
      </w:r>
    </w:p>
    <w:p>
      <w:pPr>
        <w:spacing w:after="0" w:line="202"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Issuer.</w:t>
      </w:r>
    </w:p>
    <w:p>
      <w:pPr>
        <w:spacing w:after="0" w:line="20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Financing Lease</w:t>
      </w:r>
      <w:r>
        <w:rPr>
          <w:rFonts w:ascii="Arial" w:cs="Arial" w:eastAsia="Arial" w:hAnsi="Arial"/>
          <w:sz w:val="21"/>
          <w:szCs w:val="21"/>
          <w:color w:val="auto"/>
        </w:rPr>
        <w:t>” means,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means Fitch Inc., a subsidiary of Fimalac, S.A., and any successor to its rating agency business.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means, as of any date of determination, the ratio of (a) Annualized EBITDA to (b) (i) Fixed Charges for the period of four consecutive fiscal quarters then most recently ended for which internal financial statements are available on or prior to the date of such determination, in each case of the Issuer and its Restricted Subsidiaries on a consolidated basis.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means, as to the Issuer and its Restricted Subsidiaries at any date of determination, on a consolidated basis, for any period, the sum of (without duplication):</w:t>
      </w:r>
    </w:p>
    <w:p>
      <w:pPr>
        <w:spacing w:after="0" w:line="202" w:lineRule="exact"/>
        <w:rPr>
          <w:sz w:val="20"/>
          <w:szCs w:val="20"/>
          <w:color w:val="auto"/>
        </w:rPr>
      </w:pPr>
    </w:p>
    <w:p>
      <w:pPr>
        <w:ind w:left="2040" w:hanging="736"/>
        <w:spacing w:after="0"/>
        <w:tabs>
          <w:tab w:leader="none" w:pos="20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Consolidated Interest Expense for such period;</w:t>
      </w:r>
    </w:p>
    <w:p>
      <w:pPr>
        <w:spacing w:after="0" w:line="233" w:lineRule="exact"/>
        <w:rPr>
          <w:rFonts w:ascii="Arial" w:cs="Arial" w:eastAsia="Arial" w:hAnsi="Arial"/>
          <w:sz w:val="22"/>
          <w:szCs w:val="22"/>
          <w:color w:val="auto"/>
        </w:rPr>
      </w:pPr>
    </w:p>
    <w:p>
      <w:pPr>
        <w:ind w:left="660" w:firstLine="644"/>
        <w:spacing w:after="0" w:line="250" w:lineRule="auto"/>
        <w:tabs>
          <w:tab w:leader="none" w:pos="1997" w:val="left"/>
        </w:tabs>
        <w:numPr>
          <w:ilvl w:val="0"/>
          <w:numId w:val="40"/>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Preferred Stock of the Issuer and its Restricted Subsidiaries made during such period; and</w:t>
      </w:r>
    </w:p>
    <w:p>
      <w:pPr>
        <w:spacing w:after="0" w:line="201" w:lineRule="exact"/>
        <w:rPr>
          <w:rFonts w:ascii="Arial" w:cs="Arial" w:eastAsia="Arial" w:hAnsi="Arial"/>
          <w:sz w:val="22"/>
          <w:szCs w:val="22"/>
          <w:color w:val="auto"/>
        </w:rPr>
      </w:pPr>
    </w:p>
    <w:p>
      <w:pPr>
        <w:ind w:left="660" w:right="20" w:firstLine="644"/>
        <w:spacing w:after="0" w:line="250" w:lineRule="auto"/>
        <w:tabs>
          <w:tab w:leader="none" w:pos="21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Disqualified Stock of the Issuer and its Restricted Subsidiaries made during such period.</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Restricted Subsidiary that is not organized under the laws of the United States, any state thereof or the District of Columbia and any Restricted Subsidiary of such Foreign Subsidiary.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Fortress</w:t>
      </w:r>
      <w:r>
        <w:rPr>
          <w:rFonts w:ascii="Arial" w:cs="Arial" w:eastAsia="Arial" w:hAnsi="Arial"/>
          <w:sz w:val="22"/>
          <w:szCs w:val="22"/>
          <w:color w:val="auto"/>
        </w:rPr>
        <w:t>” means Fortress Investment Group LLC.</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at the election of the Issuer, (i) the accounting standards and interpretations adopted by the International Accounting Standards Board, as in effect from time to time (“</w:t>
      </w:r>
      <w:r>
        <w:rPr>
          <w:rFonts w:ascii="Arial" w:cs="Arial" w:eastAsia="Arial" w:hAnsi="Arial"/>
          <w:sz w:val="19"/>
          <w:szCs w:val="19"/>
          <w:u w:val="single" w:color="auto"/>
          <w:color w:val="auto"/>
        </w:rPr>
        <w:t>IFRS</w:t>
      </w:r>
      <w:r>
        <w:rPr>
          <w:rFonts w:ascii="Arial" w:cs="Arial" w:eastAsia="Arial" w:hAnsi="Arial"/>
          <w:sz w:val="19"/>
          <w:szCs w:val="19"/>
          <w:color w:val="auto"/>
        </w:rPr>
        <w:t xml:space="preserve">”) if the Issuer’s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Issuer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Indenture that requires the application of GAAP across multiple quarters need not be calculated or determined using the same accounting standard for each constituent quarter.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both"/>
        <w:ind w:firstLine="648"/>
        <w:spacing w:after="0" w:line="287" w:lineRule="auto"/>
        <w:rPr>
          <w:sz w:val="20"/>
          <w:szCs w:val="20"/>
          <w:color w:val="auto"/>
        </w:rPr>
      </w:pPr>
      <w:r>
        <w:rPr>
          <w:rFonts w:ascii="Arial" w:cs="Arial" w:eastAsia="Arial" w:hAnsi="Arial"/>
          <w:sz w:val="19"/>
          <w:szCs w:val="19"/>
          <w:color w:val="auto"/>
        </w:rPr>
        <w:t>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 of Consolidated Net Income or Consolidated EBITDA, respectively, until such disposition shall have been consummated.</w:t>
      </w:r>
    </w:p>
    <w:p>
      <w:pPr>
        <w:spacing w:after="0" w:line="1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If there occurs or has occurred a change in generally accepted accounting principles and such change would cause a change in the method of calculation of any standard, term or measure used in this Indenture (an “</w:t>
      </w:r>
      <w:r>
        <w:rPr>
          <w:rFonts w:ascii="Arial" w:cs="Arial" w:eastAsia="Arial" w:hAnsi="Arial"/>
          <w:sz w:val="21"/>
          <w:szCs w:val="21"/>
          <w:u w:val="single" w:color="auto"/>
          <w:color w:val="auto"/>
        </w:rPr>
        <w:t>Accounting Change</w:t>
      </w:r>
      <w:r>
        <w:rPr>
          <w:rFonts w:ascii="Arial" w:cs="Arial" w:eastAsia="Arial" w:hAnsi="Arial"/>
          <w:sz w:val="21"/>
          <w:szCs w:val="21"/>
          <w:color w:val="auto"/>
        </w:rPr>
        <w:t xml:space="preserve">”), then the Issuer may elect, as evidenced by a written notice of the Issuer to the Trustee, that such standard, term or measure shall be calculated as if such Accounting Change had not occurred. For the avoidance of doubt, solely making an election (without any other action) referred to in this definition will not (1) be treated as an incurrence of Indebtedness or (2) have the effect of rendering invalid any Restricted Payment, Investment or other action made prior to the date of such election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4.07</w:t>
      </w:r>
      <w:r>
        <w:rPr>
          <w:rFonts w:ascii="Arial" w:cs="Arial" w:eastAsia="Arial" w:hAnsi="Arial"/>
          <w:sz w:val="21"/>
          <w:szCs w:val="21"/>
          <w:color w:val="auto"/>
        </w:rPr>
        <w:t xml:space="preserve">, any incurrence of Indebtedness incurred prior to the date of such election pursuant to </w:t>
      </w:r>
      <w:r>
        <w:rPr>
          <w:rFonts w:ascii="Arial" w:cs="Arial" w:eastAsia="Arial" w:hAnsi="Arial"/>
          <w:sz w:val="21"/>
          <w:szCs w:val="21"/>
          <w:u w:val="single" w:color="auto"/>
          <w:color w:val="auto"/>
        </w:rPr>
        <w:t>Section 4.09</w:t>
      </w:r>
      <w:r>
        <w:rPr>
          <w:rFonts w:ascii="Arial" w:cs="Arial" w:eastAsia="Arial" w:hAnsi="Arial"/>
          <w:sz w:val="21"/>
          <w:szCs w:val="21"/>
          <w:color w:val="auto"/>
        </w:rPr>
        <w:t xml:space="preserve"> or any incurrence of Liens pursuant </w:t>
      </w:r>
      <w:r>
        <w:rPr>
          <w:rFonts w:ascii="Arial" w:cs="Arial" w:eastAsia="Arial" w:hAnsi="Arial"/>
          <w:sz w:val="21"/>
          <w:szCs w:val="21"/>
          <w:u w:val="single" w:color="auto"/>
          <w:color w:val="auto"/>
        </w:rPr>
        <w:t>Section 4.12</w:t>
      </w:r>
      <w:r>
        <w:rPr>
          <w:rFonts w:ascii="Arial" w:cs="Arial" w:eastAsia="Arial" w:hAnsi="Arial"/>
          <w:sz w:val="21"/>
          <w:szCs w:val="21"/>
          <w:color w:val="auto"/>
        </w:rPr>
        <w:t xml:space="preserve"> (or any other action conditioned on compliance with a financial ratio or test) if such Restricted Payment, Investment, incurrence or other action was valid under this Indenture on the date made, incurred or taken, as the case may be.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GLNG</w:t>
      </w:r>
      <w:r>
        <w:rPr>
          <w:rFonts w:ascii="Arial" w:cs="Arial" w:eastAsia="Arial" w:hAnsi="Arial"/>
          <w:sz w:val="22"/>
          <w:szCs w:val="22"/>
          <w:color w:val="auto"/>
        </w:rPr>
        <w:t>” means Golar LNG Limited, a Bermuda exempted company.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 Legend</w:t>
      </w:r>
      <w:r>
        <w:rPr>
          <w:rFonts w:ascii="Arial" w:cs="Arial" w:eastAsia="Arial" w:hAnsi="Arial"/>
          <w:sz w:val="22"/>
          <w:szCs w:val="22"/>
          <w:color w:val="auto"/>
        </w:rPr>
        <w:t xml:space="preserve">” means the legend set forth in </w:t>
      </w:r>
      <w:r>
        <w:rPr>
          <w:rFonts w:ascii="Arial" w:cs="Arial" w:eastAsia="Arial" w:hAnsi="Arial"/>
          <w:sz w:val="22"/>
          <w:szCs w:val="22"/>
          <w:u w:val="single" w:color="auto"/>
          <w:color w:val="auto"/>
        </w:rPr>
        <w:t>Section 2.06(g)(ii)</w:t>
      </w:r>
      <w:r>
        <w:rPr>
          <w:rFonts w:ascii="Arial" w:cs="Arial" w:eastAsia="Arial" w:hAnsi="Arial"/>
          <w:sz w:val="22"/>
          <w:szCs w:val="22"/>
          <w:color w:val="auto"/>
        </w:rPr>
        <w:t>, which is required to be placed on all Global Notes issued under this Indenture.</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Notes</w:t>
      </w:r>
      <w:r>
        <w:rPr>
          <w:rFonts w:ascii="Arial" w:cs="Arial" w:eastAsia="Arial" w:hAnsi="Arial"/>
          <w:sz w:val="22"/>
          <w:szCs w:val="22"/>
          <w:color w:val="auto"/>
        </w:rPr>
        <w:t xml:space="preserve">” means, individually and collectively, each of the Restricted Global Notes and the Unrestricted Global Notes,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issued in accordance with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2.06(d)</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GMLP</w:t>
      </w:r>
      <w:r>
        <w:rPr>
          <w:rFonts w:ascii="Arial" w:cs="Arial" w:eastAsia="Arial" w:hAnsi="Arial"/>
          <w:sz w:val="22"/>
          <w:szCs w:val="22"/>
          <w:color w:val="auto"/>
        </w:rPr>
        <w:t>” means Golar LNG Partners LP, a Marshall Islands limited partnership.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GMLP General Partner</w:t>
      </w:r>
      <w:r>
        <w:rPr>
          <w:rFonts w:ascii="Arial" w:cs="Arial" w:eastAsia="Arial" w:hAnsi="Arial"/>
          <w:sz w:val="19"/>
          <w:szCs w:val="19"/>
          <w:color w:val="auto"/>
        </w:rPr>
        <w:t>” means Golar GP LLC, a Marshall Islands limited liability company and the general partner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GMLP.</w:t>
      </w:r>
    </w:p>
    <w:p>
      <w:pPr>
        <w:spacing w:after="0" w:line="21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GMLP Merger</w:t>
      </w:r>
      <w:r>
        <w:rPr>
          <w:rFonts w:ascii="Arial" w:cs="Arial" w:eastAsia="Arial" w:hAnsi="Arial"/>
          <w:sz w:val="22"/>
          <w:szCs w:val="22"/>
          <w:color w:val="auto"/>
        </w:rPr>
        <w:t>” means the merger of GMLP Merger Sub with and into GMLP, with GMLP continuing as the surviving corporation and an indirect, non-wholly owned Subsidiary of the Issuer pursuant to and in accordance with the terms of the GMLP Merger Agreement.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GMLP Merger Agreement</w:t>
      </w:r>
      <w:r>
        <w:rPr>
          <w:rFonts w:ascii="Arial" w:cs="Arial" w:eastAsia="Arial" w:hAnsi="Arial"/>
          <w:sz w:val="22"/>
          <w:szCs w:val="22"/>
          <w:color w:val="auto"/>
        </w:rPr>
        <w:t>” means the Agreement and Plan of Merger, dated as of January 13, 2021, among the Issuer, GMLP, GMLP General Partner, GMLP Merger Sub and GP Buyer, as amended, restated or modified (in whole or in part) from time to time.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GMLP Merger Sub</w:t>
      </w:r>
      <w:r>
        <w:rPr>
          <w:rFonts w:ascii="Arial" w:cs="Arial" w:eastAsia="Arial" w:hAnsi="Arial"/>
          <w:sz w:val="22"/>
          <w:szCs w:val="22"/>
          <w:color w:val="auto"/>
        </w:rPr>
        <w:t>” means Lobos Acquisition LLC, a Marshall Islands limited liability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Buyer</w:t>
      </w:r>
      <w:r>
        <w:rPr>
          <w:rFonts w:ascii="Arial" w:cs="Arial" w:eastAsia="Arial" w:hAnsi="Arial"/>
          <w:sz w:val="22"/>
          <w:szCs w:val="22"/>
          <w:color w:val="auto"/>
        </w:rPr>
        <w:t>” means NFE International Holdings Limited, a private limited company incorporated under the laws of England and Wales.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xml:space="preserve">” means each Subsidiary of the Issuer that executes this Indenture as a guarantor on the Issue Date and each other Subsidiary of the Issuer that thereafter guarantees the Notes in accordance with the terms of this Indenture, for such period that such Person guarantees the Notes in accordance with the terms of this Indenture (including the release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10.06</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w:t>
      </w:r>
      <w:r>
        <w:rPr>
          <w:rFonts w:ascii="Arial" w:cs="Arial" w:eastAsia="Arial" w:hAnsi="Arial"/>
          <w:sz w:val="22"/>
          <w:szCs w:val="22"/>
          <w:color w:val="auto"/>
        </w:rPr>
        <w:t>” means (a) any agreement with respect to any Derivative Transaction between the Issuer,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2"/>
          <w:szCs w:val="22"/>
          <w:u w:val="single" w:color="auto"/>
          <w:color w:val="auto"/>
        </w:rPr>
        <w:t>Master Agreement</w:t>
      </w:r>
      <w:r>
        <w:rPr>
          <w:rFonts w:ascii="Arial" w:cs="Arial" w:eastAsia="Arial" w:hAnsi="Arial"/>
          <w:sz w:val="22"/>
          <w:szCs w:val="22"/>
          <w:color w:val="auto"/>
        </w:rPr>
        <w:t>”), including any such obligations or liabilities under any Master Agreement.</w:t>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Obligations</w:t>
      </w:r>
      <w:r>
        <w:rPr>
          <w:rFonts w:ascii="Arial" w:cs="Arial" w:eastAsia="Arial" w:hAnsi="Arial"/>
          <w:sz w:val="22"/>
          <w:szCs w:val="22"/>
          <w:color w:val="auto"/>
        </w:rPr>
        <w:t>” means the obligations of the Issuer, any Guarantor or any Restricted Subsidiary under any Hedge Agreement.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with reference to any Indebtedness or other Obligations, any holder or lender of, or trustee or collateral agent or other authorized representative with respect to, such Indebtedness or Obligations, and, in the case of Hedging Obligations, any counter-party to such Hedging Obligations.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the Person in whose name a Note is registered on the registrar’s books.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Hygo</w:t>
      </w:r>
      <w:r>
        <w:rPr>
          <w:rFonts w:ascii="Arial" w:cs="Arial" w:eastAsia="Arial" w:hAnsi="Arial"/>
          <w:sz w:val="22"/>
          <w:szCs w:val="22"/>
          <w:color w:val="auto"/>
        </w:rPr>
        <w:t>” means Hygo Energy Transition Ltd., a Bermuda exempted company.</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Hygo Merger</w:t>
      </w:r>
      <w:r>
        <w:rPr>
          <w:rFonts w:ascii="Arial" w:cs="Arial" w:eastAsia="Arial" w:hAnsi="Arial"/>
          <w:sz w:val="22"/>
          <w:szCs w:val="22"/>
          <w:color w:val="auto"/>
        </w:rPr>
        <w:t>” means the merger of Hygo Merger Sub with and into Hygo, with Hygo continuing as the surviving corporation and an indirect, non-wholly owned Subsidiary of the Issuer pursuant to and in accordance with the terms of the Hygo Merger Agreement.</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Hygo Merger Agreement</w:t>
      </w:r>
      <w:r>
        <w:rPr>
          <w:rFonts w:ascii="Arial" w:cs="Arial" w:eastAsia="Arial" w:hAnsi="Arial"/>
          <w:sz w:val="19"/>
          <w:szCs w:val="19"/>
          <w:color w:val="auto"/>
        </w:rPr>
        <w:t>” means the Agreement and Plan of Merger, dated as of January 13, 2021, among the Issuer, Hygo, Hygo Merger Sub, GLNG and Stonepeak, as amended, restated or modified (in whole or in part) from time to time.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Hygo Merger Sub</w:t>
      </w:r>
      <w:r>
        <w:rPr>
          <w:rFonts w:ascii="Arial" w:cs="Arial" w:eastAsia="Arial" w:hAnsi="Arial"/>
          <w:sz w:val="22"/>
          <w:szCs w:val="22"/>
          <w:color w:val="auto"/>
        </w:rPr>
        <w:t>” means Lobos Acquisition Ltd., a Bermuda exempted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means the international accounting standards as promulgated by the International Accounting Standards Board.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Immaterial Subsidiary</w:t>
      </w:r>
      <w:r>
        <w:rPr>
          <w:rFonts w:ascii="Arial" w:cs="Arial" w:eastAsia="Arial" w:hAnsi="Arial"/>
          <w:sz w:val="22"/>
          <w:szCs w:val="22"/>
          <w:color w:val="auto"/>
        </w:rPr>
        <w:t>” means, as of any date of determination, any Restricted Subsidiary of the Issuer (a) the assets of which (on a standalone basis, when combined with the assets of such Restricted Subsidiary’s subsidiaries attributable to such Restricted Subsidiary’s economic interest therein) do not exceed 3.0% of Consolidated Total Assets of the Issuer and (b) the contribution to Annualized EBITDA of which (on a standalone basis, when combined with the contribution to Annualized EBITDA of such Restricted Subsidiary’s subsidiaries, after intercompany eliminations) does not exceed 3.0% of the Annualized EBITDA of the Issuer, in each case, as of the last day of or for the most recently ended Test Period on or prior to such date of determination.</w:t>
      </w: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Immediate Family Member</w:t>
      </w:r>
      <w:r>
        <w:rPr>
          <w:rFonts w:ascii="Arial" w:cs="Arial" w:eastAsia="Arial" w:hAnsi="Arial"/>
          <w:sz w:val="19"/>
          <w:szCs w:val="19"/>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as applied to any Person means, without duplication:</w:t>
      </w:r>
    </w:p>
    <w:p>
      <w:pPr>
        <w:spacing w:after="0" w:line="233" w:lineRule="exact"/>
        <w:rPr>
          <w:sz w:val="20"/>
          <w:szCs w:val="20"/>
          <w:color w:val="auto"/>
        </w:rPr>
      </w:pPr>
    </w:p>
    <w:p>
      <w:pPr>
        <w:ind w:left="2080" w:hanging="776"/>
        <w:spacing w:after="0"/>
        <w:tabs>
          <w:tab w:leader="none" w:pos="2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indebtedness for borrowed money;</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obligations with respect to Financing Leases;</w:t>
      </w:r>
    </w:p>
    <w:p>
      <w:pPr>
        <w:spacing w:after="0" w:line="233" w:lineRule="exact"/>
        <w:rPr>
          <w:rFonts w:ascii="Arial" w:cs="Arial" w:eastAsia="Arial" w:hAnsi="Arial"/>
          <w:sz w:val="22"/>
          <w:szCs w:val="22"/>
          <w:color w:val="auto"/>
        </w:rPr>
      </w:pPr>
    </w:p>
    <w:p>
      <w:pPr>
        <w:ind w:left="2080" w:hanging="776"/>
        <w:spacing w:after="0"/>
        <w:tabs>
          <w:tab w:leader="none" w:pos="2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obligations of such Person evidenced by bonds, debentures, notes or similar instruments;</w:t>
      </w:r>
    </w:p>
    <w:p>
      <w:pPr>
        <w:spacing w:after="0" w:line="233" w:lineRule="exact"/>
        <w:rPr>
          <w:rFonts w:ascii="Arial" w:cs="Arial" w:eastAsia="Arial" w:hAnsi="Arial"/>
          <w:sz w:val="22"/>
          <w:szCs w:val="22"/>
          <w:color w:val="auto"/>
        </w:rPr>
      </w:pPr>
    </w:p>
    <w:p>
      <w:pPr>
        <w:jc w:val="both"/>
        <w:ind w:left="660" w:firstLine="644"/>
        <w:spacing w:after="0" w:line="234" w:lineRule="auto"/>
        <w:tabs>
          <w:tab w:leader="none" w:pos="197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obligation of such Person to pay the deferred purchase price of 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under the Employee Retirement Income Security Act of 1974, as amended from time to time, and the regulations promulgated and rulings issued thereunder), which purchase price is (A) due more than 365 days from the date of incurrence of the obligation in respect thereof or (B) evidenced by a note or similar written instrument;</w:t>
      </w:r>
    </w:p>
    <w:p>
      <w:pPr>
        <w:spacing w:after="0" w:line="217" w:lineRule="exact"/>
        <w:rPr>
          <w:rFonts w:ascii="Arial" w:cs="Arial" w:eastAsia="Arial" w:hAnsi="Arial"/>
          <w:sz w:val="22"/>
          <w:szCs w:val="22"/>
          <w:color w:val="auto"/>
        </w:rPr>
      </w:pPr>
    </w:p>
    <w:p>
      <w:pPr>
        <w:jc w:val="both"/>
        <w:ind w:left="660" w:firstLine="644"/>
        <w:spacing w:after="0" w:line="236" w:lineRule="auto"/>
        <w:tabs>
          <w:tab w:leader="none" w:pos="1933"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all Indebtedness of others that is secured by any Lien on any asset owned or held by such Person regardless of whether the Indebtedness secured thereby has been assumed by such Person or is non-recourse to the credit of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Indebtedness of any Person for purposes of this clause (e) shall be deemed to be equal to the lesser of (A) the aggregate unpaid amount of such Indebtedness and (B) the fair market value of the property encumbered thereby;</w:t>
      </w:r>
    </w:p>
    <w:p>
      <w:pPr>
        <w:spacing w:after="0" w:line="214" w:lineRule="exact"/>
        <w:rPr>
          <w:rFonts w:ascii="Arial" w:cs="Arial" w:eastAsia="Arial" w:hAnsi="Arial"/>
          <w:sz w:val="22"/>
          <w:szCs w:val="22"/>
          <w:color w:val="auto"/>
        </w:rPr>
      </w:pPr>
    </w:p>
    <w:p>
      <w:pPr>
        <w:ind w:left="660" w:firstLine="644"/>
        <w:spacing w:after="0" w:line="250" w:lineRule="auto"/>
        <w:tabs>
          <w:tab w:leader="none" w:pos="1964" w:val="left"/>
        </w:tabs>
        <w:numPr>
          <w:ilvl w:val="0"/>
          <w:numId w:val="41"/>
        </w:numPr>
        <w:rPr>
          <w:rFonts w:ascii="Arial" w:cs="Arial" w:eastAsia="Arial" w:hAnsi="Arial"/>
          <w:sz w:val="22"/>
          <w:szCs w:val="22"/>
          <w:color w:val="auto"/>
        </w:rPr>
      </w:pPr>
      <w:r>
        <w:rPr>
          <w:rFonts w:ascii="Arial" w:cs="Arial" w:eastAsia="Arial" w:hAnsi="Arial"/>
          <w:sz w:val="22"/>
          <w:szCs w:val="22"/>
          <w:color w:val="auto"/>
        </w:rPr>
        <w:t>letters of credit or bankers’ acceptances issued for the account of such Person or as to which such Person is otherwise liable for reimbursement of drawings;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both"/>
        <w:ind w:left="660" w:firstLine="644"/>
        <w:spacing w:after="0" w:line="249" w:lineRule="auto"/>
        <w:tabs>
          <w:tab w:leader="none" w:pos="2203"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the guarantee by such Person of the Indebtedness of another, other than by endorsement of negotiable instruments for collection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Indebtedness of any Person for purposes of this clause (g) shall be deemed to be equal to the lesser of (i) the aggregate unpaid amount of such Indebtedness and (ii) in the case of Indebtedness that is non-recourse to the credit of the Issuer or a Restricted Subsidiary, the fair market value of the property encumbered thereby;</w:t>
      </w:r>
    </w:p>
    <w:p>
      <w:pPr>
        <w:spacing w:after="0" w:line="205" w:lineRule="exact"/>
        <w:rPr>
          <w:rFonts w:ascii="Arial" w:cs="Arial" w:eastAsia="Arial" w:hAnsi="Arial"/>
          <w:sz w:val="21"/>
          <w:szCs w:val="21"/>
          <w:color w:val="auto"/>
        </w:rPr>
      </w:pPr>
    </w:p>
    <w:p>
      <w:pPr>
        <w:ind w:left="2100" w:hanging="796"/>
        <w:spacing w:after="0"/>
        <w:tabs>
          <w:tab w:leader="none" w:pos="21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obligations of such Person in respect of any Disqualified Stock; and</w:t>
      </w:r>
    </w:p>
    <w:p>
      <w:pPr>
        <w:spacing w:after="0" w:line="233" w:lineRule="exact"/>
        <w:rPr>
          <w:rFonts w:ascii="Arial" w:cs="Arial" w:eastAsia="Arial" w:hAnsi="Arial"/>
          <w:sz w:val="22"/>
          <w:szCs w:val="22"/>
          <w:color w:val="auto"/>
        </w:rPr>
      </w:pPr>
    </w:p>
    <w:p>
      <w:pPr>
        <w:jc w:val="both"/>
        <w:ind w:left="660" w:firstLine="644"/>
        <w:spacing w:after="0" w:line="248" w:lineRule="auto"/>
        <w:tabs>
          <w:tab w:leader="none" w:pos="203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w:t>
      </w:r>
      <w:r>
        <w:rPr>
          <w:rFonts w:ascii="Arial" w:cs="Arial" w:eastAsia="Arial" w:hAnsi="Arial"/>
          <w:sz w:val="21"/>
          <w:szCs w:val="21"/>
          <w:u w:val="single" w:color="auto"/>
          <w:color w:val="auto"/>
        </w:rPr>
        <w:t>Specified Hedge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obligation under any Derivative Transaction be deemed “</w:t>
      </w:r>
      <w:r>
        <w:rPr>
          <w:rFonts w:ascii="Arial" w:cs="Arial" w:eastAsia="Arial" w:hAnsi="Arial"/>
          <w:sz w:val="21"/>
          <w:szCs w:val="21"/>
          <w:u w:val="single" w:color="auto"/>
          <w:color w:val="auto"/>
        </w:rPr>
        <w:t>Indebtedness</w:t>
      </w:r>
      <w:r>
        <w:rPr>
          <w:rFonts w:ascii="Arial" w:cs="Arial" w:eastAsia="Arial" w:hAnsi="Arial"/>
          <w:sz w:val="21"/>
          <w:szCs w:val="21"/>
          <w:color w:val="auto"/>
        </w:rPr>
        <w:t>” for any calculation of the Consolidated Total Debt Ratio, Consolidated First Lien Debt Ratio, Consolidated Secured Debt Ratio, Fixed Charge Coverage Ratio or any other financial ratio under this Indenture;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each case, to the extent the same would appear as a liability on a balance sheet (excluding the footnotes thereto) of such Person prepared in accordance with GAAP.</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Person is not liable therefor and (B) only to the extent the relevant Indebtedness is of the type that would be included in the calculation of Consolidated Total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Indenture as a result of accounting for any embedded derivatives created by the terms of such Indebtedness (it being understood that any such amounts that would have constituted Indebtedness under this Indenture but for the application of this proviso shall not be deemed an incurrence of Indebtedness under this Indenture) and (y) the effects of Statement of Financial Accounting Standards No. 133 and related interpretations to the extent such effects would otherwise increase or decrease an amount of Indebtedness for any purpose under this Indenture as a result of accounting for any embedded derivative created by the terms of such Indebtedness (it being understood that any such amount that would have constituted Indebtedness under this Indenture but for the application of this sentence shall not be deemed to be an incurrence of Indebtedness under this Indenture).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both"/>
        <w:ind w:firstLine="648"/>
        <w:spacing w:after="0" w:line="268" w:lineRule="auto"/>
        <w:rPr>
          <w:sz w:val="20"/>
          <w:szCs w:val="20"/>
          <w:color w:val="auto"/>
        </w:rPr>
      </w:pPr>
      <w:r>
        <w:rPr>
          <w:rFonts w:ascii="Arial" w:cs="Arial" w:eastAsia="Arial" w:hAnsi="Arial"/>
          <w:sz w:val="19"/>
          <w:szCs w:val="19"/>
          <w:color w:val="auto"/>
        </w:rPr>
        <w:t>For all purposes hereof, the Indebtedness of the Issuer and its Restricted Subsidiaries shall exclude (i) intercompany liabilities arising from cash management and accounting operations and intercompany loans, advances or Indebtedness among the Issuer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Issuer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w:t>
      </w:r>
    </w:p>
    <w:p>
      <w:pPr>
        <w:spacing w:after="0" w:line="1" w:lineRule="exact"/>
        <w:rPr>
          <w:sz w:val="20"/>
          <w:szCs w:val="20"/>
          <w:color w:val="auto"/>
        </w:rPr>
      </w:pPr>
    </w:p>
    <w:p>
      <w:pPr>
        <w:jc w:val="both"/>
        <w:ind w:firstLine="8"/>
        <w:spacing w:after="0" w:line="272" w:lineRule="auto"/>
        <w:tabs>
          <w:tab w:leader="none" w:pos="314"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Non-Financing Lease Obligations or other obligations under or in respect of straight-line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Issue Date or in the ordinary course of business, consistent with past practice or consistent with industry norm, (xiv) any liability for taxes and (xv) any land and port concessions.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or supplemented from time to time.</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Financial Advisor</w:t>
      </w:r>
      <w:r>
        <w:rPr>
          <w:rFonts w:ascii="Arial" w:cs="Arial" w:eastAsia="Arial" w:hAnsi="Arial"/>
          <w:sz w:val="22"/>
          <w:szCs w:val="22"/>
          <w:color w:val="auto"/>
        </w:rPr>
        <w:t>” means an accounting, appraisal or investment banking firm or consultant of nationally recognized standing.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Agreements</w:t>
      </w:r>
      <w:r>
        <w:rPr>
          <w:rFonts w:ascii="Arial" w:cs="Arial" w:eastAsia="Arial" w:hAnsi="Arial"/>
          <w:sz w:val="22"/>
          <w:szCs w:val="22"/>
          <w:color w:val="auto"/>
        </w:rPr>
        <w:t>” means the Equal Priority Intercreditor Agreement and any Junior Priority Intercreditor Agreement.</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March 31 and September 30 of each year to stated maturity, commencing on September 30,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(a) any purchase or other acquisition by the Issuer or any of its Restricted Subsidiaries of any of the securities of any other Person (other than the Issuer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Issuer or any Restricted Subsidiary for moving, entertainment and travel expenses, drawing accounts and similar expenditures, in each case in the ordinary course of business, consistent with practice or consistent with industry norm of the Issuer and/or its Subsidiaries) by the Issuer or any of its Restricted Subsidiaries to any other Person.</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The amount of any Investment outstanding at any time shall be the original cost of such Investment (determined, in the case of an Investment made with assets of the Issuer or any Restricted Subsidiary, based on the net book value of the assets invested),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payments actually received by such investor representing a Return in respect of such Investment (without duplication of amounts increasing </w:t>
      </w:r>
      <w:r>
        <w:rPr>
          <w:rFonts w:ascii="Arial" w:cs="Arial" w:eastAsia="Arial" w:hAnsi="Arial"/>
          <w:sz w:val="19"/>
          <w:szCs w:val="19"/>
          <w:u w:val="single" w:color="auto"/>
          <w:color w:val="auto"/>
        </w:rPr>
        <w:t>clause (2)(a)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4.07(a)</w:t>
      </w:r>
      <w:r>
        <w:rPr>
          <w:rFonts w:ascii="Arial" w:cs="Arial" w:eastAsia="Arial" w:hAnsi="Arial"/>
          <w:sz w:val="19"/>
          <w:szCs w:val="19"/>
          <w:color w:val="auto"/>
        </w:rPr>
        <w:t>), but without any other adjustment for increases or decreases in value of, or write-ups, write-downs or write-offs with respect to, such Investment after the date of such Investment.</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the Issuer or any Restricted Subsidiary issues, sells or otherwise disposes of any Capital Stock of a Person that is a Restricted Subsidiary such that, after giving effect thereto, such Person is no longer a Restricted Subsidiary, any Investment by the Issuer or any Restricted Subsidiary in such Person remaining after giving effect thereto shall not be deemed to be an Investment at such time.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Grade Assets</w:t>
      </w:r>
      <w:r>
        <w:rPr>
          <w:rFonts w:ascii="Arial" w:cs="Arial" w:eastAsia="Arial" w:hAnsi="Arial"/>
          <w:sz w:val="19"/>
          <w:szCs w:val="19"/>
          <w:color w:val="auto"/>
        </w:rPr>
        <w:t>” means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Issuer and its Subsidiaries, (c) investments in any fund that invests at least 90.0% of its assets in investments of the type described in clauses</w:t>
      </w:r>
    </w:p>
    <w:p>
      <w:pPr>
        <w:spacing w:after="0" w:line="3" w:lineRule="exact"/>
        <w:rPr>
          <w:sz w:val="20"/>
          <w:szCs w:val="20"/>
          <w:color w:val="auto"/>
        </w:rPr>
      </w:pPr>
    </w:p>
    <w:p>
      <w:pPr>
        <w:jc w:val="both"/>
        <w:ind w:right="20" w:firstLine="8"/>
        <w:spacing w:after="0" w:line="234" w:lineRule="auto"/>
        <w:tabs>
          <w:tab w:leader="none" w:pos="325"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spacing w:after="0" w:line="214"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Grade Rating</w:t>
      </w:r>
      <w:r>
        <w:rPr>
          <w:rFonts w:ascii="Arial" w:cs="Arial" w:eastAsia="Arial" w:hAnsi="Arial"/>
          <w:sz w:val="19"/>
          <w:szCs w:val="19"/>
          <w:color w:val="auto"/>
        </w:rPr>
        <w:t>” means a rating equal to or higher than Baa3 (or the equivalent) by Moody’s and BBB- (or the equivalent) by S&amp;P or Fitch or the equivalent investment grade credit rating from any other nationally recognized rating agency.</w:t>
      </w:r>
    </w:p>
    <w:p>
      <w:pPr>
        <w:spacing w:after="0" w:line="13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means a license or right to use all rights in Designs, patents, trademarks, domain names, copyrights, software, Trade Secrets and all other intellectual property rights.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means April 12,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Order</w:t>
      </w:r>
      <w:r>
        <w:rPr>
          <w:rFonts w:ascii="Arial" w:cs="Arial" w:eastAsia="Arial" w:hAnsi="Arial"/>
          <w:sz w:val="22"/>
          <w:szCs w:val="22"/>
          <w:color w:val="auto"/>
        </w:rPr>
        <w:t>” means a written request or order signed on behalf of the Issuer by an Officer of the Issuer and delivered to the Trustee.</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Lien Priority</w:t>
      </w:r>
      <w:r>
        <w:rPr>
          <w:rFonts w:ascii="Arial" w:cs="Arial" w:eastAsia="Arial" w:hAnsi="Arial"/>
          <w:sz w:val="22"/>
          <w:szCs w:val="22"/>
          <w:color w:val="auto"/>
        </w:rPr>
        <w:t>” means,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Priority Collateral Agent</w:t>
      </w:r>
      <w:r>
        <w:rPr>
          <w:rFonts w:ascii="Arial" w:cs="Arial" w:eastAsia="Arial" w:hAnsi="Arial"/>
          <w:sz w:val="22"/>
          <w:szCs w:val="22"/>
          <w:color w:val="auto"/>
        </w:rPr>
        <w:t>” means the Junior Priority Representative for the holders of any Junior Priority Obligations.</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Priority Intercreditor Agreement</w:t>
      </w:r>
      <w:r>
        <w:rPr>
          <w:rFonts w:ascii="Arial" w:cs="Arial" w:eastAsia="Arial" w:hAnsi="Arial"/>
          <w:sz w:val="19"/>
          <w:szCs w:val="19"/>
          <w:color w:val="auto"/>
        </w:rPr>
        <w:t>” means an intercreditor agreement with respect to the Collateral, entered into by, among others, the Notes Collateral Agent, the applicable Junior Priority Collateral Agent(s) and, if applicable, any other Equal Priority Collateral Agent(s), having substantially the same terms as those described in the “Description of Notes—Security for the Notes—Junior Priority Intercreditor Agreement” section of the Offering Memorandum and other usual or customary terms (as the same may be amended, restated, renewed, replaced or otherwise modified from time to time).</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Priority Obligations</w:t>
      </w:r>
      <w:r>
        <w:rPr>
          <w:rFonts w:ascii="Arial" w:cs="Arial" w:eastAsia="Arial" w:hAnsi="Arial"/>
          <w:sz w:val="22"/>
          <w:szCs w:val="22"/>
          <w:color w:val="auto"/>
        </w:rPr>
        <w:t xml:space="preserve">” means the Obligations with respect to any Indebtedness having Junior Lien Priority relative to the Secured Notes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 is permitted to be incurred under this Indenture,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that the holders of such indebtedness or their Junior Priority Representative shall become party to a Junior Priority Intercreditor Agreement.</w:t>
      </w:r>
    </w:p>
    <w:p>
      <w:pPr>
        <w:spacing w:after="0" w:line="21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Junior Priority Representative</w:t>
      </w:r>
      <w:r>
        <w:rPr>
          <w:rFonts w:ascii="Arial" w:cs="Arial" w:eastAsia="Arial" w:hAnsi="Arial"/>
          <w:sz w:val="21"/>
          <w:szCs w:val="21"/>
          <w:color w:val="auto"/>
        </w:rPr>
        <w:t>” means any duly authorized representative of any holders of Junior Priority Obligations, which representative is named as such in a Junior Priority Intercreditor Agreement or any joinder thereto.</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Priority Secured Parties</w:t>
      </w:r>
      <w:r>
        <w:rPr>
          <w:rFonts w:ascii="Arial" w:cs="Arial" w:eastAsia="Arial" w:hAnsi="Arial"/>
          <w:sz w:val="22"/>
          <w:szCs w:val="22"/>
          <w:color w:val="auto"/>
        </w:rPr>
        <w:t>” means the holders from time to time of any Junior Priority Obligations, the Junior Priority Collateral Agent and each other Junior Priority Representative.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Priority Security Agreement</w:t>
      </w:r>
      <w:r>
        <w:rPr>
          <w:rFonts w:ascii="Arial" w:cs="Arial" w:eastAsia="Arial" w:hAnsi="Arial"/>
          <w:sz w:val="22"/>
          <w:szCs w:val="22"/>
          <w:color w:val="auto"/>
        </w:rPr>
        <w:t>” means any security agreement covering any portion of the Collateral to be entered into by the Issuer, the Guarantors and a Junior Priority Representative.</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Junior Priority Security Documents</w:t>
      </w:r>
      <w:r>
        <w:rPr>
          <w:rFonts w:ascii="Arial" w:cs="Arial" w:eastAsia="Arial" w:hAnsi="Arial"/>
          <w:sz w:val="21"/>
          <w:szCs w:val="21"/>
          <w:color w:val="auto"/>
        </w:rPr>
        <w:t>” means, collectively, the Junior Priority Security Agreement, other security agreements relating to the Collateral securing a series of Junior Priority Obligations and the mortgages and instruments filed and recorded in appropriate jurisdictions to preserve and protect the Liens on the Collateral securing a series of Junior Priority Obligations (including financing statements under the Uniform Commercial Code of the relevant states) in each case, as amended, restated, renewed, replaced or otherwise modified from time to time.</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Holiday</w:t>
      </w:r>
      <w:r>
        <w:rPr>
          <w:rFonts w:ascii="Arial" w:cs="Arial" w:eastAsia="Arial" w:hAnsi="Arial"/>
          <w:sz w:val="22"/>
          <w:szCs w:val="22"/>
          <w:color w:val="auto"/>
        </w:rPr>
        <w:t>” means a Saturday, a Sunday or a day on which commercial banking institutions are not required to be open in the State of New York or the place of payment.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means any mortgage, pledge, hypothecation, assignment, encumbrance, lien (statutory or other), charge, or other security interest or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 Non-Financing Lease Obligation be deemed to constitute a Lien.</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 Transaction</w:t>
      </w:r>
      <w:r>
        <w:rPr>
          <w:rFonts w:ascii="Arial" w:cs="Arial" w:eastAsia="Arial" w:hAnsi="Arial"/>
          <w:sz w:val="19"/>
          <w:szCs w:val="19"/>
          <w:color w:val="auto"/>
        </w:rPr>
        <w:t>” means (i) any acquisition or Investment, including by way of merger, amalgamation, consolidation, Division or similar transaction, not prohibited by this Indenture, in each case whose consummation is not conditioned on the availability of, or on obtaining, third party financing, (ii) any redemption, repurchase, defeasance, satisfaction and discharge or refinancing of, any Indebtedness, Disqualified Stock or Preferred Stock, (iii) any dividend to be paid on a date subsequent to the declaration thereof or (iv) any Asset Sale or disposition excluded from the definition of “Asset Sale”.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Liquefaction Development Entity</w:t>
      </w:r>
      <w:r>
        <w:rPr>
          <w:rFonts w:ascii="Arial" w:cs="Arial" w:eastAsia="Arial" w:hAnsi="Arial"/>
          <w:sz w:val="22"/>
          <w:szCs w:val="22"/>
          <w:color w:val="auto"/>
        </w:rPr>
        <w:t>” means (i) any Subsidiary of the Issuer, the principal operations of which are the construction, development, financing or operation of liquefaction facilities and (ii) one or more holding companies, the primary purpose of which is to hold the capital stock of any such entity, either directly or indirectly.</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Derivative Instrument</w:t>
      </w:r>
      <w:r>
        <w:rPr>
          <w:rFonts w:ascii="Arial" w:cs="Arial" w:eastAsia="Arial" w:hAnsi="Arial"/>
          <w:sz w:val="22"/>
          <w:szCs w:val="2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LNG</w:t>
      </w:r>
      <w:r>
        <w:rPr>
          <w:rFonts w:ascii="Arial" w:cs="Arial" w:eastAsia="Arial" w:hAnsi="Arial"/>
          <w:sz w:val="22"/>
          <w:szCs w:val="22"/>
          <w:color w:val="auto"/>
        </w:rPr>
        <w:t>” means natural gas in its liquid state at or below its boiling point at or near atmospheric pressure.</w:t>
      </w:r>
    </w:p>
    <w:p>
      <w:pPr>
        <w:spacing w:after="0" w:line="23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Investors</w:t>
      </w:r>
      <w:r>
        <w:rPr>
          <w:rFonts w:ascii="Arial" w:cs="Arial" w:eastAsia="Arial" w:hAnsi="Arial"/>
          <w:sz w:val="22"/>
          <w:szCs w:val="22"/>
          <w:color w:val="auto"/>
        </w:rPr>
        <w:t>” means the current, former or future officers, directors, managers and employees (and any Immediate Family Members of the foregoing) of the Issuer or any of its Subsidiaries who are or who become direct or indirect investors in the Issuer.</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Real Estate Asset</w:t>
      </w:r>
      <w:r>
        <w:rPr>
          <w:rFonts w:ascii="Arial" w:cs="Arial" w:eastAsia="Arial" w:hAnsi="Arial"/>
          <w:sz w:val="19"/>
          <w:szCs w:val="19"/>
          <w:color w:val="auto"/>
        </w:rPr>
        <w:t>” means any “fee-owned” real estate asset owned by the Issuer or any Guarantor on the Issue Date, acquired by the Issuer or any Guarantor after the Issue Date or owned by any Person at the time such Person becomes an Issuer or a Guarantor, in each case, having a fair market value in excess of $25.0 million as of the date of acquisition thereof (or the date of substantial completion of any material improvement thereon or new construction thereof) or if the owning entity becomes an Issuer or a Guarantor after the Issue Date, as of the date such Person becomes an Issuer or a Guarantor.</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Entities</w:t>
      </w:r>
      <w:r>
        <w:rPr>
          <w:rFonts w:ascii="Arial" w:cs="Arial" w:eastAsia="Arial" w:hAnsi="Arial"/>
          <w:sz w:val="21"/>
          <w:szCs w:val="21"/>
          <w:color w:val="auto"/>
        </w:rPr>
        <w:t>” means, collectively, NFE Brazil Holdings Limited, a Bermuda exempted company, NFE Brazil Investments LLC, a Bermuda limited liability company, Hygo and its Subsidiaries and GMLP and its Subsidiaries.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Mergers</w:t>
      </w:r>
      <w:r>
        <w:rPr>
          <w:rFonts w:ascii="Arial" w:cs="Arial" w:eastAsia="Arial" w:hAnsi="Arial"/>
          <w:sz w:val="22"/>
          <w:szCs w:val="22"/>
          <w:color w:val="auto"/>
        </w:rPr>
        <w:t>” means, collectively, the Hygo Merger and the GMLP Merger.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to its rating agency business.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any mortgage, deed of trust or other similar agreement made by a Grantor in favor of the Notes Collateral Agent, for the benefit of the Notes Collateral Agent and the relevant Secured Notes Secured Parties, on any Material Real Estate Asset constituting Collateral, which shall be in form reasonably satisfactory to the Notes Collateral Agent and the Issuer.</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xml:space="preserve">” means the cash proceeds (including Cash Equivalents and cash proceeds subsequently received (as and when received) in respect of non-cash consideration initially received) received by the Issuer and any of its Restricted Subsidiaries in respect of any Asset Sale, net of (i) all fees and out-of-pocket expenses paid by (or on behalf of) the Issuer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and the amount of all transfer and similar taxes and the Issuer’s good faith estimate of income or other taxes paid or payable (including pursuant to tax sharing arrangements or any tax distributions) in connection with such Asset Sale), (ii) amounts provided as a reserve in accordance with GAAP against any liabilities under any indemnification obligation or purchase price adjustment associated with such Asset Sale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and at the time any such amounts are released from such reserve (other than in connection with a payment in respect of such liability), such amounts shall constitute Net Proceeds), (iii) the principal amount, premium or penalty, if any, interest and other amounts on any Indebtedness which is secured by the asset disposed of in such Asset Sale and which is required to be repaid or otherwise comes due and is repaid (other than any such Indebtedness that is assumed by the purchaser of such asset), (iv) cash escrows (until released from escrow to the Issuer or any of its Restricted Subsidiaries) from the sale price for such Asset Sale, (v) the pro rata portion of such Net Proceeds (calculated without regard to this clause (v)) attributable to minority interests and not available for distribution to or for the account of the Issuer and its Restricted Subsidiaries as a result thereof, (vi) the amount of any liabilities (other than Indebtedness in respect of the Notes) directly associated with such asset and retained by the Issuer or any Restricted Subsidiary, (vii) amounts required to be applied to the repayment of principal, premium, if any, and interest on Senior Indebtedness (other than any unsecured Indebtedness) required (other than required by </w:t>
      </w:r>
      <w:r>
        <w:rPr>
          <w:rFonts w:ascii="Arial" w:cs="Arial" w:eastAsia="Arial" w:hAnsi="Arial"/>
          <w:sz w:val="19"/>
          <w:szCs w:val="19"/>
          <w:u w:val="single" w:color="auto"/>
          <w:color w:val="auto"/>
        </w:rPr>
        <w:t>Section 4.10(b)</w:t>
      </w:r>
      <w:r>
        <w:rPr>
          <w:rFonts w:ascii="Arial" w:cs="Arial" w:eastAsia="Arial" w:hAnsi="Arial"/>
          <w:sz w:val="19"/>
          <w:szCs w:val="19"/>
          <w:color w:val="auto"/>
        </w:rPr>
        <w:t>) to be paid as a result of such transaction and (viii) any costs associated with unwinding any related Hedging Obligations in connection with such Asset Sale.</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Short</w:t>
      </w:r>
      <w:r>
        <w:rPr>
          <w:rFonts w:ascii="Arial" w:cs="Arial" w:eastAsia="Arial" w:hAnsi="Arial"/>
          <w:sz w:val="19"/>
          <w:szCs w:val="19"/>
          <w:color w:val="auto"/>
        </w:rPr>
        <w:t>” means, with respect to a Holder or beneficial owner and the Notes, as of the date of determination, either (i) the value of its Short Derivative Instruments exceeds the sum of (x) the value of its Notes plus (y) the value of its Long Derivative Instruments as of such date of determination or (ii) it is reasonably expected that the foregoing clause (i) would have been the case if a “Failure to Pay” or “Bankruptcy Credit Event” (each as defined in the 2014 ISDA Credit Derivatives Definitions) were to have occurred with respect to the Issuer or any Guarantor immediately prior to such date of determination.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Non-Financing Lease Obligation</w:t>
      </w:r>
      <w:r>
        <w:rPr>
          <w:rFonts w:ascii="Arial" w:cs="Arial" w:eastAsia="Arial" w:hAnsi="Arial"/>
          <w:sz w:val="21"/>
          <w:szCs w:val="21"/>
          <w:color w:val="auto"/>
        </w:rPr>
        <w:t>” means a lease obligation that is not required to be accounted for as a financing or capital lease on both the balance sheet and the income statement for financial reporting purposes in accordance with GAAP. For avoidance of doubt, a straight-line or operating lease shall be considered a Non-Financing Lease Obligation.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means a Person who is not a U.S. Person.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 Guarantee</w:t>
      </w:r>
      <w:r>
        <w:rPr>
          <w:rFonts w:ascii="Arial" w:cs="Arial" w:eastAsia="Arial" w:hAnsi="Arial"/>
          <w:sz w:val="19"/>
          <w:szCs w:val="19"/>
          <w:color w:val="auto"/>
        </w:rPr>
        <w:t>” means the guarantee by any Guarantor of the Issuer’s Obligations under this Indenture and the Notes.</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means the Initial Notes and more particularly means any Note authenticated and delivered under this Indenture. Unless the context requires otherwise, references to “</w:t>
      </w:r>
      <w:r>
        <w:rPr>
          <w:rFonts w:ascii="Arial" w:cs="Arial" w:eastAsia="Arial" w:hAnsi="Arial"/>
          <w:sz w:val="22"/>
          <w:szCs w:val="22"/>
          <w:u w:val="single" w:color="auto"/>
          <w:color w:val="auto"/>
        </w:rPr>
        <w:t>Notes</w:t>
      </w:r>
      <w:r>
        <w:rPr>
          <w:rFonts w:ascii="Arial" w:cs="Arial" w:eastAsia="Arial" w:hAnsi="Arial"/>
          <w:sz w:val="22"/>
          <w:szCs w:val="22"/>
          <w:color w:val="auto"/>
        </w:rPr>
        <w:t>” for all purposes of this Indenture shall also include any Additional Notes that are actually issued.</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Notes Collateral Agent</w:t>
      </w:r>
      <w:r>
        <w:rPr>
          <w:rFonts w:ascii="Arial" w:cs="Arial" w:eastAsia="Arial" w:hAnsi="Arial"/>
          <w:sz w:val="19"/>
          <w:szCs w:val="19"/>
          <w:color w:val="auto"/>
        </w:rPr>
        <w:t>” means U.S. Bank National Association, as collateral agent for the holders of the Notes under the Security Documents and any successor pursuant to the provisions of this Indenture and the Security Documents.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xml:space="preserve">” means all unpaid principal of and accrued and unpaid interest (including interest accruing during the pendency of any bankruptcy, insolvency, receivership or other similar proceeding, regardless of whether allowed or allowable in such proceeding) under the documentation governing any Indebtedness and all accrued and unpaid fees (including fees accruing during the pendency of any bankruptcy, insolvency, receivership or other similar proceeding, regardless of whether allowed or allowable in such proceeding) and all expenses, reimbursements, indemnities and all other advances to, debts, liabilities and obligations to any lender, holder of Indebtedness or any beneficiary of any indemnification obligations arising under documentation governing any Indebtedness, whether direct or indirect (including those acquired by assumption), absolute, contingent, due or to become due, now existing or hereafter arising;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Obligations with respect to the Notes shall not include fees, reimbursements or indemnifications in favor of the Trustee (which obligations with respect to such fees, reimbursements or indemnifications shall survive the payment in full of the principal of and interest on the Notes) or other third parties other than the Holders.</w:t>
      </w:r>
    </w:p>
    <w:p>
      <w:pPr>
        <w:spacing w:after="0" w:line="21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on the Notes and a Note Guarantee means the Issuer and the applicable Guarantor, respectively, and any successor obligor upon the Notes and such Note Guarantee, respectively.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Memorandum</w:t>
      </w:r>
      <w:r>
        <w:rPr>
          <w:rFonts w:ascii="Arial" w:cs="Arial" w:eastAsia="Arial" w:hAnsi="Arial"/>
          <w:sz w:val="19"/>
          <w:szCs w:val="19"/>
          <w:color w:val="auto"/>
        </w:rPr>
        <w:t>” means the Offering Memorandum dated March 26, 2021 relating to the offering of the Notes.</w:t>
      </w:r>
    </w:p>
    <w:p>
      <w:pPr>
        <w:spacing w:after="0" w:line="26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the Chairman of the Board of Directors, any Manager or Director, the Chief Executive Officer, the Chief Financial Officer, the Chief Operating Officer, the President, any Executive Vice President, Senior Vice President, Vice President or Assistant Vice President, the Treasurer, any Assistant Treasurer, the Controller, the Secretary or any Assistant Secretary of a Person, or any equivalent position in such Person’s jurisdiction of organization, or any other officer of such Person designated by any such individuals of the Issuer or any other Person, as the case may be. Unless otherwise specified, reference to an “</w:t>
      </w:r>
      <w:r>
        <w:rPr>
          <w:rFonts w:ascii="Arial" w:cs="Arial" w:eastAsia="Arial" w:hAnsi="Arial"/>
          <w:sz w:val="22"/>
          <w:szCs w:val="22"/>
          <w:u w:val="single" w:color="auto"/>
          <w:color w:val="auto"/>
        </w:rPr>
        <w:t>Officer</w:t>
      </w:r>
      <w:r>
        <w:rPr>
          <w:rFonts w:ascii="Arial" w:cs="Arial" w:eastAsia="Arial" w:hAnsi="Arial"/>
          <w:sz w:val="22"/>
          <w:szCs w:val="22"/>
          <w:color w:val="auto"/>
        </w:rPr>
        <w:t>” means an Officer of the Issuer.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both"/>
        <w:ind w:firstLine="64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Officer’s Certificate</w:t>
      </w:r>
      <w:r>
        <w:rPr>
          <w:rFonts w:ascii="Arial" w:cs="Arial" w:eastAsia="Arial" w:hAnsi="Arial"/>
          <w:sz w:val="19"/>
          <w:szCs w:val="19"/>
          <w:color w:val="auto"/>
        </w:rPr>
        <w:t>” means a certificate signed on behalf of the Issuer by an Officer of the Issuer or on behalf of any other Person, as the case may be, that meets the requirements set forth in this Indenture and is delivered to the Trustee.</w:t>
      </w:r>
    </w:p>
    <w:p>
      <w:pPr>
        <w:spacing w:after="0" w:line="1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from legal counsel who is reasonably acceptable to the Trustee (which opinion may be subject to customary assumptions and exclusions) and is delivered to the Trustee. The counsel may be an employee of, or counsel to, the Issuer.</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Asset Swap</w:t>
      </w:r>
      <w:r>
        <w:rPr>
          <w:rFonts w:ascii="Arial" w:cs="Arial" w:eastAsia="Arial" w:hAnsi="Arial"/>
          <w:sz w:val="22"/>
          <w:szCs w:val="22"/>
          <w:color w:val="auto"/>
        </w:rPr>
        <w:t xml:space="preserve">” means the substantially concurrent purchase and sale or exchange, including as a deposit for future purchases, of Related Business Assets or a combination of Related Business Assets and cash or Cash Equivalents between the Issuer or any of its Restricted Subsidiaries and another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cash or Cash Equivalents received must be applied in accordance with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Holders</w:t>
      </w:r>
      <w:r>
        <w:rPr>
          <w:rFonts w:ascii="Arial" w:cs="Arial" w:eastAsia="Arial" w:hAnsi="Arial"/>
          <w:sz w:val="21"/>
          <w:szCs w:val="21"/>
          <w:color w:val="auto"/>
        </w:rPr>
        <w:t xml:space="preserve">” means (a) any of Fortress, the Management Investors and their respective Affiliates, (b) any Person who is acting solely as an underwriter or initial purchaser in connection with a public or private offering of Equity Interests of the Issuer, acting in such capacity, (c) any group (within the meaning of Section 13(d)(3) or Section 14(d)(2) of the Exchange Act) of which any of the foregoing or any Permitted Holder specified in the last sentence of this definition are members and any member of such group;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such group and any member of such group and without giving effect to the existence of such group or any other group, no Person or other group (other than the Permitted Holders specified in clauses (a), (b) or (d) of this definition) owns, directly or indirectly, more than 50.0% of the total voting power of the Voting Stock of the Issuer held by such group, and (d) any Permitted Plan. Any Person or group (within the meaning of Section 13(d)(3) or Section 14(d)(2) of the Exchange Act) whose acquisition of beneficial ownership or assets or properties of the Issuer constitutes a Change of Control in respect of which a Change of Control Offer, including for the avoidance of doubt, any Alternate Offer, is made or waived in accordance with the requirements of this Indenture will thereafter, together with its Affiliates, constitute an additional Permitted Holder.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33" w:lineRule="exact"/>
        <w:rPr>
          <w:sz w:val="20"/>
          <w:szCs w:val="20"/>
          <w:color w:val="auto"/>
        </w:rPr>
      </w:pPr>
    </w:p>
    <w:p>
      <w:pPr>
        <w:ind w:left="2080" w:hanging="776"/>
        <w:spacing w:after="0"/>
        <w:tabs>
          <w:tab w:leader="none" w:pos="20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cash or Investments that were Cash Equivalents or Investment Grade Assets at the time made;</w:t>
      </w:r>
    </w:p>
    <w:p>
      <w:pPr>
        <w:spacing w:after="0" w:line="244" w:lineRule="exact"/>
        <w:rPr>
          <w:rFonts w:ascii="Arial" w:cs="Arial" w:eastAsia="Arial" w:hAnsi="Arial"/>
          <w:sz w:val="21"/>
          <w:szCs w:val="21"/>
          <w:color w:val="auto"/>
        </w:rPr>
      </w:pPr>
    </w:p>
    <w:p>
      <w:pPr>
        <w:jc w:val="both"/>
        <w:ind w:left="660" w:firstLine="644"/>
        <w:spacing w:after="0"/>
        <w:tabs>
          <w:tab w:leader="none" w:pos="20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Investments existing on the Issue Date in the Issuer or in any Restricted Subsidiary or (ii) Investments made after the Issue Date in the Issuer and/or one or more Restricted Subsidiaries (including, in each case, guarantees of obligations of Restricted Subsidiaries);</w:t>
      </w:r>
    </w:p>
    <w:p>
      <w:pPr>
        <w:spacing w:after="0" w:line="213" w:lineRule="exact"/>
        <w:rPr>
          <w:rFonts w:ascii="Arial" w:cs="Arial" w:eastAsia="Arial" w:hAnsi="Arial"/>
          <w:sz w:val="22"/>
          <w:szCs w:val="22"/>
          <w:color w:val="auto"/>
        </w:rPr>
      </w:pPr>
    </w:p>
    <w:p>
      <w:pPr>
        <w:jc w:val="both"/>
        <w:ind w:left="660" w:firstLine="644"/>
        <w:spacing w:after="0" w:line="235" w:lineRule="auto"/>
        <w:tabs>
          <w:tab w:leader="none" w:pos="22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Issuer or any Restricted Subsidiary;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both"/>
        <w:ind w:left="4" w:firstLine="644"/>
        <w:spacing w:after="0" w:line="269" w:lineRule="auto"/>
        <w:tabs>
          <w:tab w:leader="none" w:pos="1594"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Investments in joint ventures and Unrestricted Subsidiaries (with respect to each such Investment, as valued at fair market value of such Investment at the time such Investment is made or, at the option of the Issuer, committed to be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Investment (as so valued) shall not cause the aggregate amount of all such Investments made pursuant to this clause (d) and outstanding at the time of such Investment, after giving pro forma effect to such Investment, to exceed the greater of $100.0 million and 25.0% of Annualized EBITDA of the Issuer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 however</w:t>
      </w:r>
      <w:r>
        <w:rPr>
          <w:rFonts w:ascii="Arial" w:cs="Arial" w:eastAsia="Arial" w:hAnsi="Arial"/>
          <w:sz w:val="19"/>
          <w:szCs w:val="19"/>
          <w:color w:val="auto"/>
        </w:rPr>
        <w:t>,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w:t>
      </w:r>
    </w:p>
    <w:p>
      <w:pPr>
        <w:spacing w:after="0" w:line="3" w:lineRule="exact"/>
        <w:rPr>
          <w:rFonts w:ascii="Arial" w:cs="Arial" w:eastAsia="Arial" w:hAnsi="Arial"/>
          <w:sz w:val="19"/>
          <w:szCs w:val="19"/>
          <w:color w:val="auto"/>
        </w:rPr>
      </w:pPr>
    </w:p>
    <w:p>
      <w:pPr>
        <w:ind w:left="304" w:hanging="304"/>
        <w:spacing w:after="0"/>
        <w:tabs>
          <w:tab w:leader="none" w:pos="304" w:val="left"/>
        </w:tabs>
        <w:numPr>
          <w:ilvl w:val="0"/>
          <w:numId w:val="47"/>
        </w:numPr>
        <w:rPr>
          <w:rFonts w:ascii="Arial" w:cs="Arial" w:eastAsia="Arial" w:hAnsi="Arial"/>
          <w:sz w:val="22"/>
          <w:szCs w:val="22"/>
          <w:color w:val="auto"/>
        </w:rPr>
      </w:pPr>
      <w:r>
        <w:rPr>
          <w:rFonts w:ascii="Arial" w:cs="Arial" w:eastAsia="Arial" w:hAnsi="Arial"/>
          <w:sz w:val="22"/>
          <w:szCs w:val="22"/>
          <w:color w:val="auto"/>
        </w:rPr>
        <w:t>above and shall cease to have been made pursuant to this clause (d);</w:t>
      </w:r>
    </w:p>
    <w:p>
      <w:pPr>
        <w:spacing w:after="0" w:line="215" w:lineRule="exact"/>
        <w:rPr>
          <w:rFonts w:ascii="Arial" w:cs="Arial" w:eastAsia="Arial" w:hAnsi="Arial"/>
          <w:sz w:val="22"/>
          <w:szCs w:val="22"/>
          <w:color w:val="auto"/>
        </w:rPr>
      </w:pPr>
    </w:p>
    <w:p>
      <w:pPr>
        <w:jc w:val="both"/>
        <w:ind w:left="4" w:firstLine="644"/>
        <w:spacing w:after="0"/>
        <w:tabs>
          <w:tab w:leader="none" w:pos="1528"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any Investment by the Issuer or any of its Restricted Subsidiaries of all or substantially all of the assets of, or any business line, unit, division or product line (including research and development and related assets in respect of any product):</w:t>
      </w:r>
    </w:p>
    <w:p>
      <w:pPr>
        <w:spacing w:after="0" w:line="213" w:lineRule="exact"/>
        <w:rPr>
          <w:rFonts w:ascii="Arial" w:cs="Arial" w:eastAsia="Arial" w:hAnsi="Arial"/>
          <w:sz w:val="22"/>
          <w:szCs w:val="22"/>
          <w:color w:val="auto"/>
        </w:rPr>
      </w:pPr>
    </w:p>
    <w:p>
      <w:pPr>
        <w:jc w:val="both"/>
        <w:ind w:left="1304" w:firstLine="640"/>
        <w:spacing w:after="0"/>
        <w:tabs>
          <w:tab w:leader="none" w:pos="2744" w:val="left"/>
        </w:tabs>
        <w:numPr>
          <w:ilvl w:val="2"/>
          <w:numId w:val="47"/>
        </w:numPr>
        <w:rPr>
          <w:rFonts w:ascii="Arial" w:cs="Arial" w:eastAsia="Arial" w:hAnsi="Arial"/>
          <w:sz w:val="22"/>
          <w:szCs w:val="22"/>
          <w:color w:val="auto"/>
        </w:rPr>
      </w:pPr>
      <w:r>
        <w:rPr>
          <w:rFonts w:ascii="Arial" w:cs="Arial" w:eastAsia="Arial" w:hAnsi="Arial"/>
          <w:sz w:val="22"/>
          <w:szCs w:val="22"/>
          <w:color w:val="auto"/>
        </w:rPr>
        <w:t>in any Person or the Equity Interests of any Person who is engaged in a Similar Business and becomes a Restricted Subsidiary (and, in any event, including by redesignation of an Unrestricted Subsidiary as a Restricted Subsidiary or by means of a Division); or</w:t>
      </w:r>
    </w:p>
    <w:p>
      <w:pPr>
        <w:spacing w:after="0" w:line="213" w:lineRule="exact"/>
        <w:rPr>
          <w:rFonts w:ascii="Arial" w:cs="Arial" w:eastAsia="Arial" w:hAnsi="Arial"/>
          <w:sz w:val="22"/>
          <w:szCs w:val="22"/>
          <w:color w:val="auto"/>
        </w:rPr>
      </w:pPr>
    </w:p>
    <w:p>
      <w:pPr>
        <w:jc w:val="both"/>
        <w:ind w:left="1304" w:firstLine="640"/>
        <w:spacing w:after="0" w:line="238" w:lineRule="auto"/>
        <w:tabs>
          <w:tab w:leader="none" w:pos="2846" w:val="left"/>
        </w:tabs>
        <w:numPr>
          <w:ilvl w:val="2"/>
          <w:numId w:val="47"/>
        </w:numPr>
        <w:rPr>
          <w:rFonts w:ascii="Arial" w:cs="Arial" w:eastAsia="Arial" w:hAnsi="Arial"/>
          <w:sz w:val="22"/>
          <w:szCs w:val="22"/>
          <w:color w:val="auto"/>
        </w:rPr>
      </w:pPr>
      <w:r>
        <w:rPr>
          <w:rFonts w:ascii="Arial" w:cs="Arial" w:eastAsia="Arial" w:hAnsi="Arial"/>
          <w:sz w:val="22"/>
          <w:szCs w:val="22"/>
          <w:color w:val="auto"/>
        </w:rPr>
        <w:t>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Issuer or a Restricted Subsidiary,</w:t>
      </w:r>
    </w:p>
    <w:p>
      <w:pPr>
        <w:spacing w:after="0" w:line="212" w:lineRule="exact"/>
        <w:rPr>
          <w:sz w:val="20"/>
          <w:szCs w:val="20"/>
          <w:color w:val="auto"/>
        </w:rPr>
      </w:pPr>
    </w:p>
    <w:p>
      <w:pPr>
        <w:jc w:val="both"/>
        <w:ind w:left="644"/>
        <w:spacing w:after="0"/>
        <w:rPr>
          <w:sz w:val="20"/>
          <w:szCs w:val="20"/>
          <w:color w:val="auto"/>
        </w:rPr>
      </w:pPr>
      <w:r>
        <w:rPr>
          <w:rFonts w:ascii="Arial" w:cs="Arial" w:eastAsia="Arial" w:hAnsi="Arial"/>
          <w:sz w:val="22"/>
          <w:szCs w:val="22"/>
          <w:color w:val="auto"/>
        </w:rPr>
        <w:t xml:space="preserve">and, in each case, any Investment held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Investment was not acquired by such Person in contemplation of such acquisition, merger, amalgamation, Division, consolidation, transfer, conveyance or redesignation;</w:t>
      </w:r>
    </w:p>
    <w:p>
      <w:pPr>
        <w:spacing w:after="0" w:line="213" w:lineRule="exact"/>
        <w:rPr>
          <w:sz w:val="20"/>
          <w:szCs w:val="20"/>
          <w:color w:val="auto"/>
        </w:rPr>
      </w:pPr>
    </w:p>
    <w:p>
      <w:pPr>
        <w:jc w:val="both"/>
        <w:ind w:left="4" w:firstLine="644"/>
        <w:spacing w:after="0" w:line="249" w:lineRule="auto"/>
        <w:tabs>
          <w:tab w:leader="none" w:pos="13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Investments (i) existing on, or contractually committed to or contemplated as of, the Issue Date and (ii) any modification, replacement, renewal or extension of any Investment described in clause (i) above so long as no such modification, replacement, renewal or extension increases the amount of such Investment except by the terms thereof in effect on the Issue Date (including as a result of the accrual or accretion of interest or original issue discount or the issuance of pay-in-kind securities) or as otherwise not prohibited by this Indenture;</w:t>
      </w:r>
    </w:p>
    <w:p>
      <w:pPr>
        <w:spacing w:after="0" w:line="384"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53" w:name="page54"/>
    <w:bookmarkEnd w:id="53"/>
    <w:p>
      <w:pPr>
        <w:ind w:left="-460" w:right="20" w:firstLine="644"/>
        <w:spacing w:after="0" w:line="274" w:lineRule="auto"/>
        <w:tabs>
          <w:tab w:leader="none" w:pos="895"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Investments (including earn-outs) received in lieu of cash in connection with an Asset Sale made pursuant to the provisions of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or any other disposition of assets not constituting an Asset Sale;</w:t>
      </w:r>
    </w:p>
    <w:p>
      <w:pPr>
        <w:spacing w:after="0" w:line="178" w:lineRule="exact"/>
        <w:rPr>
          <w:rFonts w:ascii="Arial" w:cs="Arial" w:eastAsia="Arial" w:hAnsi="Arial"/>
          <w:sz w:val="21"/>
          <w:szCs w:val="21"/>
          <w:color w:val="auto"/>
        </w:rPr>
      </w:pPr>
    </w:p>
    <w:p>
      <w:pPr>
        <w:jc w:val="both"/>
        <w:ind w:left="-460" w:firstLine="644"/>
        <w:spacing w:after="0" w:line="273" w:lineRule="auto"/>
        <w:tabs>
          <w:tab w:leader="none" w:pos="955"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loans or advances to, or guarantees of Indebtedness of, present or former employees, directors, members of management, officers, managers, members, partners, consultants or independent contractors (or any Immediate Family Member of the foregoing) of the Issuer, its Subsidiaries and/or any joint venture (i) to the extent permitted by applicable Requirements of Law, in connection with such Person’s purchase of Equity Interests of the Issuer, so long as any cash proceeds of such loan or advance are substantially contemporaneously contributed to the Issuer for the purchase of such Equity Interests, (ii) for reasonable and customary business-related travel, entertainment, relocation and analogous ordinary business purposes and (iii) for purposes not described in the foregoing clauses (i) and (ii);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pro forma effect to the making of any such loan, advance or guarantee, the aggregate principal amount of all loans, advances and guarantees made in reliance on this clause (h) then outstanding (measured as of the date such Investment is made or, at the option of the Issuer, committed to be made) shall not exceed the greater of $15.0 million and 5.0% of Annualized EBITDA of the Issuer and its Restricted Subsidiaries;</w:t>
      </w:r>
    </w:p>
    <w:p>
      <w:pPr>
        <w:spacing w:after="0" w:line="182" w:lineRule="exact"/>
        <w:rPr>
          <w:rFonts w:ascii="Arial" w:cs="Arial" w:eastAsia="Arial" w:hAnsi="Arial"/>
          <w:sz w:val="19"/>
          <w:szCs w:val="19"/>
          <w:color w:val="auto"/>
        </w:rPr>
      </w:pPr>
    </w:p>
    <w:p>
      <w:pPr>
        <w:jc w:val="both"/>
        <w:ind w:left="-460" w:firstLine="644"/>
        <w:spacing w:after="0" w:line="235" w:lineRule="auto"/>
        <w:tabs>
          <w:tab w:leader="none" w:pos="1034"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spacing w:after="0" w:line="214" w:lineRule="exact"/>
        <w:rPr>
          <w:rFonts w:ascii="Arial" w:cs="Arial" w:eastAsia="Arial" w:hAnsi="Arial"/>
          <w:sz w:val="22"/>
          <w:szCs w:val="22"/>
          <w:color w:val="auto"/>
        </w:rPr>
      </w:pPr>
    </w:p>
    <w:p>
      <w:pPr>
        <w:jc w:val="both"/>
        <w:ind w:left="-460" w:firstLine="644"/>
        <w:spacing w:after="0" w:line="287" w:lineRule="auto"/>
        <w:tabs>
          <w:tab w:leader="none" w:pos="884"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Investments consisting of (or resulting from) (i) Indebtedness permitted under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(ii) Permitted Liens, (iii) Restricted Payments permitted under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(other than a Restricted Payment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4.07(b)(ix)</w:t>
      </w:r>
      <w:r>
        <w:rPr>
          <w:rFonts w:ascii="Arial" w:cs="Arial" w:eastAsia="Arial" w:hAnsi="Arial"/>
          <w:sz w:val="19"/>
          <w:szCs w:val="19"/>
          <w:color w:val="auto"/>
        </w:rPr>
        <w:t xml:space="preserve">) and (iv) Asset Sales permitted under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or any other disposition not constituting an Asset Sale (other than pursuant to clause (a), (b), (c)(ii) (if made in reliance on clause (B) therein) and (g) of the definition thereof);</w:t>
      </w:r>
    </w:p>
    <w:p>
      <w:pPr>
        <w:spacing w:after="0" w:line="169" w:lineRule="exact"/>
        <w:rPr>
          <w:rFonts w:ascii="Arial" w:cs="Arial" w:eastAsia="Arial" w:hAnsi="Arial"/>
          <w:sz w:val="19"/>
          <w:szCs w:val="19"/>
          <w:color w:val="auto"/>
        </w:rPr>
      </w:pPr>
    </w:p>
    <w:p>
      <w:pPr>
        <w:ind w:left="-460" w:firstLine="644"/>
        <w:spacing w:after="0" w:line="328" w:lineRule="auto"/>
        <w:tabs>
          <w:tab w:leader="none" w:pos="898"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consistent with past practice or consistent with industry norm consisting of endorsements for collection or deposit and customary trade arrangements with customers;</w:t>
      </w:r>
    </w:p>
    <w:p>
      <w:pPr>
        <w:spacing w:after="0" w:line="131" w:lineRule="exact"/>
        <w:rPr>
          <w:rFonts w:ascii="Arial" w:cs="Arial" w:eastAsia="Arial" w:hAnsi="Arial"/>
          <w:sz w:val="19"/>
          <w:szCs w:val="19"/>
          <w:color w:val="auto"/>
        </w:rPr>
      </w:pPr>
    </w:p>
    <w:p>
      <w:pPr>
        <w:jc w:val="both"/>
        <w:ind w:left="-460" w:firstLine="644"/>
        <w:spacing w:after="0" w:line="235" w:lineRule="auto"/>
        <w:tabs>
          <w:tab w:leader="none" w:pos="1331"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spacing w:after="0" w:line="39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4" w:name="page55"/>
    <w:bookmarkEnd w:id="54"/>
    <w:p>
      <w:pPr>
        <w:jc w:val="both"/>
        <w:ind w:left="-460" w:firstLine="644"/>
        <w:spacing w:after="0" w:line="238" w:lineRule="auto"/>
        <w:tabs>
          <w:tab w:leader="none" w:pos="1126" w:val="left"/>
        </w:tabs>
        <w:numPr>
          <w:ilvl w:val="0"/>
          <w:numId w:val="50"/>
        </w:numPr>
        <w:rPr>
          <w:rFonts w:ascii="Arial" w:cs="Arial" w:eastAsia="Arial" w:hAnsi="Arial"/>
          <w:sz w:val="22"/>
          <w:szCs w:val="22"/>
          <w:color w:val="auto"/>
        </w:rPr>
      </w:pPr>
      <w:r>
        <w:rPr>
          <w:rFonts w:ascii="Arial" w:cs="Arial" w:eastAsia="Arial" w:hAnsi="Arial"/>
          <w:sz w:val="22"/>
          <w:szCs w:val="22"/>
          <w:color w:val="auto"/>
        </w:rPr>
        <w:t>loans and advances of payroll payments or other compensation (including deferred compensation) to present or former employees, directors, members of management, officers, managers, members, partners, independent contractors or consultants of the Issuer and/or any Subsidiary in the ordinary course of business, consistent with past practice or consistent with industry norm;</w:t>
      </w:r>
    </w:p>
    <w:p>
      <w:pPr>
        <w:spacing w:after="0" w:line="212" w:lineRule="exact"/>
        <w:rPr>
          <w:rFonts w:ascii="Arial" w:cs="Arial" w:eastAsia="Arial" w:hAnsi="Arial"/>
          <w:sz w:val="22"/>
          <w:szCs w:val="22"/>
          <w:color w:val="auto"/>
        </w:rPr>
      </w:pPr>
    </w:p>
    <w:p>
      <w:pPr>
        <w:ind w:left="980" w:hanging="796"/>
        <w:spacing w:after="0"/>
        <w:tabs>
          <w:tab w:leader="none" w:pos="9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Investments to the extent that payment therefor is made solely with Qualified Capital Stock of the Issuer;</w:t>
      </w:r>
    </w:p>
    <w:p>
      <w:pPr>
        <w:spacing w:after="0" w:line="267" w:lineRule="exact"/>
        <w:rPr>
          <w:rFonts w:ascii="Arial" w:cs="Arial" w:eastAsia="Arial" w:hAnsi="Arial"/>
          <w:sz w:val="19"/>
          <w:szCs w:val="19"/>
          <w:color w:val="auto"/>
        </w:rPr>
      </w:pPr>
    </w:p>
    <w:p>
      <w:pPr>
        <w:jc w:val="both"/>
        <w:ind w:left="-460" w:firstLine="644"/>
        <w:spacing w:after="0" w:line="246" w:lineRule="auto"/>
        <w:tabs>
          <w:tab w:leader="none" w:pos="906"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(i) Investments of any Restricted Subsidiary that is acquired after the Issue Date, or of any Person merged into or consolidated or amalgamated with, the Issuer or any Restricted Subsidiary after the Issue Date, in each case as part of an Investment otherwise not prohibited by this Indenture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w:t>
      </w:r>
      <w:r>
        <w:rPr>
          <w:rFonts w:ascii="Arial" w:cs="Arial" w:eastAsia="Arial" w:hAnsi="Arial"/>
          <w:sz w:val="21"/>
          <w:szCs w:val="21"/>
          <w:u w:val="single" w:color="auto"/>
          <w:color w:val="auto"/>
        </w:rPr>
        <w:t>clause (o)</w:t>
      </w:r>
      <w:r>
        <w:rPr>
          <w:rFonts w:ascii="Arial" w:cs="Arial" w:eastAsia="Arial" w:hAnsi="Arial"/>
          <w:sz w:val="21"/>
          <w:szCs w:val="21"/>
          <w:color w:val="auto"/>
        </w:rPr>
        <w:t xml:space="preserve"> so long as no such modification, replacement, renewal or extension thereof increases the amount of such Investment except as otherwise not prohibited by this Indenture;</w:t>
      </w:r>
    </w:p>
    <w:p>
      <w:pPr>
        <w:spacing w:after="0" w:line="206" w:lineRule="exact"/>
        <w:rPr>
          <w:rFonts w:ascii="Arial" w:cs="Arial" w:eastAsia="Arial" w:hAnsi="Arial"/>
          <w:sz w:val="21"/>
          <w:szCs w:val="21"/>
          <w:color w:val="auto"/>
        </w:rPr>
      </w:pPr>
    </w:p>
    <w:p>
      <w:pPr>
        <w:ind w:left="980" w:hanging="796"/>
        <w:spacing w:after="0"/>
        <w:tabs>
          <w:tab w:leader="none" w:pos="9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297" w:lineRule="auto"/>
        <w:tabs>
          <w:tab w:leader="none" w:pos="125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Investments made after the Issue Date by the Issuer and/or any of its Restricted Subsidiaries in an aggregate amount (with respect to each such Investment, as valued at the fair market value of such Investment at the time such Investment is made or, at the option of the Issuer, committed to be made) then outstanding not to exceed:</w:t>
      </w:r>
    </w:p>
    <w:p>
      <w:pPr>
        <w:spacing w:after="0" w:line="160" w:lineRule="exact"/>
        <w:rPr>
          <w:rFonts w:ascii="Arial" w:cs="Arial" w:eastAsia="Arial" w:hAnsi="Arial"/>
          <w:sz w:val="19"/>
          <w:szCs w:val="19"/>
          <w:color w:val="auto"/>
        </w:rPr>
      </w:pPr>
    </w:p>
    <w:p>
      <w:pPr>
        <w:jc w:val="both"/>
        <w:ind w:left="840" w:right="20" w:firstLine="640"/>
        <w:spacing w:after="0"/>
        <w:tabs>
          <w:tab w:leader="none" w:pos="2364" w:val="left"/>
        </w:tabs>
        <w:numPr>
          <w:ilvl w:val="1"/>
          <w:numId w:val="50"/>
        </w:numPr>
        <w:rPr>
          <w:rFonts w:ascii="Arial" w:cs="Arial" w:eastAsia="Arial" w:hAnsi="Arial"/>
          <w:sz w:val="22"/>
          <w:szCs w:val="22"/>
          <w:color w:val="auto"/>
        </w:rPr>
      </w:pPr>
      <w:r>
        <w:rPr>
          <w:rFonts w:ascii="Arial" w:cs="Arial" w:eastAsia="Arial" w:hAnsi="Arial"/>
          <w:sz w:val="22"/>
          <w:szCs w:val="22"/>
          <w:color w:val="auto"/>
        </w:rPr>
        <w:t xml:space="preserve">the greater of $125.0 million and 35.0% of Annualized EBITDA of the Issuer and its Restricted Subsidiaries (measured as of the date such Investment is made, or at the option of the Issuer, committed to be made); </w:t>
      </w:r>
      <w:r>
        <w:rPr>
          <w:rFonts w:ascii="Arial" w:cs="Arial" w:eastAsia="Arial" w:hAnsi="Arial"/>
          <w:sz w:val="22"/>
          <w:szCs w:val="22"/>
          <w:u w:val="single" w:color="auto"/>
          <w:color w:val="auto"/>
        </w:rPr>
        <w:t>plus</w:t>
      </w:r>
    </w:p>
    <w:p>
      <w:pPr>
        <w:spacing w:after="0" w:line="213" w:lineRule="exact"/>
        <w:rPr>
          <w:rFonts w:ascii="Arial" w:cs="Arial" w:eastAsia="Arial" w:hAnsi="Arial"/>
          <w:sz w:val="22"/>
          <w:szCs w:val="22"/>
          <w:color w:val="auto"/>
        </w:rPr>
      </w:pPr>
    </w:p>
    <w:p>
      <w:pPr>
        <w:jc w:val="both"/>
        <w:ind w:left="840" w:firstLine="640"/>
        <w:spacing w:after="0" w:line="245" w:lineRule="auto"/>
        <w:tabs>
          <w:tab w:leader="none" w:pos="2324"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in the event that (A) the Issuer or any of its Restricted Subsidiaries makes any Investment after the Issue Date in any Person that is not a Restricted Subsidiary and (B) such Person subsequently becomes a Restricted Subsidiary, at the election of the Issuer, an amount equal to 100.0% of the fair market value of such Investment as of the date on which such Person becomes a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Issuer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w:t>
      </w:r>
      <w:r>
        <w:rPr>
          <w:rFonts w:ascii="Arial" w:cs="Arial" w:eastAsia="Arial" w:hAnsi="Arial"/>
          <w:sz w:val="21"/>
          <w:szCs w:val="21"/>
          <w:u w:val="single" w:color="auto"/>
          <w:color w:val="auto"/>
        </w:rPr>
        <w:t>clause (2)</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4.07(a)</w:t>
      </w:r>
      <w:r>
        <w:rPr>
          <w:rFonts w:ascii="Arial" w:cs="Arial" w:eastAsia="Arial" w:hAnsi="Arial"/>
          <w:sz w:val="21"/>
          <w:szCs w:val="21"/>
          <w:color w:val="auto"/>
        </w:rPr>
        <w:t xml:space="preserve"> or reduce the amount of outstanding Investments under the provision pursuant to which such Investment was initially made;</w:t>
      </w:r>
    </w:p>
    <w:p>
      <w:pPr>
        <w:spacing w:after="0" w:line="207" w:lineRule="exact"/>
        <w:rPr>
          <w:rFonts w:ascii="Arial" w:cs="Arial" w:eastAsia="Arial" w:hAnsi="Arial"/>
          <w:sz w:val="21"/>
          <w:szCs w:val="21"/>
          <w:color w:val="auto"/>
        </w:rPr>
      </w:pPr>
    </w:p>
    <w:p>
      <w:pPr>
        <w:ind w:left="940" w:hanging="756"/>
        <w:spacing w:after="0"/>
        <w:tabs>
          <w:tab w:leader="none" w:pos="9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5" w:name="page56"/>
    <w:bookmarkEnd w:id="55"/>
    <w:p>
      <w:pPr>
        <w:jc w:val="both"/>
        <w:ind w:firstLine="644"/>
        <w:spacing w:after="0" w:line="287" w:lineRule="auto"/>
        <w:tabs>
          <w:tab w:leader="none" w:pos="1513"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the extent constituting Investments, (i) guarantees of leases (other than Financing Leases) or of other obligations not constituting Indebtedness of the Issuer and/or its Restricted Subsidiaries and (ii) guarantees of the lease obligations of suppliers, customers, franchisees and licensees of the Issuer and/or its Restricted Subsidiaries, in each case, in the ordinary course of business, consistent with past practice or consistent with industry norm;</w:t>
      </w:r>
    </w:p>
    <w:p>
      <w:pPr>
        <w:spacing w:after="0" w:line="170" w:lineRule="exact"/>
        <w:rPr>
          <w:rFonts w:ascii="Arial" w:cs="Arial" w:eastAsia="Arial" w:hAnsi="Arial"/>
          <w:sz w:val="19"/>
          <w:szCs w:val="19"/>
          <w:color w:val="auto"/>
        </w:rPr>
      </w:pPr>
    </w:p>
    <w:p>
      <w:pPr>
        <w:ind w:left="1380" w:hanging="736"/>
        <w:spacing w:after="0"/>
        <w:tabs>
          <w:tab w:leader="none" w:pos="13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440" w:hanging="796"/>
        <w:spacing w:after="0"/>
        <w:tabs>
          <w:tab w:leader="none" w:pos="1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644"/>
        <w:spacing w:after="0" w:line="250" w:lineRule="auto"/>
        <w:tabs>
          <w:tab w:leader="none" w:pos="18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Investments in Subsidiaries of the Issuer in connection with internal reorganizations and/or tax restructuring entered into among the Issuer and/or its Restricted Subsidiaries;</w:t>
      </w:r>
    </w:p>
    <w:p>
      <w:pPr>
        <w:spacing w:after="0" w:line="201" w:lineRule="exact"/>
        <w:rPr>
          <w:rFonts w:ascii="Arial" w:cs="Arial" w:eastAsia="Arial" w:hAnsi="Arial"/>
          <w:sz w:val="22"/>
          <w:szCs w:val="22"/>
          <w:color w:val="auto"/>
        </w:rPr>
      </w:pPr>
    </w:p>
    <w:p>
      <w:pPr>
        <w:ind w:left="1580" w:hanging="936"/>
        <w:spacing w:after="0"/>
        <w:tabs>
          <w:tab w:leader="none" w:pos="15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any Derivative Transactions of the type permitted under clause (s) of the second paragraph of </w:t>
      </w:r>
      <w:r>
        <w:rPr>
          <w:rFonts w:ascii="Arial" w:cs="Arial" w:eastAsia="Arial" w:hAnsi="Arial"/>
          <w:sz w:val="19"/>
          <w:szCs w:val="19"/>
          <w:u w:val="single" w:color="auto"/>
          <w:color w:val="auto"/>
        </w:rPr>
        <w:t>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4.09</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right="20" w:firstLine="644"/>
        <w:spacing w:after="0" w:line="250" w:lineRule="auto"/>
        <w:tabs>
          <w:tab w:leader="none" w:pos="1286"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Investments consisting of the licensing of intellectual property or other works of authorship for the purpose of joint marketing arrangements with other Persons;</w:t>
      </w:r>
    </w:p>
    <w:p>
      <w:pPr>
        <w:spacing w:after="0" w:line="201" w:lineRule="exact"/>
        <w:rPr>
          <w:rFonts w:ascii="Arial" w:cs="Arial" w:eastAsia="Arial" w:hAnsi="Arial"/>
          <w:sz w:val="22"/>
          <w:szCs w:val="22"/>
          <w:color w:val="auto"/>
        </w:rPr>
      </w:pPr>
    </w:p>
    <w:p>
      <w:pPr>
        <w:ind w:left="1440" w:hanging="796"/>
        <w:spacing w:after="0"/>
        <w:tabs>
          <w:tab w:leader="none" w:pos="1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repurchases of the Notes and any other Senior Indebtedness;</w:t>
      </w:r>
    </w:p>
    <w:p>
      <w:pPr>
        <w:spacing w:after="0" w:line="233" w:lineRule="exact"/>
        <w:rPr>
          <w:rFonts w:ascii="Arial" w:cs="Arial" w:eastAsia="Arial" w:hAnsi="Arial"/>
          <w:sz w:val="22"/>
          <w:szCs w:val="22"/>
          <w:color w:val="auto"/>
        </w:rPr>
      </w:pPr>
    </w:p>
    <w:p>
      <w:pPr>
        <w:jc w:val="both"/>
        <w:ind w:firstLine="644"/>
        <w:spacing w:after="0" w:line="238" w:lineRule="auto"/>
        <w:tabs>
          <w:tab w:leader="none" w:pos="1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spacing w:after="0" w:line="212" w:lineRule="exact"/>
        <w:rPr>
          <w:sz w:val="20"/>
          <w:szCs w:val="20"/>
          <w:color w:val="auto"/>
        </w:rPr>
      </w:pPr>
    </w:p>
    <w:p>
      <w:pPr>
        <w:jc w:val="both"/>
        <w:ind w:firstLine="644"/>
        <w:spacing w:after="0" w:line="287" w:lineRule="auto"/>
        <w:tabs>
          <w:tab w:leader="none" w:pos="147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Investments in the Issuer,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spacing w:after="0" w:line="169" w:lineRule="exact"/>
        <w:rPr>
          <w:rFonts w:ascii="Arial" w:cs="Arial" w:eastAsia="Arial" w:hAnsi="Arial"/>
          <w:sz w:val="19"/>
          <w:szCs w:val="19"/>
          <w:color w:val="auto"/>
        </w:rPr>
      </w:pPr>
    </w:p>
    <w:p>
      <w:pPr>
        <w:ind w:firstLine="644"/>
        <w:spacing w:after="0" w:line="250" w:lineRule="auto"/>
        <w:tabs>
          <w:tab w:leader="none" w:pos="1467" w:val="left"/>
        </w:tabs>
        <w:numPr>
          <w:ilvl w:val="0"/>
          <w:numId w:val="52"/>
        </w:numPr>
        <w:rPr>
          <w:rFonts w:ascii="Arial" w:cs="Arial" w:eastAsia="Arial" w:hAnsi="Arial"/>
          <w:sz w:val="22"/>
          <w:szCs w:val="22"/>
          <w:color w:val="auto"/>
        </w:rPr>
      </w:pPr>
      <w:r>
        <w:rPr>
          <w:rFonts w:ascii="Arial" w:cs="Arial" w:eastAsia="Arial" w:hAnsi="Arial"/>
          <w:sz w:val="22"/>
          <w:szCs w:val="22"/>
          <w:color w:val="auto"/>
        </w:rPr>
        <w:t>additional Investments so long as, after giving effect thereto on a pro forma basis, the Consolidated Total Debt Ratio does not exceed 2.50 to 1.00;</w:t>
      </w:r>
    </w:p>
    <w:p>
      <w:pPr>
        <w:spacing w:after="0" w:line="201" w:lineRule="exact"/>
        <w:rPr>
          <w:rFonts w:ascii="Arial" w:cs="Arial" w:eastAsia="Arial" w:hAnsi="Arial"/>
          <w:sz w:val="22"/>
          <w:szCs w:val="22"/>
          <w:color w:val="auto"/>
        </w:rPr>
      </w:pPr>
    </w:p>
    <w:p>
      <w:pPr>
        <w:jc w:val="both"/>
        <w:ind w:firstLine="644"/>
        <w:spacing w:after="0"/>
        <w:tabs>
          <w:tab w:leader="none" w:pos="1623"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213" w:lineRule="exact"/>
        <w:rPr>
          <w:rFonts w:ascii="Arial" w:cs="Arial" w:eastAsia="Arial" w:hAnsi="Arial"/>
          <w:sz w:val="22"/>
          <w:szCs w:val="22"/>
          <w:color w:val="auto"/>
        </w:rPr>
      </w:pPr>
    </w:p>
    <w:p>
      <w:pPr>
        <w:ind w:left="1440" w:hanging="796"/>
        <w:spacing w:after="0"/>
        <w:tabs>
          <w:tab w:leader="none" w:pos="14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44"/>
        <w:spacing w:after="0" w:line="297" w:lineRule="auto"/>
        <w:tabs>
          <w:tab w:leader="none" w:pos="1456"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Investments in Receivables Subsidiaries required in connection with a Permitted Receivables Financing (including the contribution or lending of cash and Cash Equivalents to Receivables Subsidiaries to finance the purchase of assets from the Issuer or any Restricted Subsidiary or to otherwise fund required reserves);</w:t>
      </w:r>
    </w:p>
    <w:p>
      <w:pPr>
        <w:spacing w:after="0" w:line="339"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56" w:name="page57"/>
    <w:bookmarkEnd w:id="56"/>
    <w:p>
      <w:pPr>
        <w:jc w:val="both"/>
        <w:ind w:firstLine="644"/>
        <w:spacing w:after="0" w:line="258" w:lineRule="auto"/>
        <w:tabs>
          <w:tab w:leader="none" w:pos="1756" w:val="left"/>
        </w:tabs>
        <w:numPr>
          <w:ilvl w:val="0"/>
          <w:numId w:val="53"/>
        </w:numPr>
        <w:rPr>
          <w:rFonts w:ascii="Arial" w:cs="Arial" w:eastAsia="Arial" w:hAnsi="Arial"/>
          <w:sz w:val="21"/>
          <w:szCs w:val="21"/>
          <w:color w:val="auto"/>
        </w:rPr>
      </w:pPr>
      <w:r>
        <w:rPr>
          <w:rFonts w:ascii="Arial" w:cs="Arial" w:eastAsia="Arial" w:hAnsi="Arial"/>
          <w:sz w:val="21"/>
          <w:szCs w:val="21"/>
          <w:color w:val="auto"/>
        </w:rPr>
        <w:t>contributions to a “</w:t>
      </w:r>
      <w:r>
        <w:rPr>
          <w:rFonts w:ascii="Arial" w:cs="Arial" w:eastAsia="Arial" w:hAnsi="Arial"/>
          <w:sz w:val="21"/>
          <w:szCs w:val="21"/>
          <w:u w:val="single" w:color="auto"/>
          <w:color w:val="auto"/>
        </w:rPr>
        <w:t>rabbi</w:t>
      </w:r>
      <w:r>
        <w:rPr>
          <w:rFonts w:ascii="Arial" w:cs="Arial" w:eastAsia="Arial" w:hAnsi="Arial"/>
          <w:sz w:val="21"/>
          <w:szCs w:val="21"/>
          <w:color w:val="auto"/>
        </w:rPr>
        <w:t>” trust for the benefit of employees, directors, consultants, independent contractors or other service providers or other grantor trust (or any Immediate Family Member of the foregoing) subject to claims of creditors in the case of a bankruptcy of the Issuer or any Restricted Subsidiary;</w:t>
      </w:r>
    </w:p>
    <w:p>
      <w:pPr>
        <w:spacing w:after="0" w:line="193" w:lineRule="exact"/>
        <w:rPr>
          <w:rFonts w:ascii="Arial" w:cs="Arial" w:eastAsia="Arial" w:hAnsi="Arial"/>
          <w:sz w:val="21"/>
          <w:szCs w:val="21"/>
          <w:color w:val="auto"/>
        </w:rPr>
      </w:pPr>
    </w:p>
    <w:p>
      <w:pPr>
        <w:jc w:val="both"/>
        <w:ind w:firstLine="644"/>
        <w:spacing w:after="0" w:line="252" w:lineRule="auto"/>
        <w:tabs>
          <w:tab w:leader="none" w:pos="1551" w:val="left"/>
        </w:tabs>
        <w:numPr>
          <w:ilvl w:val="0"/>
          <w:numId w:val="53"/>
        </w:numPr>
        <w:rPr>
          <w:rFonts w:ascii="Arial" w:cs="Arial" w:eastAsia="Arial" w:hAnsi="Arial"/>
          <w:sz w:val="21"/>
          <w:szCs w:val="21"/>
          <w:color w:val="auto"/>
        </w:rPr>
      </w:pPr>
      <w:r>
        <w:rPr>
          <w:rFonts w:ascii="Arial" w:cs="Arial" w:eastAsia="Arial" w:hAnsi="Arial"/>
          <w:sz w:val="21"/>
          <w:szCs w:val="21"/>
          <w:color w:val="auto"/>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spacing w:after="0" w:line="200" w:lineRule="exact"/>
        <w:rPr>
          <w:rFonts w:ascii="Arial" w:cs="Arial" w:eastAsia="Arial" w:hAnsi="Arial"/>
          <w:sz w:val="21"/>
          <w:szCs w:val="21"/>
          <w:color w:val="auto"/>
        </w:rPr>
      </w:pPr>
    </w:p>
    <w:p>
      <w:pPr>
        <w:jc w:val="both"/>
        <w:ind w:firstLine="644"/>
        <w:spacing w:after="0"/>
        <w:tabs>
          <w:tab w:leader="none" w:pos="1289"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intercompany current liabilities owed to Unrestricted Subsidiaries or joint ventures incurred in the ordinary course of business, consistent with past practice or consistent with industry norm or in connection with cash management operations of the Issuer and its Subsidiaries;</w:t>
      </w:r>
    </w:p>
    <w:p>
      <w:pPr>
        <w:spacing w:after="0" w:line="213" w:lineRule="exact"/>
        <w:rPr>
          <w:rFonts w:ascii="Arial" w:cs="Arial" w:eastAsia="Arial" w:hAnsi="Arial"/>
          <w:sz w:val="22"/>
          <w:szCs w:val="22"/>
          <w:color w:val="auto"/>
        </w:rPr>
      </w:pPr>
    </w:p>
    <w:p>
      <w:pPr>
        <w:ind w:firstLine="644"/>
        <w:spacing w:after="0" w:line="250" w:lineRule="auto"/>
        <w:tabs>
          <w:tab w:leader="none" w:pos="158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Investments made from casualty insurance proceeds in connection with the replacement, substitution, restoration or repair of assets on account of a casualty event;</w:t>
      </w:r>
    </w:p>
    <w:p>
      <w:pPr>
        <w:spacing w:after="0" w:line="201" w:lineRule="exact"/>
        <w:rPr>
          <w:rFonts w:ascii="Arial" w:cs="Arial" w:eastAsia="Arial" w:hAnsi="Arial"/>
          <w:sz w:val="22"/>
          <w:szCs w:val="22"/>
          <w:color w:val="auto"/>
        </w:rPr>
      </w:pPr>
    </w:p>
    <w:p>
      <w:pPr>
        <w:jc w:val="both"/>
        <w:ind w:firstLine="644"/>
        <w:spacing w:after="0"/>
        <w:tabs>
          <w:tab w:leader="none" w:pos="1423"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Investments to the extent required by applicable rules under the Exchange Act or by any governmental authority, including any Investment made in order to avoid early warning or notice requirements under such rules or requirements;</w:t>
      </w:r>
    </w:p>
    <w:p>
      <w:pPr>
        <w:spacing w:after="0" w:line="213" w:lineRule="exact"/>
        <w:rPr>
          <w:rFonts w:ascii="Arial" w:cs="Arial" w:eastAsia="Arial" w:hAnsi="Arial"/>
          <w:sz w:val="22"/>
          <w:szCs w:val="22"/>
          <w:color w:val="auto"/>
        </w:rPr>
      </w:pPr>
    </w:p>
    <w:p>
      <w:pPr>
        <w:ind w:left="1440" w:hanging="796"/>
        <w:spacing w:after="0"/>
        <w:tabs>
          <w:tab w:leader="none" w:pos="14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33" w:lineRule="exact"/>
        <w:rPr>
          <w:rFonts w:ascii="Arial" w:cs="Arial" w:eastAsia="Arial" w:hAnsi="Arial"/>
          <w:sz w:val="22"/>
          <w:szCs w:val="22"/>
          <w:color w:val="auto"/>
        </w:rPr>
      </w:pPr>
    </w:p>
    <w:p>
      <w:pPr>
        <w:jc w:val="both"/>
        <w:ind w:firstLine="644"/>
        <w:spacing w:after="0" w:line="238" w:lineRule="auto"/>
        <w:tabs>
          <w:tab w:leader="none" w:pos="1706"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any transaction to the extent it constitutes an Investment that is not prohibited by and is made in accordance with the provisions of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(except transactions permitted by clause (d)(i) of the second paragraph of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by reference to </w:t>
      </w:r>
      <w:r>
        <w:rPr>
          <w:rFonts w:ascii="Arial" w:cs="Arial" w:eastAsia="Arial" w:hAnsi="Arial"/>
          <w:sz w:val="22"/>
          <w:szCs w:val="22"/>
          <w:u w:val="single" w:color="auto"/>
          <w:color w:val="auto"/>
        </w:rPr>
        <w:t>Section 4.07</w:t>
      </w:r>
      <w:r>
        <w:rPr>
          <w:rFonts w:ascii="Arial" w:cs="Arial" w:eastAsia="Arial" w:hAnsi="Arial"/>
          <w:sz w:val="22"/>
          <w:szCs w:val="22"/>
          <w:color w:val="auto"/>
        </w:rPr>
        <w:t xml:space="preserve"> or this definition and clauses (o) and (s) of the second paragraph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4.11</w:t>
      </w:r>
      <w:r>
        <w:rPr>
          <w:rFonts w:ascii="Arial" w:cs="Arial" w:eastAsia="Arial" w:hAnsi="Arial"/>
          <w:sz w:val="22"/>
          <w:szCs w:val="22"/>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33" w:lineRule="exact"/>
        <w:rPr>
          <w:sz w:val="20"/>
          <w:szCs w:val="20"/>
          <w:color w:val="auto"/>
        </w:rPr>
      </w:pPr>
    </w:p>
    <w:p>
      <w:pPr>
        <w:jc w:val="both"/>
        <w:ind w:firstLine="644"/>
        <w:spacing w:after="0" w:line="297" w:lineRule="auto"/>
        <w:tabs>
          <w:tab w:leader="none" w:pos="136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under Credit Facilities, including any letter of credit facility relating thereto, that was, at the time such Indebtedness is deemed to be incurred, not prohibited or deemed to be not prohibited by the terms of this Indenture to be incurred pursuant to clause (a)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644"/>
        <w:spacing w:after="0" w:line="246" w:lineRule="auto"/>
        <w:tabs>
          <w:tab w:leader="none" w:pos="1362" w:val="left"/>
        </w:tabs>
        <w:numPr>
          <w:ilvl w:val="0"/>
          <w:numId w:val="54"/>
        </w:numPr>
        <w:rPr>
          <w:rFonts w:ascii="Arial" w:cs="Arial" w:eastAsia="Arial" w:hAnsi="Arial"/>
          <w:sz w:val="21"/>
          <w:szCs w:val="21"/>
          <w:color w:val="auto"/>
        </w:rPr>
      </w:pPr>
      <w:r>
        <w:rPr>
          <w:rFonts w:ascii="Arial" w:cs="Arial" w:eastAsia="Arial" w:hAnsi="Arial"/>
          <w:sz w:val="21"/>
          <w:szCs w:val="21"/>
          <w:color w:val="auto"/>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Issuer or any of its Restricted Subsidiaries in accordance with GAAP, (iii) which are on property that the Issuer or any of its Restricted Subsidiaries has determined to abandon if the sole recourse for such tax, assessment, charge, levy or claim is to such property or (iv) with respect to which the failure to make payment would not reasonably be expected to have a material adverse effect on the business, results of operations or financial condition of the Issuer and its Restricted Subsidiaries, taken as a whole;</w:t>
      </w:r>
    </w:p>
    <w:p>
      <w:pPr>
        <w:spacing w:after="0" w:line="385"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57" w:name="page58"/>
    <w:bookmarkEnd w:id="57"/>
    <w:p>
      <w:pPr>
        <w:jc w:val="both"/>
        <w:ind w:left="4" w:firstLine="644"/>
        <w:spacing w:after="0" w:line="273" w:lineRule="auto"/>
        <w:tabs>
          <w:tab w:leader="none" w:pos="1389" w:val="left"/>
        </w:tabs>
        <w:numPr>
          <w:ilvl w:val="1"/>
          <w:numId w:val="55"/>
        </w:numPr>
        <w:rPr>
          <w:rFonts w:ascii="Arial" w:cs="Arial" w:eastAsia="Arial" w:hAnsi="Arial"/>
          <w:sz w:val="19"/>
          <w:szCs w:val="19"/>
          <w:color w:val="auto"/>
        </w:rPr>
      </w:pPr>
      <w:r>
        <w:rPr>
          <w:rFonts w:ascii="Arial" w:cs="Arial" w:eastAsia="Arial" w:hAnsi="Arial"/>
          <w:sz w:val="19"/>
          <w:szCs w:val="19"/>
          <w:color w:val="auto"/>
        </w:rPr>
        <w:t>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 on the business, results of operations or financial condition of the Issuer and its Restricted Subsidiaries, taken as a whole;</w:t>
      </w:r>
    </w:p>
    <w:p>
      <w:pPr>
        <w:spacing w:after="0" w:line="188" w:lineRule="exact"/>
        <w:rPr>
          <w:rFonts w:ascii="Arial" w:cs="Arial" w:eastAsia="Arial" w:hAnsi="Arial"/>
          <w:sz w:val="19"/>
          <w:szCs w:val="19"/>
          <w:color w:val="auto"/>
        </w:rPr>
      </w:pPr>
    </w:p>
    <w:p>
      <w:pPr>
        <w:jc w:val="both"/>
        <w:ind w:left="4" w:firstLine="644"/>
        <w:spacing w:after="0" w:line="271" w:lineRule="auto"/>
        <w:tabs>
          <w:tab w:leader="none" w:pos="1643" w:val="left"/>
        </w:tabs>
        <w:numPr>
          <w:ilvl w:val="1"/>
          <w:numId w:val="55"/>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w:t>
      </w:r>
    </w:p>
    <w:p>
      <w:pPr>
        <w:spacing w:after="0" w:line="3" w:lineRule="exact"/>
        <w:rPr>
          <w:rFonts w:ascii="Arial" w:cs="Arial" w:eastAsia="Arial" w:hAnsi="Arial"/>
          <w:sz w:val="19"/>
          <w:szCs w:val="19"/>
          <w:color w:val="auto"/>
        </w:rPr>
      </w:pPr>
    </w:p>
    <w:p>
      <w:pPr>
        <w:jc w:val="both"/>
        <w:ind w:left="4" w:hanging="4"/>
        <w:spacing w:after="0" w:line="266" w:lineRule="auto"/>
        <w:tabs>
          <w:tab w:leader="none" w:pos="38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Issuer or its Subsidiaries or otherwise supporting the payment of items set forth in the foregoing clause</w:t>
      </w:r>
    </w:p>
    <w:p>
      <w:pPr>
        <w:spacing w:after="0" w:line="5" w:lineRule="exact"/>
        <w:rPr>
          <w:rFonts w:ascii="Arial" w:cs="Arial" w:eastAsia="Arial" w:hAnsi="Arial"/>
          <w:sz w:val="19"/>
          <w:szCs w:val="19"/>
          <w:color w:val="auto"/>
        </w:rPr>
      </w:pPr>
    </w:p>
    <w:p>
      <w:pPr>
        <w:jc w:val="both"/>
        <w:ind w:left="4" w:hanging="4"/>
        <w:spacing w:after="0" w:line="233" w:lineRule="auto"/>
        <w:tabs>
          <w:tab w:leader="none" w:pos="286" w:val="left"/>
        </w:tabs>
        <w:numPr>
          <w:ilvl w:val="0"/>
          <w:numId w:val="57"/>
        </w:numPr>
        <w:rPr>
          <w:rFonts w:ascii="Arial" w:cs="Arial" w:eastAsia="Arial" w:hAnsi="Arial"/>
          <w:sz w:val="22"/>
          <w:szCs w:val="22"/>
          <w:color w:val="auto"/>
        </w:rPr>
      </w:pPr>
      <w:r>
        <w:rPr>
          <w:rFonts w:ascii="Arial" w:cs="Arial" w:eastAsia="Arial" w:hAnsi="Arial"/>
          <w:sz w:val="22"/>
          <w:szCs w:val="22"/>
          <w:color w:val="auto"/>
        </w:rPr>
        <w:t>or (y) leases or licenses of property otherwise not prohibited by this Indenture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spacing w:after="0" w:line="212" w:lineRule="exact"/>
        <w:rPr>
          <w:rFonts w:ascii="Arial" w:cs="Arial" w:eastAsia="Arial" w:hAnsi="Arial"/>
          <w:sz w:val="22"/>
          <w:szCs w:val="22"/>
          <w:color w:val="auto"/>
        </w:rPr>
      </w:pPr>
    </w:p>
    <w:p>
      <w:pPr>
        <w:jc w:val="both"/>
        <w:ind w:left="4" w:firstLine="644"/>
        <w:spacing w:after="0" w:line="238" w:lineRule="auto"/>
        <w:tabs>
          <w:tab w:leader="none" w:pos="14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Liens consisting of survey exceptions, easements, rights-of-way, restrictions, encroachments, and other similar encumbrances or minor defects or irregularities in title, in each case that would not reasonably be expected to result in a material adverse effect on the business, results of operations or financial condition of the Issuer and its Restricted Subsidiaries, taken as a whole;</w:t>
      </w:r>
    </w:p>
    <w:p>
      <w:pPr>
        <w:spacing w:after="0" w:line="390"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58" w:name="page59"/>
    <w:bookmarkEnd w:id="58"/>
    <w:p>
      <w:pPr>
        <w:jc w:val="both"/>
        <w:ind w:left="-460" w:firstLine="644"/>
        <w:spacing w:after="0" w:line="282" w:lineRule="auto"/>
        <w:tabs>
          <w:tab w:leader="none" w:pos="10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Liens consisting of any (i) interest or title of a lessor or sub-lessor under any lease of real estate entered into by the Issuer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spacing w:after="0" w:line="174" w:lineRule="exact"/>
        <w:rPr>
          <w:rFonts w:ascii="Arial" w:cs="Arial" w:eastAsia="Arial" w:hAnsi="Arial"/>
          <w:sz w:val="19"/>
          <w:szCs w:val="19"/>
          <w:color w:val="auto"/>
        </w:rPr>
      </w:pPr>
    </w:p>
    <w:p>
      <w:pPr>
        <w:jc w:val="both"/>
        <w:ind w:left="-460" w:firstLine="644"/>
        <w:spacing w:after="0"/>
        <w:tabs>
          <w:tab w:leader="none" w:pos="971" w:val="left"/>
        </w:tabs>
        <w:numPr>
          <w:ilvl w:val="0"/>
          <w:numId w:val="58"/>
        </w:numPr>
        <w:rPr>
          <w:rFonts w:ascii="Arial" w:cs="Arial" w:eastAsia="Arial" w:hAnsi="Arial"/>
          <w:sz w:val="22"/>
          <w:szCs w:val="22"/>
          <w:color w:val="auto"/>
        </w:rPr>
      </w:pPr>
      <w:r>
        <w:rPr>
          <w:rFonts w:ascii="Arial" w:cs="Arial" w:eastAsia="Arial" w:hAnsi="Arial"/>
          <w:sz w:val="22"/>
          <w:szCs w:val="22"/>
          <w:color w:val="auto"/>
        </w:rPr>
        <w:t>Liens solely on any cash advance, earnest money or escrow deposits made by the Issuer and/or any of its Restricted Subsidiaries in connection with any letter of intent or purchase agreement with respect to any Investment or disposition not prohibited under this Indenture;</w:t>
      </w:r>
    </w:p>
    <w:p>
      <w:pPr>
        <w:spacing w:after="0" w:line="213" w:lineRule="exact"/>
        <w:rPr>
          <w:rFonts w:ascii="Arial" w:cs="Arial" w:eastAsia="Arial" w:hAnsi="Arial"/>
          <w:sz w:val="22"/>
          <w:szCs w:val="22"/>
          <w:color w:val="auto"/>
        </w:rPr>
      </w:pPr>
    </w:p>
    <w:p>
      <w:pPr>
        <w:jc w:val="both"/>
        <w:ind w:left="-460" w:firstLine="644"/>
        <w:spacing w:after="0" w:line="282" w:lineRule="auto"/>
        <w:tabs>
          <w:tab w:leader="none" w:pos="1042" w:val="left"/>
        </w:tabs>
        <w:numPr>
          <w:ilvl w:val="0"/>
          <w:numId w:val="58"/>
        </w:numPr>
        <w:rPr>
          <w:rFonts w:ascii="Arial" w:cs="Arial" w:eastAsia="Arial" w:hAnsi="Arial"/>
          <w:sz w:val="19"/>
          <w:szCs w:val="19"/>
          <w:color w:val="auto"/>
        </w:rPr>
      </w:pPr>
      <w:r>
        <w:rPr>
          <w:rFonts w:ascii="Arial" w:cs="Arial" w:eastAsia="Arial" w:hAnsi="Arial"/>
          <w:sz w:val="19"/>
          <w:szCs w:val="19"/>
          <w:color w:val="auto"/>
        </w:rPr>
        <w:t>Liens or purported Liens evidenced by the filing of UCC financing statements, including precautionary UCC financing statements, or any similar filings made in respect of (i) Non-Financing Lease Obligations or consignment or bailee arrangements entered into by the Issuer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spacing w:after="0" w:line="174" w:lineRule="exact"/>
        <w:rPr>
          <w:rFonts w:ascii="Arial" w:cs="Arial" w:eastAsia="Arial" w:hAnsi="Arial"/>
          <w:sz w:val="19"/>
          <w:szCs w:val="19"/>
          <w:color w:val="auto"/>
        </w:rPr>
      </w:pPr>
    </w:p>
    <w:p>
      <w:pPr>
        <w:ind w:left="-460" w:firstLine="644"/>
        <w:spacing w:after="0" w:line="250" w:lineRule="auto"/>
        <w:tabs>
          <w:tab w:leader="none" w:pos="951" w:val="left"/>
        </w:tabs>
        <w:numPr>
          <w:ilvl w:val="0"/>
          <w:numId w:val="58"/>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1" w:lineRule="exact"/>
        <w:rPr>
          <w:rFonts w:ascii="Arial" w:cs="Arial" w:eastAsia="Arial" w:hAnsi="Arial"/>
          <w:sz w:val="22"/>
          <w:szCs w:val="22"/>
          <w:color w:val="auto"/>
        </w:rPr>
      </w:pPr>
    </w:p>
    <w:p>
      <w:pPr>
        <w:jc w:val="both"/>
        <w:ind w:left="-460" w:firstLine="644"/>
        <w:spacing w:after="0" w:line="234" w:lineRule="auto"/>
        <w:tabs>
          <w:tab w:leader="none" w:pos="891" w:val="left"/>
        </w:tabs>
        <w:numPr>
          <w:ilvl w:val="0"/>
          <w:numId w:val="58"/>
        </w:numPr>
        <w:rPr>
          <w:rFonts w:ascii="Arial" w:cs="Arial" w:eastAsia="Arial" w:hAnsi="Arial"/>
          <w:sz w:val="22"/>
          <w:szCs w:val="22"/>
          <w:color w:val="auto"/>
        </w:rPr>
      </w:pPr>
      <w:r>
        <w:rPr>
          <w:rFonts w:ascii="Arial" w:cs="Arial" w:eastAsia="Arial" w:hAnsi="Arial"/>
          <w:sz w:val="22"/>
          <w:szCs w:val="22"/>
          <w:color w:val="auto"/>
        </w:rPr>
        <w:t>Liens in connection with any zoning, building, land use or similar Requirements of Law or right reserved to or vested in any governmental authority by any statutory provision or by the terms of any lease, license, franchise, grant or permit of the Issuer or any of its Restricted Subsidiaries to (i) control or regulate the use of any or dimensions of real property or the structure thereon that would not reasonably be expected to have a material adverse effect on the business, results of operations or financial condition of the Issuer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9" w:name="page60"/>
    <w:bookmarkEnd w:id="59"/>
    <w:p>
      <w:pPr>
        <w:jc w:val="both"/>
        <w:ind w:firstLine="644"/>
        <w:spacing w:after="0" w:line="269" w:lineRule="auto"/>
        <w:tabs>
          <w:tab w:leader="none" w:pos="1532"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Liens securing Refinancing Indebtedness permitted pursuant to clause (q)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(solely with respect to the permitted refinancing of (x) Indebtedness permitted pursuant to the first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or clauses (a), (b), (j), (k), (n), (o), (q), (r), (u), (w), (x), (y), (oo) or (pp)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or (y) Indebtedness that is secured in reliance on clause (u) below (without duplication of any amount outstanding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extends to any property or asset of the Issuer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4.09</w:t>
      </w:r>
      <w:r>
        <w:rPr>
          <w:rFonts w:ascii="Arial" w:cs="Arial" w:eastAsia="Arial" w:hAnsi="Arial"/>
          <w:sz w:val="19"/>
          <w:szCs w:val="19"/>
          <w:color w:val="auto"/>
        </w:rPr>
        <w:t xml:space="preserve">,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clause (n)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provided by any lender may be cross-collateralized to other financings of such type provided by such lender or its Affiliates) and (ii) if such Liens are consensual Liens that are secured by the Collateral, then the Issuer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Issuer,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w:t>
      </w:r>
    </w:p>
    <w:p>
      <w:pPr>
        <w:spacing w:after="0" w:line="196" w:lineRule="exact"/>
        <w:rPr>
          <w:rFonts w:ascii="Arial" w:cs="Arial" w:eastAsia="Arial" w:hAnsi="Arial"/>
          <w:sz w:val="19"/>
          <w:szCs w:val="19"/>
          <w:color w:val="auto"/>
        </w:rPr>
      </w:pPr>
    </w:p>
    <w:p>
      <w:pPr>
        <w:jc w:val="both"/>
        <w:ind w:firstLine="644"/>
        <w:spacing w:after="0" w:line="272" w:lineRule="auto"/>
        <w:tabs>
          <w:tab w:leader="none" w:pos="1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Liens existing on the Issue Date or pursuant to agreements in existence on the Issue Date (including Liens securing the Existing Notes and the Existing Notes Guarantees) and any modification, replacement, refinancing, renewal or extension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extends to any property or asset of the Issuer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clause (n)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w:t>
      </w:r>
      <w:r>
        <w:rPr>
          <w:rFonts w:ascii="Arial" w:cs="Arial" w:eastAsia="Arial" w:hAnsi="Arial"/>
          <w:sz w:val="19"/>
          <w:szCs w:val="19"/>
          <w:u w:val="single" w:color="auto"/>
          <w:color w:val="auto"/>
        </w:rPr>
        <w:t>Section 4.09</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firstLine="644"/>
        <w:spacing w:after="0" w:line="328" w:lineRule="auto"/>
        <w:tabs>
          <w:tab w:leader="none" w:pos="1368"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Liens arising out of Sale and Lease-Back Transactions permitted under clause (y)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and customary security deposits, related contract rights and payment intangibles related thereto;</w:t>
      </w:r>
    </w:p>
    <w:p>
      <w:pPr>
        <w:spacing w:after="0" w:line="131" w:lineRule="exact"/>
        <w:rPr>
          <w:rFonts w:ascii="Arial" w:cs="Arial" w:eastAsia="Arial" w:hAnsi="Arial"/>
          <w:sz w:val="19"/>
          <w:szCs w:val="19"/>
          <w:color w:val="auto"/>
        </w:rPr>
      </w:pPr>
    </w:p>
    <w:p>
      <w:pPr>
        <w:ind w:left="1700" w:hanging="1056"/>
        <w:spacing w:after="0"/>
        <w:tabs>
          <w:tab w:leader="none" w:pos="17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Liens securing Indebtedness permitted pursuant to clause (n), (r) or (u) of the second paragraph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4.09</w:t>
      </w:r>
      <w:r>
        <w:rPr>
          <w:rFonts w:ascii="Arial" w:cs="Arial" w:eastAsia="Arial" w:hAnsi="Arial"/>
          <w:sz w:val="22"/>
          <w:szCs w:val="22"/>
          <w:color w:val="auto"/>
        </w:rPr>
        <w:t>;</w:t>
      </w:r>
    </w:p>
    <w:p>
      <w:pPr>
        <w:spacing w:after="0" w:line="393"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60" w:name="page61"/>
    <w:bookmarkEnd w:id="60"/>
    <w:p>
      <w:pPr>
        <w:jc w:val="both"/>
        <w:ind w:firstLine="644"/>
        <w:spacing w:after="0" w:line="271" w:lineRule="auto"/>
        <w:tabs>
          <w:tab w:leader="none" w:pos="145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pursuant to clause (o)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firstLine="644"/>
        <w:spacing w:after="0" w:line="271" w:lineRule="auto"/>
        <w:tabs>
          <w:tab w:leader="none" w:pos="1566"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 Liens that are contractual rights of setoff or netting relating to (A) the establishment of depositary relations with banks not granted in connection with the issuance of Indebtedness, (B) pooled deposit or sweep accounts of the Issuer or any Restricted Subsidiary to permit satisfaction of overdraft or similar obligations incurred in the ordinary course of business, consistent with past practice or consistent with industry norm of the Issuer or any Restricted Subsidiary, (C) purchase orders and other agreements entered into with customers of the Issuer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Indenture, which proceeds have been deposited into an escrow account on customary terms to secure such Indebtedness pending the application of such proceeds to finance such transaction and (v) Liens consisting of an agreement to dispose of any property in a disposition permitted under </w:t>
      </w:r>
      <w:r>
        <w:rPr>
          <w:rFonts w:ascii="Arial" w:cs="Arial" w:eastAsia="Arial" w:hAnsi="Arial"/>
          <w:sz w:val="19"/>
          <w:szCs w:val="19"/>
          <w:u w:val="single" w:color="auto"/>
          <w:color w:val="auto"/>
        </w:rPr>
        <w:t>Section 4.10</w:t>
      </w:r>
      <w:r>
        <w:rPr>
          <w:rFonts w:ascii="Arial" w:cs="Arial" w:eastAsia="Arial" w:hAnsi="Arial"/>
          <w:sz w:val="19"/>
          <w:szCs w:val="19"/>
          <w:color w:val="auto"/>
        </w:rPr>
        <w:t>, in each case, solely to the extent such Investment or disposition, as the case may be, would have been permitted on the date of the creation of such Lien;</w:t>
      </w:r>
    </w:p>
    <w:p>
      <w:pPr>
        <w:spacing w:after="0" w:line="191" w:lineRule="exact"/>
        <w:rPr>
          <w:rFonts w:ascii="Arial" w:cs="Arial" w:eastAsia="Arial" w:hAnsi="Arial"/>
          <w:sz w:val="19"/>
          <w:szCs w:val="19"/>
          <w:color w:val="auto"/>
        </w:rPr>
      </w:pPr>
    </w:p>
    <w:p>
      <w:pPr>
        <w:ind w:left="1540" w:hanging="896"/>
        <w:spacing w:after="0"/>
        <w:tabs>
          <w:tab w:leader="none" w:pos="1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Liens on assets of Restricted Subsidiaries that are not Guarantors (including Equity Interests owned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Persons);</w:t>
      </w:r>
    </w:p>
    <w:p>
      <w:pPr>
        <w:spacing w:after="0" w:line="215" w:lineRule="exact"/>
        <w:rPr>
          <w:rFonts w:ascii="Arial" w:cs="Arial" w:eastAsia="Arial" w:hAnsi="Arial"/>
          <w:sz w:val="19"/>
          <w:szCs w:val="19"/>
          <w:color w:val="auto"/>
        </w:rPr>
      </w:pPr>
    </w:p>
    <w:p>
      <w:pPr>
        <w:jc w:val="both"/>
        <w:ind w:firstLine="644"/>
        <w:spacing w:after="0" w:line="282" w:lineRule="auto"/>
        <w:tabs>
          <w:tab w:leader="none" w:pos="12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Issuer and/or its Restricted Subsidiaries and (ii) Liens not securing indebtedness for borrowed money that are granted in the ordinary course of business, consistent with past practice or consistent with industry norm and customary in the operation of the business of the Issuer and its Restricted Subsidiaries;</w:t>
      </w:r>
    </w:p>
    <w:p>
      <w:pPr>
        <w:spacing w:after="0" w:line="353"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61" w:name="page62"/>
    <w:bookmarkEnd w:id="61"/>
    <w:p>
      <w:pPr>
        <w:ind w:left="960" w:hanging="776"/>
        <w:spacing w:after="0"/>
        <w:tabs>
          <w:tab w:leader="none" w:pos="9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920" w:hanging="736"/>
        <w:spacing w:after="0"/>
        <w:tabs>
          <w:tab w:leader="none" w:pos="9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272" w:lineRule="auto"/>
        <w:tabs>
          <w:tab w:leader="none" w:pos="109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other Liens on assets securing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thereof and after giving pro forma effect thereto and the use of the proceeds thereof, the aggregate amount of Indebtedness and other obligations then outstanding and secured thereby shall not, except as contemplated by clause (q) of the second paragraph of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exceed an amount equal to the greater of $100.0 million and 25.0% of Annualized EBITDA of the Issuer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Liens are consensual Liens that are secured by the Collateral, then the Issuer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Issuer, either equal in priority (but without regard to the control of remedies) with, or junior to, the Liens on the Collateral (other than cash and Cash Equivalents) securing the Secured Notes Obligations but, in any event, shall not be required to enter into any such intercreditor with respect to any Collateral consisting of cash and Cash Equivalents;</w:t>
      </w:r>
    </w:p>
    <w:p>
      <w:pPr>
        <w:spacing w:after="0" w:line="187" w:lineRule="exact"/>
        <w:rPr>
          <w:rFonts w:ascii="Arial" w:cs="Arial" w:eastAsia="Arial" w:hAnsi="Arial"/>
          <w:sz w:val="19"/>
          <w:szCs w:val="19"/>
          <w:color w:val="auto"/>
        </w:rPr>
      </w:pPr>
    </w:p>
    <w:p>
      <w:pPr>
        <w:jc w:val="both"/>
        <w:ind w:left="-460" w:firstLine="644"/>
        <w:spacing w:after="0" w:line="257" w:lineRule="auto"/>
        <w:tabs>
          <w:tab w:leader="none" w:pos="926"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(i) Liens on assets securing, or otherwise arising from, judgments, awards, attachments and/or decrees and notices of </w:t>
      </w:r>
      <w:r>
        <w:rPr>
          <w:rFonts w:ascii="Arial" w:cs="Arial" w:eastAsia="Arial" w:hAnsi="Arial"/>
          <w:sz w:val="21"/>
          <w:szCs w:val="21"/>
          <w:i w:val="1"/>
          <w:iCs w:val="1"/>
          <w:color w:val="auto"/>
        </w:rPr>
        <w:t>lis pendens</w:t>
      </w:r>
      <w:r>
        <w:rPr>
          <w:rFonts w:ascii="Arial" w:cs="Arial" w:eastAsia="Arial" w:hAnsi="Arial"/>
          <w:sz w:val="21"/>
          <w:szCs w:val="21"/>
          <w:color w:val="auto"/>
        </w:rPr>
        <w:t xml:space="preserve"> and associated rights relating to litigation not constituting an Event of Default under clause (5) under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and (ii) any pledge and/or deposit securing any settlement of litigation;</w:t>
      </w:r>
    </w:p>
    <w:p>
      <w:pPr>
        <w:spacing w:after="0" w:line="196" w:lineRule="exact"/>
        <w:rPr>
          <w:rFonts w:ascii="Arial" w:cs="Arial" w:eastAsia="Arial" w:hAnsi="Arial"/>
          <w:sz w:val="21"/>
          <w:szCs w:val="21"/>
          <w:color w:val="auto"/>
        </w:rPr>
      </w:pPr>
    </w:p>
    <w:p>
      <w:pPr>
        <w:jc w:val="both"/>
        <w:ind w:left="-460" w:firstLine="644"/>
        <w:spacing w:after="0" w:line="277" w:lineRule="auto"/>
        <w:tabs>
          <w:tab w:leader="none" w:pos="949" w:val="left"/>
        </w:tabs>
        <w:numPr>
          <w:ilvl w:val="0"/>
          <w:numId w:val="61"/>
        </w:numPr>
        <w:rPr>
          <w:rFonts w:ascii="Arial" w:cs="Arial" w:eastAsia="Arial" w:hAnsi="Arial"/>
          <w:sz w:val="19"/>
          <w:szCs w:val="19"/>
          <w:color w:val="auto"/>
        </w:rPr>
      </w:pPr>
      <w:r>
        <w:rPr>
          <w:rFonts w:ascii="Arial" w:cs="Arial" w:eastAsia="Arial" w:hAnsi="Arial"/>
          <w:sz w:val="19"/>
          <w:szCs w:val="19"/>
          <w:color w:val="auto"/>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Issuer or any Restricted Subsidiary has granted rights to end users to access and use the Issuer’s or any Restricted Subsidiary’s products, technologies or services), or which would not reasonably be expected to result in a material adverse effect on the business, results of operations or financial condition of the Issuer and its Restricted Subsidiaries, taken as a whole, and (ii) ground leases, subleases, licenses or sublicenses in respect of real property on which facilities owned or leased by the Issuer or any of its Restricted Subsidiaries are located;</w:t>
      </w:r>
    </w:p>
    <w:p>
      <w:pPr>
        <w:spacing w:after="0" w:line="178" w:lineRule="exact"/>
        <w:rPr>
          <w:rFonts w:ascii="Arial" w:cs="Arial" w:eastAsia="Arial" w:hAnsi="Arial"/>
          <w:sz w:val="19"/>
          <w:szCs w:val="19"/>
          <w:color w:val="auto"/>
        </w:rPr>
      </w:pPr>
    </w:p>
    <w:p>
      <w:pPr>
        <w:jc w:val="both"/>
        <w:ind w:left="-460" w:firstLine="644"/>
        <w:spacing w:after="0" w:line="236" w:lineRule="auto"/>
        <w:tabs>
          <w:tab w:leader="none" w:pos="882"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Liens on securities that are the subject of repurchase agreements constituting Permitted Investments or any Investment permitted under </w:t>
      </w:r>
      <w:r>
        <w:rPr>
          <w:rFonts w:ascii="Arial" w:cs="Arial" w:eastAsia="Arial" w:hAnsi="Arial"/>
          <w:sz w:val="22"/>
          <w:szCs w:val="22"/>
          <w:u w:val="single" w:color="auto"/>
          <w:color w:val="auto"/>
        </w:rPr>
        <w:t>Section 4.07</w:t>
      </w:r>
      <w:r>
        <w:rPr>
          <w:rFonts w:ascii="Arial" w:cs="Arial" w:eastAsia="Arial" w:hAnsi="Arial"/>
          <w:sz w:val="22"/>
          <w:szCs w:val="22"/>
          <w:color w:val="auto"/>
        </w:rPr>
        <w:t xml:space="preserve">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2" w:name="page63"/>
    <w:bookmarkEnd w:id="62"/>
    <w:p>
      <w:pPr>
        <w:jc w:val="both"/>
        <w:ind w:left="4" w:firstLine="644"/>
        <w:spacing w:after="0" w:line="241" w:lineRule="auto"/>
        <w:tabs>
          <w:tab w:leader="none" w:pos="1567"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Liens securing obligations in respect of letters of credit, bank guaranties, surety bonds, performance bonds, completion bonds or similar instruments permitted under clause (e), (f), (h) or (aa) of the second paragraph of </w:t>
      </w:r>
      <w:r>
        <w:rPr>
          <w:rFonts w:ascii="Arial" w:cs="Arial" w:eastAsia="Arial" w:hAnsi="Arial"/>
          <w:sz w:val="22"/>
          <w:szCs w:val="22"/>
          <w:u w:val="single" w:color="auto"/>
          <w:color w:val="auto"/>
        </w:rPr>
        <w:t>Section 4.09</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jc w:val="both"/>
        <w:ind w:left="4" w:firstLine="644"/>
        <w:spacing w:after="0" w:line="276" w:lineRule="auto"/>
        <w:tabs>
          <w:tab w:leader="none" w:pos="1382" w:val="left"/>
        </w:tabs>
        <w:numPr>
          <w:ilvl w:val="1"/>
          <w:numId w:val="62"/>
        </w:numPr>
        <w:rPr>
          <w:rFonts w:ascii="Arial" w:cs="Arial" w:eastAsia="Arial" w:hAnsi="Arial"/>
          <w:sz w:val="19"/>
          <w:szCs w:val="19"/>
          <w:color w:val="auto"/>
        </w:rPr>
      </w:pPr>
      <w:r>
        <w:rPr>
          <w:rFonts w:ascii="Arial" w:cs="Arial" w:eastAsia="Arial" w:hAnsi="Arial"/>
          <w:sz w:val="19"/>
          <w:szCs w:val="19"/>
          <w:color w:val="auto"/>
        </w:rPr>
        <w:t>Liens arising (i) out of conditional sale, title retention, consignment or similar arrangements for the sale or purchase of any asset in the ordinary course of business, consistent with past practice or consistent with industry norm or</w:t>
      </w:r>
    </w:p>
    <w:p>
      <w:pPr>
        <w:spacing w:after="0" w:line="1" w:lineRule="exact"/>
        <w:rPr>
          <w:rFonts w:ascii="Arial" w:cs="Arial" w:eastAsia="Arial" w:hAnsi="Arial"/>
          <w:sz w:val="19"/>
          <w:szCs w:val="19"/>
          <w:color w:val="auto"/>
        </w:rPr>
      </w:pPr>
    </w:p>
    <w:p>
      <w:pPr>
        <w:ind w:left="324" w:hanging="324"/>
        <w:spacing w:after="0"/>
        <w:tabs>
          <w:tab w:leader="none" w:pos="324" w:val="left"/>
        </w:tabs>
        <w:numPr>
          <w:ilvl w:val="0"/>
          <w:numId w:val="63"/>
        </w:numPr>
        <w:rPr>
          <w:rFonts w:ascii="Arial" w:cs="Arial" w:eastAsia="Arial" w:hAnsi="Arial"/>
          <w:sz w:val="21"/>
          <w:szCs w:val="21"/>
          <w:color w:val="auto"/>
        </w:rPr>
      </w:pPr>
      <w:r>
        <w:rPr>
          <w:rFonts w:ascii="Arial" w:cs="Arial" w:eastAsia="Arial" w:hAnsi="Arial"/>
          <w:sz w:val="21"/>
          <w:szCs w:val="21"/>
          <w:color w:val="auto"/>
        </w:rPr>
        <w:t>by operation of law under Article 2 of the UCC (or any similar Requirements of Law under any jurisdiction);</w:t>
      </w:r>
    </w:p>
    <w:p>
      <w:pPr>
        <w:spacing w:after="0" w:line="226" w:lineRule="exact"/>
        <w:rPr>
          <w:rFonts w:ascii="Arial" w:cs="Arial" w:eastAsia="Arial" w:hAnsi="Arial"/>
          <w:sz w:val="21"/>
          <w:szCs w:val="21"/>
          <w:color w:val="auto"/>
        </w:rPr>
      </w:pPr>
    </w:p>
    <w:p>
      <w:pPr>
        <w:jc w:val="both"/>
        <w:ind w:left="4" w:firstLine="644"/>
        <w:spacing w:after="0" w:line="238" w:lineRule="auto"/>
        <w:tabs>
          <w:tab w:leader="none" w:pos="1562"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Liens (other than, if granted in favor of any Person that is not the Issuer or a Guarantor, Liens on the Collateral ranking on an equal or senior priority basis to the Liens on the Collateral securing the Secured Notes Obligations) securing Indebtedness of the Issuer or a Restricted Subsidiary owing to the Issuer or another Restricted Subsidiary and not prohibited to be incurred in accordance with </w:t>
      </w:r>
      <w:r>
        <w:rPr>
          <w:rFonts w:ascii="Arial" w:cs="Arial" w:eastAsia="Arial" w:hAnsi="Arial"/>
          <w:sz w:val="22"/>
          <w:szCs w:val="22"/>
          <w:u w:val="single" w:color="auto"/>
          <w:color w:val="auto"/>
        </w:rPr>
        <w:t>Section 4.09</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1464" w:hanging="816"/>
        <w:spacing w:after="0"/>
        <w:tabs>
          <w:tab w:leader="none" w:pos="1464" w:val="left"/>
        </w:tabs>
        <w:numPr>
          <w:ilvl w:val="1"/>
          <w:numId w:val="63"/>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 with respect</w:t>
      </w:r>
    </w:p>
    <w:p>
      <w:pPr>
        <w:spacing w:after="0" w:line="4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215" w:lineRule="exact"/>
        <w:rPr>
          <w:rFonts w:ascii="Arial" w:cs="Arial" w:eastAsia="Arial" w:hAnsi="Arial"/>
          <w:sz w:val="19"/>
          <w:szCs w:val="19"/>
          <w:color w:val="auto"/>
        </w:rPr>
      </w:pPr>
    </w:p>
    <w:p>
      <w:pPr>
        <w:jc w:val="both"/>
        <w:ind w:left="4" w:firstLine="644"/>
        <w:spacing w:after="0" w:line="277" w:lineRule="auto"/>
        <w:tabs>
          <w:tab w:leader="none" w:pos="1522" w:val="left"/>
        </w:tabs>
        <w:numPr>
          <w:ilvl w:val="1"/>
          <w:numId w:val="63"/>
        </w:numPr>
        <w:rPr>
          <w:rFonts w:ascii="Arial" w:cs="Arial" w:eastAsia="Arial" w:hAnsi="Arial"/>
          <w:sz w:val="19"/>
          <w:szCs w:val="19"/>
          <w:color w:val="auto"/>
        </w:rPr>
      </w:pPr>
      <w:r>
        <w:rPr>
          <w:rFonts w:ascii="Arial" w:cs="Arial" w:eastAsia="Arial" w:hAnsi="Arial"/>
          <w:sz w:val="19"/>
          <w:szCs w:val="19"/>
          <w:color w:val="auto"/>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spacing w:after="0" w:line="178" w:lineRule="exact"/>
        <w:rPr>
          <w:rFonts w:ascii="Arial" w:cs="Arial" w:eastAsia="Arial" w:hAnsi="Arial"/>
          <w:sz w:val="19"/>
          <w:szCs w:val="19"/>
          <w:color w:val="auto"/>
        </w:rPr>
      </w:pPr>
    </w:p>
    <w:p>
      <w:pPr>
        <w:ind w:left="4" w:firstLine="644"/>
        <w:spacing w:after="0" w:line="250" w:lineRule="auto"/>
        <w:tabs>
          <w:tab w:leader="none" w:pos="16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Liens securing (i) obligations of the type described in clause (g) and/or (ii) obligations of the type described in clause (s), in each case of the second paragraph of </w:t>
      </w:r>
      <w:r>
        <w:rPr>
          <w:rFonts w:ascii="Arial" w:cs="Arial" w:eastAsia="Arial" w:hAnsi="Arial"/>
          <w:sz w:val="22"/>
          <w:szCs w:val="22"/>
          <w:u w:val="single" w:color="auto"/>
          <w:color w:val="auto"/>
        </w:rPr>
        <w:t>Section 4.09</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left="4" w:firstLine="644"/>
        <w:spacing w:after="0" w:line="282" w:lineRule="auto"/>
        <w:tabs>
          <w:tab w:leader="none" w:pos="1452" w:val="left"/>
        </w:tabs>
        <w:numPr>
          <w:ilvl w:val="1"/>
          <w:numId w:val="63"/>
        </w:numPr>
        <w:rPr>
          <w:rFonts w:ascii="Arial" w:cs="Arial" w:eastAsia="Arial" w:hAnsi="Arial"/>
          <w:sz w:val="19"/>
          <w:szCs w:val="19"/>
          <w:color w:val="auto"/>
        </w:rPr>
      </w:pPr>
      <w:r>
        <w:rPr>
          <w:rFonts w:ascii="Arial" w:cs="Arial" w:eastAsia="Arial" w:hAnsi="Arial"/>
          <w:sz w:val="19"/>
          <w:szCs w:val="19"/>
          <w:color w:val="auto"/>
        </w:rPr>
        <w:t>(i)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w:t>
      </w:r>
    </w:p>
    <w:p>
      <w:pPr>
        <w:spacing w:after="0" w:line="174" w:lineRule="exact"/>
        <w:rPr>
          <w:rFonts w:ascii="Arial" w:cs="Arial" w:eastAsia="Arial" w:hAnsi="Arial"/>
          <w:sz w:val="19"/>
          <w:szCs w:val="19"/>
          <w:color w:val="auto"/>
        </w:rPr>
      </w:pPr>
    </w:p>
    <w:p>
      <w:pPr>
        <w:ind w:left="4" w:firstLine="644"/>
        <w:spacing w:after="0" w:line="250" w:lineRule="auto"/>
        <w:tabs>
          <w:tab w:leader="none" w:pos="1538" w:val="left"/>
        </w:tabs>
        <w:numPr>
          <w:ilvl w:val="1"/>
          <w:numId w:val="63"/>
        </w:numPr>
        <w:rPr>
          <w:rFonts w:ascii="Arial" w:cs="Arial" w:eastAsia="Arial" w:hAnsi="Arial"/>
          <w:sz w:val="22"/>
          <w:szCs w:val="22"/>
          <w:color w:val="auto"/>
        </w:rPr>
      </w:pPr>
      <w:r>
        <w:rPr>
          <w:rFonts w:ascii="Arial" w:cs="Arial" w:eastAsia="Arial" w:hAnsi="Arial"/>
          <w:sz w:val="22"/>
          <w:szCs w:val="22"/>
          <w:color w:val="auto"/>
        </w:rPr>
        <w:t>Liens on cash or Cash Equivalents arising in connection with the defeasance, satisfaction, discharge or redemption of Indebtedness;</w:t>
      </w:r>
    </w:p>
    <w:p>
      <w:pPr>
        <w:spacing w:after="0" w:line="201" w:lineRule="exact"/>
        <w:rPr>
          <w:rFonts w:ascii="Arial" w:cs="Arial" w:eastAsia="Arial" w:hAnsi="Arial"/>
          <w:sz w:val="22"/>
          <w:szCs w:val="22"/>
          <w:color w:val="auto"/>
        </w:rPr>
      </w:pPr>
    </w:p>
    <w:p>
      <w:pPr>
        <w:ind w:left="4" w:right="20" w:firstLine="644"/>
        <w:spacing w:after="0" w:line="328" w:lineRule="auto"/>
        <w:tabs>
          <w:tab w:leader="none" w:pos="1528" w:val="left"/>
        </w:tabs>
        <w:numPr>
          <w:ilvl w:val="1"/>
          <w:numId w:val="63"/>
        </w:numPr>
        <w:rPr>
          <w:rFonts w:ascii="Arial" w:cs="Arial" w:eastAsia="Arial" w:hAnsi="Arial"/>
          <w:sz w:val="19"/>
          <w:szCs w:val="19"/>
          <w:color w:val="auto"/>
        </w:rPr>
      </w:pPr>
      <w:r>
        <w:rPr>
          <w:rFonts w:ascii="Arial" w:cs="Arial" w:eastAsia="Arial" w:hAnsi="Arial"/>
          <w:sz w:val="19"/>
          <w:szCs w:val="19"/>
          <w:color w:val="auto"/>
        </w:rPr>
        <w:t>Liens consisting of the prior rights of consignees and their lenders under consignment arrangements entered into in the ordinary course of business, consistent with past practice or consistent with industry norm;</w:t>
      </w:r>
    </w:p>
    <w:p>
      <w:pPr>
        <w:spacing w:after="0" w:line="310"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63" w:name="page64"/>
    <w:bookmarkEnd w:id="63"/>
    <w:p>
      <w:pPr>
        <w:ind w:left="-460" w:firstLine="644"/>
        <w:spacing w:after="0" w:line="277" w:lineRule="auto"/>
        <w:tabs>
          <w:tab w:leader="none" w:pos="8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disclosed in any mortgage policy or survey with respect to any Material Real Estate Asset and any replacement, extension or renewal thereof;</w:t>
      </w:r>
    </w:p>
    <w:p>
      <w:pPr>
        <w:spacing w:after="0" w:line="170" w:lineRule="exact"/>
        <w:rPr>
          <w:rFonts w:ascii="Arial" w:cs="Arial" w:eastAsia="Arial" w:hAnsi="Arial"/>
          <w:sz w:val="18"/>
          <w:szCs w:val="18"/>
          <w:color w:val="auto"/>
        </w:rPr>
      </w:pPr>
    </w:p>
    <w:p>
      <w:pPr>
        <w:ind w:left="860" w:hanging="676"/>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receivables and related assets incurred in connection with Permitted Receivables Financings;</w:t>
      </w:r>
    </w:p>
    <w:p>
      <w:pPr>
        <w:spacing w:after="0" w:line="225" w:lineRule="exact"/>
        <w:rPr>
          <w:rFonts w:ascii="Arial" w:cs="Arial" w:eastAsia="Arial" w:hAnsi="Arial"/>
          <w:sz w:val="18"/>
          <w:szCs w:val="18"/>
          <w:color w:val="auto"/>
        </w:rPr>
      </w:pPr>
    </w:p>
    <w:p>
      <w:pPr>
        <w:jc w:val="both"/>
        <w:ind w:left="-460" w:firstLine="644"/>
        <w:spacing w:after="0" w:line="259" w:lineRule="auto"/>
        <w:tabs>
          <w:tab w:leader="none" w:pos="7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spacing w:after="0" w:line="186" w:lineRule="exact"/>
        <w:rPr>
          <w:rFonts w:ascii="Arial" w:cs="Arial" w:eastAsia="Arial" w:hAnsi="Arial"/>
          <w:sz w:val="18"/>
          <w:szCs w:val="18"/>
          <w:color w:val="auto"/>
        </w:rPr>
      </w:pPr>
    </w:p>
    <w:p>
      <w:pPr>
        <w:ind w:left="-460" w:firstLine="644"/>
        <w:spacing w:after="0" w:line="342" w:lineRule="auto"/>
        <w:tabs>
          <w:tab w:leader="none" w:pos="8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spacing w:after="0" w:line="123" w:lineRule="exact"/>
        <w:rPr>
          <w:rFonts w:ascii="Arial" w:cs="Arial" w:eastAsia="Arial" w:hAnsi="Arial"/>
          <w:sz w:val="16"/>
          <w:szCs w:val="16"/>
          <w:color w:val="auto"/>
        </w:rPr>
      </w:pPr>
    </w:p>
    <w:p>
      <w:pPr>
        <w:ind w:left="860" w:hanging="676"/>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in reliance on clause (mm)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644"/>
        <w:spacing w:after="0" w:line="284" w:lineRule="auto"/>
        <w:tabs>
          <w:tab w:leader="none" w:pos="8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other Liens on assets securing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and the use of the proceeds thereof, the aggregate amount of Indebtedness then outstanding and secured thereby shall not exceed an amount such that (I) in the case of any such Liens secured by the Collateral that have Equal Lien Priority (but without regard to the control of remedies) relative to the Liens on the Collateral securing the Secured Notes Obligations, the Consolidated First Lien Debt Ratio does not exceed either (x) 3.00 to 1.00 (whether or not incurred in connection with an acquisition, Investment or other similar transaction) or (y) solely if incurred in connection with an acquisition, Investment or other similar transaction, the Consolidated First Lien Debt Ratio in effect immediately prior to giving effect to the incurrence of such Liens, in each case, calculated on a pro forma basis, (II) in the case of any such Liens secured by the Collateral that have Junior Lien Priority relative to the Liens securing the Secured Notes Obligations, the Consolidated Secured Debt Ratio does not exceed either (x) 4.00 to 1.00 (whether or not incurred in connection with an acquisition, Investment or other similar transaction) or (y) solely if incurred in connection with an acquisition, Investment or other similar transaction, the Consolidated Secured Debt Ratio in effect immediately prior to giving effect to the incurrence of such Liens, in each case, calculated on a pro forma basis and (III) in the case of any such Indebtedness that is secured by assets that do not constitute Collateral (assuming, for purposes of this clause (III) and future ratio calculations for so long as such Indebtedness remains outstanding, that such assets constitute Collateral), the Consolidated Secured Debt Ratio does not exceed either (x) 4.00 to 1.00 (whether or not incurred in connection with an acquisition, Investment or other similar transaction) or (y) if incurred in connection with an acquisition, Investment or other similar transaction, the Consolidated Secured Debt Ratio in effect immediately prior to giving effect to the incurrence of such Liens, in each case, calculated on a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Issuer,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w:t>
      </w:r>
    </w:p>
    <w:p>
      <w:pPr>
        <w:spacing w:after="0" w:line="34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64" w:name="page65"/>
    <w:bookmarkEnd w:id="64"/>
    <w:p>
      <w:pPr>
        <w:jc w:val="both"/>
        <w:ind w:left="-460" w:firstLine="644"/>
        <w:spacing w:after="0" w:line="263" w:lineRule="auto"/>
        <w:tabs>
          <w:tab w:leader="none" w:pos="8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agreements to subordinate any interest of the Issuer or any Restricted Subsidiary in any accounts receivable or other proceeds arising from inventory consigned by the Issuer or any Restricted Subsidiary pursuant to an agreement entered into in the ordinary course of business, consistent with past practice or consistent with industry norm;</w:t>
      </w:r>
    </w:p>
    <w:p>
      <w:pPr>
        <w:spacing w:after="0" w:line="183" w:lineRule="exact"/>
        <w:rPr>
          <w:rFonts w:ascii="Arial" w:cs="Arial" w:eastAsia="Arial" w:hAnsi="Arial"/>
          <w:sz w:val="18"/>
          <w:szCs w:val="18"/>
          <w:color w:val="auto"/>
        </w:rPr>
      </w:pPr>
    </w:p>
    <w:p>
      <w:pPr>
        <w:jc w:val="both"/>
        <w:ind w:left="-460" w:firstLine="644"/>
        <w:spacing w:after="0" w:line="296" w:lineRule="auto"/>
        <w:tabs>
          <w:tab w:leader="none" w:pos="816" w:val="left"/>
        </w:tabs>
        <w:numPr>
          <w:ilvl w:val="0"/>
          <w:numId w:val="65"/>
        </w:numPr>
        <w:rPr>
          <w:rFonts w:ascii="Arial" w:cs="Arial" w:eastAsia="Arial" w:hAnsi="Arial"/>
          <w:sz w:val="16"/>
          <w:szCs w:val="16"/>
          <w:color w:val="auto"/>
        </w:rPr>
      </w:pPr>
      <w:r>
        <w:rPr>
          <w:rFonts w:ascii="Arial" w:cs="Arial" w:eastAsia="Arial" w:hAnsi="Arial"/>
          <w:sz w:val="16"/>
          <w:szCs w:val="16"/>
          <w:color w:val="auto"/>
        </w:rPr>
        <w:t>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w:t>
      </w:r>
    </w:p>
    <w:p>
      <w:pPr>
        <w:spacing w:after="0" w:line="161" w:lineRule="exact"/>
        <w:rPr>
          <w:rFonts w:ascii="Arial" w:cs="Arial" w:eastAsia="Arial" w:hAnsi="Arial"/>
          <w:sz w:val="16"/>
          <w:szCs w:val="16"/>
          <w:color w:val="auto"/>
        </w:rPr>
      </w:pPr>
    </w:p>
    <w:p>
      <w:pPr>
        <w:ind w:left="840" w:hanging="656"/>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securing the Notes (other than any Additional Notes) and the related Note Guarantees;</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644"/>
        <w:spacing w:after="0" w:line="263" w:lineRule="auto"/>
        <w:tabs>
          <w:tab w:leader="none" w:pos="9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spacing w:after="0" w:line="183" w:lineRule="exact"/>
        <w:rPr>
          <w:rFonts w:ascii="Arial" w:cs="Arial" w:eastAsia="Arial" w:hAnsi="Arial"/>
          <w:sz w:val="18"/>
          <w:szCs w:val="18"/>
          <w:color w:val="auto"/>
        </w:rPr>
      </w:pPr>
    </w:p>
    <w:p>
      <w:pPr>
        <w:jc w:val="both"/>
        <w:ind w:left="-460" w:firstLine="644"/>
        <w:spacing w:after="0" w:line="257" w:lineRule="auto"/>
        <w:tabs>
          <w:tab w:leader="none" w:pos="9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Issuer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Issuer and its Restricted Subsidiaries.</w:t>
      </w:r>
    </w:p>
    <w:p>
      <w:pPr>
        <w:spacing w:after="0" w:line="35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Plan</w:t>
      </w:r>
      <w:r>
        <w:rPr>
          <w:rFonts w:ascii="Arial" w:cs="Arial" w:eastAsia="Arial" w:hAnsi="Arial"/>
          <w:sz w:val="18"/>
          <w:szCs w:val="18"/>
          <w:color w:val="auto"/>
        </w:rPr>
        <w:t>” means any employee benefit plan of the Issuer or any of its Affiliates and any Person acting in its capacity as trustee, agent or other fiduciary or administrator of any such plan.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w:t>
      </w:r>
      <w:r>
        <w:rPr>
          <w:rFonts w:ascii="Arial" w:cs="Arial" w:eastAsia="Arial" w:hAnsi="Arial"/>
          <w:sz w:val="16"/>
          <w:szCs w:val="16"/>
          <w:color w:val="auto"/>
        </w:rPr>
        <w:t>” means any Receivables Financing of a Receivables Subsidiary that meets the following conditions: (a) the Board of Directors of the Issuer or any direct or indirect parent of the Issuer shall have determined in good faith that such Receivables Financing (including financing terms, covenants, termination events and other provisions) is in the aggregate economically fair and reasonable to the Issuer and its Restricted Subsidiaries; (b) all sales of accounts receivable and related assets by the Issuer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Issuer) and may include Standard Securitization Undertakings.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any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Capital Stock with preferential rights of payment of dividends or upon liquidation, dissolution, or winding up.</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Section 2.06(g)(i)</w:t>
      </w:r>
      <w:r>
        <w:rPr>
          <w:rFonts w:ascii="Arial" w:cs="Arial" w:eastAsia="Arial" w:hAnsi="Arial"/>
          <w:sz w:val="18"/>
          <w:szCs w:val="18"/>
          <w:color w:val="auto"/>
        </w:rPr>
        <w:t xml:space="preserve"> to be placed on all Notes issued under this Indenture, except where otherwise permitted by the provisions of this Indenture.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or “</w:t>
      </w: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means, with respect to any determination of the Consolidated Total Debt Ratio, Consolidated First Lien Debt Ratio, Consolidated Secured Debt Ratio, Fixed Charge Coverage Ratio, Consolidated EBITDA, Annualized EBITDA or Consolidated Total Assets (including component definitions thereof) or any other calculation under this Indenture, that each Subject Transaction required to be calculated on a pro forma basis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both"/>
        <w:ind w:firstLine="644"/>
        <w:spacing w:after="0" w:line="269" w:lineRule="auto"/>
        <w:tabs>
          <w:tab w:leader="none" w:pos="1252"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in the case of (A) any disposition of all or substantially all of the Equity Interests of any Restricted Subsidiary or any division, facility, business line and/or product line of the Issuer or any Restricted Subsidiary and (B) 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may be applied to any such ratio, test, covenant, calculation or measurement solely to the extent that such adjustment is consistent with the definition of “</w:t>
      </w:r>
      <w:r>
        <w:rPr>
          <w:rFonts w:ascii="Arial" w:cs="Arial" w:eastAsia="Arial" w:hAnsi="Arial"/>
          <w:sz w:val="17"/>
          <w:szCs w:val="17"/>
          <w:u w:val="single" w:color="auto"/>
          <w:color w:val="auto"/>
        </w:rPr>
        <w:t>Consolidated EBITDA</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644"/>
        <w:spacing w:after="0" w:line="263" w:lineRule="auto"/>
        <w:tabs>
          <w:tab w:leader="none" w:pos="1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w:t>
      </w:r>
    </w:p>
    <w:p>
      <w:pPr>
        <w:spacing w:after="0" w:line="183" w:lineRule="exact"/>
        <w:rPr>
          <w:rFonts w:ascii="Arial" w:cs="Arial" w:eastAsia="Arial" w:hAnsi="Arial"/>
          <w:sz w:val="18"/>
          <w:szCs w:val="18"/>
          <w:color w:val="auto"/>
        </w:rPr>
      </w:pPr>
    </w:p>
    <w:p>
      <w:pPr>
        <w:jc w:val="both"/>
        <w:ind w:firstLine="644"/>
        <w:spacing w:after="0" w:line="269"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any Indebtedness incurred by the Issuer or any of its Restricted Subsidiaries in connection therewith shall be deemed to have been incurred as of the first day of the applicable Test Period with respect to any ratio, test, covenant, calculation or measurement for which the relevant determination is being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Issuer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Issuer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w:t>
      </w:r>
    </w:p>
    <w:p>
      <w:pPr>
        <w:spacing w:after="0" w:line="178" w:lineRule="exact"/>
        <w:rPr>
          <w:rFonts w:ascii="Arial" w:cs="Arial" w:eastAsia="Arial" w:hAnsi="Arial"/>
          <w:sz w:val="17"/>
          <w:szCs w:val="17"/>
          <w:color w:val="auto"/>
        </w:rPr>
      </w:pPr>
    </w:p>
    <w:p>
      <w:pPr>
        <w:jc w:val="both"/>
        <w:ind w:firstLine="644"/>
        <w:spacing w:after="0" w:line="301" w:lineRule="auto"/>
        <w:tabs>
          <w:tab w:leader="none" w:pos="13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acquisition of any asset included in calculating Consolidated Total Assets, whether pursuant to any Subject Transaction or any Person becoming a Subsidiary or merging, amalgamating or consolidating with or into the Issuer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396"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Equity Interests of such Person that is not Disqualified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Liquefaction Development Entities</w:t>
      </w:r>
      <w:r>
        <w:rPr>
          <w:rFonts w:ascii="Arial" w:cs="Arial" w:eastAsia="Arial" w:hAnsi="Arial"/>
          <w:sz w:val="16"/>
          <w:szCs w:val="16"/>
          <w:color w:val="auto"/>
        </w:rPr>
        <w:t>” means (i) Bradford County Real Estate Holdings LLC, (ii) any Liquefaction Development Entity which is designated by the Issuer as a Qualified Liquefaction Development Entity and (iii) any Subsidiary of a Qualified Liquefaction Development Entity.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S&amp;P, Fitch and Moody’s or (2) if S&amp;P, Fitch or Moody’s or each of them shall not make a corporate rating with respect to the Issuer or a rating on the Notes publicly available, a nationally recognized statistical rating agency or agencies, as the case may be, selected by the Issuer, which shall be substituted for any or all of S&amp;P, Fitch or Moody’s, as the case may be, with respect to such corporate rating or the rating of the Notes, as the case may be.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Fees</w:t>
      </w:r>
      <w:r>
        <w:rPr>
          <w:rFonts w:ascii="Arial" w:cs="Arial" w:eastAsia="Arial" w:hAnsi="Arial"/>
          <w:sz w:val="17"/>
          <w:szCs w:val="17"/>
          <w:color w:val="auto"/>
        </w:rPr>
        <w:t>” means distributions or payments made directly or by means of discounts with respect to any participation interest issued or sold in connection with, and other fees paid to a Person that is not a Restricted Subsidiary in connection with, any Receivables Financing.</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Financing</w:t>
      </w:r>
      <w:r>
        <w:rPr>
          <w:rFonts w:ascii="Arial" w:cs="Arial" w:eastAsia="Arial" w:hAnsi="Arial"/>
          <w:sz w:val="17"/>
          <w:szCs w:val="17"/>
          <w:color w:val="auto"/>
        </w:rPr>
        <w:t>” means any transaction or series of transactions that may be entered into by the Issuer or any of its Subsidiaries pursuant to which the Issuer or any of its Subsidiaries may sell, contribute, convey or otherwise transfer to (a) a Receivables Subsidiary (in the case of a transfer by the Issuer or any of its Subsidiaries), and (b) any other Person (in the case of a transfer by a Receivables Subsidiary), or may grant a security interest in, any accounts receivable (whether now existing or arising in the future) of the Issuer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Issuer or any such Subsidiary in connection with such accounts receivable.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Repurchase Obligation</w:t>
      </w:r>
      <w:r>
        <w:rPr>
          <w:rFonts w:ascii="Arial" w:cs="Arial" w:eastAsia="Arial" w:hAnsi="Arial"/>
          <w:sz w:val="18"/>
          <w:szCs w:val="18"/>
          <w:color w:val="auto"/>
        </w:rPr>
        <w:t>” means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means a Restricted Subsidiary that is a Wholly-Owned Subsidiary of the Issuer (or another Person formed for the purposes of engaging in a Permitted Receivables Financing with the Issuer in which the Issuer or any Subsidiary of the Issuer or a direct or indirect parent of the Issuer makes an Investment and to which the Issuer or any Subsidiary of the Issuer or a direct or indirect parent of the Issuer transfers accounts receivable and related assets) which engages in no activities other than in connection with the financing of accounts receivable of the Issuer and its Subsidiaries or a direct or indirect parent of the Issuer and all proceeds thereof and all rights (contractual or other), collateral and other assets relating thereto, and any business or activities incidental or related to such business, and which is designated by the Board of Directors of the Issuer or any direct or indirect parent of the Issuer (as provided below) as a Receivables Subsidiary and: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jc w:val="both"/>
        <w:ind w:left="660" w:firstLine="644"/>
        <w:spacing w:after="0" w:line="275" w:lineRule="auto"/>
        <w:tabs>
          <w:tab w:leader="none" w:pos="19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portion of the Indebtedness or any other obligations (contingent or otherwise) of which (i) is guaranteed by the Issuer or any other Subsidiary of the Issuer (excluding guarantees of obligations (other than the principal of, and interest on, Indebtedness) pursuant to Standard Securitization Undertakings), (ii) is recourse to or obligates the Issuer or any other Subsidiary of the Issuer in any way other than pursuant to Standard Securitization Undertakings, or (iii) subjects any property or asset of the Issuer or any other Subsidiary of the Issuer, directly or indirectly, contingently or otherwise, to the satisfaction thereof, other than pursuant to Standard Securitization Undertakings,</w:t>
      </w:r>
    </w:p>
    <w:p>
      <w:pPr>
        <w:spacing w:after="0" w:line="176" w:lineRule="exact"/>
        <w:rPr>
          <w:rFonts w:ascii="Arial" w:cs="Arial" w:eastAsia="Arial" w:hAnsi="Arial"/>
          <w:sz w:val="17"/>
          <w:szCs w:val="17"/>
          <w:color w:val="auto"/>
        </w:rPr>
      </w:pPr>
    </w:p>
    <w:p>
      <w:pPr>
        <w:jc w:val="both"/>
        <w:ind w:left="660" w:firstLine="644"/>
        <w:spacing w:after="0" w:line="263" w:lineRule="auto"/>
        <w:tabs>
          <w:tab w:leader="none" w:pos="20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which neither the Issuer nor any other Subsidiary of the Issuer has any material contract, agreement, arrangement or understanding other than on terms which the Issuer reasonably believes to be no less favorable to the Issuer or such Subsidiary than those that might be obtained at the time from Persons that are not Affiliates of the Issuer, and</w:t>
      </w:r>
    </w:p>
    <w:p>
      <w:pPr>
        <w:spacing w:after="0" w:line="183" w:lineRule="exact"/>
        <w:rPr>
          <w:rFonts w:ascii="Arial" w:cs="Arial" w:eastAsia="Arial" w:hAnsi="Arial"/>
          <w:sz w:val="18"/>
          <w:szCs w:val="18"/>
          <w:color w:val="auto"/>
        </w:rPr>
      </w:pPr>
    </w:p>
    <w:p>
      <w:pPr>
        <w:ind w:left="660" w:firstLine="644"/>
        <w:spacing w:after="0" w:line="277" w:lineRule="auto"/>
        <w:tabs>
          <w:tab w:leader="none" w:pos="21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which neither the Issuer nor any other Subsidiary of the Issuer has any obligation to maintain or preserve such entity’s financial condition or cause such entity to achieve certain levels of operating results.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if any, payable on any applicable Interest Payment Date means March 15 or September 15 (whether or not a Business Day) immediately preceding such Interest Payment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S Global Note</w:t>
      </w:r>
      <w:r>
        <w:rPr>
          <w:rFonts w:ascii="Arial" w:cs="Arial" w:eastAsia="Arial" w:hAnsi="Arial"/>
          <w:sz w:val="17"/>
          <w:szCs w:val="17"/>
          <w:color w:val="auto"/>
        </w:rPr>
        <w:t xml:space="preserve">” means a Global Note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bearing the Global Note Legend, the Private Placement Legend and the Regulation S Global Note Legend and deposited with or on behalf of, and registered in the name of, the Depositary or its nominee, issued in a denomination equal to the outstanding principal amount of the Notes initially sold in reliance on Rule 903.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Section 2.06(g)(iii)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the Issuer or a Restricted Subsidiary in exchange for assets transferred by the Issuer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when used with respect to the Trustee, means, with respect to the Trustee, any officer assigned to the Global Corporate Trust Division (or any successor division or unit) of the Trustee located at the Corporate Trust Office of the Trustee, who shall have direct responsibility for the administration of this Indenture, and for the purposes of </w:t>
      </w:r>
      <w:r>
        <w:rPr>
          <w:rFonts w:ascii="Arial" w:cs="Arial" w:eastAsia="Arial" w:hAnsi="Arial"/>
          <w:sz w:val="17"/>
          <w:szCs w:val="17"/>
          <w:u w:val="single" w:color="auto"/>
          <w:color w:val="auto"/>
        </w:rPr>
        <w:t>Section 7.01(c)(ii)</w:t>
      </w:r>
      <w:r>
        <w:rPr>
          <w:rFonts w:ascii="Arial" w:cs="Arial" w:eastAsia="Arial" w:hAnsi="Arial"/>
          <w:sz w:val="17"/>
          <w:szCs w:val="17"/>
          <w:color w:val="auto"/>
        </w:rPr>
        <w:t xml:space="preserve"> shall also include any other officer of the Trustee to whom any corporate trust matter is referred because of such officer’s knowledge of and familiarity with the particular subject.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in respect of any Note issued pursuant to Regulation S, the 40-day distribution compliance period as defined in Regulation S applicable to such Note.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Issuer.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Asset Sale Proceeds</w:t>
      </w:r>
      <w:r>
        <w:rPr>
          <w:rFonts w:ascii="Arial" w:cs="Arial" w:eastAsia="Arial" w:hAnsi="Arial"/>
          <w:sz w:val="18"/>
          <w:szCs w:val="18"/>
          <w:color w:val="auto"/>
        </w:rPr>
        <w:t xml:space="preserve">” means the Net Proceeds in respect of any Asset Sale not required to be applied to make a prepayment or to be reinvested under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means, with respect to any Investment, any dividend, distribution, interest, fee, premium, return of capital, repayment of principal, income, profit (from a disposition or otherwise) and any other similar amount received or realized in respect thereof.</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that certain Credit Agreement, to be entered into prior to, on or after the Issue Date, among the Issuer, the guarantors from time to time party thereto, the lenders from time to time party thereto, the issuing banks from time to time party thereto, and Morgan Stanley Senior Funding, Inc., as administrative agent and as collateral agent, and any amendments, supplements, modifications, extensions, renewals, restatements, refundings, 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refunded, replacement, exchanged or refinancing financing arrangement that increases the amount permitted to be borrowed or issued thereunder or alters the maturity thereof (provided that such increase in borrowings or issuance is permitted under Section 4.09) or adds Restricted Subsidiaries as additional borrowers or guarantors thereunder and whether by the same or any other agent, trustee, lender or group of lenders, investors, holders or otherwise.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Secured Obligations</w:t>
      </w:r>
      <w:r>
        <w:rPr>
          <w:rFonts w:ascii="Arial" w:cs="Arial" w:eastAsia="Arial" w:hAnsi="Arial"/>
          <w:sz w:val="16"/>
          <w:szCs w:val="16"/>
          <w:color w:val="auto"/>
        </w:rPr>
        <w:t>” means the Obligations secured under the Revolving Credit Facility and the security documents in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Secured Parties</w:t>
      </w:r>
      <w:r>
        <w:rPr>
          <w:rFonts w:ascii="Arial" w:cs="Arial" w:eastAsia="Arial" w:hAnsi="Arial"/>
          <w:sz w:val="18"/>
          <w:szCs w:val="18"/>
          <w:color w:val="auto"/>
        </w:rPr>
        <w:t>” means the administrative agent, collateral agent, issuing banks and lenders under the Revolving Credit Facility, together with all lender counterparties and all other holders of Revolving Credit Secured Obligations and any other Persons benefitting from the security interests granted pursuant to any security documents in connection with the Revolving Credit Facility.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transaction or series of related transactions pursuant to which the Issuer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Screened Affiliate</w:t>
      </w:r>
      <w:r>
        <w:rPr>
          <w:rFonts w:ascii="Arial" w:cs="Arial" w:eastAsia="Arial" w:hAnsi="Arial"/>
          <w:sz w:val="17"/>
          <w:szCs w:val="17"/>
          <w:color w:val="auto"/>
        </w:rPr>
        <w:t>” means any Affiliate of a Holder (a) that makes investment decisions independently from such Holder and any other Affiliate of such Holder that is not a Screened Affiliate, (b) that has in place customary information screens between it and such Holder and any other Affiliate of such Holder that is not a Screened Affiliate and such screens prohibit the sharing of information with respect to the Issuer or its Subsidiaries, (c) whose investment policies are not directed by such Holder or any other Affiliate of such Holder that is acting in concert with such Holder in connection with its investment in the Notes and (d) whose investment decisions are not influenced by the investment decisions of such Holder or any other Affiliate of such Holder that is acting in concert with such Holders in connection with its investment in the Notes.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any Indebtedness of the Issuer or any of its Restricted Subsidiaries secured by a Lien.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Notes Obligations</w:t>
      </w:r>
      <w:r>
        <w:rPr>
          <w:rFonts w:ascii="Arial" w:cs="Arial" w:eastAsia="Arial" w:hAnsi="Arial"/>
          <w:sz w:val="18"/>
          <w:szCs w:val="18"/>
          <w:color w:val="auto"/>
        </w:rPr>
        <w:t>” means Obligations in respect of the Notes, this Indenture, the Note Guarantees and the Security Documents relating to the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Notes Secured Parties</w:t>
      </w:r>
      <w:r>
        <w:rPr>
          <w:rFonts w:ascii="Arial" w:cs="Arial" w:eastAsia="Arial" w:hAnsi="Arial"/>
          <w:sz w:val="18"/>
          <w:szCs w:val="18"/>
          <w:color w:val="auto"/>
        </w:rPr>
        <w:t>” means the Trustee, the Notes Collateral Agent and the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U.S. Securities Act of 1933, as amended, and the rules and regulations of the SEC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Security Agreement, dated as of the Issue Date, among the Issuer, the Guarantors and the Notes Collateral Agent.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means, collectively, the Security Agreement, other security agreements relating to the Collateral securing the Secured Notes Obligations and the mortgages and instruments filed and recorded in appropriate jurisdictions to preserve and protect the Liens on the Collateral securing the Secured Notes Obligations (including financing statements under the Uniform Commercial Code of the relevant states), each for the benefit of the Notes Collateral Agent, as amended, restated, renewed, replaced or otherwise modified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4"/>
        <w:spacing w:after="0" w:line="293" w:lineRule="auto"/>
        <w:tabs>
          <w:tab w:leader="none" w:pos="19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Indebtedness of the Issuer or any Restricted Subsidiary outstanding under the Existing Notes, the Existing Notes Guarantees, the Notes and related Note Guarantees (including interest accruing on or after the filing of any petition in bankruptcy or similar proceeding or for reorganization of the Issuer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spacing w:after="0" w:line="164" w:lineRule="exact"/>
        <w:rPr>
          <w:rFonts w:ascii="Arial" w:cs="Arial" w:eastAsia="Arial" w:hAnsi="Arial"/>
          <w:sz w:val="16"/>
          <w:szCs w:val="16"/>
          <w:color w:val="auto"/>
        </w:rPr>
      </w:pPr>
    </w:p>
    <w:p>
      <w:pPr>
        <w:jc w:val="both"/>
        <w:ind w:left="660" w:firstLine="644"/>
        <w:spacing w:after="0" w:line="263" w:lineRule="auto"/>
        <w:tabs>
          <w:tab w:leader="none" w:pos="20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all (a) Hedging Obligations (and guarantees thereof) and (b) Indebtedness of the Issuer and/or any Guarantor in respect of Banking Services (and guarantees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Hedging Obligations and Indebtedness, as the case may be, are permitted to be incurred under the terms of this Indenture;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Indebtedness of the Issuer or any Restricted Subsidiary permitted to be incurred under the terms of this Indenture, unless the instrument under which such Indebtedness is incurred expressly provides that it is subordinated in right of payment to the Notes or any related Note Guarantee; and</w:t>
      </w:r>
    </w:p>
    <w:p>
      <w:pPr>
        <w:spacing w:after="0" w:line="183" w:lineRule="exact"/>
        <w:rPr>
          <w:rFonts w:ascii="Arial" w:cs="Arial" w:eastAsia="Arial" w:hAnsi="Arial"/>
          <w:sz w:val="18"/>
          <w:szCs w:val="18"/>
          <w:color w:val="auto"/>
        </w:rPr>
      </w:pPr>
    </w:p>
    <w:p>
      <w:pPr>
        <w:ind w:left="660" w:firstLine="644"/>
        <w:spacing w:after="0" w:line="277" w:lineRule="auto"/>
        <w:tabs>
          <w:tab w:leader="none" w:pos="21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all Obligations with respect to the items listed in the preceding clauses (1), (2) and (3);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Senior Indebtedness shall not include:</w:t>
      </w:r>
    </w:p>
    <w:p>
      <w:pPr>
        <w:spacing w:after="0" w:line="170" w:lineRule="exact"/>
        <w:rPr>
          <w:sz w:val="20"/>
          <w:szCs w:val="20"/>
          <w:color w:val="auto"/>
        </w:rPr>
      </w:pPr>
    </w:p>
    <w:p>
      <w:pPr>
        <w:ind w:left="1960" w:hanging="656"/>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obligation of such Person to the Issuer or any of its Subsidiaries;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liability for U.S. or foreign federal, state, local or other taxes owed or owing by such Person;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arising in the ordinary course of business;</w:t>
      </w:r>
    </w:p>
    <w:p>
      <w:pPr>
        <w:spacing w:after="0" w:line="225" w:lineRule="exact"/>
        <w:rPr>
          <w:rFonts w:ascii="Arial" w:cs="Arial" w:eastAsia="Arial" w:hAnsi="Arial"/>
          <w:sz w:val="18"/>
          <w:szCs w:val="18"/>
          <w:color w:val="auto"/>
        </w:rPr>
      </w:pPr>
    </w:p>
    <w:p>
      <w:pPr>
        <w:ind w:left="660" w:firstLine="644"/>
        <w:spacing w:after="0" w:line="277" w:lineRule="auto"/>
        <w:tabs>
          <w:tab w:leader="none" w:pos="192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Indebtedness or other Obligation of such Person which is subordinate or junior in right of payment to any other Indebtedness or other Obligation of such Person;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portion of any Indebtedness which at the time of incurrence is incurred in violation of this Indenture.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Lien Priority</w:t>
      </w:r>
      <w:r>
        <w:rPr>
          <w:rFonts w:ascii="Arial" w:cs="Arial" w:eastAsia="Arial" w:hAnsi="Arial"/>
          <w:sz w:val="18"/>
          <w:szCs w:val="18"/>
          <w:color w:val="auto"/>
        </w:rPr>
        <w:t>” means,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Obligations</w:t>
      </w:r>
      <w:r>
        <w:rPr>
          <w:rFonts w:ascii="Arial" w:cs="Arial" w:eastAsia="Arial" w:hAnsi="Arial"/>
          <w:sz w:val="18"/>
          <w:szCs w:val="18"/>
          <w:color w:val="auto"/>
        </w:rPr>
        <w:t xml:space="preserve">” means (x) the Equal Priority Obligations and (y) any Obligations with respect to any Indebtedness having a Junior Lien Priority relative to the Notes and the Note Guarantees with respect to the Collateral and having Senior Lien Priority relative to the Junior Priority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holders of such Indebtedness or their Senior Priority Representative shall become party to a Junior Priority Intercreditor Agreement and any other applicable intercreditor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-172085</wp:posOffset>
            </wp:positionV>
            <wp:extent cx="368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Representative</w:t>
      </w:r>
      <w:r>
        <w:rPr>
          <w:rFonts w:ascii="Arial" w:cs="Arial" w:eastAsia="Arial" w:hAnsi="Arial"/>
          <w:sz w:val="18"/>
          <w:szCs w:val="18"/>
          <w:color w:val="auto"/>
        </w:rPr>
        <w:t>” means any duly authorized representative of any holders of Senior Priority Obligations, which representative is named as such in a Junior Priority Intercreditor Agreement or any joinder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w:t>
      </w:r>
      <w:r>
        <w:rPr>
          <w:rFonts w:ascii="Arial" w:cs="Arial" w:eastAsia="Arial" w:hAnsi="Arial"/>
          <w:sz w:val="16"/>
          <w:szCs w:val="16"/>
          <w:color w:val="auto"/>
        </w:rPr>
        <w:t>” means (1) with respect to the Equal Priority Secured Parties, each of (i) the Secured Notes Secured Parties (in their capacity as such) and</w:t>
      </w:r>
    </w:p>
    <w:p>
      <w:pPr>
        <w:spacing w:after="0" w:line="46" w:lineRule="exact"/>
        <w:rPr>
          <w:sz w:val="20"/>
          <w:szCs w:val="20"/>
          <w:color w:val="auto"/>
        </w:rPr>
      </w:pPr>
    </w:p>
    <w:p>
      <w:pPr>
        <w:jc w:val="both"/>
        <w:ind w:firstLine="8"/>
        <w:spacing w:after="0" w:line="253"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Additional Equal Priority Secured Parties that are represented by a common representative (in its capacity as such for such Additional Equal Priority Secured Parties) and (2) with respect to any Equal Priority Obligations, each of (i) the Secured Notes Obligations and (ii) the Additional Equal Priority Obligations incurred pursuant to any applicable agreement, which are to be represented under an Equal Priority Intercreditor Agreement by a common representative (in its capacity as such for such Additional Equal Priority Obligations).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Collateral</w:t>
      </w:r>
      <w:r>
        <w:rPr>
          <w:rFonts w:ascii="Arial" w:cs="Arial" w:eastAsia="Arial" w:hAnsi="Arial"/>
          <w:sz w:val="17"/>
          <w:szCs w:val="17"/>
          <w:color w:val="auto"/>
        </w:rPr>
        <w:t>” means,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security interest in such Collateral at such time and shall not constitute Shared Collateral for any Series that does not have a valid and perfected security interest in such Collateral at such time.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 Mortgage</w:t>
      </w:r>
      <w:r>
        <w:rPr>
          <w:rFonts w:ascii="Arial" w:cs="Arial" w:eastAsia="Arial" w:hAnsi="Arial"/>
          <w:sz w:val="18"/>
          <w:szCs w:val="18"/>
          <w:color w:val="auto"/>
        </w:rPr>
        <w:t>” means any mortgage, deed of trust or other similar agreement made by a Grantor in favor of the Notes Collateral Agent, for the benefit of the Notes Collateral Agent and the relevant Secured Notes Secured Parties, on any tanker or other marine vessel constituting Collateral, which shall be in form reasonably satisfactory to the Notes Collateral Agent and the Issuer.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Short Derivative Instrument</w:t>
      </w:r>
      <w:r>
        <w:rPr>
          <w:rFonts w:ascii="Arial" w:cs="Arial" w:eastAsia="Arial" w:hAnsi="Arial"/>
          <w:sz w:val="17"/>
          <w:szCs w:val="17"/>
          <w:color w:val="auto"/>
        </w:rPr>
        <w:t>” means a Derivative Instrument (a) the value of which generally decreases, and/or the payment or delivery obligations under which generally increase, with positive changes to the Performance References and/or (b) the value of which generally increases, and/or the payment or delivery obligations under which generally decrease, with negative changes to the Performance References.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xml:space="preserve">” means any Restricted Subsidiary that would be a “significant subsidiary” of the Issuer within the meaning of Rule 1-02 under Regulation S-X promulgated by the SEC, as such Regulation is in effect on the Issue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clause (6)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w:t>
      </w:r>
      <w:r>
        <w:rPr>
          <w:rFonts w:ascii="Arial" w:cs="Arial" w:eastAsia="Arial" w:hAnsi="Arial"/>
          <w:sz w:val="17"/>
          <w:szCs w:val="17"/>
          <w:color w:val="auto"/>
        </w:rPr>
        <w:t>, each Restricted Subsidiary forming part of a group is subject to an Event of Default under such clause.</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Business</w:t>
      </w:r>
      <w:r>
        <w:rPr>
          <w:rFonts w:ascii="Arial" w:cs="Arial" w:eastAsia="Arial" w:hAnsi="Arial"/>
          <w:sz w:val="16"/>
          <w:szCs w:val="16"/>
          <w:color w:val="auto"/>
        </w:rPr>
        <w:t>” means any business conducted, engaged in or proposed to be conducted by the Issuer or any of its Subsidiaries on the Issue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indemnities and guarantees of performance entered into by the Issuer or any Subsidiary of the Issuer which the Issuer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Stonepeak</w:t>
      </w:r>
      <w:r>
        <w:rPr>
          <w:rFonts w:ascii="Arial" w:cs="Arial" w:eastAsia="Arial" w:hAnsi="Arial"/>
          <w:sz w:val="18"/>
          <w:szCs w:val="18"/>
          <w:color w:val="auto"/>
        </w:rPr>
        <w:t>” means Stonepeak Infrastructure Fund II Cayman (G) Ltd.</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Transaction</w:t>
      </w:r>
      <w:r>
        <w:rPr>
          <w:rFonts w:ascii="Arial" w:cs="Arial" w:eastAsia="Arial" w:hAnsi="Arial"/>
          <w:sz w:val="16"/>
          <w:szCs w:val="16"/>
          <w:color w:val="auto"/>
        </w:rPr>
        <w:t>” means,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Issuer’s or any Restricted Subsidiary’s respective equity ownership in such Restricted Subsidiary or (ii) any joint venture for the purpose of increasing the Issuer’s or its relevant Restricted Subsidiary’s ownership interest in such joint venture), in each case that is not prohibited by this Indenture, (c) any disposition of all or substantially all of the assets or Capital Stock of any Subsidiary (or any facility, business unit, line of business, product line or division of the Issuer or a Restricted Subsidiary) not prohibited by this Indenture, (d) the designation of a Restricted Subsidiary as an Unrestricted Subsidiary or an Unrestricted Subsidiary as a Restricted Subsidiary in accordance with this Indenture, (e) any incurrence or prepayment, repayment, redemption, repurchase, defeasance, satisfaction and discharge or refinancing of Indebtedness, (f) the implementation of any Run Rate Initiative, (g) any tax restructuring, (h) [Reserved], (i) the entry into any Customer Contract and/or</w:t>
      </w:r>
    </w:p>
    <w:p>
      <w:pPr>
        <w:spacing w:after="0" w:line="6" w:lineRule="exact"/>
        <w:rPr>
          <w:sz w:val="20"/>
          <w:szCs w:val="20"/>
          <w:color w:val="auto"/>
        </w:rPr>
      </w:pPr>
    </w:p>
    <w:p>
      <w:pPr>
        <w:ind w:right="20" w:firstLine="8"/>
        <w:spacing w:after="0" w:line="260" w:lineRule="auto"/>
        <w:tabs>
          <w:tab w:leader="none" w:pos="2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event that by the terms of this Indenture requires pro forma compliance with a test or covenant or requires such test or covenant to be calculated on a pro forma basis.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with respect to the Notes and the Note Guarantees,</w:t>
      </w:r>
    </w:p>
    <w:p>
      <w:pPr>
        <w:spacing w:after="0" w:line="225" w:lineRule="exact"/>
        <w:rPr>
          <w:sz w:val="20"/>
          <w:szCs w:val="20"/>
          <w:color w:val="auto"/>
        </w:rPr>
      </w:pPr>
    </w:p>
    <w:p>
      <w:pPr>
        <w:ind w:left="1960" w:hanging="656"/>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Indebtedness of the Issuer which is by its terms subordinated in right of payment to the Notes, and</w:t>
      </w:r>
    </w:p>
    <w:p>
      <w:pPr>
        <w:spacing w:after="0" w:line="225" w:lineRule="exact"/>
        <w:rPr>
          <w:rFonts w:ascii="Arial" w:cs="Arial" w:eastAsia="Arial" w:hAnsi="Arial"/>
          <w:sz w:val="18"/>
          <w:szCs w:val="18"/>
          <w:color w:val="auto"/>
        </w:rPr>
      </w:pPr>
    </w:p>
    <w:p>
      <w:pPr>
        <w:ind w:left="660" w:firstLine="644"/>
        <w:spacing w:after="0" w:line="277" w:lineRule="auto"/>
        <w:tabs>
          <w:tab w:leader="none" w:pos="21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Indebtedness of any Guarantor which is by its terms subordinated in right of payment to the Note Guarantee of such Guarantor of the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both"/>
        <w:ind w:left="660" w:firstLine="644"/>
        <w:spacing w:after="0" w:line="259" w:lineRule="auto"/>
        <w:tabs>
          <w:tab w:leader="none" w:pos="19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25" w:lineRule="exact"/>
        <w:rPr>
          <w:sz w:val="20"/>
          <w:szCs w:val="20"/>
          <w:color w:val="auto"/>
        </w:rPr>
      </w:pPr>
    </w:p>
    <w:p>
      <w:pPr>
        <w:jc w:val="both"/>
        <w:ind w:left="660" w:right="20" w:firstLine="644"/>
        <w:spacing w:after="0" w:line="263" w:lineRule="auto"/>
        <w:tabs>
          <w:tab w:leader="none" w:pos="19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Person or any Restricted Subsidiary of such Person is a controlling general partner or otherwise controls such entity.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avoidance of doubt, any entity that is owned at a 50.0% or less level (as described above) shall not be a “Subsidiary” for any purpose under this Indenture, regardless of whether such entity is consolidated on the Issuer’s or any of its Restricted Subsidiaries’ financial statements. Unless the context otherwise requires, any references to Subsidiaries refer to Subsidiaries of the Issuer.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for any determination under this Indenture, the fiscal quarter then most recently ended for which financial statements are internally available.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fees, premiums, expenses, closing payments and other similar transaction costs (including original issue discount or upfront fees) payable or otherwise borne by the Issuer and/or its Subsidiaries in connection with the Transactions.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all the transactions (and any transactions related thereto) described in the definition of “Transactions” in the Offering Memorandum, which, for the avoidance of doubt, need not occur on the Issue Date.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xml:space="preserve">” means, as obtained by the Issuer, as of any Redemption Date, the yield to maturity as of such Redemption Date of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of similar market data)) most nearly equal to the period from such Redemption Date to March 31, 2023;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period from such Redemption Date to March 31, 2023 is less than one year, the weekly average yield on actively traded United States Treasury securities adjusted to a constant maturity of one year will be used.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and its successors and assigns, until a successor replaces it under the Indenture and, thereafter, means the successor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(or any similar or equivalent legislation) as in effect in any applicable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Definitive Note</w:t>
      </w:r>
      <w:r>
        <w:rPr>
          <w:rFonts w:ascii="Arial" w:cs="Arial" w:eastAsia="Arial" w:hAnsi="Arial"/>
          <w:sz w:val="16"/>
          <w:szCs w:val="16"/>
          <w:color w:val="auto"/>
        </w:rPr>
        <w:t>” means one or more Definitive Notes that do not bear and are not required to bear the Private Placement Legend.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Note</w:t>
      </w:r>
      <w:r>
        <w:rPr>
          <w:rFonts w:ascii="Arial" w:cs="Arial" w:eastAsia="Arial" w:hAnsi="Arial"/>
          <w:sz w:val="18"/>
          <w:szCs w:val="18"/>
          <w:color w:val="auto"/>
        </w:rPr>
        <w:t xml:space="preserve">” means a permanent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(1) any Subsidiary of the Issuer which at the time of determination is an Unrestricted Subsidiary (as designated by the Issuer, as provided below), (2) any Subsidiary of an Unrestricted Subsidiary and (3) as of the Issue Date, NFE South Power Holdings Limited and each of its Subsidiaries.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Issuer may designate (or redesignate) any Subsidiary of the Issuer (including any existing Subsidiary and any newly acquired or newly formed Subsidiary) to be an Unrestricted Subsidiary or any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jc w:val="both"/>
        <w:ind w:left="660" w:firstLine="644"/>
        <w:spacing w:after="0" w:line="263" w:lineRule="auto"/>
        <w:tabs>
          <w:tab w:leader="none" w:pos="19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9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the date of the designation thereof, no Unrestricted Subsidiary shall own any Capital Stock in any Restricted Subsidiary of the Issuer or hold any Indebtedness of or any Lien on any property of the Issuer or any Restricted Subsidiary.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designation of any Subsidiary as an Unrestricted Subsidiary shall constitute an Investment by the Issuer (or its applicable Restricted Subsidiary) therein at the date of designation in an amount equal to the portion of the fair market value of the net assets of such Subsidiary attributable to the Issuer’s (or its applicable Restricted Subsidiary’s) equity interest therein as reasonably determined by the Issuer in good faith (and such designation shall only be permitted to the extent such Investment is permitted under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or, if on the date such Subsidiary is so designated, there are Suspended Covenants as a result of the provisions described under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such Investment would have complied with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as if such covenant was in effect for the purposes of designating Unrestricted Subsidiaries from the Issue Date to the date of such designation).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Issuer in Unrestricted Subsidiaries pursuant to the preceding sentence in an amount equal to the fair market value at the date of such designation of the Issuer’s or its Restricted Subsidiary’s Investment in such Subsidiary.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ind w:firstLine="648"/>
        <w:spacing w:after="0" w:line="277" w:lineRule="auto"/>
        <w:rPr>
          <w:sz w:val="20"/>
          <w:szCs w:val="20"/>
          <w:color w:val="auto"/>
        </w:rPr>
      </w:pPr>
      <w:r>
        <w:rPr>
          <w:rFonts w:ascii="Arial" w:cs="Arial" w:eastAsia="Arial" w:hAnsi="Arial"/>
          <w:sz w:val="18"/>
          <w:szCs w:val="18"/>
          <w:color w:val="auto"/>
        </w:rPr>
        <w:t>Any such designation by the Issuer shall be notified by the Issuer to the Trustee by promptly filing with the Trustee an Officer’s Certificate certifying that such designation complied with the foregoing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660" w:firstLine="644"/>
        <w:spacing w:after="0" w:line="277" w:lineRule="auto"/>
        <w:tabs>
          <w:tab w:leader="none" w:pos="18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direct obligations of, or obligations guaranteed by, the United States of America for the timely payment of which its full faith and credit is pledged; or</w:t>
      </w:r>
    </w:p>
    <w:p>
      <w:pPr>
        <w:spacing w:after="0" w:line="170" w:lineRule="exact"/>
        <w:rPr>
          <w:rFonts w:ascii="Arial" w:cs="Arial" w:eastAsia="Arial" w:hAnsi="Arial"/>
          <w:sz w:val="18"/>
          <w:szCs w:val="18"/>
          <w:color w:val="auto"/>
        </w:rPr>
      </w:pPr>
    </w:p>
    <w:p>
      <w:pPr>
        <w:jc w:val="both"/>
        <w:ind w:left="660" w:firstLine="644"/>
        <w:spacing w:after="0" w:line="271" w:lineRule="auto"/>
        <w:tabs>
          <w:tab w:leader="none" w:pos="187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U.S. person as defined in Rule 902(k) under the Securities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shares of such Person’s Capital Stock that are at the time generally entitled, without regard to contingencies, to vote in the election of the Board of Directors of such Person.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Restricted Subsidiary</w:t>
      </w:r>
      <w:r>
        <w:rPr>
          <w:rFonts w:ascii="Arial" w:cs="Arial" w:eastAsia="Arial" w:hAnsi="Arial"/>
          <w:sz w:val="17"/>
          <w:szCs w:val="17"/>
          <w:color w:val="auto"/>
        </w:rPr>
        <w:t>” of any Person means a Wholly-Owned Subsidiary of such Person that is a Restricted Subsidiary.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3"/>
          </w:tcPr>
          <w:p>
            <w:pPr>
              <w:spacing w:after="0"/>
              <w:rPr>
                <w:sz w:val="20"/>
                <w:szCs w:val="20"/>
                <w:color w:val="auto"/>
              </w:rPr>
            </w:pPr>
            <w:r>
              <w:rPr>
                <w:rFonts w:ascii="Arial" w:cs="Arial" w:eastAsia="Arial" w:hAnsi="Arial"/>
                <w:sz w:val="18"/>
                <w:szCs w:val="18"/>
                <w:color w:val="auto"/>
              </w:rPr>
              <w:t>SECTION 1.02  OTHER DEFINITIONS.</w:t>
            </w:r>
          </w:p>
        </w:tc>
        <w:tc>
          <w:tcPr>
            <w:tcW w:w="35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7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80" w:type="dxa"/>
            <w:vAlign w:val="bottom"/>
            <w:gridSpan w:val="2"/>
          </w:tcPr>
          <w:p>
            <w:pPr>
              <w:jc w:val="right"/>
              <w:ind w:right="3380"/>
              <w:spacing w:after="0"/>
              <w:rPr>
                <w:sz w:val="20"/>
                <w:szCs w:val="20"/>
                <w:color w:val="auto"/>
              </w:rPr>
            </w:pPr>
            <w:r>
              <w:rPr>
                <w:rFonts w:ascii="Arial" w:cs="Arial" w:eastAsia="Arial" w:hAnsi="Arial"/>
                <w:sz w:val="18"/>
                <w:szCs w:val="18"/>
                <w:b w:val="1"/>
                <w:bCs w:val="1"/>
                <w:color w:val="auto"/>
              </w:rPr>
              <w:t>Defined in Section</w:t>
            </w: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Acceptable Commitment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Accounting Change</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12.08(v)</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Advance Offer</w:t>
            </w:r>
          </w:p>
        </w:tc>
        <w:tc>
          <w:tcPr>
            <w:tcW w:w="3500" w:type="dxa"/>
            <w:vAlign w:val="bottom"/>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Advance Portion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Affiliate Transaction</w:t>
            </w:r>
          </w:p>
        </w:tc>
        <w:tc>
          <w:tcPr>
            <w:tcW w:w="3500" w:type="dxa"/>
            <w:vAlign w:val="bottom"/>
          </w:tcPr>
          <w:p>
            <w:pPr>
              <w:jc w:val="right"/>
              <w:spacing w:after="0"/>
              <w:rPr>
                <w:sz w:val="20"/>
                <w:szCs w:val="20"/>
                <w:color w:val="auto"/>
              </w:rPr>
            </w:pPr>
            <w:r>
              <w:rPr>
                <w:rFonts w:ascii="Arial" w:cs="Arial" w:eastAsia="Arial" w:hAnsi="Arial"/>
                <w:sz w:val="18"/>
                <w:szCs w:val="18"/>
                <w:color w:val="auto"/>
              </w:rPr>
              <w:t>4.11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Alternate Offer</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4.14(a)</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Amendment to Allege Use</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Applicable Law</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Applicable Premium Deficit</w:t>
            </w:r>
          </w:p>
        </w:tc>
        <w:tc>
          <w:tcPr>
            <w:tcW w:w="3500" w:type="dxa"/>
            <w:vAlign w:val="bottom"/>
          </w:tcPr>
          <w:p>
            <w:pPr>
              <w:jc w:val="right"/>
              <w:spacing w:after="0"/>
              <w:rPr>
                <w:sz w:val="20"/>
                <w:szCs w:val="20"/>
                <w:color w:val="auto"/>
              </w:rPr>
            </w:pPr>
            <w:r>
              <w:rPr>
                <w:rFonts w:ascii="Arial" w:cs="Arial" w:eastAsia="Arial" w:hAnsi="Arial"/>
                <w:sz w:val="18"/>
                <w:szCs w:val="18"/>
                <w:color w:val="auto"/>
              </w:rPr>
              <w:t>8.04(1)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Applicable Proceeds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Asset Sale Offer</w:t>
            </w:r>
          </w:p>
        </w:tc>
        <w:tc>
          <w:tcPr>
            <w:tcW w:w="3500" w:type="dxa"/>
            <w:vAlign w:val="bottom"/>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Sale Proceeds Application Period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Authentication Order</w:t>
            </w:r>
          </w:p>
        </w:tc>
        <w:tc>
          <w:tcPr>
            <w:tcW w:w="3500" w:type="dxa"/>
            <w:vAlign w:val="bottom"/>
          </w:tcPr>
          <w:p>
            <w:pPr>
              <w:jc w:val="right"/>
              <w:spacing w:after="0"/>
              <w:rPr>
                <w:sz w:val="20"/>
                <w:szCs w:val="20"/>
                <w:color w:val="auto"/>
              </w:rPr>
            </w:pPr>
            <w:r>
              <w:rPr>
                <w:rFonts w:ascii="Arial" w:cs="Arial" w:eastAsia="Arial" w:hAnsi="Arial"/>
                <w:sz w:val="18"/>
                <w:szCs w:val="18"/>
                <w:color w:val="auto"/>
              </w:rPr>
              <w:t>2.02</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CERCLA</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12.08(q)</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Change of Control Offer</w:t>
            </w:r>
          </w:p>
        </w:tc>
        <w:tc>
          <w:tcPr>
            <w:tcW w:w="3500" w:type="dxa"/>
            <w:vAlign w:val="bottom"/>
          </w:tcPr>
          <w:p>
            <w:pPr>
              <w:jc w:val="right"/>
              <w:spacing w:after="0"/>
              <w:rPr>
                <w:sz w:val="20"/>
                <w:szCs w:val="20"/>
                <w:color w:val="auto"/>
              </w:rPr>
            </w:pPr>
            <w:r>
              <w:rPr>
                <w:rFonts w:ascii="Arial" w:cs="Arial" w:eastAsia="Arial" w:hAnsi="Arial"/>
                <w:sz w:val="18"/>
                <w:szCs w:val="18"/>
                <w:color w:val="auto"/>
              </w:rPr>
              <w:t>4.14(a)</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of Control Payment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4.14(a)</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Change of Control Payment Date</w:t>
            </w:r>
          </w:p>
        </w:tc>
        <w:tc>
          <w:tcPr>
            <w:tcW w:w="3500" w:type="dxa"/>
            <w:vAlign w:val="bottom"/>
          </w:tcPr>
          <w:p>
            <w:pPr>
              <w:jc w:val="right"/>
              <w:spacing w:after="0"/>
              <w:rPr>
                <w:sz w:val="20"/>
                <w:szCs w:val="20"/>
                <w:color w:val="auto"/>
              </w:rPr>
            </w:pPr>
            <w:r>
              <w:rPr>
                <w:rFonts w:ascii="Arial" w:cs="Arial" w:eastAsia="Arial" w:hAnsi="Arial"/>
                <w:sz w:val="18"/>
                <w:szCs w:val="18"/>
                <w:color w:val="auto"/>
              </w:rPr>
              <w:t>4.14(a)(2)</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 Application Period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Control</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Controlled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Controlling</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Covenant Defeasance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Covenant Suspension Event</w:t>
            </w:r>
          </w:p>
        </w:tc>
        <w:tc>
          <w:tcPr>
            <w:tcW w:w="3500" w:type="dxa"/>
            <w:vAlign w:val="bottom"/>
          </w:tcPr>
          <w:p>
            <w:pPr>
              <w:jc w:val="right"/>
              <w:spacing w:after="0"/>
              <w:rPr>
                <w:sz w:val="20"/>
                <w:szCs w:val="20"/>
                <w:color w:val="auto"/>
              </w:rPr>
            </w:pPr>
            <w:r>
              <w:rPr>
                <w:rFonts w:ascii="Arial" w:cs="Arial" w:eastAsia="Arial" w:hAnsi="Arial"/>
                <w:sz w:val="18"/>
                <w:szCs w:val="18"/>
                <w:color w:val="auto"/>
              </w:rPr>
              <w:t>4.16(a)</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Directing Holder</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6.02(a)</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Disposition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Dividing Person</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Elected Amount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1.06(h)</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Event of Default</w:t>
            </w:r>
          </w:p>
        </w:tc>
        <w:tc>
          <w:tcPr>
            <w:tcW w:w="3500" w:type="dxa"/>
            <w:vAlign w:val="bottom"/>
          </w:tcPr>
          <w:p>
            <w:pPr>
              <w:jc w:val="right"/>
              <w:spacing w:after="0"/>
              <w:rPr>
                <w:sz w:val="20"/>
                <w:szCs w:val="20"/>
                <w:color w:val="auto"/>
              </w:rPr>
            </w:pPr>
            <w:r>
              <w:rPr>
                <w:rFonts w:ascii="Arial" w:cs="Arial" w:eastAsia="Arial" w:hAnsi="Arial"/>
                <w:sz w:val="18"/>
                <w:szCs w:val="18"/>
                <w:color w:val="auto"/>
              </w:rPr>
              <w:t>6.01(a)</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Excess Proceeds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Exchange Rate</w:t>
            </w:r>
          </w:p>
        </w:tc>
        <w:tc>
          <w:tcPr>
            <w:tcW w:w="3500" w:type="dxa"/>
            <w:vAlign w:val="bottom"/>
          </w:tcPr>
          <w:p>
            <w:pPr>
              <w:jc w:val="right"/>
              <w:spacing w:after="0"/>
              <w:rPr>
                <w:sz w:val="20"/>
                <w:szCs w:val="20"/>
                <w:color w:val="auto"/>
              </w:rPr>
            </w:pPr>
            <w:r>
              <w:rPr>
                <w:rFonts w:ascii="Arial" w:cs="Arial" w:eastAsia="Arial" w:hAnsi="Arial"/>
                <w:sz w:val="18"/>
                <w:szCs w:val="18"/>
                <w:color w:val="auto"/>
              </w:rPr>
              <w:t>1.06(g)</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Amounts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1.06(c)</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Governmental Consents</w:t>
            </w:r>
          </w:p>
        </w:tc>
        <w:tc>
          <w:tcPr>
            <w:tcW w:w="350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Increased Amount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4.12(c)</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incur</w:t>
            </w:r>
          </w:p>
        </w:tc>
        <w:tc>
          <w:tcPr>
            <w:tcW w:w="3500" w:type="dxa"/>
            <w:vAlign w:val="bottom"/>
          </w:tcPr>
          <w:p>
            <w:pPr>
              <w:jc w:val="right"/>
              <w:spacing w:after="0"/>
              <w:rPr>
                <w:sz w:val="20"/>
                <w:szCs w:val="20"/>
                <w:color w:val="auto"/>
              </w:rPr>
            </w:pPr>
            <w:r>
              <w:rPr>
                <w:rFonts w:ascii="Arial" w:cs="Arial" w:eastAsia="Arial" w:hAnsi="Arial"/>
                <w:sz w:val="18"/>
                <w:szCs w:val="18"/>
                <w:color w:val="auto"/>
              </w:rPr>
              <w:t>4.09</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incurrence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Incurrence-Based Amounts</w:t>
            </w:r>
          </w:p>
        </w:tc>
        <w:tc>
          <w:tcPr>
            <w:tcW w:w="3500" w:type="dxa"/>
            <w:vAlign w:val="bottom"/>
          </w:tcPr>
          <w:p>
            <w:pPr>
              <w:jc w:val="right"/>
              <w:spacing w:after="0"/>
              <w:rPr>
                <w:sz w:val="20"/>
                <w:szCs w:val="20"/>
                <w:color w:val="auto"/>
              </w:rPr>
            </w:pPr>
            <w:r>
              <w:rPr>
                <w:rFonts w:ascii="Arial" w:cs="Arial" w:eastAsia="Arial" w:hAnsi="Arial"/>
                <w:sz w:val="18"/>
                <w:szCs w:val="18"/>
                <w:color w:val="auto"/>
              </w:rPr>
              <w:t>1.06(c)</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Initial Default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6.02(f)</w:t>
            </w:r>
          </w:p>
        </w:tc>
        <w:tc>
          <w:tcPr>
            <w:tcW w:w="338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Issuer</w:t>
            </w:r>
          </w:p>
        </w:tc>
        <w:tc>
          <w:tcPr>
            <w:tcW w:w="3500" w:type="dxa"/>
            <w:vAlign w:val="bottom"/>
          </w:tcPr>
          <w:p>
            <w:pPr>
              <w:jc w:val="right"/>
              <w:spacing w:after="0"/>
              <w:rPr>
                <w:sz w:val="20"/>
                <w:szCs w:val="20"/>
                <w:color w:val="auto"/>
              </w:rPr>
            </w:pPr>
            <w:r>
              <w:rPr>
                <w:rFonts w:ascii="Arial" w:cs="Arial" w:eastAsia="Arial" w:hAnsi="Arial"/>
                <w:sz w:val="18"/>
                <w:szCs w:val="18"/>
                <w:color w:val="auto"/>
              </w:rPr>
              <w:t>Preamble</w:t>
            </w:r>
          </w:p>
        </w:tc>
        <w:tc>
          <w:tcPr>
            <w:tcW w:w="33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 Paz Facility Concession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582"/>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00" w:type="dxa"/>
            <w:vAlign w:val="bottom"/>
          </w:tcPr>
          <w:p>
            <w:pPr>
              <w:jc w:val="right"/>
              <w:ind w:right="2070"/>
              <w:spacing w:after="0"/>
              <w:rPr>
                <w:sz w:val="20"/>
                <w:szCs w:val="20"/>
                <w:color w:val="auto"/>
              </w:rPr>
            </w:pPr>
            <w:r>
              <w:rPr>
                <w:rFonts w:ascii="Arial" w:cs="Arial" w:eastAsia="Arial" w:hAnsi="Arial"/>
                <w:sz w:val="14"/>
                <w:szCs w:val="14"/>
                <w:color w:val="auto"/>
              </w:rPr>
              <w:t>68</w:t>
            </w:r>
          </w:p>
        </w:tc>
        <w:tc>
          <w:tcPr>
            <w:tcW w:w="3380" w:type="dxa"/>
            <w:vAlign w:val="bottom"/>
          </w:tcPr>
          <w:p>
            <w:pPr>
              <w:spacing w:after="0"/>
              <w:rPr>
                <w:sz w:val="24"/>
                <w:szCs w:val="24"/>
                <w:color w:val="auto"/>
              </w:rPr>
            </w:pPr>
          </w:p>
        </w:tc>
      </w:tr>
      <w:tr>
        <w:trPr>
          <w:trHeight w:val="46"/>
        </w:trPr>
        <w:tc>
          <w:tcPr>
            <w:tcW w:w="1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6820" w:type="dxa"/>
            <w:vAlign w:val="bottom"/>
            <w:gridSpan w:val="2"/>
          </w:tcPr>
          <w:p>
            <w:pPr>
              <w:ind w:left="2040"/>
              <w:spacing w:after="0"/>
              <w:rPr>
                <w:sz w:val="20"/>
                <w:szCs w:val="20"/>
                <w:color w:val="auto"/>
              </w:rPr>
            </w:pPr>
            <w:r>
              <w:rPr>
                <w:rFonts w:ascii="Arial" w:cs="Arial" w:eastAsia="Arial" w:hAnsi="Arial"/>
                <w:sz w:val="18"/>
                <w:szCs w:val="18"/>
                <w:b w:val="1"/>
                <w:bCs w:val="1"/>
                <w:color w:val="auto"/>
              </w:rPr>
              <w:t>Defined in Section</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LCT Election</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1.05(a)</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LCT Test Date</w:t>
            </w:r>
          </w:p>
        </w:tc>
        <w:tc>
          <w:tcPr>
            <w:tcW w:w="3440" w:type="dxa"/>
            <w:vAlign w:val="bottom"/>
          </w:tcPr>
          <w:p>
            <w:pPr>
              <w:jc w:val="right"/>
              <w:spacing w:after="0"/>
              <w:rPr>
                <w:sz w:val="20"/>
                <w:szCs w:val="20"/>
                <w:color w:val="auto"/>
              </w:rPr>
            </w:pPr>
            <w:r>
              <w:rPr>
                <w:rFonts w:ascii="Arial" w:cs="Arial" w:eastAsia="Arial" w:hAnsi="Arial"/>
                <w:sz w:val="18"/>
                <w:szCs w:val="18"/>
                <w:color w:val="auto"/>
              </w:rPr>
              <w:t>1.05(a)</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Legal Defeasance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Master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Mexican Guarantor</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Mexican Process Agent</w:t>
            </w:r>
          </w:p>
        </w:tc>
        <w:tc>
          <w:tcPr>
            <w:tcW w:w="3440" w:type="dxa"/>
            <w:vAlign w:val="bottom"/>
          </w:tcPr>
          <w:p>
            <w:pPr>
              <w:jc w:val="right"/>
              <w:spacing w:after="0"/>
              <w:rPr>
                <w:sz w:val="20"/>
                <w:szCs w:val="20"/>
                <w:color w:val="auto"/>
              </w:rPr>
            </w:pPr>
            <w:r>
              <w:rPr>
                <w:rFonts w:ascii="Arial" w:cs="Arial" w:eastAsia="Arial" w:hAnsi="Arial"/>
                <w:sz w:val="18"/>
                <w:szCs w:val="18"/>
                <w:color w:val="auto"/>
              </w:rPr>
              <w:t>13.02</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Note Register</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Noteholder Direction</w:t>
            </w:r>
          </w:p>
        </w:tc>
        <w:tc>
          <w:tcPr>
            <w:tcW w:w="3440" w:type="dxa"/>
            <w:vAlign w:val="bottom"/>
          </w:tcPr>
          <w:p>
            <w:pPr>
              <w:jc w:val="right"/>
              <w:spacing w:after="0"/>
              <w:rPr>
                <w:sz w:val="20"/>
                <w:szCs w:val="20"/>
                <w:color w:val="auto"/>
              </w:rPr>
            </w:pPr>
            <w:r>
              <w:rPr>
                <w:rFonts w:ascii="Arial" w:cs="Arial" w:eastAsia="Arial" w:hAnsi="Arial"/>
                <w:sz w:val="18"/>
                <w:szCs w:val="18"/>
                <w:color w:val="auto"/>
              </w:rPr>
              <w:t>6.02(a)</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obligor</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Offer Amount</w:t>
            </w:r>
          </w:p>
        </w:tc>
        <w:tc>
          <w:tcPr>
            <w:tcW w:w="3440" w:type="dxa"/>
            <w:vAlign w:val="bottom"/>
          </w:tcPr>
          <w:p>
            <w:pPr>
              <w:jc w:val="right"/>
              <w:spacing w:after="0"/>
              <w:rPr>
                <w:sz w:val="20"/>
                <w:szCs w:val="20"/>
                <w:color w:val="auto"/>
              </w:rPr>
            </w:pPr>
            <w:r>
              <w:rPr>
                <w:rFonts w:ascii="Arial" w:cs="Arial" w:eastAsia="Arial" w:hAnsi="Arial"/>
                <w:sz w:val="18"/>
                <w:szCs w:val="18"/>
                <w:color w:val="auto"/>
              </w:rPr>
              <w:t>3.09(b)</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Offer Period</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3.09(b)</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Pari Passu Indebtedness</w:t>
            </w:r>
          </w:p>
        </w:tc>
        <w:tc>
          <w:tcPr>
            <w:tcW w:w="3440" w:type="dxa"/>
            <w:vAlign w:val="bottom"/>
          </w:tcPr>
          <w:p>
            <w:pPr>
              <w:jc w:val="right"/>
              <w:spacing w:after="0"/>
              <w:rPr>
                <w:sz w:val="20"/>
                <w:szCs w:val="20"/>
                <w:color w:val="auto"/>
              </w:rPr>
            </w:pPr>
            <w:r>
              <w:rPr>
                <w:rFonts w:ascii="Arial" w:cs="Arial" w:eastAsia="Arial" w:hAnsi="Arial"/>
                <w:sz w:val="18"/>
                <w:szCs w:val="18"/>
                <w:color w:val="auto"/>
              </w:rPr>
              <w:t>4.10(b)</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Performance References</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Position Representation</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6.02(a)</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primary obligations</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primary obligor</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Purchase Date</w:t>
            </w:r>
          </w:p>
        </w:tc>
        <w:tc>
          <w:tcPr>
            <w:tcW w:w="3440" w:type="dxa"/>
            <w:vAlign w:val="bottom"/>
          </w:tcPr>
          <w:p>
            <w:pPr>
              <w:jc w:val="right"/>
              <w:spacing w:after="0"/>
              <w:rPr>
                <w:sz w:val="20"/>
                <w:szCs w:val="20"/>
                <w:color w:val="auto"/>
              </w:rPr>
            </w:pPr>
            <w:r>
              <w:rPr>
                <w:rFonts w:ascii="Arial" w:cs="Arial" w:eastAsia="Arial" w:hAnsi="Arial"/>
                <w:sz w:val="18"/>
                <w:szCs w:val="18"/>
                <w:color w:val="auto"/>
              </w:rPr>
              <w:t>3.09(b)</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Redemption Date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3.07(a)</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Redemption Notice Date</w:t>
            </w:r>
          </w:p>
        </w:tc>
        <w:tc>
          <w:tcPr>
            <w:tcW w:w="3440" w:type="dxa"/>
            <w:vAlign w:val="bottom"/>
          </w:tcPr>
          <w:p>
            <w:pPr>
              <w:jc w:val="right"/>
              <w:spacing w:after="0"/>
              <w:rPr>
                <w:sz w:val="20"/>
                <w:szCs w:val="20"/>
                <w:color w:val="auto"/>
              </w:rPr>
            </w:pPr>
            <w:r>
              <w:rPr>
                <w:rFonts w:ascii="Arial" w:cs="Arial" w:eastAsia="Arial" w:hAnsi="Arial"/>
                <w:sz w:val="18"/>
                <w:szCs w:val="18"/>
                <w:color w:val="auto"/>
              </w:rPr>
              <w:t>3.10</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refinance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4.09(q)</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refinanced</w:t>
            </w:r>
          </w:p>
        </w:tc>
        <w:tc>
          <w:tcPr>
            <w:tcW w:w="3440" w:type="dxa"/>
            <w:vAlign w:val="bottom"/>
          </w:tcPr>
          <w:p>
            <w:pPr>
              <w:jc w:val="right"/>
              <w:spacing w:after="0"/>
              <w:rPr>
                <w:sz w:val="20"/>
                <w:szCs w:val="20"/>
                <w:color w:val="auto"/>
              </w:rPr>
            </w:pPr>
            <w:r>
              <w:rPr>
                <w:rFonts w:ascii="Arial" w:cs="Arial" w:eastAsia="Arial" w:hAnsi="Arial"/>
                <w:sz w:val="18"/>
                <w:szCs w:val="18"/>
                <w:color w:val="auto"/>
              </w:rPr>
              <w:t>4.09(q)</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Refinanced Indebtedness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4.09(q)</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refinances</w:t>
            </w:r>
          </w:p>
        </w:tc>
        <w:tc>
          <w:tcPr>
            <w:tcW w:w="3440" w:type="dxa"/>
            <w:vAlign w:val="bottom"/>
          </w:tcPr>
          <w:p>
            <w:pPr>
              <w:jc w:val="right"/>
              <w:spacing w:after="0"/>
              <w:rPr>
                <w:sz w:val="20"/>
                <w:szCs w:val="20"/>
                <w:color w:val="auto"/>
              </w:rPr>
            </w:pPr>
            <w:r>
              <w:rPr>
                <w:rFonts w:ascii="Arial" w:cs="Arial" w:eastAsia="Arial" w:hAnsi="Arial"/>
                <w:sz w:val="18"/>
                <w:szCs w:val="18"/>
                <w:color w:val="auto"/>
              </w:rPr>
              <w:t>4.09(q)</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refinancing</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4.09(q)</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Refinancing Indebtedness</w:t>
            </w:r>
          </w:p>
        </w:tc>
        <w:tc>
          <w:tcPr>
            <w:tcW w:w="3440" w:type="dxa"/>
            <w:vAlign w:val="bottom"/>
          </w:tcPr>
          <w:p>
            <w:pPr>
              <w:jc w:val="right"/>
              <w:spacing w:after="0"/>
              <w:rPr>
                <w:sz w:val="20"/>
                <w:szCs w:val="20"/>
                <w:color w:val="auto"/>
              </w:rPr>
            </w:pPr>
            <w:r>
              <w:rPr>
                <w:rFonts w:ascii="Arial" w:cs="Arial" w:eastAsia="Arial" w:hAnsi="Arial"/>
                <w:sz w:val="18"/>
                <w:szCs w:val="18"/>
                <w:color w:val="auto"/>
              </w:rPr>
              <w:t>4.09(q)</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Refunding Capital Stock</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4.07(b)(viii)</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Registrar</w:t>
            </w:r>
          </w:p>
        </w:tc>
        <w:tc>
          <w:tcPr>
            <w:tcW w:w="3440" w:type="dxa"/>
            <w:vAlign w:val="bottom"/>
          </w:tcPr>
          <w:p>
            <w:pPr>
              <w:jc w:val="right"/>
              <w:spacing w:after="0"/>
              <w:rPr>
                <w:sz w:val="20"/>
                <w:szCs w:val="20"/>
                <w:color w:val="auto"/>
              </w:rPr>
            </w:pPr>
            <w:r>
              <w:rPr>
                <w:rFonts w:ascii="Arial" w:cs="Arial" w:eastAsia="Arial" w:hAnsi="Arial"/>
                <w:sz w:val="18"/>
                <w:szCs w:val="18"/>
                <w:color w:val="auto"/>
              </w:rPr>
              <w:t>2.03</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Related Person</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12.08(b)</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Restricted Debt Payments</w:t>
            </w:r>
          </w:p>
        </w:tc>
        <w:tc>
          <w:tcPr>
            <w:tcW w:w="3440" w:type="dxa"/>
            <w:vAlign w:val="bottom"/>
          </w:tcPr>
          <w:p>
            <w:pPr>
              <w:jc w:val="right"/>
              <w:spacing w:after="0"/>
              <w:rPr>
                <w:sz w:val="20"/>
                <w:szCs w:val="20"/>
                <w:color w:val="auto"/>
              </w:rPr>
            </w:pPr>
            <w:r>
              <w:rPr>
                <w:rFonts w:ascii="Arial" w:cs="Arial" w:eastAsia="Arial" w:hAnsi="Arial"/>
                <w:sz w:val="18"/>
                <w:szCs w:val="18"/>
                <w:color w:val="auto"/>
              </w:rPr>
              <w:t>4.07(a)(III)</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Restricted Payments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4.07(a)</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Reversion Date</w:t>
            </w:r>
          </w:p>
        </w:tc>
        <w:tc>
          <w:tcPr>
            <w:tcW w:w="3440" w:type="dxa"/>
            <w:vAlign w:val="bottom"/>
          </w:tcPr>
          <w:p>
            <w:pPr>
              <w:jc w:val="right"/>
              <w:spacing w:after="0"/>
              <w:rPr>
                <w:sz w:val="20"/>
                <w:szCs w:val="20"/>
                <w:color w:val="auto"/>
              </w:rPr>
            </w:pPr>
            <w:r>
              <w:rPr>
                <w:rFonts w:ascii="Arial" w:cs="Arial" w:eastAsia="Arial" w:hAnsi="Arial"/>
                <w:sz w:val="18"/>
                <w:szCs w:val="18"/>
                <w:color w:val="auto"/>
              </w:rPr>
              <w:t>4.16(b)</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Rule 2.7 announcement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1.05(a)</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run rate</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Run Rate Benefits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Run Rate Initiative</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Second Change of Control Payment Date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4.14(d)</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Security Document Order</w:t>
            </w:r>
          </w:p>
        </w:tc>
        <w:tc>
          <w:tcPr>
            <w:tcW w:w="3440" w:type="dxa"/>
            <w:vAlign w:val="bottom"/>
          </w:tcPr>
          <w:p>
            <w:pPr>
              <w:jc w:val="right"/>
              <w:spacing w:after="0"/>
              <w:rPr>
                <w:sz w:val="20"/>
                <w:szCs w:val="20"/>
                <w:color w:val="auto"/>
              </w:rPr>
            </w:pPr>
            <w:r>
              <w:rPr>
                <w:rFonts w:ascii="Arial" w:cs="Arial" w:eastAsia="Arial" w:hAnsi="Arial"/>
                <w:sz w:val="18"/>
                <w:szCs w:val="18"/>
                <w:color w:val="auto"/>
              </w:rPr>
              <w:t>12.08(r)</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Special Mandatory Redemption Date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Special Mandatory Redemption Price</w:t>
            </w:r>
          </w:p>
        </w:tc>
        <w:tc>
          <w:tcPr>
            <w:tcW w:w="3440" w:type="dxa"/>
            <w:vAlign w:val="bottom"/>
          </w:tcPr>
          <w:p>
            <w:pPr>
              <w:jc w:val="right"/>
              <w:spacing w:after="0"/>
              <w:rPr>
                <w:sz w:val="20"/>
                <w:szCs w:val="20"/>
                <w:color w:val="auto"/>
              </w:rPr>
            </w:pPr>
            <w:r>
              <w:rPr>
                <w:rFonts w:ascii="Arial" w:cs="Arial" w:eastAsia="Arial" w:hAnsi="Arial"/>
                <w:sz w:val="18"/>
                <w:szCs w:val="18"/>
                <w:color w:val="auto"/>
              </w:rPr>
              <w:t>3.10</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Special Mandatory Redemption Outside Date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Specified Hedge Agreement</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specified transaction</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1.06(g)</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Statement of Use</w:t>
            </w:r>
          </w:p>
        </w:tc>
        <w:tc>
          <w:tcPr>
            <w:tcW w:w="3440" w:type="dxa"/>
            <w:vAlign w:val="bottom"/>
          </w:tcPr>
          <w:p>
            <w:pPr>
              <w:jc w:val="right"/>
              <w:spacing w:after="0"/>
              <w:rPr>
                <w:sz w:val="20"/>
                <w:szCs w:val="20"/>
                <w:color w:val="auto"/>
              </w:rPr>
            </w:pPr>
            <w:r>
              <w:rPr>
                <w:rFonts w:ascii="Arial" w:cs="Arial" w:eastAsia="Arial" w:hAnsi="Arial"/>
                <w:sz w:val="18"/>
                <w:szCs w:val="18"/>
                <w:color w:val="auto"/>
              </w:rPr>
              <w:t>1.01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Subject Lien</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4.12(a)</w:t>
            </w:r>
          </w:p>
        </w:tc>
        <w:tc>
          <w:tcPr>
            <w:tcW w:w="3380" w:type="dxa"/>
            <w:vAlign w:val="bottom"/>
          </w:tcPr>
          <w:p>
            <w:pPr>
              <w:spacing w:after="0"/>
              <w:rPr>
                <w:sz w:val="18"/>
                <w:szCs w:val="18"/>
                <w:color w:val="auto"/>
              </w:rPr>
            </w:pPr>
          </w:p>
        </w:tc>
      </w:tr>
      <w:tr>
        <w:trPr>
          <w:trHeight w:val="582"/>
        </w:trPr>
        <w:tc>
          <w:tcPr>
            <w:tcW w:w="4420" w:type="dxa"/>
            <w:vAlign w:val="bottom"/>
          </w:tcPr>
          <w:p>
            <w:pPr>
              <w:spacing w:after="0"/>
              <w:rPr>
                <w:sz w:val="24"/>
                <w:szCs w:val="24"/>
                <w:color w:val="auto"/>
              </w:rPr>
            </w:pPr>
          </w:p>
        </w:tc>
        <w:tc>
          <w:tcPr>
            <w:tcW w:w="3440" w:type="dxa"/>
            <w:vAlign w:val="bottom"/>
          </w:tcPr>
          <w:p>
            <w:pPr>
              <w:jc w:val="right"/>
              <w:ind w:right="2070"/>
              <w:spacing w:after="0"/>
              <w:rPr>
                <w:sz w:val="20"/>
                <w:szCs w:val="20"/>
                <w:color w:val="auto"/>
              </w:rPr>
            </w:pPr>
            <w:r>
              <w:rPr>
                <w:rFonts w:ascii="Arial" w:cs="Arial" w:eastAsia="Arial" w:hAnsi="Arial"/>
                <w:sz w:val="14"/>
                <w:szCs w:val="14"/>
                <w:color w:val="auto"/>
              </w:rPr>
              <w:t>69</w:t>
            </w:r>
          </w:p>
        </w:tc>
        <w:tc>
          <w:tcPr>
            <w:tcW w:w="3380" w:type="dxa"/>
            <w:vAlign w:val="bottom"/>
          </w:tcPr>
          <w:p>
            <w:pPr>
              <w:spacing w:after="0"/>
              <w:rPr>
                <w:sz w:val="24"/>
                <w:szCs w:val="24"/>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Defined in Section</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Subject Person</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Successor Company</w:t>
            </w:r>
          </w:p>
        </w:tc>
        <w:tc>
          <w:tcPr>
            <w:tcW w:w="3800" w:type="dxa"/>
            <w:vAlign w:val="bottom"/>
          </w:tcPr>
          <w:p>
            <w:pPr>
              <w:jc w:val="right"/>
              <w:spacing w:after="0"/>
              <w:rPr>
                <w:sz w:val="20"/>
                <w:szCs w:val="20"/>
                <w:color w:val="auto"/>
              </w:rPr>
            </w:pPr>
            <w:r>
              <w:rPr>
                <w:rFonts w:ascii="Arial" w:cs="Arial" w:eastAsia="Arial" w:hAnsi="Arial"/>
                <w:sz w:val="18"/>
                <w:szCs w:val="18"/>
                <w:color w:val="auto"/>
              </w:rPr>
              <w:t>5.01(a)(i)</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Successor Guarantor</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5.01(c)(1)(A)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Suspended Covenants</w:t>
            </w:r>
          </w:p>
        </w:tc>
        <w:tc>
          <w:tcPr>
            <w:tcW w:w="3800" w:type="dxa"/>
            <w:vAlign w:val="bottom"/>
          </w:tcPr>
          <w:p>
            <w:pPr>
              <w:jc w:val="right"/>
              <w:spacing w:after="0"/>
              <w:rPr>
                <w:sz w:val="20"/>
                <w:szCs w:val="20"/>
                <w:color w:val="auto"/>
              </w:rPr>
            </w:pPr>
            <w:r>
              <w:rPr>
                <w:rFonts w:ascii="Arial" w:cs="Arial" w:eastAsia="Arial" w:hAnsi="Arial"/>
                <w:sz w:val="18"/>
                <w:szCs w:val="18"/>
                <w:color w:val="auto"/>
              </w:rPr>
              <w:t>4.16(a)</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Suspension Period</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4.16(c)</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Testing Party</w:t>
            </w:r>
          </w:p>
        </w:tc>
        <w:tc>
          <w:tcPr>
            <w:tcW w:w="3800" w:type="dxa"/>
            <w:vAlign w:val="bottom"/>
          </w:tcPr>
          <w:p>
            <w:pPr>
              <w:jc w:val="right"/>
              <w:spacing w:after="0"/>
              <w:rPr>
                <w:sz w:val="20"/>
                <w:szCs w:val="20"/>
                <w:color w:val="auto"/>
              </w:rPr>
            </w:pPr>
            <w:r>
              <w:rPr>
                <w:rFonts w:ascii="Arial" w:cs="Arial" w:eastAsia="Arial" w:hAnsi="Arial"/>
                <w:sz w:val="18"/>
                <w:szCs w:val="18"/>
                <w:color w:val="auto"/>
              </w:rPr>
              <w:t>1.05(a)</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Treasury Capital Stock</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4.07(b)(viii)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Verification Covenant</w:t>
            </w:r>
          </w:p>
        </w:tc>
        <w:tc>
          <w:tcPr>
            <w:tcW w:w="3800" w:type="dxa"/>
            <w:vAlign w:val="bottom"/>
          </w:tcPr>
          <w:p>
            <w:pPr>
              <w:jc w:val="right"/>
              <w:spacing w:after="0"/>
              <w:rPr>
                <w:sz w:val="20"/>
                <w:szCs w:val="20"/>
                <w:color w:val="auto"/>
              </w:rPr>
            </w:pPr>
            <w:r>
              <w:rPr>
                <w:rFonts w:ascii="Arial" w:cs="Arial" w:eastAsia="Arial" w:hAnsi="Arial"/>
                <w:sz w:val="18"/>
                <w:szCs w:val="18"/>
                <w:color w:val="auto"/>
              </w:rPr>
              <w:t>6.02(a)</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withdrawal deadline</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4.14(a)(6)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 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any other provision in this Indenture, no obligation or requirement under the Trust Indenture Act shall be applicable to the Issuer or any Guarantor.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words “shall” and “will” are intended to have the same meaning;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words “without limitation”;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auto"/>
        </w:rPr>
      </w:pPr>
    </w:p>
    <w:p>
      <w:pPr>
        <w:ind w:firstLine="1304"/>
        <w:spacing w:after="0" w:line="277" w:lineRule="auto"/>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firstLine="1304"/>
        <w:spacing w:after="0" w:line="277" w:lineRule="auto"/>
        <w:tabs>
          <w:tab w:leader="none" w:pos="21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“Section”, “clause” or “Exhibit” refers to an Article, Section, clause or Exhibit, as the case may be, of this Indenture;</w:t>
      </w:r>
    </w:p>
    <w:p>
      <w:pPr>
        <w:spacing w:after="0" w:line="170" w:lineRule="exact"/>
        <w:rPr>
          <w:rFonts w:ascii="Arial" w:cs="Arial" w:eastAsia="Arial" w:hAnsi="Arial"/>
          <w:sz w:val="18"/>
          <w:szCs w:val="18"/>
          <w:color w:val="auto"/>
        </w:rPr>
      </w:pPr>
    </w:p>
    <w:p>
      <w:pPr>
        <w:ind w:firstLine="1304"/>
        <w:spacing w:after="0" w:line="277" w:lineRule="auto"/>
        <w:tabs>
          <w:tab w:leader="none" w:pos="19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any particular Article, Section, clause, other subdivision or Exhibit; and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firstLine="1304"/>
        <w:spacing w:after="0" w:line="263" w:lineRule="auto"/>
        <w:tabs>
          <w:tab w:leader="none" w:pos="22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LIMITED CONDITION TRANSACTIONS.</w:t>
      </w:r>
    </w:p>
    <w:p>
      <w:pPr>
        <w:spacing w:after="0" w:line="225" w:lineRule="exact"/>
        <w:rPr>
          <w:sz w:val="20"/>
          <w:szCs w:val="20"/>
          <w:color w:val="auto"/>
        </w:rPr>
      </w:pPr>
    </w:p>
    <w:p>
      <w:pPr>
        <w:ind w:left="1960" w:hanging="656"/>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connection with any action being taken solely in connection with a Limited Condition Transaction, for purposes of:</w:t>
      </w:r>
    </w:p>
    <w:p>
      <w:pPr>
        <w:spacing w:after="0" w:line="225" w:lineRule="exact"/>
        <w:rPr>
          <w:rFonts w:ascii="Arial" w:cs="Arial" w:eastAsia="Arial" w:hAnsi="Arial"/>
          <w:sz w:val="18"/>
          <w:szCs w:val="18"/>
          <w:color w:val="auto"/>
        </w:rPr>
      </w:pPr>
    </w:p>
    <w:p>
      <w:pPr>
        <w:ind w:firstLine="1952"/>
        <w:spacing w:after="0" w:line="277" w:lineRule="auto"/>
        <w:tabs>
          <w:tab w:leader="none" w:pos="2541"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Indenture that requires the calculation of the Fixed Charge Coverage Ratio, Consolidated Total Debt Ratio, Consolidated First Lien Debt Ratio or Consolidated Secured Debt Ratio;</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determining whether a Default or Event of Default shall have occurred and be continuing (or any subset of Defaults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Events of Default); or</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743"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testing availability under baskets, ratios or financial metrics under this Indenture (including those measured as a percentage of Consolidated EBITDA, Annualized EBITDA, Fixed Charges or Consolidated Total Assets or by reference to clause (2)(a)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4.07(a)</w:t>
      </w:r>
      <w:r>
        <w:rPr>
          <w:rFonts w:ascii="Arial" w:cs="Arial" w:eastAsia="Arial" w:hAnsi="Arial"/>
          <w:sz w:val="18"/>
          <w:szCs w:val="18"/>
          <w:color w:val="auto"/>
        </w:rPr>
        <w: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each case, at the option of the Issuer, any of its Restricted Subsidiaries or any successor entity of any of the foregoing (including a third party) (the “</w:t>
      </w:r>
      <w:r>
        <w:rPr>
          <w:rFonts w:ascii="Arial" w:cs="Arial" w:eastAsia="Arial" w:hAnsi="Arial"/>
          <w:sz w:val="16"/>
          <w:szCs w:val="16"/>
          <w:u w:val="single" w:color="auto"/>
          <w:color w:val="auto"/>
        </w:rPr>
        <w:t>Testing Party</w:t>
      </w:r>
      <w:r>
        <w:rPr>
          <w:rFonts w:ascii="Arial" w:cs="Arial" w:eastAsia="Arial" w:hAnsi="Arial"/>
          <w:sz w:val="16"/>
          <w:szCs w:val="16"/>
          <w:color w:val="auto"/>
        </w:rPr>
        <w:t>”, and the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Indenture,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w:t>
      </w:r>
      <w:r>
        <w:rPr>
          <w:rFonts w:ascii="Arial" w:cs="Arial" w:eastAsia="Arial" w:hAnsi="Arial"/>
          <w:sz w:val="16"/>
          <w:szCs w:val="16"/>
          <w:u w:val="single" w:color="auto"/>
          <w:color w:val="auto"/>
        </w:rPr>
        <w:t>Rule 2.7</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announcement</w:t>
      </w:r>
      <w:r>
        <w:rPr>
          <w:rFonts w:ascii="Arial" w:cs="Arial" w:eastAsia="Arial" w:hAnsi="Arial"/>
          <w:sz w:val="16"/>
          <w:szCs w:val="16"/>
          <w:color w:val="auto"/>
        </w:rPr>
        <w:t>” of a firm intent to make an offer or similar announcement or determination in another jurisdiction subject to laws similar to the United Kingdom City Code on Takeovers and Mergers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is made, and if, after giving pro forma effect to the Limited Condition Transaction and the other transactions to be entered into in connection therewith (including any acquisitions, Investments, the incurrence or issuance of Indebtedness, Disqualified Stock, Preferred Stock or Liens and the use of proceeds thereof, Restricted Payments and Asset Sales) as if they had occurred at the beginning of the most recent Test Period ending prior to the LCT Test Date, the Issuer could have taken such action on the relevant LCT Test Date in compliance with such ratio, basket or financial metric, such ratio, basket or financial metric shall be deemed to have been complied with. The Issuer will be deemed to have made an LCT Election with respect to the Mergers as of the Issue Date.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both"/>
        <w:ind w:firstLine="1304"/>
        <w:spacing w:after="0" w:line="284" w:lineRule="auto"/>
        <w:tabs>
          <w:tab w:leader="none" w:pos="19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Annualized EBITDA of the Issuer,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contemplated in clause (a) of the immediately succeeding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Indenture.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CERTAIN COMPLIANCE DETERMINATIONS.</w:t>
      </w:r>
    </w:p>
    <w:p>
      <w:pPr>
        <w:spacing w:after="0" w:line="225" w:lineRule="exact"/>
        <w:rPr>
          <w:sz w:val="20"/>
          <w:szCs w:val="20"/>
          <w:color w:val="auto"/>
        </w:rPr>
      </w:pPr>
    </w:p>
    <w:p>
      <w:pPr>
        <w:jc w:val="both"/>
        <w:ind w:firstLine="1304"/>
        <w:spacing w:after="0" w:line="286" w:lineRule="auto"/>
        <w:tabs>
          <w:tab w:leader="none" w:pos="20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but subject to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all financial ratios, tests, covenants, calculations and measurements (including Consolidated Total Debt Ratio, Consolidated Secured Debt Ratio, Consolidated First Lien Debt Ratio, Fixed Charge Coverage Ratio, Consolidated Interest Expense, Fixed Charges, Consolidated Net Income, Consolidated Total Assets, Consolidated EBITDA, Annualized EBITDA, any Fixed Amount or any Incurrence-Based Amount) contained in this Indenture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Issuer instead, so long as such parent company does not hold any material assets other than, directly or indirectly, the Equity Interests of the Issuer (as determined in good faith by the Board of Directors or senior management of the Issuer (or any parent company of the Issuer)).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Issuer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w:t>
      </w:r>
      <w:r>
        <w:rPr>
          <w:rFonts w:ascii="Arial" w:cs="Arial" w:eastAsia="Arial" w:hAnsi="Arial"/>
          <w:sz w:val="16"/>
          <w:szCs w:val="16"/>
          <w:u w:val="single" w:color="auto"/>
          <w:color w:val="auto"/>
        </w:rPr>
        <w:t>run rate</w:t>
      </w:r>
      <w:r>
        <w:rPr>
          <w:rFonts w:ascii="Arial" w:cs="Arial" w:eastAsia="Arial" w:hAnsi="Arial"/>
          <w:sz w:val="16"/>
          <w:szCs w:val="16"/>
          <w:color w:val="auto"/>
        </w:rPr>
        <w:t>” income described, and calculated as set forth, in clause (e)(i) of the definition of Consolidated EBITDA) had occurred at the beginning of the applicable period.</w:t>
      </w:r>
    </w:p>
    <w:p>
      <w:pPr>
        <w:spacing w:after="0" w:line="170" w:lineRule="exact"/>
        <w:rPr>
          <w:rFonts w:ascii="Arial" w:cs="Arial" w:eastAsia="Arial" w:hAnsi="Arial"/>
          <w:sz w:val="16"/>
          <w:szCs w:val="16"/>
          <w:color w:val="auto"/>
        </w:rPr>
      </w:pPr>
    </w:p>
    <w:p>
      <w:pPr>
        <w:jc w:val="both"/>
        <w:ind w:firstLine="1304"/>
        <w:spacing w:after="0" w:line="290" w:lineRule="auto"/>
        <w:tabs>
          <w:tab w:leader="none" w:pos="18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For purposes of determining the permissibility of any action, change, transaction or event that requires a calculation of any Fixed Amounts, Incurrence-Based Amounts or financial ratio, test, covenant, calculation or measurement (including Consolidated Total Debt Ratio, Consolidated Secured Debt Ratio, Consolidated First Lien Debt Ratio, Fixed Charge Coverage Ratio, Consolidated Interest Expense, Fixed Charges, Consolidated Net Income, Consolidated Total Assets, Consolidated EBITDA and Annualized EBITDA), such Fixed Amounts, Incurrence-Based Amounts or financial ratio, test, covenant, calculation or measurement shall be calculated at the time such action is taken (subject to </w:t>
      </w:r>
      <w:r>
        <w:rPr>
          <w:rFonts w:ascii="Arial" w:cs="Arial" w:eastAsia="Arial" w:hAnsi="Arial"/>
          <w:sz w:val="16"/>
          <w:szCs w:val="16"/>
          <w:u w:val="single" w:color="auto"/>
          <w:color w:val="auto"/>
        </w:rPr>
        <w:t>Section 1.05</w:t>
      </w:r>
      <w:r>
        <w:rPr>
          <w:rFonts w:ascii="Arial" w:cs="Arial" w:eastAsia="Arial" w:hAnsi="Arial"/>
          <w:sz w:val="16"/>
          <w:szCs w:val="16"/>
          <w:color w:val="auto"/>
        </w:rPr>
        <w:t>), such change is made, such transaction is 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 transaction is consummated or such event occurs, as the case may be.</w:t>
      </w:r>
    </w:p>
    <w:p>
      <w:pPr>
        <w:spacing w:after="0" w:line="165" w:lineRule="exact"/>
        <w:rPr>
          <w:rFonts w:ascii="Arial" w:cs="Arial" w:eastAsia="Arial" w:hAnsi="Arial"/>
          <w:sz w:val="16"/>
          <w:szCs w:val="16"/>
          <w:color w:val="auto"/>
        </w:rPr>
      </w:pPr>
    </w:p>
    <w:p>
      <w:pPr>
        <w:jc w:val="both"/>
        <w:ind w:firstLine="1304"/>
        <w:spacing w:after="0" w:line="290" w:lineRule="auto"/>
        <w:tabs>
          <w:tab w:leader="none" w:pos="1909"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Notwithstanding anything in this Indenture to the contrary, with respect to any amounts incurred or transactions entered into (or consummated) in reliance on a provision of this Indenture (including any covenant), including in connection with any Limited Condition Transaction, that does not require compliance with a financial ratio or test (including Consolidated Secured Debt Ratio, Consolidated Total Debt Ratio, Consolidated First Lien Debt Ratio and/or Fixed Charge Coverage Ratio) (any such amounts, the “</w:t>
      </w:r>
      <w:r>
        <w:rPr>
          <w:rFonts w:ascii="Arial" w:cs="Arial" w:eastAsia="Arial" w:hAnsi="Arial"/>
          <w:sz w:val="16"/>
          <w:szCs w:val="16"/>
          <w:u w:val="single" w:color="auto"/>
          <w:color w:val="auto"/>
        </w:rPr>
        <w:t>Fixed Amounts</w:t>
      </w:r>
      <w:r>
        <w:rPr>
          <w:rFonts w:ascii="Arial" w:cs="Arial" w:eastAsia="Arial" w:hAnsi="Arial"/>
          <w:sz w:val="16"/>
          <w:szCs w:val="16"/>
          <w:color w:val="auto"/>
        </w:rPr>
        <w:t>”) substantially concurrently (or in connection with the same Limited Condition Transaction) with any amounts incurred or transactions entered into (or consummated) in reliance on a provision of this Indenture that requires compliance with a financial ratio or test (including Consolidated Secured Debt Ratio, Consolidated Total Debt Ratio, Consolidated First Lien Debt Ratio and/or Fixed Charge Coverage Ratio) (any such amounts, the “</w:t>
      </w:r>
      <w:r>
        <w:rPr>
          <w:rFonts w:ascii="Arial" w:cs="Arial" w:eastAsia="Arial" w:hAnsi="Arial"/>
          <w:sz w:val="16"/>
          <w:szCs w:val="16"/>
          <w:u w:val="single" w:color="auto"/>
          <w:color w:val="auto"/>
        </w:rPr>
        <w:t>Incurrence-Based Amounts</w:t>
      </w:r>
      <w:r>
        <w:rPr>
          <w:rFonts w:ascii="Arial" w:cs="Arial" w:eastAsia="Arial" w:hAnsi="Arial"/>
          <w:sz w:val="16"/>
          <w:szCs w:val="16"/>
          <w:color w:val="auto"/>
        </w:rPr>
        <w:t>”), it is understood and agreed that the Fixed Amounts shall be disregarded in the calculation of the financial ratio or test applicable to the Incurrence-Based Amounts.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both"/>
        <w:ind w:firstLine="1304"/>
        <w:spacing w:after="0" w:line="257" w:lineRule="auto"/>
        <w:tabs>
          <w:tab w:leader="none" w:pos="19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in this Indenture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Issuer and its Restricted Subsidiaries (as reasonably determined by the Issuer).</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193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at any time with </w:t>
      </w:r>
      <w:r>
        <w:rPr>
          <w:rFonts w:ascii="Arial" w:cs="Arial" w:eastAsia="Arial" w:hAnsi="Arial"/>
          <w:sz w:val="17"/>
          <w:szCs w:val="17"/>
          <w:u w:val="single" w:color="auto"/>
          <w:color w:val="auto"/>
        </w:rPr>
        <w:t>Sections 4.07</w:t>
      </w:r>
      <w:r>
        <w:rPr>
          <w:rFonts w:ascii="Arial" w:cs="Arial" w:eastAsia="Arial" w:hAnsi="Arial"/>
          <w:sz w:val="17"/>
          <w:szCs w:val="17"/>
          <w:color w:val="auto"/>
        </w:rPr>
        <w:t xml:space="preserve">, </w:t>
      </w:r>
      <w:r>
        <w:rPr>
          <w:rFonts w:ascii="Arial" w:cs="Arial" w:eastAsia="Arial" w:hAnsi="Arial"/>
          <w:sz w:val="17"/>
          <w:szCs w:val="17"/>
          <w:u w:val="single" w:color="auto"/>
          <w:color w:val="auto"/>
        </w:rPr>
        <w:t>4.08</w:t>
      </w:r>
      <w:r>
        <w:rPr>
          <w:rFonts w:ascii="Arial" w:cs="Arial" w:eastAsia="Arial" w:hAnsi="Arial"/>
          <w:sz w:val="17"/>
          <w:szCs w:val="17"/>
          <w:color w:val="auto"/>
        </w:rPr>
        <w:t xml:space="preserve">, </w:t>
      </w:r>
      <w:r>
        <w:rPr>
          <w:rFonts w:ascii="Arial" w:cs="Arial" w:eastAsia="Arial" w:hAnsi="Arial"/>
          <w:sz w:val="17"/>
          <w:szCs w:val="17"/>
          <w:u w:val="single" w:color="auto"/>
          <w:color w:val="auto"/>
        </w:rPr>
        <w:t>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the first paragraph or any clause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any clause of the definition of “Permitted Liens”,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or any clause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4.07(b)</w:t>
      </w:r>
      <w:r>
        <w:rPr>
          <w:rFonts w:ascii="Arial" w:cs="Arial" w:eastAsia="Arial" w:hAnsi="Arial"/>
          <w:sz w:val="17"/>
          <w:szCs w:val="17"/>
          <w:color w:val="auto"/>
        </w:rPr>
        <w:t xml:space="preserve">, any clause of the second paragraph of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any clause of the definition of “Permitted Investment”, any clause of the definition of “Asset Sale” and any dispositions constituting exceptions thereto and any clause under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the Issuer, in its sole discretion, may, from time to time, classify or reclassify such transaction or item (or portion thereof) and will only be required to include the amount and type of such transaction (or portion thereof) in any one category;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spacing w:after="0" w:line="186" w:lineRule="exact"/>
        <w:rPr>
          <w:rFonts w:ascii="Arial" w:cs="Arial" w:eastAsia="Arial" w:hAnsi="Arial"/>
          <w:sz w:val="17"/>
          <w:szCs w:val="17"/>
          <w:color w:val="auto"/>
        </w:rPr>
      </w:pPr>
    </w:p>
    <w:p>
      <w:pPr>
        <w:jc w:val="both"/>
        <w:ind w:firstLine="1304"/>
        <w:spacing w:after="0" w:line="255" w:lineRule="auto"/>
        <w:tabs>
          <w:tab w:leader="none" w:pos="20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in this Indenture to the contrary, so long as an action was taken (or not taken) in reliance upon a basket, ratio or test under this Indenture that was calculated or determined in good faith by a responsible financial or accounting officer of the Issuer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Indenture.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both"/>
        <w:ind w:firstLine="1304"/>
        <w:spacing w:after="0" w:line="284" w:lineRule="auto"/>
        <w:tabs>
          <w:tab w:leader="none" w:pos="20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purposes of any determination under this Indenture (other than the calculation of compliance with any financial ratio for purposes of taking any action under this Indenture) with respect to the amount of any Indebtedness, Lien, Restricted Payment, Investment, Asset Sale, Sale and Lease-Back Transaction, Affiliate Transaction or other transaction, event or circumstance, or any determination under any other provision of this Indenture (any of the foregoing, a “</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requiring the use of a current exchange rate, (i) the equivalent amount in U.S. dollars of a specified transaction in a currency other than U.S. dollars shall be calculated based on the relevant exchange rate, as may be determined by the Issuer in good faith, for such foreign currency (the “</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on the date of such determination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Indenture, on any relevant date of determination, amounts denominated in currencies other than U.S. dollars shall be translated into U.S. dollars at the applicable Exchange Rate used in preparing the financial statements delivered pursuant to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Indenture in respect of currency exchange risks with respect to the applicable currency in effect on the date of determination for the U.S. dollar equivalent amount of such Indebtedness.</w:t>
      </w:r>
    </w:p>
    <w:p>
      <w:pPr>
        <w:spacing w:after="0" w:line="394" w:lineRule="exact"/>
        <w:rPr>
          <w:rFonts w:ascii="Arial" w:cs="Arial" w:eastAsia="Arial" w:hAnsi="Arial"/>
          <w:sz w:val="16"/>
          <w:szCs w:val="16"/>
          <w:color w:val="auto"/>
        </w:rPr>
      </w:pPr>
    </w:p>
    <w:p>
      <w:pPr>
        <w:jc w:val="both"/>
        <w:ind w:firstLine="1304"/>
        <w:spacing w:after="0" w:line="269" w:lineRule="auto"/>
        <w:tabs>
          <w:tab w:leader="none" w:pos="1937"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For purposes of the calculation of the Consolidated First Lien Debt Ratio, Consolidated Secured Debt Ratio, Consolidated Total Debt Ratio and Fixed Charge Coverage Ratio, in connection with the incurrence of any Indebtedness pursuant to the first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such Person may elect to treat all or any portion of the commitment (such amount elected until revoked as described below, the “</w:t>
      </w:r>
      <w:r>
        <w:rPr>
          <w:rFonts w:ascii="Arial" w:cs="Arial" w:eastAsia="Arial" w:hAnsi="Arial"/>
          <w:sz w:val="17"/>
          <w:szCs w:val="17"/>
          <w:u w:val="single" w:color="auto"/>
          <w:color w:val="auto"/>
        </w:rPr>
        <w:t>Elected Amount</w:t>
      </w:r>
      <w:r>
        <w:rPr>
          <w:rFonts w:ascii="Arial" w:cs="Arial" w:eastAsia="Arial" w:hAnsi="Arial"/>
          <w:sz w:val="17"/>
          <w:szCs w:val="17"/>
          <w:color w:val="auto"/>
        </w:rPr>
        <w:t>”) under any Indebtedness which is to be incurred (or any commitment in respect thereof) or secured by such Lien (whether by the Issuer, its Restricted Subsidiaries or any third party), as the case may be, as being incurred or secured, as the case may be, as of the date of determination and (i) any subsequent incurrence of such Indebtedness under such 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Consolidated Secured Debt Ratio, Consolidated Total Debt Ratio and Fixed Charge Coverage Ratio, the Elected Amount (if any) shall be deemed to be outstanding, whether or not such amount is actually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-3601720</wp:posOffset>
            </wp:positionV>
            <wp:extent cx="368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3" w:lineRule="auto"/>
        <w:tabs>
          <w:tab w:leader="none" w:pos="1954"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conclusive in favor of the Trustee and the Issuer, if made in the manner provided in this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55" w:lineRule="auto"/>
        <w:tabs>
          <w:tab w:leader="none" w:pos="19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8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98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76" w:lineRule="exact"/>
        <w:rPr>
          <w:rFonts w:ascii="Arial" w:cs="Arial" w:eastAsia="Arial" w:hAnsi="Arial"/>
          <w:sz w:val="17"/>
          <w:szCs w:val="17"/>
          <w:color w:val="auto"/>
        </w:rPr>
      </w:pPr>
    </w:p>
    <w:p>
      <w:pPr>
        <w:jc w:val="both"/>
        <w:ind w:firstLine="1304"/>
        <w:spacing w:after="0" w:line="301" w:lineRule="auto"/>
        <w:tabs>
          <w:tab w:leader="none" w:pos="19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w:t>
      </w:r>
      <w:r>
        <w:rPr>
          <w:rFonts w:ascii="Arial" w:cs="Arial" w:eastAsia="Arial" w:hAnsi="Arial"/>
          <w:sz w:val="16"/>
          <w:szCs w:val="16"/>
          <w:u w:val="single" w:color="auto"/>
          <w:color w:val="auto"/>
        </w:rPr>
        <w:t>Section 1.07(f)</w:t>
      </w:r>
      <w:r>
        <w:rPr>
          <w:rFonts w:ascii="Arial" w:cs="Arial" w:eastAsia="Arial" w:hAnsi="Arial"/>
          <w:sz w:val="16"/>
          <w:szCs w:val="16"/>
          <w:color w:val="auto"/>
        </w:rPr>
        <w:t xml:space="preserve"> shall have the same effect as if given or taken by separate Holders of each such different part.</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91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both"/>
        <w:ind w:firstLine="1304"/>
        <w:spacing w:after="0" w:line="254" w:lineRule="auto"/>
        <w:tabs>
          <w:tab w:leader="none" w:pos="19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AND DATING; TERMS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92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Notes and the Trustee’s certificate of authentication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The Notes may have notations, legends or endorsements required by law, stock exchange rules or usage. Each Note shall be dated the date of its authentication. The Notes shall be in minimum denominations of $2,000 and integral multiples of $1,000 in excess thereof.</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201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Global Notes</w:t>
      </w:r>
      <w:r>
        <w:rPr>
          <w:rFonts w:ascii="Arial" w:cs="Arial" w:eastAsia="Arial" w:hAnsi="Arial"/>
          <w:sz w:val="17"/>
          <w:szCs w:val="17"/>
          <w:color w:val="auto"/>
        </w:rPr>
        <w:t xml:space="preserve">. Notes issued in global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(including the Global Note Legend 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repurchases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79" w:lineRule="auto"/>
        <w:tabs>
          <w:tab w:leader="none" w:pos="2134"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Regulation S Global Notes and 144A Global Notes</w:t>
      </w:r>
      <w:r>
        <w:rPr>
          <w:rFonts w:ascii="Arial" w:cs="Arial" w:eastAsia="Arial" w:hAnsi="Arial"/>
          <w:sz w:val="17"/>
          <w:szCs w:val="17"/>
          <w:color w:val="auto"/>
        </w:rPr>
        <w:t>. Notes offered and sold in reliance on (i) Regulation S shall be issued initially in the form of a Regulation S Global Note and (ii) Rule 144A shall be issued initially in the form of a 144A Global Note; each such Global note shall be deposited on behalf of the holders of the Notes represented thereby with the Trustee, as custodian for the Depositary, and registered in the name of the Depositary or the nominee of the Depositary, duly executed by the Issuer and authenticated by the Trustee as hereinafter provided.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both"/>
        <w:ind w:firstLine="648"/>
        <w:spacing w:after="0" w:line="263" w:lineRule="auto"/>
        <w:rPr>
          <w:sz w:val="20"/>
          <w:szCs w:val="20"/>
          <w:color w:val="auto"/>
        </w:rPr>
      </w:pPr>
      <w:r>
        <w:rPr>
          <w:rFonts w:ascii="Arial" w:cs="Arial" w:eastAsia="Arial" w:hAnsi="Arial"/>
          <w:sz w:val="18"/>
          <w:szCs w:val="18"/>
          <w:color w:val="auto"/>
        </w:rPr>
        <w:t>The aggregate principal amount of a Regulation S Global Note or a 144A Global Note may from time to time be increased or decreased by adjustments made on the records of the Trustee and the Depositary or its nominee, as the case may be, in connection with transfers of interest as hereinafter provided.</w:t>
      </w:r>
    </w:p>
    <w:p>
      <w:pPr>
        <w:spacing w:after="0" w:line="184" w:lineRule="exact"/>
        <w:rPr>
          <w:sz w:val="20"/>
          <w:szCs w:val="20"/>
          <w:color w:val="auto"/>
        </w:rPr>
      </w:pPr>
    </w:p>
    <w:p>
      <w:pPr>
        <w:ind w:left="1960" w:hanging="656"/>
        <w:spacing w:after="0"/>
        <w:tabs>
          <w:tab w:leader="none" w:pos="196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The aggregate principal amount of Notes that may be authenticated and delivered under this Indenture is unlimited.</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Notes shall be subject to repurchase by the Issuer pursuant to an Asset Sale Offer as provided in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a Change of Control Offer as provided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The Notes shall not be redeemable, other than as provided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4.14(d)</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Subject to compliance with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the Issuer may issue Additional Notes from time to time after the Issue Date under this Indenture without notice to or consent of the Holders. The Initial Notes and any Additional Notes shall be treated as a single class for all purposes under this Indenture, including waivers, amendments, redemptions and offers to purchase, and shall have the same terms as to status, redemption and otherwise as the Initial Notes (other than the issue date, issue price, first interest payment amount and first interest payment date,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such Additional Notes are issued following the date of the consummation of the GMLP Merger, such Additional Notes shall not be subject to the provisions described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any Additional Notes are not fungible with the Notes for U.S. federal income tax purposes, such Additional Notes shall have a separate CUSIP number and ISIN from the Notes. Any Additional Notes shall be issued with the benefit of an indenture supplemental to this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shall execute the Notes on behalf of the Issuer by manual, facsimile or electronic transmission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shall nevertheless be valid.</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 Note shall not be entitled to any benefit under this Indenture or be valid or obligatory for any purpose until authenticated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by the manual signature of the Trustee. The signature shall be conclusive evidence that the Note has been duly authenticated and delivered under this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Issue Date, the Trustee shall, upon receipt of an Issuer Order (an “</w:t>
      </w:r>
      <w:r>
        <w:rPr>
          <w:rFonts w:ascii="Arial" w:cs="Arial" w:eastAsia="Arial" w:hAnsi="Arial"/>
          <w:sz w:val="18"/>
          <w:szCs w:val="18"/>
          <w:u w:val="single" w:color="auto"/>
          <w:color w:val="auto"/>
        </w:rPr>
        <w:t>Authentication Order</w:t>
      </w:r>
      <w:r>
        <w:rPr>
          <w:rFonts w:ascii="Arial" w:cs="Arial" w:eastAsia="Arial" w:hAnsi="Arial"/>
          <w:sz w:val="18"/>
          <w:szCs w:val="18"/>
          <w:color w:val="auto"/>
        </w:rPr>
        <w:t>”), authenticate and deliver the Initial Notes.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both"/>
        <w:ind w:firstLine="648"/>
        <w:spacing w:after="0" w:line="263" w:lineRule="auto"/>
        <w:rPr>
          <w:sz w:val="20"/>
          <w:szCs w:val="20"/>
          <w:color w:val="auto"/>
        </w:rPr>
      </w:pPr>
      <w:r>
        <w:rPr>
          <w:rFonts w:ascii="Arial" w:cs="Arial" w:eastAsia="Arial" w:hAnsi="Arial"/>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Issuer shall maintain an office or agency where Notes may be presented for registration of transfer or for exchange (“</w:t>
      </w:r>
      <w:r>
        <w:rPr>
          <w:rFonts w:ascii="Arial" w:cs="Arial" w:eastAsia="Arial" w:hAnsi="Arial"/>
          <w:sz w:val="16"/>
          <w:szCs w:val="16"/>
          <w:u w:val="single" w:color="auto"/>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u w:val="single" w:color="auto"/>
          <w:color w:val="auto"/>
        </w:rPr>
        <w:t>Paying Agent</w:t>
      </w:r>
      <w:r>
        <w:rPr>
          <w:rFonts w:ascii="Arial" w:cs="Arial" w:eastAsia="Arial" w:hAnsi="Arial"/>
          <w:sz w:val="16"/>
          <w:szCs w:val="16"/>
          <w:color w:val="auto"/>
        </w:rPr>
        <w:t>”). The Registrar shall keep a register of the Notes (“</w:t>
      </w:r>
      <w:r>
        <w:rPr>
          <w:rFonts w:ascii="Arial" w:cs="Arial" w:eastAsia="Arial" w:hAnsi="Arial"/>
          <w:sz w:val="16"/>
          <w:szCs w:val="16"/>
          <w:u w:val="single" w:color="auto"/>
          <w:color w:val="auto"/>
        </w:rPr>
        <w:t>Note Register</w:t>
      </w:r>
      <w:r>
        <w:rPr>
          <w:rFonts w:ascii="Arial" w:cs="Arial" w:eastAsia="Arial" w:hAnsi="Arial"/>
          <w:sz w:val="16"/>
          <w:szCs w:val="16"/>
          <w:color w:val="auto"/>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Affiliates may act as Paying Agent or Registrar.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initially appoints DTC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initially appoints the Trustee to act as the Paying Agent and Registrar for the Notes and to act as Custodian with respect to the Global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HOLDER LISTS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Issuer shall furnish to the Trustee at least two Business Days before each Interest Payment Date and at such other times as the Trustee may request in writing, a list in such form and as of such date as the Trustee may reasonably require of the names and addresses of the Holders.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3" w:lineRule="auto"/>
        <w:tabs>
          <w:tab w:leader="none" w:pos="1941"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xml:space="preserve">. Except as otherwise set forth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or (ii) there shall have occurred and be continuing an Event of Default with respect to the Notes. Upon the occurrence of any of the preceding events in (i) or (ii)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Every Note authenticated and delivered in exchange for, or in lieu of, a Global Note or any portion thereof, pursuant to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w:t>
      </w:r>
      <w:r>
        <w:rPr>
          <w:rFonts w:ascii="Arial" w:cs="Arial" w:eastAsia="Arial" w:hAnsi="Arial"/>
          <w:sz w:val="16"/>
          <w:szCs w:val="16"/>
          <w:color w:val="auto"/>
        </w:rPr>
        <w:t>, shall be authenticated and delivered in the form of, and shall be, a Global Note, except for Definitive Notes issued subsequent to any of the preceding events in</w:t>
      </w:r>
    </w:p>
    <w:p>
      <w:pPr>
        <w:spacing w:after="0" w:line="4" w:lineRule="exact"/>
        <w:rPr>
          <w:rFonts w:ascii="Arial" w:cs="Arial" w:eastAsia="Arial" w:hAnsi="Arial"/>
          <w:sz w:val="16"/>
          <w:szCs w:val="16"/>
          <w:color w:val="auto"/>
        </w:rPr>
      </w:pPr>
    </w:p>
    <w:p>
      <w:pPr>
        <w:ind w:firstLine="8"/>
        <w:spacing w:after="0" w:line="323" w:lineRule="auto"/>
        <w:tabs>
          <w:tab w:leader="none" w:pos="2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or (ii) above and pursuant to </w:t>
      </w:r>
      <w:r>
        <w:rPr>
          <w:rFonts w:ascii="Arial" w:cs="Arial" w:eastAsia="Arial" w:hAnsi="Arial"/>
          <w:sz w:val="16"/>
          <w:szCs w:val="16"/>
          <w:u w:val="single" w:color="auto"/>
          <w:color w:val="auto"/>
        </w:rPr>
        <w:t>Section 2.06(b)(ii)(B)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A Global Note may not be exchanged for another Note other than as provided in this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beneficial interests in a Global Note may be transferred and exchanged as provided in </w:t>
      </w:r>
      <w:r>
        <w:rPr>
          <w:rFonts w:ascii="Arial" w:cs="Arial" w:eastAsia="Arial" w:hAnsi="Arial"/>
          <w:sz w:val="16"/>
          <w:szCs w:val="16"/>
          <w:u w:val="single" w:color="auto"/>
          <w:color w:val="auto"/>
        </w:rPr>
        <w:t>Section 2.06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jc w:val="both"/>
        <w:ind w:firstLine="1304"/>
        <w:spacing w:after="0" w:line="257" w:lineRule="auto"/>
        <w:tabs>
          <w:tab w:leader="none" w:pos="191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Beneficial Interests in the Global Notes</w:t>
      </w:r>
      <w:r>
        <w:rPr>
          <w:rFonts w:ascii="Arial" w:cs="Arial" w:eastAsia="Arial" w:hAnsi="Arial"/>
          <w:sz w:val="18"/>
          <w:szCs w:val="18"/>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87" w:lineRule="exact"/>
        <w:rPr>
          <w:rFonts w:ascii="Arial" w:cs="Arial" w:eastAsia="Arial" w:hAnsi="Arial"/>
          <w:sz w:val="18"/>
          <w:szCs w:val="18"/>
          <w:color w:val="auto"/>
        </w:rPr>
      </w:pPr>
    </w:p>
    <w:p>
      <w:pPr>
        <w:jc w:val="both"/>
        <w:ind w:left="660" w:firstLine="1292"/>
        <w:spacing w:after="0" w:line="254" w:lineRule="auto"/>
        <w:tabs>
          <w:tab w:leader="none" w:pos="2621"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in the Same Global Note</w:t>
      </w:r>
      <w:r>
        <w:rPr>
          <w:rFonts w:ascii="Arial" w:cs="Arial" w:eastAsia="Arial" w:hAnsi="Arial"/>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prior to the expiration of the applicable Restricted Period, transfers of beneficial interests in a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Arial" w:cs="Arial" w:eastAsia="Arial" w:hAnsi="Arial"/>
          <w:sz w:val="18"/>
          <w:szCs w:val="18"/>
          <w:u w:val="single" w:color="auto"/>
          <w:color w:val="auto"/>
        </w:rPr>
        <w:t>Section 2.06(b)(i)</w:t>
      </w:r>
      <w:r>
        <w:rPr>
          <w:rFonts w:ascii="Arial" w:cs="Arial" w:eastAsia="Arial" w:hAnsi="Arial"/>
          <w:sz w:val="18"/>
          <w:szCs w:val="18"/>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both"/>
        <w:ind w:left="-460" w:firstLine="1292"/>
        <w:spacing w:after="0" w:line="268" w:lineRule="auto"/>
        <w:tabs>
          <w:tab w:leader="none" w:pos="1704"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All Other Transfers and Exchanges of Beneficial Interests in Global Notes</w:t>
      </w:r>
      <w:r>
        <w:rPr>
          <w:rFonts w:ascii="Arial" w:cs="Arial" w:eastAsia="Arial" w:hAnsi="Arial"/>
          <w:sz w:val="17"/>
          <w:szCs w:val="17"/>
          <w:color w:val="auto"/>
        </w:rPr>
        <w:t xml:space="preserve">. In connection with all transfers and exchanges of beneficial interests that are not subject to </w:t>
      </w:r>
      <w:r>
        <w:rPr>
          <w:rFonts w:ascii="Arial" w:cs="Arial" w:eastAsia="Arial" w:hAnsi="Arial"/>
          <w:sz w:val="17"/>
          <w:szCs w:val="17"/>
          <w:u w:val="single" w:color="auto"/>
          <w:color w:val="auto"/>
        </w:rPr>
        <w:t>Section 2.06(b)(i)</w:t>
      </w:r>
      <w:r>
        <w:rPr>
          <w:rFonts w:ascii="Arial" w:cs="Arial" w:eastAsia="Arial" w:hAnsi="Arial"/>
          <w:sz w:val="17"/>
          <w:szCs w:val="17"/>
          <w:color w:val="auto"/>
        </w:rPr>
        <w:t xml:space="preserve">,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Definitive Notes be issued upon the transfer or exchange of beneficial interests in a Regulation S Global Note prior to the expiration of the applicable Restricted Period.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Arial" w:cs="Arial" w:eastAsia="Arial" w:hAnsi="Arial"/>
          <w:sz w:val="17"/>
          <w:szCs w:val="17"/>
          <w:u w:val="single" w:color="auto"/>
          <w:color w:val="auto"/>
        </w:rPr>
        <w:t>Section 2.06(h)</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left="-460" w:firstLine="1292"/>
        <w:spacing w:after="0" w:line="263" w:lineRule="auto"/>
        <w:tabs>
          <w:tab w:leader="none" w:pos="150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to Another Restricted Global Note</w:t>
      </w:r>
      <w:r>
        <w:rPr>
          <w:rFonts w:ascii="Arial" w:cs="Arial" w:eastAsia="Arial" w:hAnsi="Arial"/>
          <w:sz w:val="18"/>
          <w:szCs w:val="18"/>
          <w:color w:val="auto"/>
        </w:rPr>
        <w:t xml:space="preserve">. A beneficial interest in any Restricted Global Note may be transferred to a Person who takes delivery thereof in the form of a beneficial interest in another Restricted Global Note if the transfer complies with the requirements of </w:t>
      </w:r>
      <w:r>
        <w:rPr>
          <w:rFonts w:ascii="Arial" w:cs="Arial" w:eastAsia="Arial" w:hAnsi="Arial"/>
          <w:sz w:val="18"/>
          <w:szCs w:val="18"/>
          <w:u w:val="single" w:color="auto"/>
          <w:color w:val="auto"/>
        </w:rPr>
        <w:t>Section 2.06(b)(ii)</w:t>
      </w:r>
      <w:r>
        <w:rPr>
          <w:rFonts w:ascii="Arial" w:cs="Arial" w:eastAsia="Arial" w:hAnsi="Arial"/>
          <w:sz w:val="18"/>
          <w:szCs w:val="18"/>
          <w:color w:val="auto"/>
        </w:rPr>
        <w:t xml:space="preserve"> and the Registrar receives the following:</w:t>
      </w:r>
    </w:p>
    <w:p>
      <w:pPr>
        <w:spacing w:after="0" w:line="183" w:lineRule="exact"/>
        <w:rPr>
          <w:rFonts w:ascii="Arial" w:cs="Arial" w:eastAsia="Arial" w:hAnsi="Arial"/>
          <w:sz w:val="18"/>
          <w:szCs w:val="18"/>
          <w:color w:val="auto"/>
        </w:rPr>
      </w:pPr>
    </w:p>
    <w:p>
      <w:pPr>
        <w:ind w:left="180" w:firstLine="1948"/>
        <w:spacing w:after="0" w:line="277" w:lineRule="auto"/>
        <w:tabs>
          <w:tab w:leader="none" w:pos="2761"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144A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(1) thereof; or</w:t>
      </w:r>
    </w:p>
    <w:p>
      <w:pPr>
        <w:spacing w:after="0" w:line="170" w:lineRule="exact"/>
        <w:rPr>
          <w:rFonts w:ascii="Arial" w:cs="Arial" w:eastAsia="Arial" w:hAnsi="Arial"/>
          <w:sz w:val="18"/>
          <w:szCs w:val="18"/>
          <w:color w:val="auto"/>
        </w:rPr>
      </w:pPr>
    </w:p>
    <w:p>
      <w:pPr>
        <w:ind w:left="180" w:firstLine="1948"/>
        <w:spacing w:after="0" w:line="277" w:lineRule="auto"/>
        <w:tabs>
          <w:tab w:leader="none" w:pos="2809"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Regulation S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w:t>
      </w:r>
    </w:p>
    <w:p>
      <w:pPr>
        <w:spacing w:after="0" w:line="170" w:lineRule="exact"/>
        <w:rPr>
          <w:rFonts w:ascii="Arial" w:cs="Arial" w:eastAsia="Arial" w:hAnsi="Arial"/>
          <w:sz w:val="18"/>
          <w:szCs w:val="18"/>
          <w:color w:val="auto"/>
        </w:rPr>
      </w:pPr>
    </w:p>
    <w:p>
      <w:pPr>
        <w:jc w:val="both"/>
        <w:ind w:left="-460" w:firstLine="1292"/>
        <w:spacing w:after="0" w:line="259" w:lineRule="auto"/>
        <w:tabs>
          <w:tab w:leader="none" w:pos="151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Beneficial Interests in a Restricted Global Note for Beneficial Interests in an Unrestricted Global Note</w:t>
      </w:r>
      <w:r>
        <w:rPr>
          <w:rFonts w:ascii="Arial" w:cs="Arial" w:eastAsia="Arial" w:hAnsi="Arial"/>
          <w:sz w:val="18"/>
          <w:szCs w:val="18"/>
          <w:color w:val="auto"/>
        </w:rPr>
        <w:t xml:space="preserv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Arial" w:cs="Arial" w:eastAsia="Arial" w:hAnsi="Arial"/>
          <w:sz w:val="18"/>
          <w:szCs w:val="18"/>
          <w:u w:val="single" w:color="auto"/>
          <w:color w:val="auto"/>
        </w:rPr>
        <w:t>Section 2.06(b)(ii)</w:t>
      </w:r>
      <w:r>
        <w:rPr>
          <w:rFonts w:ascii="Arial" w:cs="Arial" w:eastAsia="Arial" w:hAnsi="Arial"/>
          <w:sz w:val="18"/>
          <w:szCs w:val="18"/>
          <w:color w:val="auto"/>
        </w:rPr>
        <w:t xml:space="preserve"> and:</w:t>
      </w:r>
    </w:p>
    <w:p>
      <w:pPr>
        <w:spacing w:after="0" w:line="186" w:lineRule="exact"/>
        <w:rPr>
          <w:rFonts w:ascii="Arial" w:cs="Arial" w:eastAsia="Arial" w:hAnsi="Arial"/>
          <w:sz w:val="18"/>
          <w:szCs w:val="18"/>
          <w:color w:val="auto"/>
        </w:rPr>
      </w:pPr>
    </w:p>
    <w:p>
      <w:pPr>
        <w:ind w:left="2780" w:hanging="652"/>
        <w:spacing w:after="0"/>
        <w:tabs>
          <w:tab w:leader="none" w:pos="27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25" w:lineRule="exact"/>
        <w:rPr>
          <w:rFonts w:ascii="Arial" w:cs="Arial" w:eastAsia="Arial" w:hAnsi="Arial"/>
          <w:sz w:val="18"/>
          <w:szCs w:val="18"/>
          <w:color w:val="auto"/>
        </w:rPr>
      </w:pPr>
    </w:p>
    <w:p>
      <w:pPr>
        <w:ind w:left="2780" w:hanging="652"/>
        <w:spacing w:after="0"/>
        <w:tabs>
          <w:tab w:leader="none" w:pos="27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39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91" w:name="page92"/>
    <w:bookmarkEnd w:id="91"/>
    <w:p>
      <w:pPr>
        <w:jc w:val="both"/>
        <w:ind w:firstLine="1952"/>
        <w:spacing w:after="0" w:line="291" w:lineRule="auto"/>
        <w:tabs>
          <w:tab w:leader="none" w:pos="25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including the certifications in item</w:t>
      </w:r>
    </w:p>
    <w:p>
      <w:pPr>
        <w:spacing w:after="0"/>
        <w:rPr>
          <w:rFonts w:ascii="Arial" w:cs="Arial" w:eastAsia="Arial" w:hAnsi="Arial"/>
          <w:sz w:val="16"/>
          <w:szCs w:val="16"/>
          <w:color w:val="auto"/>
        </w:rPr>
      </w:pPr>
      <w:r>
        <w:rPr>
          <w:rFonts w:ascii="Arial" w:cs="Arial" w:eastAsia="Arial" w:hAnsi="Arial"/>
          <w:sz w:val="18"/>
          <w:szCs w:val="18"/>
          <w:color w:val="auto"/>
        </w:rPr>
        <w:t>(1)(a) thereof; or</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(4) thereof;</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If any such transfer is effected pursuant to this clause (iv) at a time when an Unrestricted Global Note has not yet been issued, the Issuer shall issue and, upon receipt of an Authentication Order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the Trustee shall authenticate one or more Unrestricted Global Notes in an aggregate principal amount equal to the aggregate principal amount of beneficial interests transferred pursuant to this clause (iv).</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960" w:hanging="656"/>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Transfer or Exchange of Beneficial Interests for Definitive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87" w:lineRule="auto"/>
        <w:tabs>
          <w:tab w:leader="none" w:pos="2553" w:val="left"/>
        </w:tabs>
        <w:numPr>
          <w:ilvl w:val="2"/>
          <w:numId w:val="92"/>
        </w:numPr>
        <w:rPr>
          <w:rFonts w:ascii="Arial" w:cs="Arial" w:eastAsia="Arial" w:hAnsi="Arial"/>
          <w:sz w:val="16"/>
          <w:szCs w:val="16"/>
          <w:color w:val="auto"/>
        </w:rPr>
      </w:pPr>
      <w:r>
        <w:rPr>
          <w:rFonts w:ascii="Arial" w:cs="Arial" w:eastAsia="Arial" w:hAnsi="Arial"/>
          <w:sz w:val="16"/>
          <w:szCs w:val="16"/>
          <w:u w:val="single" w:color="auto"/>
          <w:color w:val="auto"/>
        </w:rPr>
        <w:t>Beneficial Interests in Restricted Global Notes to Restricted Definitive Notes</w:t>
      </w:r>
      <w:r>
        <w:rPr>
          <w:rFonts w:ascii="Arial" w:cs="Arial" w:eastAsia="Arial" w:hAnsi="Arial"/>
          <w:sz w:val="16"/>
          <w:szCs w:val="16"/>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and receipt by the Registrar of the following documentation:</w:t>
      </w:r>
    </w:p>
    <w:p>
      <w:pPr>
        <w:spacing w:after="0" w:line="210" w:lineRule="exact"/>
        <w:rPr>
          <w:rFonts w:ascii="Arial" w:cs="Arial" w:eastAsia="Arial" w:hAnsi="Arial"/>
          <w:sz w:val="18"/>
          <w:szCs w:val="18"/>
          <w:u w:val="single" w:color="auto"/>
          <w:color w:val="auto"/>
        </w:rPr>
      </w:pPr>
    </w:p>
    <w:p>
      <w:pPr>
        <w:jc w:val="both"/>
        <w:ind w:left="1300" w:right="20" w:firstLine="1948"/>
        <w:spacing w:after="0" w:line="263" w:lineRule="auto"/>
        <w:tabs>
          <w:tab w:leader="none" w:pos="4115" w:val="left"/>
        </w:tabs>
        <w:numPr>
          <w:ilvl w:val="3"/>
          <w:numId w:val="93"/>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(2)(a) thereof;</w:t>
      </w:r>
    </w:p>
    <w:p>
      <w:pPr>
        <w:spacing w:after="0" w:line="183" w:lineRule="exact"/>
        <w:rPr>
          <w:rFonts w:ascii="Arial" w:cs="Arial" w:eastAsia="Arial" w:hAnsi="Arial"/>
          <w:sz w:val="18"/>
          <w:szCs w:val="18"/>
          <w:color w:val="auto"/>
        </w:rPr>
      </w:pPr>
    </w:p>
    <w:p>
      <w:pPr>
        <w:ind w:left="1300" w:firstLine="1948"/>
        <w:spacing w:after="0" w:line="342" w:lineRule="auto"/>
        <w:tabs>
          <w:tab w:leader="none" w:pos="3983" w:val="left"/>
        </w:tabs>
        <w:numPr>
          <w:ilvl w:val="3"/>
          <w:numId w:val="93"/>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 person the transferor reasonably believes to be a QIB in accordance with Rule 144A,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including the certifications in item (1) thereof;</w:t>
      </w:r>
    </w:p>
    <w:p>
      <w:pPr>
        <w:spacing w:after="0" w:line="123" w:lineRule="exact"/>
        <w:rPr>
          <w:rFonts w:ascii="Arial" w:cs="Arial" w:eastAsia="Arial" w:hAnsi="Arial"/>
          <w:sz w:val="16"/>
          <w:szCs w:val="16"/>
          <w:color w:val="auto"/>
        </w:rPr>
      </w:pPr>
    </w:p>
    <w:p>
      <w:pPr>
        <w:ind w:left="1300" w:firstLine="1948"/>
        <w:spacing w:after="0" w:line="342" w:lineRule="auto"/>
        <w:tabs>
          <w:tab w:leader="none" w:pos="3916" w:val="left"/>
        </w:tabs>
        <w:numPr>
          <w:ilvl w:val="3"/>
          <w:numId w:val="93"/>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including the certifications in item (2) thereof;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ind w:left="3980" w:hanging="732"/>
        <w:spacing w:after="0"/>
        <w:tabs>
          <w:tab w:leader="none" w:pos="39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such beneficial interest is being transferred to the Issuer or any of the Restricted Subsidiaries, a</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xml:space="preserve">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(3)(a) thereof; or</w:t>
      </w:r>
    </w:p>
    <w:p>
      <w:pPr>
        <w:spacing w:after="0" w:line="210" w:lineRule="exact"/>
        <w:rPr>
          <w:rFonts w:ascii="Arial" w:cs="Arial" w:eastAsia="Arial" w:hAnsi="Arial"/>
          <w:sz w:val="16"/>
          <w:szCs w:val="16"/>
          <w:color w:val="auto"/>
        </w:rPr>
      </w:pPr>
    </w:p>
    <w:p>
      <w:pPr>
        <w:ind w:left="1300" w:firstLine="1948"/>
        <w:spacing w:after="0" w:line="277" w:lineRule="auto"/>
        <w:tabs>
          <w:tab w:leader="none" w:pos="38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(3)(b) thereof,</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Trustee shall cause the aggregate principal amount of the applicable Global Note to be reduced accordingly pursuant to </w:t>
      </w:r>
      <w:r>
        <w:rPr>
          <w:rFonts w:ascii="Arial" w:cs="Arial" w:eastAsia="Arial" w:hAnsi="Arial"/>
          <w:sz w:val="17"/>
          <w:szCs w:val="17"/>
          <w:u w:val="single" w:color="auto"/>
          <w:color w:val="auto"/>
        </w:rPr>
        <w:t>Section 2.06(h)</w:t>
      </w:r>
      <w:r>
        <w:rPr>
          <w:rFonts w:ascii="Arial" w:cs="Arial" w:eastAsia="Arial" w:hAnsi="Arial"/>
          <w:sz w:val="17"/>
          <w:szCs w:val="17"/>
          <w:color w:val="auto"/>
        </w:rPr>
        <w:t xml:space="preserve">,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w:t>
      </w:r>
      <w:r>
        <w:rPr>
          <w:rFonts w:ascii="Arial" w:cs="Arial" w:eastAsia="Arial" w:hAnsi="Arial"/>
          <w:sz w:val="17"/>
          <w:szCs w:val="17"/>
          <w:u w:val="single" w:color="auto"/>
          <w:color w:val="auto"/>
        </w:rPr>
        <w:t>Section 2.06(c)(i)</w:t>
      </w:r>
      <w:r>
        <w:rPr>
          <w:rFonts w:ascii="Arial" w:cs="Arial" w:eastAsia="Arial" w:hAnsi="Arial"/>
          <w:sz w:val="17"/>
          <w:szCs w:val="17"/>
          <w:color w:val="auto"/>
        </w:rPr>
        <w:t xml:space="preserve"> shall bear the Private Placement Legend and shall be subject to all restrictions on transfer contained therein.</w:t>
      </w:r>
    </w:p>
    <w:p>
      <w:pPr>
        <w:spacing w:after="0" w:line="177" w:lineRule="exact"/>
        <w:rPr>
          <w:sz w:val="20"/>
          <w:szCs w:val="20"/>
          <w:color w:val="auto"/>
        </w:rPr>
      </w:pPr>
    </w:p>
    <w:p>
      <w:pPr>
        <w:jc w:val="both"/>
        <w:ind w:left="660" w:firstLine="1292"/>
        <w:spacing w:after="0" w:line="259" w:lineRule="auto"/>
        <w:tabs>
          <w:tab w:leader="none" w:pos="253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Regulation S Global Note to Definitive Notes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Sections 2.06(c)(i)(A)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a beneficial interest in a Regulation S Global Note may not be exchanged for a Definitive Note or transferred to a Person who takes delivery thereof in the form of a Definitive Note prior to the expiration of the applicable Restricted Period, except in the case of a transfer pursuant to an exemption from the registration requirements of the Securities Act other than Rule 903 or Rule 904.</w:t>
      </w:r>
    </w:p>
    <w:p>
      <w:pPr>
        <w:spacing w:after="0" w:line="186" w:lineRule="exact"/>
        <w:rPr>
          <w:rFonts w:ascii="Arial" w:cs="Arial" w:eastAsia="Arial" w:hAnsi="Arial"/>
          <w:sz w:val="18"/>
          <w:szCs w:val="18"/>
          <w:color w:val="auto"/>
        </w:rPr>
      </w:pPr>
    </w:p>
    <w:p>
      <w:pPr>
        <w:jc w:val="both"/>
        <w:ind w:left="660" w:firstLine="1292"/>
        <w:spacing w:after="0" w:line="287" w:lineRule="auto"/>
        <w:tabs>
          <w:tab w:leader="none" w:pos="257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Beneficial Interests in Restricted Global Notes to Unrestricted Definitive Notes</w:t>
      </w:r>
      <w:r>
        <w:rPr>
          <w:rFonts w:ascii="Arial" w:cs="Arial" w:eastAsia="Arial" w:hAnsi="Arial"/>
          <w:sz w:val="16"/>
          <w:szCs w:val="16"/>
          <w:color w:val="auto"/>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w:t>
      </w:r>
      <w:r>
        <w:rPr>
          <w:rFonts w:ascii="Arial" w:cs="Arial" w:eastAsia="Arial" w:hAnsi="Arial"/>
          <w:sz w:val="16"/>
          <w:szCs w:val="16"/>
          <w:u w:val="single" w:color="auto"/>
          <w:color w:val="auto"/>
        </w:rPr>
        <w:t>subsection (i)</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96"/>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and if:</w:t>
      </w:r>
    </w:p>
    <w:p>
      <w:pPr>
        <w:spacing w:after="0" w:line="210" w:lineRule="exact"/>
        <w:rPr>
          <w:rFonts w:ascii="Arial" w:cs="Arial" w:eastAsia="Arial" w:hAnsi="Arial"/>
          <w:sz w:val="18"/>
          <w:szCs w:val="18"/>
          <w:u w:val="single" w:color="auto"/>
          <w:color w:val="auto"/>
        </w:rPr>
      </w:pPr>
    </w:p>
    <w:p>
      <w:pPr>
        <w:ind w:left="3900" w:hanging="652"/>
        <w:spacing w:after="0"/>
        <w:tabs>
          <w:tab w:leader="none" w:pos="39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25" w:lineRule="exact"/>
        <w:rPr>
          <w:rFonts w:ascii="Arial" w:cs="Arial" w:eastAsia="Arial" w:hAnsi="Arial"/>
          <w:sz w:val="18"/>
          <w:szCs w:val="18"/>
          <w:color w:val="auto"/>
        </w:rPr>
      </w:pPr>
    </w:p>
    <w:p>
      <w:pPr>
        <w:ind w:left="3940" w:hanging="692"/>
        <w:spacing w:after="0"/>
        <w:tabs>
          <w:tab w:leader="none" w:pos="39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right="20" w:firstLine="1952"/>
        <w:spacing w:after="0" w:line="342" w:lineRule="auto"/>
        <w:tabs>
          <w:tab w:leader="none" w:pos="255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including the certifications in item (1)(b) thereof; or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both"/>
        <w:ind w:firstLine="1952"/>
        <w:spacing w:after="0" w:line="263" w:lineRule="auto"/>
        <w:tabs>
          <w:tab w:leader="none" w:pos="27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(4) thereof;</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9" w:lineRule="exact"/>
        <w:rPr>
          <w:sz w:val="20"/>
          <w:szCs w:val="20"/>
          <w:color w:val="auto"/>
        </w:rPr>
      </w:pPr>
    </w:p>
    <w:p>
      <w:pPr>
        <w:jc w:val="both"/>
        <w:ind w:left="660" w:firstLine="1292"/>
        <w:spacing w:after="0" w:line="269" w:lineRule="auto"/>
        <w:tabs>
          <w:tab w:leader="none" w:pos="2616"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(i) or (ii) of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and satisfaction of the conditions set forth in Section 2.06(b)(ii), the Trustee shall cause the aggregate principal amount of the applicable Global Note to be reduced accordingly pursuant to </w:t>
      </w:r>
      <w:r>
        <w:rPr>
          <w:rFonts w:ascii="Arial" w:cs="Arial" w:eastAsia="Arial" w:hAnsi="Arial"/>
          <w:sz w:val="17"/>
          <w:szCs w:val="17"/>
          <w:u w:val="single" w:color="auto"/>
          <w:color w:val="auto"/>
        </w:rPr>
        <w:t>Section 2.06(h)</w:t>
      </w:r>
      <w:r>
        <w:rPr>
          <w:rFonts w:ascii="Arial" w:cs="Arial" w:eastAsia="Arial" w:hAnsi="Arial"/>
          <w:sz w:val="17"/>
          <w:szCs w:val="17"/>
          <w:color w:val="auto"/>
        </w:rPr>
        <w:t xml:space="preserve">, and the Issuer shall execute and the Trustee shall, upon receipt of an Authentication Order, authenticate and mail to the Person designated in the instructions a Definitive Note in the applicable principal amount. Any Definitive Note issued in exchange for a beneficial interest pursuant to this </w:t>
      </w:r>
      <w:r>
        <w:rPr>
          <w:rFonts w:ascii="Arial" w:cs="Arial" w:eastAsia="Arial" w:hAnsi="Arial"/>
          <w:sz w:val="17"/>
          <w:szCs w:val="17"/>
          <w:u w:val="single" w:color="auto"/>
          <w:color w:val="auto"/>
        </w:rPr>
        <w:t>Section 2.06(c)(iv)</w:t>
      </w:r>
      <w:r>
        <w:rPr>
          <w:rFonts w:ascii="Arial" w:cs="Arial" w:eastAsia="Arial" w:hAnsi="Arial"/>
          <w:sz w:val="17"/>
          <w:szCs w:val="17"/>
          <w:color w:val="auto"/>
        </w:rPr>
        <w:t xml:space="preserve">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w:t>
      </w:r>
      <w:r>
        <w:rPr>
          <w:rFonts w:ascii="Arial" w:cs="Arial" w:eastAsia="Arial" w:hAnsi="Arial"/>
          <w:sz w:val="17"/>
          <w:szCs w:val="17"/>
          <w:u w:val="single" w:color="auto"/>
          <w:color w:val="auto"/>
        </w:rPr>
        <w:t>Section 2.06(c)(iv)</w:t>
      </w:r>
      <w:r>
        <w:rPr>
          <w:rFonts w:ascii="Arial" w:cs="Arial" w:eastAsia="Arial" w:hAnsi="Arial"/>
          <w:sz w:val="17"/>
          <w:szCs w:val="17"/>
          <w:color w:val="auto"/>
        </w:rPr>
        <w:t xml:space="preserve"> shall not bear the Private Placement Legend.</w:t>
      </w:r>
    </w:p>
    <w:p>
      <w:pPr>
        <w:spacing w:after="0" w:line="181" w:lineRule="exact"/>
        <w:rPr>
          <w:rFonts w:ascii="Arial" w:cs="Arial" w:eastAsia="Arial" w:hAnsi="Arial"/>
          <w:sz w:val="17"/>
          <w:szCs w:val="17"/>
          <w:color w:val="auto"/>
        </w:rPr>
      </w:pPr>
    </w:p>
    <w:p>
      <w:pPr>
        <w:ind w:left="1960" w:hanging="656"/>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 for Beneficial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2643"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Beneficial Interests in Restricted Global Notes</w:t>
      </w:r>
      <w:r>
        <w:rPr>
          <w:rFonts w:ascii="Arial" w:cs="Arial" w:eastAsia="Arial" w:hAnsi="Arial"/>
          <w:sz w:val="18"/>
          <w:szCs w:val="18"/>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86" w:lineRule="exact"/>
        <w:rPr>
          <w:rFonts w:ascii="Arial" w:cs="Arial" w:eastAsia="Arial" w:hAnsi="Arial"/>
          <w:sz w:val="18"/>
          <w:szCs w:val="18"/>
          <w:color w:val="auto"/>
        </w:rPr>
      </w:pPr>
    </w:p>
    <w:p>
      <w:pPr>
        <w:jc w:val="both"/>
        <w:ind w:left="1300" w:firstLine="1948"/>
        <w:spacing w:after="0" w:line="263" w:lineRule="auto"/>
        <w:tabs>
          <w:tab w:leader="none" w:pos="4047" w:val="left"/>
        </w:tabs>
        <w:numPr>
          <w:ilvl w:val="2"/>
          <w:numId w:val="100"/>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(2)(b) thereof;</w:t>
      </w:r>
    </w:p>
    <w:p>
      <w:pPr>
        <w:spacing w:after="0" w:line="183" w:lineRule="exact"/>
        <w:rPr>
          <w:rFonts w:ascii="Arial" w:cs="Arial" w:eastAsia="Arial" w:hAnsi="Arial"/>
          <w:sz w:val="18"/>
          <w:szCs w:val="18"/>
          <w:color w:val="auto"/>
        </w:rPr>
      </w:pPr>
    </w:p>
    <w:p>
      <w:pPr>
        <w:jc w:val="both"/>
        <w:ind w:left="1300" w:firstLine="1948"/>
        <w:spacing w:after="0" w:line="263" w:lineRule="auto"/>
        <w:tabs>
          <w:tab w:leader="none" w:pos="395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person the transferor reasonably believes to be a QIB in accordance with Rule 144A,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(1) thereof;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both"/>
        <w:ind w:left="1300" w:firstLine="1948"/>
        <w:spacing w:after="0" w:line="263" w:lineRule="auto"/>
        <w:tabs>
          <w:tab w:leader="none" w:pos="42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w:t>
      </w:r>
    </w:p>
    <w:p>
      <w:pPr>
        <w:spacing w:after="0" w:line="183" w:lineRule="exact"/>
        <w:rPr>
          <w:rFonts w:ascii="Arial" w:cs="Arial" w:eastAsia="Arial" w:hAnsi="Arial"/>
          <w:sz w:val="18"/>
          <w:szCs w:val="18"/>
          <w:color w:val="auto"/>
        </w:rPr>
      </w:pPr>
    </w:p>
    <w:p>
      <w:pPr>
        <w:ind w:left="1300" w:firstLine="1948"/>
        <w:spacing w:after="0" w:line="277" w:lineRule="auto"/>
        <w:tabs>
          <w:tab w:leader="none" w:pos="422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the Issuer or any of its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(3)(a) thereof; or</w:t>
      </w:r>
    </w:p>
    <w:p>
      <w:pPr>
        <w:spacing w:after="0" w:line="170" w:lineRule="exact"/>
        <w:rPr>
          <w:rFonts w:ascii="Arial" w:cs="Arial" w:eastAsia="Arial" w:hAnsi="Arial"/>
          <w:sz w:val="18"/>
          <w:szCs w:val="18"/>
          <w:color w:val="auto"/>
        </w:rPr>
      </w:pPr>
    </w:p>
    <w:p>
      <w:pPr>
        <w:ind w:left="1300" w:firstLine="1948"/>
        <w:spacing w:after="0" w:line="342" w:lineRule="auto"/>
        <w:tabs>
          <w:tab w:leader="none" w:pos="390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pursuant to an effective registration statement under the Securities Act,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including the certifications in item (3)(b) thereof,</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184" w:lineRule="exact"/>
        <w:rPr>
          <w:sz w:val="20"/>
          <w:szCs w:val="20"/>
          <w:color w:val="auto"/>
        </w:rPr>
      </w:pPr>
    </w:p>
    <w:p>
      <w:pPr>
        <w:jc w:val="both"/>
        <w:ind w:left="660" w:right="20" w:firstLine="1292"/>
        <w:spacing w:after="0" w:line="263" w:lineRule="auto"/>
        <w:tabs>
          <w:tab w:leader="none" w:pos="265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Beneficial Interests in Unrestricted Global Notes</w:t>
      </w:r>
      <w:r>
        <w:rPr>
          <w:rFonts w:ascii="Arial" w:cs="Arial" w:eastAsia="Arial" w:hAnsi="Arial"/>
          <w:sz w:val="18"/>
          <w:szCs w:val="18"/>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83" w:lineRule="exact"/>
        <w:rPr>
          <w:rFonts w:ascii="Arial" w:cs="Arial" w:eastAsia="Arial" w:hAnsi="Arial"/>
          <w:sz w:val="18"/>
          <w:szCs w:val="18"/>
          <w:color w:val="auto"/>
        </w:rPr>
      </w:pPr>
    </w:p>
    <w:p>
      <w:pPr>
        <w:ind w:left="3940" w:hanging="692"/>
        <w:spacing w:after="0"/>
        <w:tabs>
          <w:tab w:leader="none" w:pos="39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25" w:lineRule="exact"/>
        <w:rPr>
          <w:rFonts w:ascii="Arial" w:cs="Arial" w:eastAsia="Arial" w:hAnsi="Arial"/>
          <w:sz w:val="18"/>
          <w:szCs w:val="18"/>
          <w:color w:val="auto"/>
        </w:rPr>
      </w:pPr>
    </w:p>
    <w:p>
      <w:pPr>
        <w:ind w:left="3940" w:hanging="692"/>
        <w:spacing w:after="0"/>
        <w:tabs>
          <w:tab w:leader="none" w:pos="39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firstLine="1952"/>
        <w:spacing w:after="0" w:line="308" w:lineRule="auto"/>
        <w:tabs>
          <w:tab w:leader="none" w:pos="272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if the Holder of such Definitive Notes proposes to exchange such Notes for a beneficial interest in the Unrestricted Global Note, a certificate from such Holder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including the certifications in item (1)(c) thereof; or</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form of a beneficial interest in certifications in item (4) thereof;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firstLine="109"/>
        <w:spacing w:after="0" w:line="308" w:lineRule="auto"/>
        <w:rPr>
          <w:sz w:val="20"/>
          <w:szCs w:val="20"/>
          <w:color w:val="auto"/>
        </w:rPr>
      </w:pPr>
      <w:r>
        <w:rPr>
          <w:rFonts w:ascii="Arial" w:cs="Arial" w:eastAsia="Arial" w:hAnsi="Arial"/>
          <w:sz w:val="17"/>
          <w:szCs w:val="17"/>
          <w:color w:val="auto"/>
        </w:rPr>
        <w:t xml:space="preserve">if the Holder of such Definitive Notes proposes to transfer such Notes to a Person who shall take delivery thereof in the the Unrestricted Global Note, a certificate from such Holder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including the</w:t>
      </w:r>
    </w:p>
    <w:p>
      <w:pPr>
        <w:spacing w:after="0" w:line="362" w:lineRule="exact"/>
        <w:rPr>
          <w:sz w:val="20"/>
          <w:szCs w:val="20"/>
          <w:color w:val="auto"/>
        </w:rPr>
      </w:pPr>
    </w:p>
    <w:p>
      <w:pPr>
        <w:sectPr>
          <w:pgSz w:w="11900" w:h="16838" w:orient="portrait"/>
          <w:cols w:equalWidth="0" w:num="2">
            <w:col w:w="2380" w:space="100"/>
            <w:col w:w="8760"/>
          </w:cols>
          <w:pgMar w:left="320" w:top="125" w:right="3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ind w:firstLine="648"/>
        <w:spacing w:after="0" w:line="277" w:lineRule="auto"/>
        <w:rPr>
          <w:sz w:val="20"/>
          <w:szCs w:val="20"/>
          <w:color w:val="auto"/>
        </w:rPr>
      </w:pPr>
      <w:r>
        <w:rPr>
          <w:rFonts w:ascii="Arial" w:cs="Arial" w:eastAsia="Arial" w:hAnsi="Arial"/>
          <w:sz w:val="18"/>
          <w:szCs w:val="18"/>
          <w:color w:val="auto"/>
        </w:rPr>
        <w:t xml:space="preserve">Upon satisfaction of the conditions of any of the subparagraphs in this </w:t>
      </w:r>
      <w:r>
        <w:rPr>
          <w:rFonts w:ascii="Arial" w:cs="Arial" w:eastAsia="Arial" w:hAnsi="Arial"/>
          <w:sz w:val="18"/>
          <w:szCs w:val="18"/>
          <w:u w:val="single" w:color="auto"/>
          <w:color w:val="auto"/>
        </w:rPr>
        <w:t>Section 2.06(d)(ii)</w:t>
      </w:r>
      <w:r>
        <w:rPr>
          <w:rFonts w:ascii="Arial" w:cs="Arial" w:eastAsia="Arial" w:hAnsi="Arial"/>
          <w:sz w:val="18"/>
          <w:szCs w:val="18"/>
          <w:color w:val="auto"/>
        </w:rPr>
        <w:t>, the Trustee shall cancel the Definitive Notes and increase or cause to be increased the aggregate principal amount of the Unrestricted Global Note.</w:t>
      </w:r>
    </w:p>
    <w:p>
      <w:pPr>
        <w:spacing w:after="0" w:line="170" w:lineRule="exact"/>
        <w:rPr>
          <w:sz w:val="20"/>
          <w:szCs w:val="20"/>
          <w:color w:val="auto"/>
        </w:rPr>
      </w:pPr>
    </w:p>
    <w:p>
      <w:pPr>
        <w:jc w:val="both"/>
        <w:ind w:left="660" w:firstLine="1292"/>
        <w:spacing w:after="0" w:line="257" w:lineRule="auto"/>
        <w:tabs>
          <w:tab w:leader="none" w:pos="282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Unrestricted Definitive Notes to Beneficial Interests in Unrestricted Global Notes</w:t>
      </w:r>
      <w:r>
        <w:rPr>
          <w:rFonts w:ascii="Arial" w:cs="Arial" w:eastAsia="Arial" w:hAnsi="Arial"/>
          <w:sz w:val="18"/>
          <w:szCs w:val="18"/>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any such exchange or transfer from a Definitive Note to a beneficial interest is effected pursuant to clause (ii) or (iii) above at a time when an Unrestricted Global Note has not yet been issued, the Issuer shall issue and, upon receipt of an Authentication Order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the Trustee shall authenticate one or more Unrestricted Global Notes in an aggregate principal amount equal to the principal amount of Definitive Notes so transferred.</w:t>
      </w:r>
    </w:p>
    <w:p>
      <w:pPr>
        <w:spacing w:after="0" w:line="187" w:lineRule="exact"/>
        <w:rPr>
          <w:sz w:val="20"/>
          <w:szCs w:val="20"/>
          <w:color w:val="auto"/>
        </w:rPr>
      </w:pPr>
    </w:p>
    <w:p>
      <w:pPr>
        <w:jc w:val="both"/>
        <w:ind w:firstLine="1304"/>
        <w:spacing w:after="0" w:line="255" w:lineRule="auto"/>
        <w:tabs>
          <w:tab w:leader="none" w:pos="19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 for Definitive Notes</w:t>
      </w:r>
      <w:r>
        <w:rPr>
          <w:rFonts w:ascii="Arial" w:cs="Arial" w:eastAsia="Arial" w:hAnsi="Arial"/>
          <w:sz w:val="18"/>
          <w:szCs w:val="18"/>
          <w:color w:val="auto"/>
        </w:rPr>
        <w:t xml:space="preserve">. Upon request by a Holder of Definitive Notes and such Holder’s compliance with the provisions of this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Arial" w:cs="Arial" w:eastAsia="Arial" w:hAnsi="Arial"/>
          <w:sz w:val="18"/>
          <w:szCs w:val="18"/>
          <w:u w:val="single" w:color="auto"/>
          <w:color w:val="auto"/>
        </w:rPr>
        <w:t>Section 2.06(e)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firstLine="1292"/>
        <w:spacing w:after="0" w:line="308" w:lineRule="auto"/>
        <w:tabs>
          <w:tab w:leader="none" w:pos="2562"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Restricted Definitive Notes to Restricted Definitive Notes</w:t>
      </w:r>
      <w:r>
        <w:rPr>
          <w:rFonts w:ascii="Arial" w:cs="Arial" w:eastAsia="Arial" w:hAnsi="Arial"/>
          <w:sz w:val="17"/>
          <w:szCs w:val="17"/>
          <w:color w:val="auto"/>
        </w:rPr>
        <w:t>. Any Restricted Definitive Note may be transferred to and registered in the name of Persons who take delivery thereof in the form of a Restricted Definitive Note if the Registrar receives the following:</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accordance with Rule 144A, then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certifications in item (1) thereof;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firstLine="139"/>
        <w:spacing w:after="0" w:line="308" w:lineRule="auto"/>
        <w:rPr>
          <w:sz w:val="20"/>
          <w:szCs w:val="20"/>
          <w:color w:val="auto"/>
        </w:rPr>
      </w:pPr>
      <w:r>
        <w:rPr>
          <w:rFonts w:ascii="Arial" w:cs="Arial" w:eastAsia="Arial" w:hAnsi="Arial"/>
          <w:sz w:val="17"/>
          <w:szCs w:val="17"/>
          <w:color w:val="auto"/>
        </w:rPr>
        <w:t xml:space="preserve">if the transfer will be made to a person that the transferor reasonably believes to be a QIB in the transferor must deliver a certificate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including the</w:t>
      </w:r>
    </w:p>
    <w:p>
      <w:pPr>
        <w:spacing w:after="0" w:line="351" w:lineRule="exact"/>
        <w:rPr>
          <w:sz w:val="20"/>
          <w:szCs w:val="20"/>
          <w:color w:val="auto"/>
        </w:rPr>
      </w:pPr>
    </w:p>
    <w:p>
      <w:pPr>
        <w:sectPr>
          <w:pgSz w:w="11900" w:h="16838" w:orient="portrait"/>
          <w:cols w:equalWidth="0" w:num="2">
            <w:col w:w="3900" w:space="100"/>
            <w:col w:w="7240"/>
          </w:cols>
          <w:pgMar w:left="320" w:top="125" w:right="339" w:bottom="1440" w:gutter="0" w:footer="0" w:header="0"/>
          <w:type w:val="continuous"/>
        </w:sectPr>
      </w:pPr>
    </w:p>
    <w:p>
      <w:pPr>
        <w:spacing w:after="0" w:line="11" w:lineRule="exact"/>
        <w:rPr>
          <w:sz w:val="20"/>
          <w:szCs w:val="20"/>
          <w:color w:val="auto"/>
        </w:rPr>
      </w:pPr>
    </w:p>
    <w:p>
      <w:pPr>
        <w:ind w:left="1300" w:firstLine="1948"/>
        <w:spacing w:after="0" w:line="277" w:lineRule="auto"/>
        <w:tabs>
          <w:tab w:leader="none" w:pos="401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 or</w:t>
      </w:r>
    </w:p>
    <w:p>
      <w:pPr>
        <w:spacing w:after="0" w:line="170" w:lineRule="exact"/>
        <w:rPr>
          <w:rFonts w:ascii="Arial" w:cs="Arial" w:eastAsia="Arial" w:hAnsi="Arial"/>
          <w:sz w:val="18"/>
          <w:szCs w:val="18"/>
          <w:color w:val="auto"/>
        </w:rPr>
      </w:pPr>
    </w:p>
    <w:p>
      <w:pPr>
        <w:jc w:val="both"/>
        <w:ind w:left="1300" w:firstLine="1948"/>
        <w:spacing w:after="0" w:line="263" w:lineRule="auto"/>
        <w:tabs>
          <w:tab w:leader="none" w:pos="38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(other than Rule 144),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required by item (3) thereof, if applicable.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jc w:val="both"/>
        <w:ind w:left="660" w:firstLine="1292"/>
        <w:spacing w:after="0" w:line="263" w:lineRule="auto"/>
        <w:tabs>
          <w:tab w:leader="none" w:pos="254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Unrestricted Definitive Notes</w:t>
      </w:r>
      <w:r>
        <w:rPr>
          <w:rFonts w:ascii="Arial" w:cs="Arial" w:eastAsia="Arial" w:hAnsi="Arial"/>
          <w:sz w:val="18"/>
          <w:szCs w:val="18"/>
          <w:color w:val="auto"/>
        </w:rPr>
        <w:t>. Any Restricted Definitive Note may be exchanged by the Holder thereof for an Unrestricted Definitive Note or transferred to a Person or Persons who take delivery thereof in the form of an Unrestricted Definitive Note if:</w:t>
      </w:r>
    </w:p>
    <w:p>
      <w:pPr>
        <w:spacing w:after="0" w:line="183" w:lineRule="exact"/>
        <w:rPr>
          <w:rFonts w:ascii="Arial" w:cs="Arial" w:eastAsia="Arial" w:hAnsi="Arial"/>
          <w:sz w:val="18"/>
          <w:szCs w:val="18"/>
          <w:color w:val="auto"/>
        </w:rPr>
      </w:pPr>
    </w:p>
    <w:p>
      <w:pPr>
        <w:ind w:left="3900" w:hanging="652"/>
        <w:spacing w:after="0"/>
        <w:tabs>
          <w:tab w:leader="none" w:pos="3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sz w:val="20"/>
          <w:szCs w:val="20"/>
          <w:color w:val="auto"/>
        </w:rPr>
      </w:pPr>
    </w:p>
    <w:p>
      <w:pPr>
        <w:ind w:right="20" w:firstLine="1952"/>
        <w:spacing w:after="0" w:line="277" w:lineRule="auto"/>
        <w:tabs>
          <w:tab w:leader="none" w:pos="251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(1)(d) thereof; or</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6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(4) thereof;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and, in each such case set forth in this subparagraph (B),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4" w:lineRule="exact"/>
        <w:rPr>
          <w:sz w:val="20"/>
          <w:szCs w:val="20"/>
          <w:color w:val="auto"/>
        </w:rPr>
      </w:pPr>
    </w:p>
    <w:p>
      <w:pPr>
        <w:jc w:val="both"/>
        <w:ind w:left="660" w:firstLine="1292"/>
        <w:spacing w:after="0" w:line="286" w:lineRule="auto"/>
        <w:tabs>
          <w:tab w:leader="none" w:pos="2581"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Unrestricted Definitive Notes to Unrestricted Definitive Notes</w:t>
      </w:r>
      <w:r>
        <w:rPr>
          <w:rFonts w:ascii="Arial" w:cs="Arial" w:eastAsia="Arial" w:hAnsi="Arial"/>
          <w:sz w:val="17"/>
          <w:szCs w:val="17"/>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5" w:lineRule="exact"/>
        <w:rPr>
          <w:rFonts w:ascii="Arial" w:cs="Arial" w:eastAsia="Arial" w:hAnsi="Arial"/>
          <w:sz w:val="17"/>
          <w:szCs w:val="17"/>
          <w:color w:val="auto"/>
        </w:rPr>
      </w:pPr>
    </w:p>
    <w:p>
      <w:pPr>
        <w:ind w:right="20" w:firstLine="1304"/>
        <w:spacing w:after="0" w:line="277" w:lineRule="auto"/>
        <w:tabs>
          <w:tab w:leader="none" w:pos="19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Indenture, a Holder may not transfer a Restricted Definitive Note or Restricted Global Note in reliance on Rule 144 (or any successor provision) under the Securities Act.</w:t>
      </w:r>
    </w:p>
    <w:p>
      <w:pPr>
        <w:spacing w:after="0" w:line="170" w:lineRule="exact"/>
        <w:rPr>
          <w:rFonts w:ascii="Arial" w:cs="Arial" w:eastAsia="Arial" w:hAnsi="Arial"/>
          <w:sz w:val="18"/>
          <w:szCs w:val="18"/>
          <w:color w:val="auto"/>
        </w:rPr>
      </w:pPr>
    </w:p>
    <w:p>
      <w:pPr>
        <w:ind w:right="20" w:firstLine="1304"/>
        <w:spacing w:after="0" w:line="277" w:lineRule="auto"/>
        <w:tabs>
          <w:tab w:leader="none" w:pos="200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following legends shall appear on the face of all Global Notes and Definitive Notes issued under this Indenture unless specifically stated otherwise in the applicable provisions of this Indenture:</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1948"/>
        <w:spacing w:after="0" w:line="277" w:lineRule="auto"/>
        <w:tabs>
          <w:tab w:leader="none" w:pos="390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jc w:val="both"/>
        <w:spacing w:after="0" w:line="266" w:lineRule="auto"/>
        <w:rPr>
          <w:sz w:val="20"/>
          <w:szCs w:val="20"/>
          <w:color w:val="auto"/>
        </w:rPr>
      </w:pPr>
      <w:r>
        <w:rPr>
          <w:rFonts w:ascii="Arial" w:cs="Arial" w:eastAsia="Arial" w:hAnsi="Arial"/>
          <w:sz w:val="17"/>
          <w:szCs w:val="17"/>
          <w:color w:val="auto"/>
        </w:rPr>
        <w:t>“THIS NOTE (OR ITS PREDECESSOR) HAS NOT BEEN REGISTERED UNDER THE U.S. SECURITIES ACT OF 1933, AS 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 (1) REPRESENTS THAT IT IS NOT AN “AFFILIATE” (AS DEFINED IN RULE 144 UNDER THE SECURITIES ACT) OF NEW FORTRESS ENERGY INC. (“</w:t>
      </w:r>
      <w:r>
        <w:rPr>
          <w:rFonts w:ascii="Arial" w:cs="Arial" w:eastAsia="Arial" w:hAnsi="Arial"/>
          <w:sz w:val="17"/>
          <w:szCs w:val="17"/>
          <w:u w:val="single" w:color="auto"/>
          <w:color w:val="auto"/>
        </w:rPr>
        <w:t>NFE</w:t>
      </w:r>
      <w:r>
        <w:rPr>
          <w:rFonts w:ascii="Arial" w:cs="Arial" w:eastAsia="Arial" w:hAnsi="Arial"/>
          <w:sz w:val="17"/>
          <w:szCs w:val="17"/>
          <w:color w:val="auto"/>
        </w:rPr>
        <w:t>”) AND (A) IT IS A “QUALIFIED INSTITUTIONAL BUYER” (AS DEFINED IN RULE 144A UNDER THE SECURITIES ACT) (A “</w:t>
      </w:r>
      <w:r>
        <w:rPr>
          <w:rFonts w:ascii="Arial" w:cs="Arial" w:eastAsia="Arial" w:hAnsi="Arial"/>
          <w:sz w:val="17"/>
          <w:szCs w:val="17"/>
          <w:u w:val="single" w:color="auto"/>
          <w:color w:val="auto"/>
        </w:rPr>
        <w:t>QIB</w:t>
      </w:r>
      <w:r>
        <w:rPr>
          <w:rFonts w:ascii="Arial" w:cs="Arial" w:eastAsia="Arial" w:hAnsi="Arial"/>
          <w:sz w:val="17"/>
          <w:szCs w:val="17"/>
          <w:color w:val="auto"/>
        </w:rPr>
        <w:t>”), OR (B) IT IS NOT A U.S. PERSON AND HAS ACQUIRED THIS NOTE IN AN OFFSHORE TRANSACTION IN COMPLIANCE WITH REGULATION S UNDER THE SECURITIES ACT; (2) AGREES THAT IT WILL NOT RESELL OR OTHERWISE TRANSFER THIS NOTE OR ANY BENEFICIAL INTEREST HEREIN EXCEPT (A) TO NFE OR ANY OF ITS SUBSIDIARIES, (B) TO A PERSON WHOM THE SELLER REASONABLY BELIEVES IS A QIB PURCHASING FOR ITS OWN ACCOUNT OR FOR THE ACCOUNT OF A QIB IN A TRANSACTION MEETING THE REQUIREMENTS OF RULE 144A, (C) TO NON-U.S. PERSONS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REASONABLY ACCEPTABLE TO NFE AND THE TRUSTEE) OR (F) PURSUANT TO AN EFFECTIVE REGISTRATION STATEMENT AND, IN EACH CASE, IN ACCORDANCE WITH THE APPLICABLE SECURITIES LAWS OF ANY STATE OF THE UNITED STATES OR ANY OTHER APPLICABLE JURISDICTION; (3) AGREES THAT IT WILL DELIVER TO EACH PERSON TO WHOM THIS NOTE OR AN INTEREST HEREIN IS TRANSFERRED A NOTICE SUBSTANTIALLY TO THE EFFECT OF THIS LEGEND; AND (4) AGREES THAT ANY SECURITY THAT IS OWNED BY AN AFFILIATE (AS DEFINED IN RULE 144 UNDER THE SECURITIES ACT) OF NFE MAY NOT BE RESOLD OR TRANSFERRED BY SUCH AFFILIATE OTHER THAN TO NFE OR A SUBSIDIARY THEREOF OR PURSUANT TO (A) A REGISTRATION STATEMENT UNDER THE SECURITIES ACT, (B) IN A TRANSACTION MEETING THE REQUIREMENTS OF RULE 144 UNDER THE SECURITIES ACT OR (C) ANOTHER EXEMPTION FROM THE REGISTRATION REQUIREMENTS OF THE SECURITIES ACT (IF AVAILABLE) IN A TRANSACTION THAT RESULTS IN SUCH SECURITY NO LONGER BEING A RESTRICTED SECURITY (AS DEFINED UNDER RULE 144). IN THE EVENT ANY SUCH PERSONS BENEFICIALLY OWN AN INTEREST IN THE SECURITY PRIOR TO THE TIME NFE REMOVES THE RESTRICTIVE LEGEND ON THE SECURITY, NFE MAY REQUIRE THAT SUCH PERSONS HOLD THEIR INTERESTS IN THE SECURITY IN CERTIFICATED FORM BEARING AN APPROPRIATE RESTRICTIVE LEGEND AND A RESTRICTED CUSIP NUMBER. AS USED HEREIN, THE TERMS “</w:t>
      </w:r>
      <w:r>
        <w:rPr>
          <w:rFonts w:ascii="Arial" w:cs="Arial" w:eastAsia="Arial" w:hAnsi="Arial"/>
          <w:sz w:val="17"/>
          <w:szCs w:val="17"/>
          <w:u w:val="single" w:color="auto"/>
          <w:color w:val="auto"/>
        </w:rPr>
        <w:t>OFFSHORE TRANSACTIONS</w:t>
      </w:r>
      <w:r>
        <w:rPr>
          <w:rFonts w:ascii="Arial" w:cs="Arial" w:eastAsia="Arial" w:hAnsi="Arial"/>
          <w:sz w:val="17"/>
          <w:szCs w:val="17"/>
          <w:color w:val="auto"/>
        </w:rPr>
        <w:t>” AND “</w:t>
      </w:r>
      <w:r>
        <w:rPr>
          <w:rFonts w:ascii="Arial" w:cs="Arial" w:eastAsia="Arial" w:hAnsi="Arial"/>
          <w:sz w:val="17"/>
          <w:szCs w:val="17"/>
          <w:u w:val="single" w:color="auto"/>
          <w:color w:val="auto"/>
        </w:rPr>
        <w:t>UNITED STATES</w:t>
      </w:r>
      <w:r>
        <w:rPr>
          <w:rFonts w:ascii="Arial" w:cs="Arial" w:eastAsia="Arial" w:hAnsi="Arial"/>
          <w:sz w:val="17"/>
          <w:szCs w:val="17"/>
          <w:color w:val="auto"/>
        </w:rPr>
        <w:t>” HAVE THE MEANINGS GIVEN TO THEM BY RULE 902 OF REGULATION S UNDER THE SECURITIES ACT. THE INDENTURE CONTAINS A PROVISION REQUIRING THE TRUSTEE TO REFUSE TO REGISTER ANY TRANSFER OF THIS NOTE IN VIOLATION OF THE FOREGOING”.</w:t>
      </w:r>
    </w:p>
    <w:p>
      <w:pPr>
        <w:spacing w:after="0" w:line="198" w:lineRule="exact"/>
        <w:rPr>
          <w:sz w:val="20"/>
          <w:szCs w:val="20"/>
          <w:color w:val="auto"/>
        </w:rPr>
      </w:pPr>
    </w:p>
    <w:p>
      <w:pPr>
        <w:jc w:val="both"/>
        <w:ind w:left="1300" w:firstLine="1948"/>
        <w:spacing w:after="0" w:line="263" w:lineRule="auto"/>
        <w:tabs>
          <w:tab w:leader="none" w:pos="3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Notwithstanding the foregoing, any Global Note or Definitive Note issued pursuant to </w:t>
      </w:r>
      <w:r>
        <w:rPr>
          <w:rFonts w:ascii="Arial" w:cs="Arial" w:eastAsia="Arial" w:hAnsi="Arial"/>
          <w:sz w:val="18"/>
          <w:szCs w:val="18"/>
          <w:u w:val="single" w:color="auto"/>
          <w:color w:val="auto"/>
        </w:rPr>
        <w:t>subparagraph</w:t>
      </w:r>
      <w:r>
        <w:rPr>
          <w:rFonts w:ascii="Arial" w:cs="Arial" w:eastAsia="Arial" w:hAnsi="Arial"/>
          <w:sz w:val="18"/>
          <w:szCs w:val="18"/>
          <w:color w:val="auto"/>
        </w:rPr>
        <w:t xml:space="preserve">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(c)(iv)</w:t>
      </w:r>
      <w:r>
        <w:rPr>
          <w:rFonts w:ascii="Arial" w:cs="Arial" w:eastAsia="Arial" w:hAnsi="Arial"/>
          <w:sz w:val="18"/>
          <w:szCs w:val="18"/>
          <w:color w:val="auto"/>
        </w:rPr>
        <w:t xml:space="preserve">, </w:t>
      </w:r>
      <w:r>
        <w:rPr>
          <w:rFonts w:ascii="Arial" w:cs="Arial" w:eastAsia="Arial" w:hAnsi="Arial"/>
          <w:sz w:val="18"/>
          <w:szCs w:val="18"/>
          <w:u w:val="single" w:color="auto"/>
          <w:color w:val="auto"/>
        </w:rPr>
        <w:t>(d)(ii)</w:t>
      </w:r>
      <w:r>
        <w:rPr>
          <w:rFonts w:ascii="Arial" w:cs="Arial" w:eastAsia="Arial" w:hAnsi="Arial"/>
          <w:sz w:val="18"/>
          <w:szCs w:val="18"/>
          <w:color w:val="auto"/>
        </w:rPr>
        <w:t xml:space="preserve">, </w:t>
      </w:r>
      <w:r>
        <w:rPr>
          <w:rFonts w:ascii="Arial" w:cs="Arial" w:eastAsia="Arial" w:hAnsi="Arial"/>
          <w:sz w:val="18"/>
          <w:szCs w:val="18"/>
          <w:u w:val="single" w:color="auto"/>
          <w:color w:val="auto"/>
        </w:rPr>
        <w:t>(d)(iii)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(e)(ii)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all Notes issued in exchange therefor or substitution thereof) shall not bear the Private Placement Legend.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ind w:left="2580" w:hanging="628"/>
        <w:spacing w:after="0"/>
        <w:tabs>
          <w:tab w:leader="none" w:pos="25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Global Note Legend</w:t>
      </w:r>
      <w:r>
        <w:rPr>
          <w:rFonts w:ascii="Arial" w:cs="Arial" w:eastAsia="Arial" w:hAnsi="Arial"/>
          <w:sz w:val="18"/>
          <w:szCs w:val="18"/>
          <w:color w:val="auto"/>
        </w:rPr>
        <w:t>. Each Global Note shall bear a legend in substantially the following form:</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9" w:lineRule="exact"/>
        <w:rPr>
          <w:sz w:val="20"/>
          <w:szCs w:val="20"/>
          <w:color w:val="auto"/>
        </w:rPr>
      </w:pPr>
    </w:p>
    <w:p>
      <w:pPr>
        <w:ind w:left="2700" w:hanging="748"/>
        <w:spacing w:after="0"/>
        <w:tabs>
          <w:tab w:leader="none" w:pos="270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Regulation S Global Note Legend</w:t>
      </w:r>
      <w:r>
        <w:rPr>
          <w:rFonts w:ascii="Arial" w:cs="Arial" w:eastAsia="Arial" w:hAnsi="Arial"/>
          <w:sz w:val="17"/>
          <w:szCs w:val="17"/>
          <w:color w:val="auto"/>
        </w:rPr>
        <w:t>. The Regulation S Global Note shall bear a legend in substantially the following</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4" w:lineRule="exact"/>
        <w:rPr>
          <w:sz w:val="20"/>
          <w:szCs w:val="20"/>
          <w:color w:val="auto"/>
        </w:rPr>
      </w:pPr>
    </w:p>
    <w:p>
      <w:pPr>
        <w:jc w:val="both"/>
        <w:ind w:firstLine="1304"/>
        <w:spacing w:after="0" w:line="253" w:lineRule="auto"/>
        <w:tabs>
          <w:tab w:leader="none" w:pos="194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Cancellation and/or Adjustment of Global Notes</w:t>
      </w:r>
      <w:r>
        <w:rPr>
          <w:rFonts w:ascii="Arial" w:cs="Arial" w:eastAsia="Arial" w:hAnsi="Arial"/>
          <w:sz w:val="18"/>
          <w:szCs w:val="18"/>
          <w:color w:val="auto"/>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ind w:left="800" w:hanging="616"/>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firstLine="1292"/>
        <w:spacing w:after="0" w:line="308" w:lineRule="auto"/>
        <w:tabs>
          <w:tab w:leader="none" w:pos="157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To permit registrations of transfers and exchanges, the Issuer shall execute and the Trustee shall authenticate Global Notes and Definitive Notes upon receipt of an Authentication Order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at the Registrar’s request.</w:t>
      </w:r>
    </w:p>
    <w:p>
      <w:pPr>
        <w:spacing w:after="0" w:line="146" w:lineRule="exact"/>
        <w:rPr>
          <w:rFonts w:ascii="Arial" w:cs="Arial" w:eastAsia="Arial" w:hAnsi="Arial"/>
          <w:sz w:val="17"/>
          <w:szCs w:val="17"/>
          <w:color w:val="auto"/>
        </w:rPr>
      </w:pPr>
    </w:p>
    <w:p>
      <w:pPr>
        <w:jc w:val="both"/>
        <w:ind w:left="-460" w:firstLine="1292"/>
        <w:spacing w:after="0" w:line="279" w:lineRule="auto"/>
        <w:tabs>
          <w:tab w:leader="none" w:pos="147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No service charge shall be made to a holder of a beneficial interest in a Global Note or to a Holder of a Definitive Note for any registration of transfer or exchange, but the Issuer may require payment of a sum sufficient to cover any transfer tax, fees required by law or similar governmental charge payable in connection therewith (other than any such transfer taxes, fees required by law or similar governmental charge payable upon exchange or transfer pursuant to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w:t>
      </w:r>
      <w:r>
        <w:rPr>
          <w:rFonts w:ascii="Arial" w:cs="Arial" w:eastAsia="Arial" w:hAnsi="Arial"/>
          <w:sz w:val="17"/>
          <w:szCs w:val="17"/>
          <w:u w:val="single" w:color="auto"/>
          <w:color w:val="auto"/>
        </w:rPr>
        <w:t>3.09</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60" w:firstLine="1292"/>
        <w:spacing w:after="0" w:line="277" w:lineRule="auto"/>
        <w:tabs>
          <w:tab w:leader="none" w:pos="162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Neither the Registrar nor the Issuer shall be required to register the transfer of or exchange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68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83" w:lineRule="exact"/>
        <w:rPr>
          <w:rFonts w:ascii="Arial" w:cs="Arial" w:eastAsia="Arial" w:hAnsi="Arial"/>
          <w:sz w:val="18"/>
          <w:szCs w:val="18"/>
          <w:color w:val="auto"/>
        </w:rPr>
      </w:pPr>
    </w:p>
    <w:p>
      <w:pPr>
        <w:jc w:val="both"/>
        <w:ind w:left="-460" w:firstLine="1292"/>
        <w:spacing w:after="0" w:line="273" w:lineRule="auto"/>
        <w:tabs>
          <w:tab w:leader="none" w:pos="147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Issuer and Registrar shall not be required (A) to issue, to register the transfer of or to exchange any Notes during a period beginning at the opening of business 15 days before the day of selection of Notes to be redeemed and ending at the close of business on the day of selection of Notes to be redeemed, (B) to register the transfer of or to exchange any Note so selected for redemption or tendered (and not withdrawn) for repurchase in connection with a Change of Control Offer, an Asset Sale Offer, an Alternate Offer, an Advance Offer or other tender offer, in whole or in part, except the unredeemed portion of any Note being redeemed in part or (C) to register the transfer of or to exchange a Note between a Record Date and the next succeeding Interest Payment Date.</w:t>
      </w:r>
    </w:p>
    <w:p>
      <w:pPr>
        <w:spacing w:after="0" w:line="177" w:lineRule="exact"/>
        <w:rPr>
          <w:rFonts w:ascii="Arial" w:cs="Arial" w:eastAsia="Arial" w:hAnsi="Arial"/>
          <w:sz w:val="17"/>
          <w:szCs w:val="17"/>
          <w:color w:val="auto"/>
        </w:rPr>
      </w:pPr>
    </w:p>
    <w:p>
      <w:pPr>
        <w:jc w:val="both"/>
        <w:ind w:left="-460" w:firstLine="1292"/>
        <w:spacing w:after="0" w:line="259" w:lineRule="auto"/>
        <w:tabs>
          <w:tab w:leader="none" w:pos="148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Issuer shall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spacing w:after="0" w:line="35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00" w:name="page101"/>
    <w:bookmarkEnd w:id="100"/>
    <w:p>
      <w:pPr>
        <w:jc w:val="both"/>
        <w:ind w:left="-460" w:firstLine="1292"/>
        <w:spacing w:after="0" w:line="286" w:lineRule="auto"/>
        <w:tabs>
          <w:tab w:leader="none" w:pos="162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Upon surrender for registration of transfer of any Note at the office or agency of the Issuer designated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the Issuer shall execute, and the Trustee shall authenticate and mail, in the name of the designated transferee or transferees, one or more replacement Notes of any authorized denomination or denominations of a like aggregate principal amount.</w:t>
      </w:r>
    </w:p>
    <w:p>
      <w:pPr>
        <w:spacing w:after="0" w:line="165" w:lineRule="exact"/>
        <w:rPr>
          <w:rFonts w:ascii="Arial" w:cs="Arial" w:eastAsia="Arial" w:hAnsi="Arial"/>
          <w:sz w:val="17"/>
          <w:szCs w:val="17"/>
          <w:color w:val="auto"/>
        </w:rPr>
      </w:pPr>
    </w:p>
    <w:p>
      <w:pPr>
        <w:jc w:val="both"/>
        <w:ind w:left="-460" w:firstLine="1292"/>
        <w:spacing w:after="0" w:line="301" w:lineRule="auto"/>
        <w:tabs>
          <w:tab w:leader="none" w:pos="151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460" w:firstLine="1292"/>
        <w:spacing w:after="0" w:line="277" w:lineRule="auto"/>
        <w:tabs>
          <w:tab w:leader="none" w:pos="146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All certifications, certificates and Opinions of Counsel required to be submitted to the Registrar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w:t>
      </w:r>
      <w:r>
        <w:rPr>
          <w:rFonts w:ascii="Arial" w:cs="Arial" w:eastAsia="Arial" w:hAnsi="Arial"/>
          <w:sz w:val="18"/>
          <w:szCs w:val="18"/>
          <w:color w:val="auto"/>
        </w:rPr>
        <w:t xml:space="preserve"> to effect a registration of transfer or exchange may be submitted by facsimile.</w:t>
      </w:r>
    </w:p>
    <w:p>
      <w:pPr>
        <w:spacing w:after="0" w:line="170" w:lineRule="exact"/>
        <w:rPr>
          <w:rFonts w:ascii="Arial" w:cs="Arial" w:eastAsia="Arial" w:hAnsi="Arial"/>
          <w:sz w:val="18"/>
          <w:szCs w:val="18"/>
          <w:color w:val="auto"/>
        </w:rPr>
      </w:pPr>
    </w:p>
    <w:p>
      <w:pPr>
        <w:jc w:val="both"/>
        <w:ind w:left="-460" w:firstLine="1292"/>
        <w:spacing w:after="0" w:line="267" w:lineRule="auto"/>
        <w:tabs>
          <w:tab w:leader="none" w:pos="169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None of the Issuer, the Guarantors, the Trustee or the Agents shall have any responsibility or obligation to any beneficial owner in a Global Note, a Participant, an Indirect Participant or other Person with respect to the accuracy of the records of the Depositary or its nominee or of any Participant, with respect to any ownership interest in the Notes or with respect to the delivery to any Participant, Indirect Participant,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and this Indenture shall be given or made only to or upon the order of the registered holders (which shall be the Depositary or its nominee in the case of the Global Note). The rights of beneficial owners in the Global Note shall be exercised only through the Depositary subject to the applicable rules and procedures of the Depositary. The Issuer, the Guarantors, the Trustee and the Agents shall be entitled to rely and shall be fully protected in relying upon information furnished by the Depositary with respect to its members, participants and any beneficial owners. The Issuer, the Guarantors, the Trustee and the Agents shall be entitled to deal with the Depositary, and any nominee thereof, that is the registered holder of any Global Note for all purposes of this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and shall have no obligations to the beneficial owners thereof. None of the Issuer, the Guarantors, the Trustee or the Agents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w:t>
      </w:r>
    </w:p>
    <w:p>
      <w:pPr>
        <w:spacing w:after="0" w:line="36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01" w:name="page102"/>
    <w:bookmarkEnd w:id="101"/>
    <w:p>
      <w:pPr>
        <w:jc w:val="both"/>
        <w:ind w:left="660" w:firstLine="1292"/>
        <w:spacing w:after="0" w:line="257" w:lineRule="auto"/>
        <w:tabs>
          <w:tab w:leader="none" w:pos="25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the foregoing, with respect to any Global Note, nothing herein shall prevent the Issuer, the Guarantors, the Trustee, or any agent of the Issuer, the Guarantors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REPLACEMENT NOTES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Guarantors, the Trustee, any Agent and any authenticating agent from any loss that any of them may suffer if a Note is replaced. The Issuer may charge for its expenses in replacing a Note.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replacement Note is a contractual obligation of the Issuer and shall be entitled to all of the benefits of this Indenture equally and proportionately with all other Notes duly issued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OUTSTANDING NOTES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as not outstanding. Except as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 a Note does not cease to be outstanding because the Issuer or an Affiliate of the Issuer holds the Note.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If a Note is replaced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it ceases to be outstanding unless the Trustee receives proof satisfactory to it that the replaced Note is held by a bona fide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If the principal amount of any Note is considered paid under </w:t>
      </w:r>
      <w:r>
        <w:rPr>
          <w:rFonts w:ascii="Arial" w:cs="Arial" w:eastAsia="Arial" w:hAnsi="Arial"/>
          <w:sz w:val="17"/>
          <w:szCs w:val="17"/>
          <w:u w:val="single" w:color="auto"/>
          <w:color w:val="auto"/>
        </w:rPr>
        <w:t>Section 4.01</w:t>
      </w:r>
      <w:r>
        <w:rPr>
          <w:rFonts w:ascii="Arial" w:cs="Arial" w:eastAsia="Arial" w:hAnsi="Arial"/>
          <w:sz w:val="17"/>
          <w:szCs w:val="17"/>
          <w:color w:val="auto"/>
        </w:rPr>
        <w:t>, it ceases to be outstanding and interest on it ceases to accrue.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TREASURY NOTES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TEMPORARY NOTES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and beneficial holders, as the case may be, of temporary Notes shall be entitled to all of the benefits accorded to Holders, or beneficial holders, respectively, of Notes under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Certification of the disposal of all cancelled Notes shall be delivered to the Issuer upon their written request. The Issuer may not issue new Notes to replace Notes that have been paid or that have been delivered to the Trustee for cancellation.</w:t>
      </w:r>
    </w:p>
    <w:p>
      <w:pPr>
        <w:spacing w:after="0" w:line="19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7"/>
          <w:szCs w:val="17"/>
          <w:u w:val="single" w:color="auto"/>
          <w:color w:val="auto"/>
        </w:rPr>
        <w:t>DEFAULTED INTEREST</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Trustee shall fix or cause to be fixed each such special record date and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Issuer of such special record date. At least 10 days before the special record date, the Issuer (or, upon the written request of the Issuer, the Trustee in the name and at the expense of the Issuer) shall send or cause to be sent to each Holder a notice at his or her address as it appears in the Note Register that states the special record date, the related payment date and the amount of such interest to be paid.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jc w:val="both"/>
        <w:ind w:firstLine="648"/>
        <w:spacing w:after="0" w:line="263" w:lineRule="auto"/>
        <w:rPr>
          <w:sz w:val="20"/>
          <w:szCs w:val="20"/>
          <w:color w:val="auto"/>
        </w:rPr>
      </w:pPr>
      <w:r>
        <w:rPr>
          <w:rFonts w:ascii="Arial" w:cs="Arial" w:eastAsia="Arial" w:hAnsi="Arial"/>
          <w:sz w:val="18"/>
          <w:szCs w:val="18"/>
          <w:color w:val="auto"/>
        </w:rPr>
        <w:t xml:space="preserve">Subject to the foregoing provisions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Issuer in issuing the Notes may use CUSIP, ISIN or other similar numbers (if then generally in use) and, if so, the Trustee shall use CUSIP, ISIN or other similar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notice shall not be affected by any defect in or omission of such numbers. The Issuer will as promptly as practicable notify the Trustee of any change in the CUSIP, ISIN or other similar numbers.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NOTICES TO TRUSTEE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the Issuer elects to redeem Notes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it shall furnish to the Trustee, at least two Business Days (or such shorter time period as the Trustee may agree) before notice of redemption is required to be sent or caused to be sent to Holders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 Officer’s Certificate setting forth (i) the paragraph or subparagraph of such Note and/or Section of this Indenture pursuant to which the redemption shall occur, (ii) the Redemption Date, (iii) the principal amount of the Notes to be redeemed (or, if the Notes are to be redeemed in whole, that the Notes are to be redeemed in whole) and (iv) the redemption price or, if not then ascertainable, the manner of calculation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no Opinion of Counsel shall be required in connection with such redemption or the delivery of such notice of redemption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OF NOTES TO BE REDEEMED OR PURCHASED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With respect to any partial redemption or purchase of Notes made pursuant to this Indenture, selection of the Notes for redemption or purchase will be made by the Trustee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to the extent applicable or by lot or by such method as the Trustee shall deem fair and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Notes are represented by Global Notes, interests in the Notes shall be selected for redemption or purchase by DTC in accordance with its standard procedures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Notes of less than $2,000 can be redeemed or repurchased in part. Such Notes to be redeemed or purchased shall be selected, unless otherwise provided herein, at least 10 days but, except in connection with </w:t>
      </w:r>
      <w:r>
        <w:rPr>
          <w:rFonts w:ascii="Arial" w:cs="Arial" w:eastAsia="Arial" w:hAnsi="Arial"/>
          <w:sz w:val="16"/>
          <w:szCs w:val="16"/>
          <w:u w:val="single" w:color="auto"/>
          <w:color w:val="auto"/>
        </w:rPr>
        <w:t>Section 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11</w:t>
      </w:r>
      <w:r>
        <w:rPr>
          <w:rFonts w:ascii="Arial" w:cs="Arial" w:eastAsia="Arial" w:hAnsi="Arial"/>
          <w:sz w:val="16"/>
          <w:szCs w:val="16"/>
          <w:color w:val="auto"/>
        </w:rPr>
        <w:t>, not more than 60 days prior to the Redemption Date from the outstanding Notes not previously called for redemption or purchase.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both"/>
        <w:ind w:firstLine="648"/>
        <w:spacing w:after="0" w:line="255" w:lineRule="auto"/>
        <w:rPr>
          <w:sz w:val="20"/>
          <w:szCs w:val="20"/>
          <w:color w:val="auto"/>
        </w:rPr>
      </w:pPr>
      <w:r>
        <w:rPr>
          <w:rFonts w:ascii="Arial" w:cs="Arial" w:eastAsia="Arial" w:hAnsi="Arial"/>
          <w:sz w:val="18"/>
          <w:szCs w:val="18"/>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$1,000 or whole multiples of $1,000 in excess thereof; no Notes of $2,000 or less can be redeemed or repurchased in part,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91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the Issuer shall deliver or cause to be delivered electronically, in accordance with DTC procedures in the case of Global Notes, mail or cause to be mailed by first-class mail, postage prepaid, notices of redemption at least 20 days but except as set forth in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not more than 60 days before the purchase date or Redemption Date to each Holder at such Holder’s registered address or otherwise in accordance with the procedures of DTC, except that redemption notices may be delivered or mailed more than 60 days prior to a Redemption Date if the notice is issued in connection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or as specified in </w:t>
      </w:r>
      <w:r>
        <w:rPr>
          <w:rFonts w:ascii="Arial" w:cs="Arial" w:eastAsia="Arial" w:hAnsi="Arial"/>
          <w:sz w:val="18"/>
          <w:szCs w:val="18"/>
          <w:u w:val="single" w:color="auto"/>
          <w:color w:val="auto"/>
        </w:rPr>
        <w:t>Section 3.03(c)</w:t>
      </w:r>
      <w:r>
        <w:rPr>
          <w:rFonts w:ascii="Arial" w:cs="Arial" w:eastAsia="Arial" w:hAnsi="Arial"/>
          <w:sz w:val="18"/>
          <w:szCs w:val="18"/>
          <w:color w:val="auto"/>
        </w:rPr>
        <w:t>. Notices of redemption may be conditional.</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notice shall identify the Notes to be redeemed and shall state:</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225" w:lineRule="exact"/>
        <w:rPr>
          <w:rFonts w:ascii="Arial" w:cs="Arial" w:eastAsia="Arial" w:hAnsi="Arial"/>
          <w:sz w:val="18"/>
          <w:szCs w:val="18"/>
          <w:color w:val="auto"/>
        </w:rPr>
      </w:pPr>
    </w:p>
    <w:p>
      <w:pPr>
        <w:jc w:val="both"/>
        <w:ind w:left="660" w:firstLine="1292"/>
        <w:spacing w:after="0" w:line="286" w:lineRule="auto"/>
        <w:tabs>
          <w:tab w:leader="none" w:pos="262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any Note is to be redeemed or purchased in part only, the portion of the principal amount of that Note that is to be redeemed or purchased and that, after the Redemption Date upon cancellation of the Note surrendered, a new Note or Notes in principal amount equal to the unredeemed or unpurchased portion of the surrendered Note will be issued in the name of the Holder thereof;</w:t>
      </w:r>
    </w:p>
    <w:p>
      <w:pPr>
        <w:spacing w:after="0" w:line="165" w:lineRule="exact"/>
        <w:rPr>
          <w:rFonts w:ascii="Arial" w:cs="Arial" w:eastAsia="Arial" w:hAnsi="Arial"/>
          <w:sz w:val="17"/>
          <w:szCs w:val="17"/>
          <w:color w:val="auto"/>
        </w:rPr>
      </w:pPr>
    </w:p>
    <w:p>
      <w:pPr>
        <w:ind w:left="2620" w:hanging="668"/>
        <w:spacing w:after="0"/>
        <w:tabs>
          <w:tab w:leader="none" w:pos="2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firstLine="1292"/>
        <w:spacing w:after="0" w:line="277" w:lineRule="auto"/>
        <w:tabs>
          <w:tab w:leader="none" w:pos="26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660" w:firstLine="1292"/>
        <w:spacing w:after="0" w:line="277" w:lineRule="auto"/>
        <w:tabs>
          <w:tab w:leader="none" w:pos="264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paragraph or subparagraph of the Notes and/or Section of this Indenture pursuant to which the Notes called for redemption are being redeemed;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ind w:left="2640" w:hanging="688"/>
        <w:spacing w:after="0"/>
        <w:tabs>
          <w:tab w:leader="none" w:pos="2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printed on the Notes; and</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conditions to such redemption.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At the Issuer’s request, the Trustee shall give the notice of redemption in the Issuer’s name and at its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Issuer shall have delivered to the Trustee, at least two Business Days before notice of redemption is required to be sent or caused to be sent to Holders pursuant to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such shorter time period as the Trustee may agree),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jc w:val="both"/>
        <w:ind w:firstLine="1304"/>
        <w:spacing w:after="0" w:line="268" w:lineRule="auto"/>
        <w:tabs>
          <w:tab w:leader="none" w:pos="193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redemption of, or offer to purchase, the Notes may, at the Issuer’s discretion, be subject to the satisfaction of one or more conditions precedent, including, the completion or occurrence of an Equity Offering, other transaction (or series of related transactions) or an event that constitutes a Change of Control. If a redemption or purchase is subject to the satisfaction of one or more conditions precedent, notice of such redemption or purchase may be given in connection with the related Equity Offering, transaction or event, as the case may be, and prior to the completion or the occurrence thereof.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or at any time in the Issuer’s discretion if the Issuer reasonably believes that any or all of such conditions will not be satisfied or waived, in each case by the Redemption Date or purchase date or by the Redemption Date or purchase date as so delayed. In addition, the Issuer may provide in any notice of redemption or offer to purchase that payment of the redemption or purchase price and performance of the Issuer’s obligations with respect to such redemption or offer to purchase may be performed by another Person. In no event shall the Trustee be responsible for monitoring, or charged with knowledge of, the maximum aggregate amount of the Notes eligible under this Indenture to be redeemed.</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21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Issuer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EFFECT OF NOTICE OF REDEMPTION OR PURCHASE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Once notice of redemption is sent in accordance with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Notes called for redemption or purchase become irrevocably due and payable on the Redemption Date or purchase date, as applicable, at the redemption price or purchase price, as applicable, unless such redemption or purchase remains conditioned on the happening of a future event that has not occurred. The notice, if sent in a manner herein provided, shall be conclusively presumed to have been given, whether or not the Holder receives such notice. In any case, failure to give such notice or any defect in the notice to the Holder of any Note designated for redemption or purchase in whole or in part shall not affect the validity of the proceedings for the redemption or purchase of any other Note. Subject to </w:t>
      </w:r>
      <w:r>
        <w:rPr>
          <w:rFonts w:ascii="Arial" w:cs="Arial" w:eastAsia="Arial" w:hAnsi="Arial"/>
          <w:sz w:val="17"/>
          <w:szCs w:val="17"/>
          <w:u w:val="single" w:color="auto"/>
          <w:color w:val="auto"/>
        </w:rPr>
        <w:t>Section 3.05</w:t>
      </w:r>
      <w:r>
        <w:rPr>
          <w:rFonts w:ascii="Arial" w:cs="Arial" w:eastAsia="Arial" w:hAnsi="Arial"/>
          <w:sz w:val="17"/>
          <w:szCs w:val="17"/>
          <w:color w:val="auto"/>
        </w:rPr>
        <w:t>, on and after the Redemption Date or purchase date, as applicable, unless the Issuer defaults in payment of the redemption or purchase price, interest shall cease to accrue on Notes or portions of Notes called for redemption or purchase, unless such redemption or purchase remains conditioned on the occurrence of a future event that has not occurred.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DEPOSIT OF REDEMPTION OR PURCHASE PRICE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noon (New York City time) on the Redemption Date or purchase date, the Issuer shall deposit with the Trustee or with the Paying Agent money sufficient to pay the redemption or purchase price of and accrued and unpaid interest,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and unpaid interest, if any, on, all Notes to be redeemed or purchased.</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If the Issuer complies with the provisions of the preceding paragraph, on and after the Redemption Date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Date or purchase date shall be paid on the Redemption Date or purchase date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Date or purchase date until such principal is paid, and to the extent lawful on any interest accrued to the redemption or purchase date not paid on such unpaid principal, in each case at the rate provided in the Notes and in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NOTES REDEEMED OR PURCHASED IN PART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Upon cancellation of a Note that is redeemed or purchased in part only, the Issuer shall issue and the Trustee shall authenticate for the Holder at the expense of the Issuer a new Note in a principal amount equal to the unredeemed or unpurchased portion of the Note surrendered;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new Note will be issued only in denominations of $2,000 or any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202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At any time prior to March 31, 2023, the Issuer may, at its option and on one or more occasions, redeem all or a part of the Notes, upon notice as described in </w:t>
      </w:r>
      <w:r>
        <w:rPr>
          <w:rFonts w:ascii="Arial" w:cs="Arial" w:eastAsia="Arial" w:hAnsi="Arial"/>
          <w:sz w:val="18"/>
          <w:szCs w:val="18"/>
          <w:u w:val="single" w:color="auto"/>
          <w:color w:val="auto"/>
        </w:rPr>
        <w:t>Section 3.03</w:t>
      </w:r>
      <w:r>
        <w:rPr>
          <w:rFonts w:ascii="Arial" w:cs="Arial" w:eastAsia="Arial" w:hAnsi="Arial"/>
          <w:sz w:val="18"/>
          <w:szCs w:val="18"/>
          <w:color w:val="auto"/>
        </w:rPr>
        <w:t>, at a redemption price equal to 100.0% of the principal amount of the Notes redeemed plus the Applicable Premium as of, and accrued and unpaid interest, if any, to, but excluding, the date of redemption (any applicable date of redemption hereunder,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subject to the right of Holders of record on the relevant Record Date to receive interest due on the relevant Interest Payment Date falling on or prior to the Redemption Date.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both"/>
        <w:ind w:firstLine="1304"/>
        <w:spacing w:after="0" w:line="257" w:lineRule="auto"/>
        <w:tabs>
          <w:tab w:leader="none" w:pos="195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On and after March 31, 2023, the Issuer may, at its option and on one or more occasions, redeem the Notes, in whole or in part, upon notice as described in </w:t>
      </w:r>
      <w:r>
        <w:rPr>
          <w:rFonts w:ascii="Arial" w:cs="Arial" w:eastAsia="Arial" w:hAnsi="Arial"/>
          <w:sz w:val="18"/>
          <w:szCs w:val="18"/>
          <w:u w:val="single" w:color="auto"/>
          <w:color w:val="auto"/>
        </w:rPr>
        <w:t>Section 3.03</w:t>
      </w:r>
      <w:r>
        <w:rPr>
          <w:rFonts w:ascii="Arial" w:cs="Arial" w:eastAsia="Arial" w:hAnsi="Arial"/>
          <w:sz w:val="18"/>
          <w:szCs w:val="18"/>
          <w:color w:val="auto"/>
        </w:rPr>
        <w:t>,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 the relevant Interest Payment Date falling on or prior to the Redemption Date, if redeemed during the twelve-month period beginning on March 31 of each of the years indicated below:</w:t>
      </w:r>
    </w:p>
    <w:p>
      <w:pPr>
        <w:spacing w:after="0" w:line="182" w:lineRule="exact"/>
        <w:rPr>
          <w:sz w:val="20"/>
          <w:szCs w:val="20"/>
          <w:color w:val="auto"/>
        </w:rPr>
      </w:pPr>
    </w:p>
    <w:tbl>
      <w:tblPr>
        <w:tblLayout w:type="fixed"/>
        <w:tblInd w:w="339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Year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23"/>
        </w:trPr>
        <w:tc>
          <w:tcPr>
            <w:tcW w:w="2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103.250%</w:t>
            </w:r>
          </w:p>
        </w:tc>
      </w:tr>
      <w:tr>
        <w:trPr>
          <w:trHeight w:val="22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101.625%</w:t>
            </w:r>
          </w:p>
        </w:tc>
      </w:tr>
      <w:tr>
        <w:trPr>
          <w:trHeight w:val="223"/>
        </w:trPr>
        <w:tc>
          <w:tcPr>
            <w:tcW w:w="2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2025 and thereafter</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100.000%</w:t>
            </w:r>
          </w:p>
        </w:tc>
      </w:tr>
    </w:tbl>
    <w:p>
      <w:pPr>
        <w:spacing w:after="0" w:line="202" w:lineRule="exact"/>
        <w:rPr>
          <w:sz w:val="20"/>
          <w:szCs w:val="20"/>
          <w:color w:val="auto"/>
        </w:rPr>
      </w:pPr>
    </w:p>
    <w:p>
      <w:pPr>
        <w:jc w:val="both"/>
        <w:ind w:firstLine="1304"/>
        <w:spacing w:after="0" w:line="269" w:lineRule="auto"/>
        <w:tabs>
          <w:tab w:leader="none" w:pos="197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At any time prior to March 31, 2023, the Issuer may, at its option, upon notice as described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on one or more occasions redeem up to 40.0% of the aggregate principal amount of the Notes (for the avoidance of doubt, including Additional Notes, if any) issued and outstanding under this Indenture at a redemption price (as calculated by the Issuer) equal to (i) 106.500% of the aggregate principal amount thereof, in an amount equal to or less than the amount of net cash proceeds from one or more Equity Offerings to the extent such net cash proceeds are received by or contributed to the Issuer, plus (ii) accrued and unpaid interest thereon, if any, to, but excluding, the applicable Redemption Date, subject to the right of Holders of record on the relevant record date to receive interest due on the relevant interest payment date falling on or prior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at least 50.0% of the aggregate principal amount of the Notes originally issued under this Indenture on the Issue Date remains outstanding immediately after the occurrence of each such redemption (except to the extent otherwise repurchased or redeemed or to be repurchased or redeemed and for which a notice of repurchase or redemption has been issued at or about such time in accordance with the terms of this Indenture) and (b) each such redemption occurs within 180 days of the date of closing of such Equity Offering.</w:t>
      </w:r>
    </w:p>
    <w:p>
      <w:pPr>
        <w:spacing w:after="0" w:line="185" w:lineRule="exact"/>
        <w:rPr>
          <w:rFonts w:ascii="Arial" w:cs="Arial" w:eastAsia="Arial" w:hAnsi="Arial"/>
          <w:sz w:val="17"/>
          <w:szCs w:val="17"/>
          <w:color w:val="auto"/>
        </w:rPr>
      </w:pPr>
    </w:p>
    <w:p>
      <w:pPr>
        <w:jc w:val="both"/>
        <w:ind w:firstLine="1304"/>
        <w:spacing w:after="0" w:line="288" w:lineRule="auto"/>
        <w:tabs>
          <w:tab w:leader="none" w:pos="190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connection with any tender offer for the Notes,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will have the right upon not less than 20 nor more than 60 days’ prior notice (except that such notice may be delivered or mailed more than 60 days prior to the Redemption Date or purchase date if the notice is issued in connection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as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3.03(c)</w:t>
      </w:r>
      <w:r>
        <w:rPr>
          <w:rFonts w:ascii="Arial" w:cs="Arial" w:eastAsia="Arial" w:hAnsi="Arial"/>
          <w:sz w:val="16"/>
          <w:szCs w:val="16"/>
          <w:color w:val="auto"/>
        </w:rPr>
        <w:t>), given not more than 60 days following such purchase date, to redeem (with respect to the Issuer) or purchase (with respect to a third party) all of the Notes that remain outstanding following such purchase at a price equal to the price paid to each other Holder in such tender offer (which may be less than par and shall exclude any early tender premium or similar premium and any accrued and unpaid interest paid to any Holder in such tender offer) plus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ind w:left="1960" w:hanging="656"/>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Notes may also be redeemed under the circumstances and in accordance with </w:t>
      </w:r>
      <w:r>
        <w:rPr>
          <w:rFonts w:ascii="Arial" w:cs="Arial" w:eastAsia="Arial" w:hAnsi="Arial"/>
          <w:sz w:val="18"/>
          <w:szCs w:val="18"/>
          <w:u w:val="single" w:color="auto"/>
          <w:color w:val="auto"/>
        </w:rPr>
        <w:t>Section 4.14(d)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Any redemption pursuant to this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shall be made pursuant to the provisions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3.06</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20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Issuer, its equityholders (including members of its management) and their respective Affiliates may, at their discretion, at any time and from time to time, acquire Notes by means other than a redemption, whether by a tender offer, open market purchases, negotiated transactions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set forth in Section 3.10 below, the Issuer shall not be required to make any mandatory redemption or sinking fund payments with respect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OFFERS TO REPURCHASE BY APPLICATION OF EXCESS PROCEEDS</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77" w:lineRule="auto"/>
        <w:tabs>
          <w:tab w:leader="none" w:pos="19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event that,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the Issuer shall be required to commence an Asset Sale Offer or elects to commence an Advance Offer, it shall follow the procedures specified below.</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Asset Sale Offer or Advance Offer, as the case may be, shall remain open for a period of 20 Business Days following its commencement and no longer, except to the extent that a longer period is required by applicable law (the “</w:t>
      </w:r>
      <w:r>
        <w:rPr>
          <w:rFonts w:ascii="Arial" w:cs="Arial" w:eastAsia="Arial" w:hAnsi="Arial"/>
          <w:sz w:val="18"/>
          <w:szCs w:val="18"/>
          <w:u w:val="single" w:color="auto"/>
          <w:color w:val="auto"/>
        </w:rPr>
        <w:t>Offer Period</w:t>
      </w:r>
      <w:r>
        <w:rPr>
          <w:rFonts w:ascii="Arial" w:cs="Arial" w:eastAsia="Arial" w:hAnsi="Arial"/>
          <w:sz w:val="18"/>
          <w:szCs w:val="18"/>
          <w:color w:val="auto"/>
        </w:rPr>
        <w:t>”). No later than five Business Days after the termination of the Offer Period (the “</w:t>
      </w:r>
      <w:r>
        <w:rPr>
          <w:rFonts w:ascii="Arial" w:cs="Arial" w:eastAsia="Arial" w:hAnsi="Arial"/>
          <w:sz w:val="18"/>
          <w:szCs w:val="18"/>
          <w:u w:val="single" w:color="auto"/>
          <w:color w:val="auto"/>
        </w:rPr>
        <w:t>Purchase Date</w:t>
      </w:r>
      <w:r>
        <w:rPr>
          <w:rFonts w:ascii="Arial" w:cs="Arial" w:eastAsia="Arial" w:hAnsi="Arial"/>
          <w:sz w:val="18"/>
          <w:szCs w:val="18"/>
          <w:color w:val="auto"/>
        </w:rPr>
        <w:t>”), the Issuer shall apply all Excess Proceeds (or in the case of an Advance Offer, the Advance Portion) (the “</w:t>
      </w:r>
      <w:r>
        <w:rPr>
          <w:rFonts w:ascii="Arial" w:cs="Arial" w:eastAsia="Arial" w:hAnsi="Arial"/>
          <w:sz w:val="18"/>
          <w:szCs w:val="18"/>
          <w:u w:val="single" w:color="auto"/>
          <w:color w:val="auto"/>
        </w:rPr>
        <w:t>Offer Amount</w:t>
      </w:r>
      <w:r>
        <w:rPr>
          <w:rFonts w:ascii="Arial" w:cs="Arial" w:eastAsia="Arial" w:hAnsi="Arial"/>
          <w:sz w:val="18"/>
          <w:szCs w:val="18"/>
          <w:color w:val="auto"/>
        </w:rPr>
        <w:t>”), to the purchase of Notes and, if required or not prohibited by the terms of any other Equal Priority Obligations and/or, to the extent that the assets or property disposed of in the Asset Sale were not Collateral, Pari Passu Indebtedness (on a pro rata basis, if applicable), or, if less than the Offer Amount has been tendered, all Notes and, if applicable, Equal Priority Obligations and/or other Pari Passu Indebtedness tendered in response to the Asset Sale Offer or Advance Offer, as the case may be. Payment for any Notes so purchased shall be made in the same manner as interest payments are made.</w:t>
      </w:r>
    </w:p>
    <w:p>
      <w:pPr>
        <w:spacing w:after="0" w:line="191" w:lineRule="exact"/>
        <w:rPr>
          <w:rFonts w:ascii="Arial" w:cs="Arial" w:eastAsia="Arial" w:hAnsi="Arial"/>
          <w:sz w:val="18"/>
          <w:szCs w:val="18"/>
          <w:color w:val="auto"/>
        </w:rPr>
      </w:pPr>
    </w:p>
    <w:p>
      <w:pPr>
        <w:jc w:val="both"/>
        <w:ind w:firstLine="1304"/>
        <w:spacing w:after="0" w:line="259" w:lineRule="auto"/>
        <w:tabs>
          <w:tab w:leader="none" w:pos="19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Purchase Date is on or after a Record Date and on or before the related Interest Payment Date, accrued and unpaid interest, if any, to, but excluding, the Purchase Date, shall be paid on the Purchase Date to the Person in whose name a Note is registered at the close of business on such Record Date, and no additional interest shall be payable to Holders who tender Notes pursuant to the Asset Sale Offer or Advance Offer, as the case may be.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jc w:val="both"/>
        <w:ind w:firstLine="1304"/>
        <w:spacing w:after="0" w:line="291" w:lineRule="auto"/>
        <w:tabs>
          <w:tab w:leader="none" w:pos="19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Upon the commencement of an Asset Sale Offer or an Advance Offer, as the case may be, the Issuer shall send, electronically or by first-class mail (or otherwise in accordance with the applicable rules and procedures of the Depositary), a notice to each of the Holders, with a copy to the Trustee. The notice shall contain all instructions and materials necessary to enable such Holders to tender Notes pursuant to the Asset Sale Offer or Advance Offer, as the case may be. The Asset Sale Offer or Advance Offer, as the case may be, shall be made to all Holders and, if required or not prohibited by the terms of any other Equal Priority Obligations and/or, to the extent that the assets and property disposed of in the Asset Sale were not Collateral, any other Pari Passu Indebtedness, to the holders of such Equal Priority Obligations and/or Pari Passu Indebtedness, as applicable. The notice, which shall govern the terms of the Asset Sale Offer or Advance Offer, as the case may be, shall state:</w:t>
      </w:r>
    </w:p>
    <w:p>
      <w:pPr>
        <w:spacing w:after="0" w:line="166" w:lineRule="exact"/>
        <w:rPr>
          <w:rFonts w:ascii="Arial" w:cs="Arial" w:eastAsia="Arial" w:hAnsi="Arial"/>
          <w:sz w:val="16"/>
          <w:szCs w:val="16"/>
          <w:color w:val="auto"/>
        </w:rPr>
      </w:pPr>
    </w:p>
    <w:p>
      <w:pPr>
        <w:ind w:left="660" w:firstLine="1292"/>
        <w:spacing w:after="0" w:line="277" w:lineRule="auto"/>
        <w:tabs>
          <w:tab w:leader="none" w:pos="255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that the Asset Sale Offer or Advance Offer, as the case may be, is being made pursuant to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and the length of time the Asset Sale Offer or Advance Offer, as the case may be, shall remain open;</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shall continue to accrue interest;</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57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unless the Issuer defaults in making such payment, any Note accepted for payment pursuant to the Asset Sale Offer or Advance Offer, as the case may be, shall cease to accrue interest after the Purchase Date;</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57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or an Advance Offer, as the case may be, may elect to have Notes purchased in denominations of $1,000 or whole multiples of $1,000 in excess thereof only;</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6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any Asset Sale Offer or Advance Offer, as the case may be, shall be required to surrender the Note, with the form entitled “</w:t>
      </w:r>
      <w:r>
        <w:rPr>
          <w:rFonts w:ascii="Arial" w:cs="Arial" w:eastAsia="Arial" w:hAnsi="Arial"/>
          <w:sz w:val="18"/>
          <w:szCs w:val="18"/>
          <w:u w:val="single" w:color="auto"/>
          <w:color w:val="auto"/>
        </w:rPr>
        <w:t>Option of Holder to Elect Purchase</w:t>
      </w:r>
      <w:r>
        <w:rPr>
          <w:rFonts w:ascii="Arial" w:cs="Arial" w:eastAsia="Arial" w:hAnsi="Arial"/>
          <w:sz w:val="18"/>
          <w:szCs w:val="18"/>
          <w:color w:val="auto"/>
        </w:rPr>
        <w:t>” attached to the Note completed, or transfer by book-entry transfer, to the Issuer, the Depositary, if appointed by the Issuer, or a Paying Agent at the address specified in the notice at least three days before the Purchase Date;</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66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jc w:val="both"/>
        <w:ind w:left="660" w:firstLine="1292"/>
        <w:spacing w:after="0" w:line="270" w:lineRule="auto"/>
        <w:tabs>
          <w:tab w:leader="none" w:pos="2585"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that, if the aggregate principal amount (or accreted value, as applicable) of Notes and, if applicable, other Equal Priority Obligations and, to the extent that the assets and property disposed of in the Asset Sale were not Collateral, other Pari Passu Indebtedness, in each case, surrendered by the holders thereof exceeds the Offer Amount, the Trustee shall select the Notes (subject to applicable rules and procedures of the Depositary as to Global Notes) and the Issuer or the representative of such other Equal Priority Obligations and such other Pari Passu Indebtedness shall select such other Equal Priority Obligations and Pari Passu Indebtedness to be purchased or repaid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based on the accreted value or principal amount of the Notes or such other Equal Priority Obligations and such other Pari Passu Indebtedness tendered (with such adjustments as may be deemed appropriate by the Trustee so that only Notes in denominations of $1,000 or whole multiples of $1,000 in excess thereof shall be purchased;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unpurchased portion of Notes must be equal to $2,000 or an integral multiple of $1,000 in excess thereof); and</w:t>
      </w:r>
    </w:p>
    <w:p>
      <w:pPr>
        <w:spacing w:after="0" w:line="180" w:lineRule="exact"/>
        <w:rPr>
          <w:rFonts w:ascii="Arial" w:cs="Arial" w:eastAsia="Arial" w:hAnsi="Arial"/>
          <w:sz w:val="17"/>
          <w:szCs w:val="17"/>
          <w:color w:val="auto"/>
        </w:rPr>
      </w:pPr>
    </w:p>
    <w:p>
      <w:pPr>
        <w:ind w:left="660" w:firstLine="1292"/>
        <w:spacing w:after="0" w:line="277" w:lineRule="auto"/>
        <w:tabs>
          <w:tab w:leader="none" w:pos="263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shall, after the Repurchase Date upon cancellation of the Notes surrendered, be issued new Notes equal in principal amount to the unpurchased portion of the Notes surrendered.</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93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On or before the Purchase Date, the Issuer shall, to the extent lawful, (1) accept for payment,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to the extent necessary, the Offer Amount of Notes or portions thereof validly tendered pursuant to the Asset Sale Offer or Advance Offer, as the case may be,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171" w:lineRule="exact"/>
        <w:rPr>
          <w:rFonts w:ascii="Arial" w:cs="Arial" w:eastAsia="Arial" w:hAnsi="Arial"/>
          <w:sz w:val="17"/>
          <w:szCs w:val="17"/>
          <w:color w:val="auto"/>
        </w:rPr>
      </w:pPr>
    </w:p>
    <w:p>
      <w:pPr>
        <w:jc w:val="both"/>
        <w:ind w:firstLine="1304"/>
        <w:spacing w:after="0" w:line="270" w:lineRule="auto"/>
        <w:tabs>
          <w:tab w:leader="none" w:pos="191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Issuer, the Depositary or the Paying Agent, as the case may be, shall promptly mail or deliver to each tendering Holder an amount equal to the purchase price of the Notes properly tendered by such Holder and accepted by the Issuer for purchase, and, if any Notes are purchased in part only, after the Purchase Date upon cancellation of the Note surrendered,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the unpurchased portion of the Note surrendered; </w:t>
      </w:r>
      <w:r>
        <w:rPr>
          <w:rFonts w:ascii="Arial" w:cs="Arial" w:eastAsia="Arial" w:hAnsi="Arial"/>
          <w:sz w:val="17"/>
          <w:szCs w:val="17"/>
          <w:u w:val="single" w:color="auto"/>
          <w:color w:val="auto"/>
        </w:rPr>
        <w:t>provided</w:t>
      </w:r>
      <w:r>
        <w:rPr>
          <w:rFonts w:ascii="Arial" w:cs="Arial" w:eastAsia="Arial" w:hAnsi="Arial"/>
          <w:sz w:val="17"/>
          <w:szCs w:val="17"/>
          <w:color w:val="auto"/>
        </w:rPr>
        <w:t>, that each such new Note shall be in a principal amount of $2,000 or an integral multiple of $1,000 in excess thereof. Any Note not so accepted shall be promptly mailed or delivered by the Issuer to the Holder thereof. The Issuer shall publicly announce the results of the Asset Sale Offer or Advance Offer, as the case may be, on or as soon as practicable after the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6442710</wp:posOffset>
            </wp:positionH>
            <wp:positionV relativeFrom="paragraph">
              <wp:posOffset>-449580</wp:posOffset>
            </wp:positionV>
            <wp:extent cx="28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Other than as specifically provided in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any purchase pursuant to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shall be made pursuant to the applicable provisions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3.06</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Issuer (i) does not consummate the GMLP Merger on or prior to October 13, 2021 (the “</w:t>
      </w:r>
      <w:r>
        <w:rPr>
          <w:rFonts w:ascii="Arial" w:cs="Arial" w:eastAsia="Arial" w:hAnsi="Arial"/>
          <w:sz w:val="16"/>
          <w:szCs w:val="16"/>
          <w:u w:val="single" w:color="auto"/>
          <w:color w:val="auto"/>
        </w:rPr>
        <w:t>Special Mandatory Redemption Outside Date</w:t>
      </w:r>
      <w:r>
        <w:rPr>
          <w:rFonts w:ascii="Arial" w:cs="Arial" w:eastAsia="Arial" w:hAnsi="Arial"/>
          <w:sz w:val="16"/>
          <w:szCs w:val="16"/>
          <w:color w:val="auto"/>
        </w:rPr>
        <w:t>”), (ii) notifies the Trustee in writing that the GMLP Merger Agreement is terminated or (iii) determines in its reasonable judgment that the GMLP Merger will not be consummated (in which case the Issuer will notify the Trustee in writing thereof), the Notes will be redeemed in the manner set forth below in whole at a special mandatory redemption price (the “</w:t>
      </w:r>
      <w:r>
        <w:rPr>
          <w:rFonts w:ascii="Arial" w:cs="Arial" w:eastAsia="Arial" w:hAnsi="Arial"/>
          <w:sz w:val="16"/>
          <w:szCs w:val="16"/>
          <w:u w:val="single" w:color="auto"/>
          <w:color w:val="auto"/>
        </w:rPr>
        <w:t>Special Mandatory Redemption Price</w:t>
      </w:r>
      <w:r>
        <w:rPr>
          <w:rFonts w:ascii="Arial" w:cs="Arial" w:eastAsia="Arial" w:hAnsi="Arial"/>
          <w:sz w:val="16"/>
          <w:szCs w:val="16"/>
          <w:color w:val="auto"/>
        </w:rPr>
        <w:t>”) equal to 100% of the aggregate principal amount of the Notes, plus accrued and unpaid interest on the principal amount of the Notes to, but not including, the Special Mandatory Redemption Date (as defined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ind w:firstLine="648"/>
        <w:spacing w:after="0" w:line="291" w:lineRule="auto"/>
        <w:rPr>
          <w:sz w:val="20"/>
          <w:szCs w:val="20"/>
          <w:color w:val="auto"/>
        </w:rPr>
      </w:pPr>
      <w:r>
        <w:rPr>
          <w:rFonts w:ascii="Arial" w:cs="Arial" w:eastAsia="Arial" w:hAnsi="Arial"/>
          <w:sz w:val="16"/>
          <w:szCs w:val="16"/>
          <w:color w:val="auto"/>
        </w:rPr>
        <w:t>If the Issuer (i) has not consummated the GMLP Merger on or prior to the Special Mandatory Redemption Outside Date, the Issuer will promptly (but in no event later than five Business Days following the Special Mandatory Redemption Outside Date) notify the Trustee in writing of such event, or</w:t>
      </w:r>
    </w:p>
    <w:p>
      <w:pPr>
        <w:jc w:val="both"/>
        <w:ind w:firstLine="8"/>
        <w:spacing w:after="0" w:line="286" w:lineRule="auto"/>
        <w:tabs>
          <w:tab w:leader="none" w:pos="2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has notified the Trustee in writing that the GMLP Merger Agreement is terminated (which the Issuer shall do no later than five Business Days following such termination) or that the Issuer has determined in its reasonable judgment that the GMLP Merger will not be consummated (which the Issuer shall do no later than five Business Days thereafter), the Trustee shall, no later than five Business Days following receipt of such notice, deliver to the Holders of the Notes the notice of special mandatory redemption delivered to the Trustee with such notice (such date of notification to the Holders,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Date</w:t>
      </w:r>
      <w:r>
        <w:rPr>
          <w:rFonts w:ascii="Arial" w:cs="Arial" w:eastAsia="Arial" w:hAnsi="Arial"/>
          <w:sz w:val="16"/>
          <w:szCs w:val="16"/>
          <w:color w:val="auto"/>
        </w:rPr>
        <w:t>”), which notice will state that all of the outstanding Notes shall be redeemed at the Special Mandatory Redemption Price on or about the fifth Business Day following the Redemption Notice Date (such date, the “</w:t>
      </w:r>
      <w:r>
        <w:rPr>
          <w:rFonts w:ascii="Arial" w:cs="Arial" w:eastAsia="Arial" w:hAnsi="Arial"/>
          <w:sz w:val="16"/>
          <w:szCs w:val="16"/>
          <w:u w:val="single" w:color="auto"/>
          <w:color w:val="auto"/>
        </w:rPr>
        <w:t>Special Mandatory Redemption Date</w:t>
      </w:r>
      <w:r>
        <w:rPr>
          <w:rFonts w:ascii="Arial" w:cs="Arial" w:eastAsia="Arial" w:hAnsi="Arial"/>
          <w:sz w:val="16"/>
          <w:szCs w:val="16"/>
          <w:color w:val="auto"/>
        </w:rPr>
        <w:t>”) automatically and without any further action by the Holders, in accordance with the applicable provisions of this Indenture. At or prior to 12:00 pm (New York City time) on the Business Day immediately preceding the Special Mandatory Redemption Date, the Issuer shall deposit with the Trustee funds sufficient to pay the Special Mandatory Redemption Price plus accrued and unpaid interest on the principal amount of the Notes to, but not including, the Special Mandatory Redemption Date, for the Notes. If such deposit is made as provided above, the Notes will cease to bear interest on and after the Special Mandatory Redemption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NOTES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 If any Interest Payment Date, the maturity date of the Notes or any earlier required repurchase date or Redemption Date falls on a day that is a Legal Holiday, the required payment will be made on the next succeeding Business Day and no interest on such payment will accrue in respect of the delay.</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Issuer hereby designates the Corporate Trust Office of the Trustee as one such office or agency of the Issuer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service of legal process may be made on the Issuer at any office of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REPORTS AND OTHER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9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that the Issuer may not be subject to the reporting requirements of Section 13 or 15(d) of the Exchange Act or otherwise report on an annual and quarterly basis on forms provided for such annual and quarterly reporting pursuant to rules and regulations promulgated by the SEC, the Issuer shall file with the SEC or provide the Trustee and the Holders with:</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59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within 90 days (or the successor time period then in effect under the Exchange Act for a non-accelerated filer plus any grace period provided by Rule 12b-25 under the Exchange Act) after the end of each fiscal year, annual reports of the Issuer on Form 10-K, or any successor or comparable form;</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59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within 45 days (or the successor time period then in effect under the Exchange Act for a non-accelerated filer plus any grace period provided by Rule 12b-25 under the Exchange Act) after the end of each of the first three fiscal quarters of each fiscal year, quarterly reports of the Issuer on Form 10-Q, or any successor or comparable form; and</w:t>
      </w:r>
    </w:p>
    <w:p>
      <w:pPr>
        <w:spacing w:after="0" w:line="183" w:lineRule="exact"/>
        <w:rPr>
          <w:rFonts w:ascii="Arial" w:cs="Arial" w:eastAsia="Arial" w:hAnsi="Arial"/>
          <w:sz w:val="18"/>
          <w:szCs w:val="18"/>
          <w:color w:val="auto"/>
        </w:rPr>
      </w:pPr>
    </w:p>
    <w:p>
      <w:pPr>
        <w:jc w:val="both"/>
        <w:ind w:firstLine="1952"/>
        <w:spacing w:after="0" w:line="275" w:lineRule="auto"/>
        <w:tabs>
          <w:tab w:leader="none" w:pos="2599"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within the time periods specified for filing Current Reports on Form 8-K after the occurrence of each event that would have been required to be reported in a Current Report on Form 8-K under the Exchange Act if the Issuer were a reporting company under the Exchange Act, Current Reports on Form 8-K, or any successor or comparable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Current Reports on Form 8-K will be required to be filed 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are not material to the interests of Holders in their capacities as such (as determined in good faith by the Issuer) or the business, assets, operations, financial positions or prospects of the Issuer and the Restricted Subsidiaries, taken as a whole.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jc w:val="both"/>
        <w:ind w:firstLine="1304"/>
        <w:spacing w:after="0" w:line="268" w:lineRule="auto"/>
        <w:tabs>
          <w:tab w:leader="none" w:pos="191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Notwithstanding the foregoing, (A) none of the foregoing reports will be required to (i) contain the separate financial information for Guarantors and non-Guarantor Subsidiaries contemplated by Rule 3-10, 3-16, 13-01 or 13-02 of Regulation S-X promulgated by the SEC or (ii) present any information required by Rule 3-05 or Rule 4-08 of Regulation S-X promulgated by the SEC or contain any financial statements of unconsolidated Subsidiaries or 50.0% or less owned Persons under Rule 3-09 of Regulation S-X or any schedules required by Regulation S-X, (iii) present any information required by Item 9A of Form 10-K, Items 307 or 308 of Regulation S-K (or, in each case, any successor item or provision in respect thereof) or any other rule or regulation implementing Section 404 of the Sarbanes-Oxley Act of 2002, or by Item 402 of Regulation S-K or (iv) comply with Regulation G under the Exchange Act or Item 10(e) of Regulation S-K promulgated by the SEC with respect to any non-GAAP financial measures contained therein and (B) if any direct or indirect parent company of the Issuer is a Guarantor of the Notes, the reports, information and other documents required to be filed and provided as described above may be those of a parent company, rather than those of the Issuer, so long as such filings would otherwise satisfy in all material respects the requirements of clauses (1), (2) or (3)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parent company holds material assets (other than cash, Cash Equivalents and the Capital Stock of the Issuer and Restricted Subsidiaries) such annual and quarterly reports shall include a reasonable explanation of the material differences between the assets, liabilities and results of operations of such parent company and its consolidated Subsidiaries on the one hand, and the Issuer and the Restricted Subsidiaries on the other hand.</w:t>
      </w:r>
    </w:p>
    <w:p>
      <w:pPr>
        <w:spacing w:after="0" w:line="186" w:lineRule="exact"/>
        <w:rPr>
          <w:rFonts w:ascii="Arial" w:cs="Arial" w:eastAsia="Arial" w:hAnsi="Arial"/>
          <w:sz w:val="17"/>
          <w:szCs w:val="17"/>
          <w:color w:val="auto"/>
        </w:rPr>
      </w:pPr>
    </w:p>
    <w:p>
      <w:pPr>
        <w:jc w:val="both"/>
        <w:ind w:firstLine="1304"/>
        <w:spacing w:after="0" w:line="289" w:lineRule="auto"/>
        <w:tabs>
          <w:tab w:leader="none" w:pos="195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At any time that any of the Issuer’s Subsidiaries are Unrestricted Subsidiaries and if any such Unrestricted Subsidiary or if all Unrestricted Subsidiaries, if taken together as one Subsidiary, would constitute a Significant Subsidiary of the Issuer, then, no later than 15 days following the respective deadlines set forth in clause (1) and (2) of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the Issuer will file with the SEC or provide the Trustee and the Holders (which may include posting on the Issuer’s website) a reasonably detailed presentation (which need not be audited or reviewed by the Issuer’s auditors) of the financial condition and results of operations of the Unrestricted Subsidiaries of the Issuer, comparable to the financial information of the Unrestricted Subsidiaries presented in the penultimate paragraph of the “Description of Notes—Certain Covenants—Limitation on Restricted Payments” section of the Offering Memorandum. So long as the Notes are outstanding and the reports required to be delivered under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are not filed with the SEC, the Issuer will maintain a website (that, at the option of the Issuer, may be password protected) to which Holders, prospective investors, broker-dealers and securities analysts are given access promptly upon request and to which all the reports required by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are posted.</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98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In addition, to the extent not satisfied by the reports referred to in </w:t>
      </w:r>
      <w:r>
        <w:rPr>
          <w:rFonts w:ascii="Arial" w:cs="Arial" w:eastAsia="Arial" w:hAnsi="Arial"/>
          <w:sz w:val="18"/>
          <w:szCs w:val="18"/>
          <w:u w:val="single" w:color="auto"/>
          <w:color w:val="auto"/>
        </w:rPr>
        <w:t>Section 4.03(a)</w:t>
      </w:r>
      <w:r>
        <w:rPr>
          <w:rFonts w:ascii="Arial" w:cs="Arial" w:eastAsia="Arial" w:hAnsi="Arial"/>
          <w:sz w:val="18"/>
          <w:szCs w:val="18"/>
          <w:color w:val="auto"/>
        </w:rPr>
        <w:t>, the Issuer shall furnish to the 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201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Issuer shall not be so obligated to file such reports with the SEC (i) if the SEC does not permit such filing and (ii) the Issuer makes available the applicable information to prospective purchasers of Notes upon request, in addition to providing such information to the Trustee, in each case, within 15 days after the applicable date the Issuer would be required to file such information pursuant to </w:t>
      </w:r>
      <w:r>
        <w:rPr>
          <w:rFonts w:ascii="Arial" w:cs="Arial" w:eastAsia="Arial" w:hAnsi="Arial"/>
          <w:sz w:val="17"/>
          <w:szCs w:val="17"/>
          <w:u w:val="single" w:color="auto"/>
          <w:color w:val="auto"/>
        </w:rPr>
        <w:t>Section 4.03(a)</w:t>
      </w:r>
      <w:r>
        <w:rPr>
          <w:rFonts w:ascii="Arial" w:cs="Arial" w:eastAsia="Arial" w:hAnsi="Arial"/>
          <w:sz w:val="17"/>
          <w:szCs w:val="17"/>
          <w:color w:val="auto"/>
        </w:rPr>
        <w:t>. To the extent any such information is not so filed or furnished, as applicable, within the time periods specified above and such information is subsequently filed or furnished, as applicable, the Issuer will be deemed to have satisfied its obligations with respect thereto at such time and any Default or Event of Default with respect thereto shall be deemed to have been cured.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jc w:val="both"/>
        <w:ind w:firstLine="1304"/>
        <w:spacing w:after="0" w:line="263" w:lineRule="auto"/>
        <w:tabs>
          <w:tab w:leader="none" w:pos="19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Issuer will be deemed to have furnished the financial statements and other information referred to in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if the Issuer or any parent company has filed reports containing such information (or any such information of a parent company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4.03(b)</w:t>
      </w:r>
      <w:r>
        <w:rPr>
          <w:rFonts w:ascii="Arial" w:cs="Arial" w:eastAsia="Arial" w:hAnsi="Arial"/>
          <w:sz w:val="18"/>
          <w:szCs w:val="18"/>
          <w:color w:val="auto"/>
        </w:rPr>
        <w:t>)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203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Issuer shall deliver to the Trustee, within 120 days after the end of each fiscal year (beginning with the first fiscal year ending after the Issue Date and after giving effect to any fiscal year change effected on or after the Issue Date), an Officer’s Certificate stating that a review of the activities of the Issuer and its Restricted Subsidiaries during the preceding fiscal year has been made under the supervision of the signing Officer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Issuer is taking or propose to take with respect thereto). Such certificate shall also notify the Trustee should the Issuer elect to change the manner in which it fixes its fiscal year-end.</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196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any Default has occurred and is continuing under this Indenture, or if the Trustee or the holder of any other evidence of Indebtedness of the Issuer or any Subsidiary gives any notice or takes any other action with respect to a claimed Default, the Issuer shall, within 30 days of becoming aware of such Default, deliver to the Trustee an Officer’s Certificate specifying such Default and what action the Issuer proposes to take with respect thereto (unless such Default has been cured or waived within such 30-day time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Issuer shall pay, and shall cause each of its Restricted Subsidiaries to pay, prior to delinquency, all material taxes, assessments, and governmental levies required to be paid except such as are contested in good faith and by appropriate negotiations or proceedings, so long as adequate reserves with respect thereto are maintained on the books of the Issuer or any of its Restricted Subsidiaries in accordance with GAAP, or where the failure to effect such payment, individually or in the aggregate, would not reasonably be expected to result in a material adverse effect on (i) the business, results of operations or financial condition of the Issuer and its Restricted Subsidiaries, taken as a whole, or (ii) the ability of the Issuer and the Guarantors (taken as a whole) to perform their payment obligations under this Indenture.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Issuer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Issuer shall not, and shall not permit any of its Restricted Subsidiaries to:</w:t>
      </w:r>
    </w:p>
    <w:p>
      <w:pPr>
        <w:spacing w:after="0" w:line="225" w:lineRule="exact"/>
        <w:rPr>
          <w:rFonts w:ascii="Arial" w:cs="Arial" w:eastAsia="Arial" w:hAnsi="Arial"/>
          <w:sz w:val="18"/>
          <w:szCs w:val="18"/>
          <w:color w:val="auto"/>
        </w:rPr>
      </w:pPr>
    </w:p>
    <w:p>
      <w:pPr>
        <w:jc w:val="both"/>
        <w:ind w:firstLine="2600"/>
        <w:spacing w:after="0" w:line="286" w:lineRule="auto"/>
        <w:tabs>
          <w:tab w:leader="none" w:pos="336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declare or pay any dividend or make any payment or distribution on account of the Issuer’s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spacing w:after="0" w:line="165" w:lineRule="exact"/>
        <w:rPr>
          <w:rFonts w:ascii="Arial" w:cs="Arial" w:eastAsia="Arial" w:hAnsi="Arial"/>
          <w:sz w:val="17"/>
          <w:szCs w:val="17"/>
          <w:color w:val="auto"/>
        </w:rPr>
      </w:pPr>
    </w:p>
    <w:p>
      <w:pPr>
        <w:ind w:firstLine="3248"/>
        <w:spacing w:after="0" w:line="277" w:lineRule="auto"/>
        <w:tabs>
          <w:tab w:leader="none" w:pos="4011" w:val="left"/>
        </w:tabs>
        <w:numPr>
          <w:ilvl w:val="2"/>
          <w:numId w:val="134"/>
        </w:numPr>
        <w:rPr>
          <w:rFonts w:ascii="Arial" w:cs="Arial" w:eastAsia="Arial" w:hAnsi="Arial"/>
          <w:sz w:val="18"/>
          <w:szCs w:val="18"/>
          <w:color w:val="auto"/>
        </w:rPr>
      </w:pPr>
      <w:r>
        <w:rPr>
          <w:rFonts w:ascii="Arial" w:cs="Arial" w:eastAsia="Arial" w:hAnsi="Arial"/>
          <w:sz w:val="18"/>
          <w:szCs w:val="18"/>
          <w:color w:val="auto"/>
        </w:rPr>
        <w:t>dividends, payments or distributions by the Issuer payable solely in Qualified Capital Stock of the Issuer or in options, warrants or other rights to purchase Qualified Capital Stock; or</w:t>
      </w:r>
    </w:p>
    <w:p>
      <w:pPr>
        <w:spacing w:after="0" w:line="170" w:lineRule="exact"/>
        <w:rPr>
          <w:rFonts w:ascii="Arial" w:cs="Arial" w:eastAsia="Arial" w:hAnsi="Arial"/>
          <w:sz w:val="18"/>
          <w:szCs w:val="18"/>
          <w:color w:val="auto"/>
        </w:rPr>
      </w:pPr>
    </w:p>
    <w:p>
      <w:pPr>
        <w:jc w:val="both"/>
        <w:ind w:firstLine="3248"/>
        <w:spacing w:after="0" w:line="259" w:lineRule="auto"/>
        <w:tabs>
          <w:tab w:leader="none" w:pos="4111" w:val="left"/>
        </w:tabs>
        <w:numPr>
          <w:ilvl w:val="2"/>
          <w:numId w:val="134"/>
        </w:numPr>
        <w:rPr>
          <w:rFonts w:ascii="Arial" w:cs="Arial" w:eastAsia="Arial" w:hAnsi="Arial"/>
          <w:sz w:val="18"/>
          <w:szCs w:val="18"/>
          <w:color w:val="auto"/>
        </w:rPr>
      </w:pPr>
      <w:r>
        <w:rPr>
          <w:rFonts w:ascii="Arial" w:cs="Arial" w:eastAsia="Arial" w:hAnsi="Arial"/>
          <w:sz w:val="18"/>
          <w:szCs w:val="18"/>
          <w:color w:val="auto"/>
        </w:rPr>
        <w:t>dividends, payments or distributions by a Restricted Subsidiary so long as, in the case of any dividend, payment or distribution payable on or in respect of any class or series of securities issued by a Restricted Subsidiary other than a Wholly-Owned Subsidiary, the Issuer or a Restricted Subsidiary receives at least its pro rata share of such dividend, payment or distribution in accordance with its Equity Interests in such class or series of securities;</w:t>
      </w:r>
    </w:p>
    <w:p>
      <w:pPr>
        <w:spacing w:after="0" w:line="187" w:lineRule="exact"/>
        <w:rPr>
          <w:sz w:val="20"/>
          <w:szCs w:val="20"/>
          <w:color w:val="auto"/>
        </w:rPr>
      </w:pPr>
    </w:p>
    <w:p>
      <w:pPr>
        <w:ind w:firstLine="2600"/>
        <w:spacing w:after="0" w:line="342" w:lineRule="auto"/>
        <w:tabs>
          <w:tab w:leader="none" w:pos="319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redeem, purchase, repurchase, defease or otherwise acquire or retire for value any Equity Interests of the Issuer, including in connection with any merger, amalgamation or consolidation, in each case, held by a Person other than the Issuer or a Restricted Subsidiary;</w:t>
      </w:r>
    </w:p>
    <w:p>
      <w:pPr>
        <w:spacing w:after="0" w:line="124" w:lineRule="exact"/>
        <w:rPr>
          <w:sz w:val="20"/>
          <w:szCs w:val="20"/>
          <w:color w:val="auto"/>
        </w:rPr>
      </w:pPr>
    </w:p>
    <w:p>
      <w:pPr>
        <w:jc w:val="both"/>
        <w:ind w:firstLine="2600"/>
        <w:spacing w:after="0" w:line="311" w:lineRule="auto"/>
        <w:tabs>
          <w:tab w:leader="none" w:pos="327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w:t>
      </w:r>
      <w:r>
        <w:rPr>
          <w:rFonts w:ascii="Arial" w:cs="Arial" w:eastAsia="Arial" w:hAnsi="Arial"/>
          <w:sz w:val="16"/>
          <w:szCs w:val="16"/>
          <w:u w:val="single" w:color="auto"/>
          <w:color w:val="auto"/>
        </w:rPr>
        <w:t>Restricted Debt Payments</w:t>
      </w:r>
      <w:r>
        <w:rPr>
          <w:rFonts w:ascii="Arial" w:cs="Arial" w:eastAsia="Arial" w:hAnsi="Arial"/>
          <w:sz w:val="16"/>
          <w:szCs w:val="16"/>
          <w:color w:val="auto"/>
        </w:rPr>
        <w:t>”), other than:</w:t>
      </w:r>
    </w:p>
    <w:p>
      <w:pPr>
        <w:spacing w:after="0" w:line="148" w:lineRule="exact"/>
        <w:rPr>
          <w:rFonts w:ascii="Arial" w:cs="Arial" w:eastAsia="Arial" w:hAnsi="Arial"/>
          <w:sz w:val="16"/>
          <w:szCs w:val="16"/>
          <w:color w:val="auto"/>
        </w:rPr>
      </w:pPr>
    </w:p>
    <w:p>
      <w:pPr>
        <w:ind w:left="3940" w:hanging="692"/>
        <w:spacing w:after="0"/>
        <w:tabs>
          <w:tab w:leader="none" w:pos="394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Indebtedness permitted to be incurred or issued under clause (c) of the second paragraph of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4.09</w:t>
      </w:r>
      <w:r>
        <w:rPr>
          <w:rFonts w:ascii="Arial" w:cs="Arial" w:eastAsia="Arial" w:hAnsi="Arial"/>
          <w:sz w:val="18"/>
          <w:szCs w:val="18"/>
          <w:color w:val="auto"/>
        </w:rPr>
        <w:t>; or</w:t>
      </w:r>
    </w:p>
    <w:p>
      <w:pPr>
        <w:spacing w:after="0" w:line="210" w:lineRule="exact"/>
        <w:rPr>
          <w:rFonts w:ascii="Arial" w:cs="Arial" w:eastAsia="Arial" w:hAnsi="Arial"/>
          <w:sz w:val="16"/>
          <w:szCs w:val="16"/>
          <w:color w:val="auto"/>
        </w:rPr>
      </w:pPr>
    </w:p>
    <w:p>
      <w:pPr>
        <w:jc w:val="both"/>
        <w:ind w:right="20" w:firstLine="3248"/>
        <w:spacing w:after="0" w:line="286" w:lineRule="auto"/>
        <w:tabs>
          <w:tab w:leader="none" w:pos="39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ind w:left="2600"/>
        <w:spacing w:after="0"/>
        <w:tabs>
          <w:tab w:leader="none" w:pos="32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make any Restricted Investment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such payments and other actions set forth in these clauses (I) through (IV) (other than any exceptions thereto)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170" w:lineRule="exact"/>
        <w:rPr>
          <w:sz w:val="20"/>
          <w:szCs w:val="20"/>
          <w:color w:val="auto"/>
        </w:rPr>
      </w:pPr>
    </w:p>
    <w:p>
      <w:pPr>
        <w:jc w:val="both"/>
        <w:ind w:firstLine="1952"/>
        <w:spacing w:after="0" w:line="263" w:lineRule="auto"/>
        <w:tabs>
          <w:tab w:leader="none" w:pos="262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in the case of a Restricted Payment under any of clauses (I), (II) and (III) above (other than with respect to amounts attributable to subclauses (a)(i) and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below), no Event of Default described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shall have occurred and be continuing or would occur as a consequence thereof; and</w:t>
      </w:r>
    </w:p>
    <w:p>
      <w:pPr>
        <w:spacing w:after="0" w:line="183" w:lineRule="exact"/>
        <w:rPr>
          <w:rFonts w:ascii="Arial" w:cs="Arial" w:eastAsia="Arial" w:hAnsi="Arial"/>
          <w:sz w:val="18"/>
          <w:szCs w:val="18"/>
          <w:color w:val="auto"/>
        </w:rPr>
      </w:pPr>
    </w:p>
    <w:p>
      <w:pPr>
        <w:ind w:right="20" w:firstLine="1952"/>
        <w:spacing w:after="0" w:line="277" w:lineRule="auto"/>
        <w:tabs>
          <w:tab w:leader="none" w:pos="262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Issuer and its Restricted Subsidiaries after September 2, 2020 pursuant to this clause (2), is less than:</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sum of (without duplication):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-833120</wp:posOffset>
            </wp:positionV>
            <wp:extent cx="2717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1780" cy="8890"/>
                    </a:xfrm>
                    <a:prstGeom prst="rect">
                      <a:avLst/>
                    </a:prstGeom>
                    <a:noFill/>
                  </pic:spPr>
                </pic:pic>
              </a:graphicData>
            </a:graphic>
          </wp:anchor>
        </w:drawing>
      </w:r>
    </w:p>
    <w:p>
      <w:pPr>
        <w:spacing w:after="0" w:line="205" w:lineRule="exact"/>
        <w:rPr>
          <w:sz w:val="20"/>
          <w:szCs w:val="20"/>
          <w:color w:val="auto"/>
        </w:rPr>
      </w:pPr>
    </w:p>
    <w:p>
      <w:pPr>
        <w:ind w:left="2580" w:hanging="628"/>
        <w:spacing w:after="0"/>
        <w:tabs>
          <w:tab w:leader="none" w:pos="25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$75.0 million;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firstLine="1292"/>
        <w:spacing w:after="0" w:line="277" w:lineRule="auto"/>
        <w:tabs>
          <w:tab w:leader="none" w:pos="26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50.0% of the cumulative Consolidated Net Income of the Issuer for each fiscal quarter (if greater than zero for such quarter) commencing on July 1, 2020 to the end of the most recent Test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660" w:firstLine="1292"/>
        <w:spacing w:after="0" w:line="269" w:lineRule="auto"/>
        <w:tabs>
          <w:tab w:leader="none" w:pos="261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sum of (x) the amount of any cash capital contribution to the common equity capital of the Issuer or any Restricted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cash proceeds received by the Issuer from any issuance of Qualified Capital Stock (including Treasury Capital Stock, and other than any Designated Preferred Stock or Refunding Capital Stock) of the Issuer after September 2, 2020,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(z) the fair market value of Cash Equivalents, marketable securities or other property received by the Issuer or any Restricted Subsidiary as a capital contribution to the common equity capital of the Issuer or such Restricted Subsidiary, or that becomes part of the common equity capital of the Issuer or a Restricted Subsidiary as a result of any consolidation, merger or similar transaction with the Issuer or any Restricted Subsidiary (in each case, other than any amount (A) constituting an Excluded Contribution, (B) received from the Issuer or any Restricted Subsidiary, (C) consisting of any loan or advance made pursuant to clause (h)(i) of the definition of “Permitted Investments” received as cash equity by the Issuer or any of its Restricted Subsidiaries, (D) used to make a Restricted Payment pursuant to </w:t>
      </w:r>
      <w:r>
        <w:rPr>
          <w:rFonts w:ascii="Arial" w:cs="Arial" w:eastAsia="Arial" w:hAnsi="Arial"/>
          <w:sz w:val="17"/>
          <w:szCs w:val="17"/>
          <w:u w:val="single" w:color="auto"/>
          <w:color w:val="auto"/>
        </w:rPr>
        <w:t>clause (ii)(B)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(xxix)(A)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in each case, during the period from and including September 3, 2020 through and including such time or (E) used to incur Indebtedness or issue Disqualified Stock or Preferred Stock pursuant to clause (r)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181" w:lineRule="exact"/>
        <w:rPr>
          <w:rFonts w:ascii="Arial" w:cs="Arial" w:eastAsia="Arial" w:hAnsi="Arial"/>
          <w:sz w:val="17"/>
          <w:szCs w:val="17"/>
          <w:color w:val="auto"/>
        </w:rPr>
      </w:pPr>
    </w:p>
    <w:p>
      <w:pPr>
        <w:jc w:val="both"/>
        <w:ind w:left="660" w:firstLine="1292"/>
        <w:spacing w:after="0" w:line="301" w:lineRule="auto"/>
        <w:tabs>
          <w:tab w:leader="none" w:pos="258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net cash proceeds received by the Issuer or any of its Restricted Subsidiaries from the incurrence after September 2, 2020 of any Indebtedness or from the issuance after September 2, 2020 of any Disqualified Stock, in each case, of the Issuer or any Restricted Subsidiary (other than Indebtedness owed or Disqualified Stock issued to the Issuer or any Restricted Subsidiary) that has been converted into or exchanged for Qualified Capital Stock of the Issuer during the period from and including September 3, 2020 through and including such time; </w:t>
      </w:r>
      <w:r>
        <w:rPr>
          <w:rFonts w:ascii="Arial" w:cs="Arial" w:eastAsia="Arial" w:hAnsi="Arial"/>
          <w:sz w:val="16"/>
          <w:szCs w:val="16"/>
          <w:u w:val="single" w:color="auto"/>
          <w:color w:val="auto"/>
        </w:rPr>
        <w:t>plus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jc w:val="both"/>
        <w:ind w:left="-460" w:firstLine="1292"/>
        <w:spacing w:after="0" w:line="263" w:lineRule="auto"/>
        <w:tabs>
          <w:tab w:leader="none" w:pos="173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net cash proceeds received by the Issuer or any Restricted Subsidiary during the period from and including September 3, 2020 through and including such time in connection with the disposition to any Person (other than the Issuer or any Restricted Subsidiary) of any Investment made pursuant to this clause (2);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jc w:val="both"/>
        <w:ind w:left="-460" w:firstLine="1292"/>
        <w:spacing w:after="0" w:line="279" w:lineRule="auto"/>
        <w:tabs>
          <w:tab w:leader="none" w:pos="141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to the extent not already reflected as a Return with respect to such Investment for purposes of determining the amount of such Investment, the proceeds received by the Issuer or any Restricted Subsidiary during the period from and including September 3, 2020 through and including such time in connection with cash Returns and similar cash amounts, including cash principal repayments of loans, in each case received in respect of any Investment made after September 2, 2020 pursuant to this clause (2); </w:t>
      </w:r>
      <w:r>
        <w:rPr>
          <w:rFonts w:ascii="Arial" w:cs="Arial" w:eastAsia="Arial" w:hAnsi="Arial"/>
          <w:sz w:val="17"/>
          <w:szCs w:val="17"/>
          <w:u w:val="single" w:color="auto"/>
          <w:color w:val="auto"/>
        </w:rPr>
        <w:t>plus</w:t>
      </w:r>
    </w:p>
    <w:p>
      <w:pPr>
        <w:spacing w:after="0" w:line="171" w:lineRule="exact"/>
        <w:rPr>
          <w:rFonts w:ascii="Arial" w:cs="Arial" w:eastAsia="Arial" w:hAnsi="Arial"/>
          <w:sz w:val="17"/>
          <w:szCs w:val="17"/>
          <w:color w:val="auto"/>
        </w:rPr>
      </w:pPr>
    </w:p>
    <w:p>
      <w:pPr>
        <w:jc w:val="both"/>
        <w:ind w:left="-460" w:firstLine="1292"/>
        <w:spacing w:after="0" w:line="269" w:lineRule="auto"/>
        <w:tabs>
          <w:tab w:leader="none" w:pos="147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an amount equal to the sum of (A) the amount of any Investment by the Issuer or any Restricted Subsidiary pursuant to this clause (2) in any Unrestricted Subsidiary that has been re-designated as a Restricted Subsidiary or has been merged, consolidated or amalgamated with or into, or is liquidated, wound up or dissolved into, the Issuer or any Restricted Subsidiary (equal to the lesser of (1) the fair market value of the Investment of the Issuer and the Restricted Subsidiaries in such Unrestricted Subsidiary at the time of such re-designation or merger, consolidation or amalgamation and (2) the fair market value of the original Investments by the Issuer and the Restricted Subsidiaries in such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original Investments made in cash, the fair market value thereof shall be such cash value), (B) the fair market value of the assets of any Unrestricted Subsidiary that have been transferred, conveyed or otherwise distributed to the Issuer or any Restricted Subsidiary to the extent the Investment in such Unrestricted Subsidiary was made after September 2, 2020 pursuant to this clause (2) and (C) the Net Proceeds of any disposition of any Unrestricted Subsidiary (including the issuance or sale of the Equity Interests thereof) received by the Issuer or any Restricted Subsidiary, in each case, during the period from and including September 3, 2020 through and including such time; </w:t>
      </w:r>
      <w:r>
        <w:rPr>
          <w:rFonts w:ascii="Arial" w:cs="Arial" w:eastAsia="Arial" w:hAnsi="Arial"/>
          <w:sz w:val="17"/>
          <w:szCs w:val="17"/>
          <w:u w:val="single" w:color="auto"/>
          <w:color w:val="auto"/>
        </w:rPr>
        <w:t>plus</w:t>
      </w:r>
    </w:p>
    <w:p>
      <w:pPr>
        <w:spacing w:after="0" w:line="181" w:lineRule="exact"/>
        <w:rPr>
          <w:rFonts w:ascii="Arial" w:cs="Arial" w:eastAsia="Arial" w:hAnsi="Arial"/>
          <w:sz w:val="17"/>
          <w:szCs w:val="17"/>
          <w:color w:val="auto"/>
        </w:rPr>
      </w:pPr>
    </w:p>
    <w:p>
      <w:pPr>
        <w:jc w:val="both"/>
        <w:ind w:left="-460" w:firstLine="1292"/>
        <w:spacing w:after="0" w:line="301" w:lineRule="auto"/>
        <w:tabs>
          <w:tab w:leader="none" w:pos="162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the extent not included in Consolidated Net Income or Consolidated EBITDA and without duplication of any dividends, distributions or other Returns or similar amounts included in the calculation of any basket or other provision of this Indenture (and other than any amount that has previously been applied as an Excluded Contribution), dividends, distributions or other Returns received by the Issuer or any Restricted Subsidiary from an Unrestricted Subsidiary or joint ventures or Investments in entities that are not Restricted Subsidiaries;</w:t>
      </w:r>
    </w:p>
    <w:p>
      <w:pPr>
        <w:spacing w:after="0" w:line="328"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duplication, any item or amount that increases the amount of Excluded Contributions shall not also increase the amount available under this clause (2).</w:t>
      </w:r>
    </w:p>
    <w:p>
      <w:pPr>
        <w:spacing w:after="0" w:line="170" w:lineRule="exact"/>
        <w:rPr>
          <w:sz w:val="20"/>
          <w:szCs w:val="20"/>
          <w:color w:val="auto"/>
        </w:rPr>
      </w:pPr>
    </w:p>
    <w:p>
      <w:pPr>
        <w:ind w:left="1960" w:hanging="656"/>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shall not prohibit:</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1292"/>
        <w:spacing w:after="0" w:line="271" w:lineRule="auto"/>
        <w:tabs>
          <w:tab w:leader="none" w:pos="2689"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payments by the Issuer to repurchase, redeem, retire or otherwise acquire or retire for value the Equity Interests (other than Disqualified Stock) of the Issuer held by any future, present or former employee, director, member of management, officer, manager, member, partner, independent contractor or consultant (or any Immediate Family Member thereof) of the Issuer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w:t>
      </w:r>
    </w:p>
    <w:p>
      <w:pPr>
        <w:spacing w:after="0" w:line="178" w:lineRule="exact"/>
        <w:rPr>
          <w:rFonts w:ascii="Arial" w:cs="Arial" w:eastAsia="Arial" w:hAnsi="Arial"/>
          <w:sz w:val="17"/>
          <w:szCs w:val="17"/>
          <w:color w:val="auto"/>
        </w:rPr>
      </w:pPr>
    </w:p>
    <w:p>
      <w:pPr>
        <w:jc w:val="both"/>
        <w:ind w:left="1300" w:firstLine="1948"/>
        <w:spacing w:after="0" w:line="270" w:lineRule="auto"/>
        <w:tabs>
          <w:tab w:leader="none" w:pos="4043" w:val="left"/>
        </w:tabs>
        <w:numPr>
          <w:ilvl w:val="2"/>
          <w:numId w:val="141"/>
        </w:numPr>
        <w:rPr>
          <w:rFonts w:ascii="Arial" w:cs="Arial" w:eastAsia="Arial" w:hAnsi="Arial"/>
          <w:sz w:val="17"/>
          <w:szCs w:val="17"/>
          <w:color w:val="auto"/>
        </w:rPr>
      </w:pPr>
      <w:r>
        <w:rPr>
          <w:rFonts w:ascii="Arial" w:cs="Arial" w:eastAsia="Arial" w:hAnsi="Arial"/>
          <w:sz w:val="17"/>
          <w:szCs w:val="17"/>
          <w:color w:val="auto"/>
        </w:rPr>
        <w:t xml:space="preserve">with cash and Cash Equivalents (and including, to the extent constituting a Restricted Payment, amounts paid in respect of Indebtedness issued to evidence any obligation to repurchase, redeem, retire or otherwise acquire or retire for value the Equity Interests of the Issuer held by any future, present or former employee, director, member of management, officer, manager, member, partner, independent contractor or consultant (or any Immediate Family Member of the foregoing) of the Issuer or any Restricted Subsidiary of any of the foregoing), including any Equity Interests rolled over by management, directors, employees or consultants (or any Immediate Family Member of the foregoing) of the Issuer or any of its Restricted Subsidiaries in connection with any corporate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Restricted Payments made pursuant to this clause (ii)(A) in any fiscal year shall not exceed the greater of $35.0 million and 10.0% of Annualized EBITDA of the Issuer and its Restricted Subsidiaries, which, if not used in such fiscal year, may be carried forward to succeeding fiscal years;</w:t>
      </w:r>
    </w:p>
    <w:p>
      <w:pPr>
        <w:spacing w:after="0" w:line="180" w:lineRule="exact"/>
        <w:rPr>
          <w:rFonts w:ascii="Arial" w:cs="Arial" w:eastAsia="Arial" w:hAnsi="Arial"/>
          <w:sz w:val="17"/>
          <w:szCs w:val="17"/>
          <w:color w:val="auto"/>
        </w:rPr>
      </w:pPr>
    </w:p>
    <w:p>
      <w:pPr>
        <w:jc w:val="both"/>
        <w:ind w:left="1300" w:firstLine="1948"/>
        <w:spacing w:after="0" w:line="263" w:lineRule="auto"/>
        <w:tabs>
          <w:tab w:leader="none" w:pos="3992"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with the proceeds of any sale or issuance of the Equity Interests of the Issuer (to the extent such proceeds have not otherwise been applied to the payment of Restricted Payments by virtue of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or are not an Excluded Contribution);</w:t>
      </w:r>
    </w:p>
    <w:p>
      <w:pPr>
        <w:spacing w:after="0" w:line="183" w:lineRule="exact"/>
        <w:rPr>
          <w:rFonts w:ascii="Arial" w:cs="Arial" w:eastAsia="Arial" w:hAnsi="Arial"/>
          <w:sz w:val="18"/>
          <w:szCs w:val="18"/>
          <w:color w:val="auto"/>
        </w:rPr>
      </w:pPr>
    </w:p>
    <w:p>
      <w:pPr>
        <w:ind w:left="3840" w:hanging="592"/>
        <w:spacing w:after="0"/>
        <w:tabs>
          <w:tab w:leader="none" w:pos="38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with the net proceeds of any key-man life insurance policy; or</w:t>
      </w:r>
    </w:p>
    <w:p>
      <w:pPr>
        <w:spacing w:after="0" w:line="225" w:lineRule="exact"/>
        <w:rPr>
          <w:rFonts w:ascii="Arial" w:cs="Arial" w:eastAsia="Arial" w:hAnsi="Arial"/>
          <w:sz w:val="18"/>
          <w:szCs w:val="18"/>
          <w:color w:val="auto"/>
        </w:rPr>
      </w:pPr>
    </w:p>
    <w:p>
      <w:pPr>
        <w:jc w:val="both"/>
        <w:ind w:left="1300" w:firstLine="1948"/>
        <w:spacing w:after="0" w:line="279" w:lineRule="auto"/>
        <w:tabs>
          <w:tab w:leader="none" w:pos="3876"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the amount of any cash bonuses otherwise payable to future, present or former employees, directors, members of management, officers, managers, members, partners, independent contractors or consultants (or any Immediate Family Member of the foregoing) of the Issuer or any of its Restricted Subsidiaries that are foregone in exchange for the receipt of Equity Interests of the Issuer pursuant to any compensation arrangement, including any deferred compensation plan;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both"/>
        <w:spacing w:after="0" w:line="259"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the Issuer or any Restricted Subsidiary from any future, present or former employees, directors, officers, managers, members, partners, independent contractors or consultants (or their respective Immediate Family Members) of the Issuer or any of its Restricted Subsidiaries in connection with a repurchase of Equity Interests of the Issuer will not be deemed to constitute a Restricted Payment for purposes of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or any other provision of this Indenture;</w:t>
      </w:r>
    </w:p>
    <w:p>
      <w:pPr>
        <w:spacing w:after="0" w:line="187" w:lineRule="exact"/>
        <w:rPr>
          <w:sz w:val="20"/>
          <w:szCs w:val="20"/>
          <w:color w:val="auto"/>
        </w:rPr>
      </w:pPr>
    </w:p>
    <w:p>
      <w:pPr>
        <w:jc w:val="both"/>
        <w:ind w:left="660" w:firstLine="1292"/>
        <w:spacing w:after="0" w:line="279" w:lineRule="auto"/>
        <w:tabs>
          <w:tab w:leader="none" w:pos="285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Restricted Payments that are made (A) in an amount that does not exceed the aggregate amount of Excluded Contributions received following September 2, 2020 and (B) without duplication of clause (A), in an amount that does not exceed the aggregate net cash proceeds from any sale, conveyance, transfer or disposition of, or distribution in respect of, Investments acquired after September 2, 2020, to the extent the acquisition of such Investments was financed in reliance on clause (A);</w:t>
      </w:r>
    </w:p>
    <w:p>
      <w:pPr>
        <w:spacing w:after="0" w:line="171" w:lineRule="exact"/>
        <w:rPr>
          <w:rFonts w:ascii="Arial" w:cs="Arial" w:eastAsia="Arial" w:hAnsi="Arial"/>
          <w:sz w:val="17"/>
          <w:szCs w:val="17"/>
          <w:color w:val="auto"/>
        </w:rPr>
      </w:pPr>
    </w:p>
    <w:p>
      <w:pPr>
        <w:jc w:val="both"/>
        <w:ind w:left="660" w:firstLine="1292"/>
        <w:spacing w:after="0" w:line="290" w:lineRule="auto"/>
        <w:tabs>
          <w:tab w:leader="none" w:pos="265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Restricted Payments (A)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Issuer or any Restricted Subsidiary and (B) consisting of (1) repurchases of Equity Interests in connection with the exercise of warrants, options or other securities convertible with or exchangeable for Equity Interests or upon the vesting of any profits interests, restricted stock units or similar incentive interests, and (2)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Issuer or any Restricted Subsidiary in connection with or in lieu of repurchases described in the foregoing clause (1);</w:t>
      </w:r>
    </w:p>
    <w:p>
      <w:pPr>
        <w:spacing w:after="0" w:line="165" w:lineRule="exact"/>
        <w:rPr>
          <w:rFonts w:ascii="Arial" w:cs="Arial" w:eastAsia="Arial" w:hAnsi="Arial"/>
          <w:sz w:val="16"/>
          <w:szCs w:val="16"/>
          <w:color w:val="auto"/>
        </w:rPr>
      </w:pPr>
    </w:p>
    <w:p>
      <w:pPr>
        <w:jc w:val="both"/>
        <w:ind w:left="660" w:firstLine="1292"/>
        <w:spacing w:after="0" w:line="279" w:lineRule="auto"/>
        <w:tabs>
          <w:tab w:leader="none" w:pos="29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w:t>
      </w:r>
    </w:p>
    <w:p>
      <w:pPr>
        <w:spacing w:after="0" w:line="171" w:lineRule="exact"/>
        <w:rPr>
          <w:rFonts w:ascii="Arial" w:cs="Arial" w:eastAsia="Arial" w:hAnsi="Arial"/>
          <w:sz w:val="17"/>
          <w:szCs w:val="17"/>
          <w:color w:val="auto"/>
        </w:rPr>
      </w:pPr>
    </w:p>
    <w:p>
      <w:pPr>
        <w:ind w:left="2580" w:hanging="628"/>
        <w:spacing w:after="0"/>
        <w:tabs>
          <w:tab w:leader="none" w:pos="2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5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declaration and payment of regular quarterly dividends or distributions, including the initial dividend or distribution following the Issue Date, to holders of the Issuer’s common equity, in each case to the extent approved by the Board of Directors of the Issuer in good faith;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jc w:val="both"/>
        <w:ind w:left="-460" w:firstLine="1292"/>
        <w:spacing w:after="0" w:line="269" w:lineRule="auto"/>
        <w:tabs>
          <w:tab w:leader="none" w:pos="142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(1) Restricted Payments to (i) redeem, repurchase, retire, defease, discharge or otherwise acquire any Equity Interests (“</w:t>
      </w:r>
      <w:r>
        <w:rPr>
          <w:rFonts w:ascii="Arial" w:cs="Arial" w:eastAsia="Arial" w:hAnsi="Arial"/>
          <w:sz w:val="17"/>
          <w:szCs w:val="17"/>
          <w:u w:val="single" w:color="auto"/>
          <w:color w:val="auto"/>
        </w:rPr>
        <w:t>Treasury Capital Stock</w:t>
      </w:r>
      <w:r>
        <w:rPr>
          <w:rFonts w:ascii="Arial" w:cs="Arial" w:eastAsia="Arial" w:hAnsi="Arial"/>
          <w:sz w:val="17"/>
          <w:szCs w:val="17"/>
          <w:color w:val="auto"/>
        </w:rPr>
        <w:t>”) of the Issuer and/or any Restricted Subsidiary, including any accrued and unpaid dividends thereon, in exchange for, or out of the proceeds of a sale or issuance (other than to the Issuer and/or any Restricted Subsidiary) of, Qualified Capital Stock of the Issuer that is made within 120 days of such sale or issuance to the extent any such proceeds are received by or contributed to the capital of the Issuer and/or any Restricted Subsidiary in respect of Qualified Capital Stock after September 2, 2020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xml:space="preserve">”) and (ii) declare and pay dividends on any Treasury Capital Stock out of the proceeds of such sale (other than to the Issuer or a Restricted Subsidiary) of any Refunding Capital Stock or (2) if immediately prior to the retirement of Treasury Capital Stock, the declaration and payment of dividends thereon was permitted under </w:t>
      </w:r>
      <w:r>
        <w:rPr>
          <w:rFonts w:ascii="Arial" w:cs="Arial" w:eastAsia="Arial" w:hAnsi="Arial"/>
          <w:sz w:val="17"/>
          <w:szCs w:val="17"/>
          <w:u w:val="single" w:color="auto"/>
          <w:color w:val="auto"/>
        </w:rPr>
        <w:t>clause (xvii)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4.07(b)</w:t>
      </w:r>
      <w:r>
        <w:rPr>
          <w:rFonts w:ascii="Arial" w:cs="Arial" w:eastAsia="Arial" w:hAnsi="Arial"/>
          <w:sz w:val="17"/>
          <w:szCs w:val="17"/>
          <w:color w:val="auto"/>
        </w:rPr>
        <w:t>, the declaration and payment of dividends on the Refunding Capital Stock in an aggregate amount per fiscal year no greater than the aggregate amount of dividends per annum that were declarable and payable on such Treasury Capital Stock immediately prior to such retirement;</w:t>
      </w:r>
    </w:p>
    <w:p>
      <w:pPr>
        <w:spacing w:after="0" w:line="185" w:lineRule="exact"/>
        <w:rPr>
          <w:rFonts w:ascii="Arial" w:cs="Arial" w:eastAsia="Arial" w:hAnsi="Arial"/>
          <w:sz w:val="17"/>
          <w:szCs w:val="17"/>
          <w:color w:val="auto"/>
        </w:rPr>
      </w:pPr>
    </w:p>
    <w:p>
      <w:pPr>
        <w:jc w:val="both"/>
        <w:ind w:left="-460" w:firstLine="1292"/>
        <w:spacing w:after="0" w:line="263" w:lineRule="auto"/>
        <w:tabs>
          <w:tab w:leader="none" w:pos="151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Payment, the making or consummation of any Asset Sale or disposition not constituting an Asset Sale pursuant to the exclusions from the definition thereof or transaction in accordance with the provisions of the second paragraph of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(other than pursuant to clause (d) of such paragraph);</w:t>
      </w:r>
    </w:p>
    <w:p>
      <w:pPr>
        <w:spacing w:after="0" w:line="183" w:lineRule="exact"/>
        <w:rPr>
          <w:rFonts w:ascii="Arial" w:cs="Arial" w:eastAsia="Arial" w:hAnsi="Arial"/>
          <w:sz w:val="18"/>
          <w:szCs w:val="18"/>
          <w:color w:val="auto"/>
        </w:rPr>
      </w:pPr>
    </w:p>
    <w:p>
      <w:pPr>
        <w:jc w:val="both"/>
        <w:ind w:left="-460" w:firstLine="1292"/>
        <w:spacing w:after="0" w:line="286" w:lineRule="auto"/>
        <w:tabs>
          <w:tab w:leader="none" w:pos="151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so long as no Event of Default under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then exists or would result therefrom, additional Restricted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Restricted Payments made and then outstanding pursuant to this clause (x) shall not exceed the greater of $100.0 million and 25.0% of Annualized EBITDA of the Issuer and its Restricted Subsidiaries;</w:t>
      </w:r>
    </w:p>
    <w:p>
      <w:pPr>
        <w:spacing w:after="0" w:line="165" w:lineRule="exact"/>
        <w:rPr>
          <w:rFonts w:ascii="Arial" w:cs="Arial" w:eastAsia="Arial" w:hAnsi="Arial"/>
          <w:sz w:val="17"/>
          <w:szCs w:val="17"/>
          <w:color w:val="auto"/>
        </w:rPr>
      </w:pPr>
    </w:p>
    <w:p>
      <w:pPr>
        <w:jc w:val="both"/>
        <w:ind w:left="-460" w:firstLine="1292"/>
        <w:spacing w:after="0" w:line="263" w:lineRule="auto"/>
        <w:tabs>
          <w:tab w:leader="none" w:pos="15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then exists or would result therefrom, additional Restricted Payments so long as the Consolidated Total Debt Ratio, calculated on a pro forma basis at the time of the determination thereof, would not exceed 2.00 to 1.00;</w:t>
      </w:r>
    </w:p>
    <w:p>
      <w:pPr>
        <w:spacing w:after="0" w:line="183" w:lineRule="exact"/>
        <w:rPr>
          <w:rFonts w:ascii="Arial" w:cs="Arial" w:eastAsia="Arial" w:hAnsi="Arial"/>
          <w:sz w:val="18"/>
          <w:szCs w:val="18"/>
          <w:color w:val="auto"/>
        </w:rPr>
      </w:pPr>
    </w:p>
    <w:p>
      <w:pPr>
        <w:jc w:val="both"/>
        <w:ind w:left="-460" w:firstLine="1292"/>
        <w:spacing w:after="0" w:line="286" w:lineRule="auto"/>
        <w:tabs>
          <w:tab w:leader="none" w:pos="150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distribution, by dividend or otherwise, or other transfer or disposition of Equity Interests of, or Indebtedness owed to the Issuer or a Restricted Subsidiary by, Unrestricted Subsidiaries (or any Restricted Subsidiary that owns one or more Unrestricted Subsidiaries and no other material assets), other than Unrestricted Subsidiaries the primary assets of which are cash and Cash Equivalents;</w:t>
      </w:r>
    </w:p>
    <w:p>
      <w:pPr>
        <w:spacing w:after="0" w:line="165" w:lineRule="exact"/>
        <w:rPr>
          <w:rFonts w:ascii="Arial" w:cs="Arial" w:eastAsia="Arial" w:hAnsi="Arial"/>
          <w:sz w:val="17"/>
          <w:szCs w:val="17"/>
          <w:color w:val="auto"/>
        </w:rPr>
      </w:pPr>
    </w:p>
    <w:p>
      <w:pPr>
        <w:jc w:val="both"/>
        <w:ind w:left="-460" w:firstLine="1292"/>
        <w:spacing w:after="0" w:line="257" w:lineRule="auto"/>
        <w:tabs>
          <w:tab w:leader="none" w:pos="1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payments or distributions (A) to satisfy dissenters’ or appraisal rights and the settlement of any claims or actions (whether actual, contingent or potential) with respect thereto (including any accrued interest), (B) made in connection with working capital adjustments or purchase price adjustments or (C) made in connection with the satisfaction of indemnity and other similar obligations, in each case pursuant to or in connection with any acquisition, other Investment, disposition or consolidation, amalgamation, merger or transfer of assets that is not prohibited under this Indenture;</w:t>
      </w:r>
    </w:p>
    <w:p>
      <w:pPr>
        <w:spacing w:after="0" w:line="35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21" w:name="page122"/>
    <w:bookmarkEnd w:id="121"/>
    <w:p>
      <w:pPr>
        <w:ind w:left="-460" w:firstLine="1292"/>
        <w:spacing w:after="0" w:line="277" w:lineRule="auto"/>
        <w:tabs>
          <w:tab w:leader="none" w:pos="14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Restricted Payments constituting fixed dividend payments in respect of Disqualified Stock incurred in accordance with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to the extent such Restricted Payments are included in the calculation of Fixed Charges;</w:t>
      </w:r>
    </w:p>
    <w:p>
      <w:pPr>
        <w:spacing w:after="0" w:line="170" w:lineRule="exact"/>
        <w:rPr>
          <w:rFonts w:ascii="Arial" w:cs="Arial" w:eastAsia="Arial" w:hAnsi="Arial"/>
          <w:sz w:val="18"/>
          <w:szCs w:val="18"/>
          <w:color w:val="auto"/>
        </w:rPr>
      </w:pPr>
    </w:p>
    <w:p>
      <w:pPr>
        <w:ind w:left="1440" w:hanging="608"/>
        <w:spacing w:after="0"/>
        <w:tabs>
          <w:tab w:leader="none" w:pos="1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00" w:hanging="668"/>
        <w:spacing w:after="0"/>
        <w:tabs>
          <w:tab w:leader="none" w:pos="1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1292"/>
        <w:spacing w:after="0" w:line="293" w:lineRule="auto"/>
        <w:tabs>
          <w:tab w:leader="none" w:pos="149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Restricted Payments consisting of (A) the declaration and payment of dividends to holders of any class or series of Designated Preferred Stock (other than Disqualified Stock) issued by the Issuer after September 2, 2020, (B) the declaration and payment of dividends on Refunding Capital Stock that is Preferred Stock in excess of the dividends declarable and payable thereon pursuant to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each of sub-clause (A) and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(xvii)</w:t>
      </w:r>
      <w:r>
        <w:rPr>
          <w:rFonts w:ascii="Arial" w:cs="Arial" w:eastAsia="Arial" w:hAnsi="Arial"/>
          <w:sz w:val="16"/>
          <w:szCs w:val="16"/>
          <w:color w:val="auto"/>
        </w:rPr>
        <w:t>, at the date of issuance of such Designated Preferred Stock or the declaration of such dividends on Refunding Capital Stock that is Preferred Stock, after giving effect to such issuance or declaration on a pro forma basis, the Issuer would have had a Fixed Charge Coverage Ratio of at least 2.00 to 1.00;</w:t>
      </w:r>
    </w:p>
    <w:p>
      <w:pPr>
        <w:spacing w:after="0" w:line="164" w:lineRule="exact"/>
        <w:rPr>
          <w:rFonts w:ascii="Arial" w:cs="Arial" w:eastAsia="Arial" w:hAnsi="Arial"/>
          <w:sz w:val="16"/>
          <w:szCs w:val="16"/>
          <w:color w:val="auto"/>
        </w:rPr>
      </w:pPr>
    </w:p>
    <w:p>
      <w:pPr>
        <w:ind w:left="1460" w:hanging="628"/>
        <w:spacing w:after="0"/>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firstLine="1292"/>
        <w:spacing w:after="0" w:line="277" w:lineRule="auto"/>
        <w:tabs>
          <w:tab w:leader="none" w:pos="169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distributions or payments of Receivables Fees and purchases of receivables in connection with any Permitted Receivables Financing or any repurchase obligation in connection therewith;</w:t>
      </w:r>
    </w:p>
    <w:p>
      <w:pPr>
        <w:spacing w:after="0" w:line="170" w:lineRule="exact"/>
        <w:rPr>
          <w:rFonts w:ascii="Arial" w:cs="Arial" w:eastAsia="Arial" w:hAnsi="Arial"/>
          <w:sz w:val="18"/>
          <w:szCs w:val="18"/>
          <w:color w:val="auto"/>
        </w:rPr>
      </w:pPr>
    </w:p>
    <w:p>
      <w:pPr>
        <w:jc w:val="both"/>
        <w:ind w:left="-460" w:firstLine="1292"/>
        <w:spacing w:after="0" w:line="269" w:lineRule="auto"/>
        <w:tabs>
          <w:tab w:leader="none" w:pos="149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(A) payments made to optionholders or holders of phantom equity or profits interests of the Issuer in connection with, or as a result of, any distribution made to stockholders of the Issuer (to the extent such distribution is otherwise permitted under this Indenture), which payments are being made to compensate such optionholders or holders of phantom equity or profits interests as though they were stockholders at the time of, and entitled to share in, such distribution (it being understood that no such payment may be made to an optionholder or holder of phantom equity or profits interests pursuant to this clause (xx) to the extent such payment would not have been permitted to be made to such optionholder or holder of phantom equity or profits interests if it were a stockholder pursuant to the provisions of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and (B) Restricted Payments to pay for the redemption, purchase, repurchase, defeasance or other acquisition or retirement of Equity Interests of the Issuer for nominal value, from a former investor of an acquired business or a present or former employee, director, officer, manager, member, partner, independent contractor or consultant (or any Immediate Family Member of the foregoing) of an acquired business, which Equity Interests were issued as part of an earn-out or similar arrangement in the acquisition of such business, and which repurchase relates to the failure of such earn-out to fully vest;</w:t>
      </w:r>
    </w:p>
    <w:p>
      <w:pPr>
        <w:spacing w:after="0" w:line="181" w:lineRule="exact"/>
        <w:rPr>
          <w:rFonts w:ascii="Arial" w:cs="Arial" w:eastAsia="Arial" w:hAnsi="Arial"/>
          <w:sz w:val="17"/>
          <w:szCs w:val="17"/>
          <w:color w:val="auto"/>
        </w:rPr>
      </w:pPr>
    </w:p>
    <w:p>
      <w:pPr>
        <w:ind w:left="1500" w:hanging="668"/>
        <w:spacing w:after="0"/>
        <w:tabs>
          <w:tab w:leader="none" w:pos="1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right="20" w:firstLine="1292"/>
        <w:spacing w:after="0" w:line="301" w:lineRule="auto"/>
        <w:tabs>
          <w:tab w:leader="none" w:pos="150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(and any Restricted Payment made in reliance on this clause (xxii) shall also be deemed to have been made under such applicable clause, except for the purpose of testing the permissibility of such Restricted Payment on the date it is actually made);</w:t>
      </w:r>
    </w:p>
    <w:p>
      <w:pPr>
        <w:spacing w:after="0" w:line="328"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22" w:name="page123"/>
    <w:bookmarkEnd w:id="122"/>
    <w:p>
      <w:pPr>
        <w:jc w:val="both"/>
        <w:ind w:firstLine="1292"/>
        <w:spacing w:after="0" w:line="290" w:lineRule="auto"/>
        <w:tabs>
          <w:tab w:leader="none" w:pos="196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prepayment, redemption, purchase, repurchase, defeasance, discharge or other acquisition or retirement of any Subordinated Indebtedness (i) in accordance with provisions similar to those set forth in </w:t>
      </w:r>
      <w:r>
        <w:rPr>
          <w:rFonts w:ascii="Arial" w:cs="Arial" w:eastAsia="Arial" w:hAnsi="Arial"/>
          <w:sz w:val="16"/>
          <w:szCs w:val="16"/>
          <w:u w:val="single" w:color="auto"/>
          <w:color w:val="auto"/>
        </w:rPr>
        <w:t>Sections 4.10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4.14</w:t>
      </w:r>
      <w:r>
        <w:rPr>
          <w:rFonts w:ascii="Arial" w:cs="Arial" w:eastAsia="Arial" w:hAnsi="Arial"/>
          <w:sz w:val="16"/>
          <w:szCs w:val="16"/>
          <w:color w:val="auto"/>
        </w:rPr>
        <w:t xml:space="preserve"> or (ii) after completion of an Asset Sale Offer or Advance Offer, as applicable, from any Declined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at or prior to such prepayment, redemption, purchase, repurchase, defeasance, discharge or other acquisition or retirement, the Issuer (or a third Person permitted by this Indenture) has made a Change of Control Offer, Alternate Offer, Asset Sale Offer or Advance Offer, as the case may be, to the extent required (or in the case of an Alternate Offer or Advance Offer, permitted by this Indenture) as a result of such Change of Control or Asset Sale, as the case may be, and (y) all Notes tendered by Holders in connection with the relevant Change of Control Offer, Alternate Offer, Asset Sale Offer or Advance Offer, as applicable, have been prepaid, redeemed, purchased, repurchased, defeased, discharged, acquired or retired;</w:t>
      </w:r>
    </w:p>
    <w:p>
      <w:pPr>
        <w:spacing w:after="0" w:line="165" w:lineRule="exact"/>
        <w:rPr>
          <w:rFonts w:ascii="Arial" w:cs="Arial" w:eastAsia="Arial" w:hAnsi="Arial"/>
          <w:sz w:val="16"/>
          <w:szCs w:val="16"/>
          <w:color w:val="auto"/>
        </w:rPr>
      </w:pPr>
    </w:p>
    <w:p>
      <w:pPr>
        <w:ind w:left="1960" w:hanging="668"/>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40" w:hanging="648"/>
        <w:spacing w:after="0"/>
        <w:tabs>
          <w:tab w:leader="none" w:pos="19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Restricted Debt Payments made by exchange for, or out of the proceeds of, Refinancing Indebtedness permitted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960" w:hanging="668"/>
        <w:spacing w:after="0"/>
        <w:tabs>
          <w:tab w:leader="none" w:pos="1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Restricted Debt Payments made as part of an applicable high yield discount obligation catch-up payment;</w:t>
      </w:r>
    </w:p>
    <w:p>
      <w:pPr>
        <w:spacing w:after="0" w:line="236" w:lineRule="exact"/>
        <w:rPr>
          <w:rFonts w:ascii="Arial" w:cs="Arial" w:eastAsia="Arial" w:hAnsi="Arial"/>
          <w:sz w:val="17"/>
          <w:szCs w:val="17"/>
          <w:color w:val="auto"/>
        </w:rPr>
      </w:pPr>
    </w:p>
    <w:p>
      <w:pPr>
        <w:ind w:left="1960" w:hanging="668"/>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68"/>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292"/>
        <w:spacing w:after="0" w:line="275" w:lineRule="auto"/>
        <w:tabs>
          <w:tab w:leader="none" w:pos="204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 Restricted Debt Payments in exchange for, or with proceeds of any issuance of, Qualified Capital Stock of the Issuer and/or any capital contribution in respect of Qualified Capital Stock of the Issuer or any Restricted Subsidiary (in each case, other than to or by the Issuer or any Restricted Subsidiary), (B) Restricted Debt Payments as a result of the conversion of all or any portion of any Subordinated Indebtedness into Qualified Capital Stock of the Issuer and (C) to the extent constituting a Restricted Debt Payment, payment-in-kind interest with respect to any Subordinated Indebtedness that is permitted under </w:t>
      </w:r>
      <w:r>
        <w:rPr>
          <w:rFonts w:ascii="Arial" w:cs="Arial" w:eastAsia="Arial" w:hAnsi="Arial"/>
          <w:sz w:val="17"/>
          <w:szCs w:val="17"/>
          <w:u w:val="single" w:color="auto"/>
          <w:color w:val="auto"/>
        </w:rPr>
        <w:t>Section 4.09</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960" w:hanging="668"/>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292"/>
        <w:spacing w:after="0" w:line="254" w:lineRule="auto"/>
        <w:tabs>
          <w:tab w:leader="none" w:pos="19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Restricted Debt Payments with respect to Subordinated Indebtedness assumed pursuant to clause (o)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(other than any such Subordinated Indebtedness incurred (x) to provide all or any portion of the funds utilized to consummate the transaction or series of related transactions pursuant to which such Person became a Restricted Subsidiary or was otherwise acquired by the Issuer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w:t>
      </w:r>
    </w:p>
    <w:p>
      <w:pPr>
        <w:spacing w:after="0" w:line="366"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123" w:name="page124"/>
    <w:bookmarkEnd w:id="123"/>
    <w:p>
      <w:pPr>
        <w:ind w:left="660" w:firstLine="1292"/>
        <w:spacing w:after="0" w:line="277" w:lineRule="auto"/>
        <w:tabs>
          <w:tab w:leader="none" w:pos="264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any mandatory redemption, repurchase, retirement, termination or cancellation of Disqualified Stock (to the extent treated as Indebtedness outstanding and/or incurred in compliance with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amount of all Restricted Payments (other than cash) will be the fair market value on the relevant date of determination, in the case of a Subject Transaction, or the date of the Restricted Payment of the assets or securities proposed to be transferred or issued by the Issuer or any Restricted Subsidiary, as the case may be, pursuant to the Restricted Payment.</w:t>
      </w:r>
    </w:p>
    <w:p>
      <w:pPr>
        <w:spacing w:after="0" w:line="184" w:lineRule="exact"/>
        <w:rPr>
          <w:sz w:val="20"/>
          <w:szCs w:val="20"/>
          <w:color w:val="auto"/>
        </w:rPr>
      </w:pPr>
    </w:p>
    <w:p>
      <w:pPr>
        <w:jc w:val="both"/>
        <w:ind w:firstLine="1304"/>
        <w:spacing w:after="0" w:line="301" w:lineRule="auto"/>
        <w:tabs>
          <w:tab w:leader="none" w:pos="193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As of the Issue Date, NFE South Power Holdings Limited, a company incorporated under the laws of Jamaica, and each of its Subsidiaries will be Unrestricted Subsidiaries, and all of the Issuer’s other Subsidiaries will be Restricted Subsidiaries. The Issuer shall not permit any Unrestricted Subsidiary to become a Restricted Subsidiary except pursuant to the second and third paragraphs of the definition of “Unrestricted Subsidiary”. Unrestricted Subsidiaries will not be subject to any of the restrictive covenants set forth in this Indenture and will not guarantee the Notes.</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96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Unrestricted Subsidiaries may use value transferred from the Issuer and its Restricted Subsidiaries pursuant to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or in a Permitted Investment to purchase or otherwise acquire Indebtedness or Equity Interests of the Issuer or any of the Issuer’s Restricted Subsidiaries, and to transfer value to the holders of the Equity Interests of the Issuer or any Restricted Subsidiary or to Affiliates thereof, and such purchase, acquisition, or transfer will not be deemed to be a “direct or indirect” action by the Issuer or its Restricted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DIVIDEND AND OTHER PAYMENT RESTRICTIONS AFFECTING RESTRICTED SUBSIDIARIES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Issuer shall not, and shall not permit any of its Restricted Subsidiaries to, directly or indirectly, create or otherwise cause to become effective any consensual encumbrance or consensual restriction on the ability of any Restricted Subsidiary that is not a Guarantor to:</w:t>
      </w:r>
    </w:p>
    <w:p>
      <w:pPr>
        <w:spacing w:after="0" w:line="146" w:lineRule="exact"/>
        <w:rPr>
          <w:sz w:val="20"/>
          <w:szCs w:val="20"/>
          <w:color w:val="auto"/>
        </w:rPr>
      </w:pPr>
    </w:p>
    <w:p>
      <w:pPr>
        <w:jc w:val="both"/>
        <w:ind w:firstLine="1952"/>
        <w:spacing w:after="0" w:line="263" w:lineRule="auto"/>
        <w:tabs>
          <w:tab w:leader="none" w:pos="262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Issuer or any of its Restricted Subsidiaries that is a Guarantor on its Equity Interests or with respect to any other interest or participation in, or measured by, its profits, or (b) pay any Indebtedness owed to the Issuer or any of its Restricted Subsidiaries that is a Guarantor;</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make loans or advances to the Issuer or any of its Restricted Subsidiaries that is a Guarantor; or</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sell, lease or transfer any of its properties or assets to the Issuer or any of its Restricted Subsidiaries that is a Guarantor.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 xml:space="preserve">The provisions of the first paragraph of this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shall not apply to encumbrances or restrictions:</w:t>
      </w:r>
    </w:p>
    <w:p>
      <w:pPr>
        <w:spacing w:after="0" w:line="225" w:lineRule="exact"/>
        <w:rPr>
          <w:sz w:val="20"/>
          <w:szCs w:val="20"/>
          <w:color w:val="auto"/>
        </w:rPr>
      </w:pPr>
    </w:p>
    <w:p>
      <w:pPr>
        <w:jc w:val="both"/>
        <w:ind w:firstLine="1304"/>
        <w:spacing w:after="0" w:line="284" w:lineRule="auto"/>
        <w:tabs>
          <w:tab w:leader="none" w:pos="197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set forth in any agreement evidencing or governing (i) Indebtedness of a Restricted Subsidiary that is not a Guarantor permitted to be incurred pursuant to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and any corresponding organizational documents of any such Restricted Subsidiary structured as a special purpose entity incurring such Indebtedness, (ii) Secured Indebtedness permitted to be incurred pursuant to </w:t>
      </w:r>
      <w:r>
        <w:rPr>
          <w:rFonts w:ascii="Arial" w:cs="Arial" w:eastAsia="Arial" w:hAnsi="Arial"/>
          <w:sz w:val="16"/>
          <w:szCs w:val="16"/>
          <w:u w:val="single" w:color="auto"/>
          <w:color w:val="auto"/>
        </w:rPr>
        <w:t>Sections 4.09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if the relevant restriction applies only to the Person obligated under such Indebtedness and its Restricted Subsidiaries or the assets intended to secure such Indebtedness, (iii) Indebtedness permitted to be incurred pursuant to the first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and clauses (a), (b), (n), (q) (as it relates to Indebtedness in respect of the first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and clauses (a), (b), (n), (o), (r), (u), (y), (oo) and/or (pp)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(o), (r), (u), (y), (mm), or</w:t>
      </w:r>
    </w:p>
    <w:p>
      <w:pPr>
        <w:spacing w:after="0" w:line="4" w:lineRule="exact"/>
        <w:rPr>
          <w:rFonts w:ascii="Arial" w:cs="Arial" w:eastAsia="Arial" w:hAnsi="Arial"/>
          <w:sz w:val="16"/>
          <w:szCs w:val="16"/>
          <w:color w:val="auto"/>
        </w:rPr>
      </w:pPr>
    </w:p>
    <w:p>
      <w:pPr>
        <w:ind w:firstLine="8"/>
        <w:spacing w:after="0" w:line="260" w:lineRule="auto"/>
        <w:tabs>
          <w:tab w:leader="none" w:pos="36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and/or (pp)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(iv) any Permitted Receivables Financing solely with respect to the assets subject to such Permitted Receivables Financing;</w:t>
      </w:r>
    </w:p>
    <w:p>
      <w:pPr>
        <w:spacing w:after="0" w:line="185" w:lineRule="exact"/>
        <w:rPr>
          <w:rFonts w:ascii="Arial" w:cs="Arial" w:eastAsia="Arial" w:hAnsi="Arial"/>
          <w:sz w:val="18"/>
          <w:szCs w:val="18"/>
          <w:color w:val="auto"/>
        </w:rPr>
      </w:pPr>
    </w:p>
    <w:p>
      <w:pPr>
        <w:ind w:firstLine="1304"/>
        <w:spacing w:after="0" w:line="342" w:lineRule="auto"/>
        <w:tabs>
          <w:tab w:leader="none" w:pos="201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23" w:lineRule="exact"/>
        <w:rPr>
          <w:rFonts w:ascii="Arial" w:cs="Arial" w:eastAsia="Arial" w:hAnsi="Arial"/>
          <w:sz w:val="16"/>
          <w:szCs w:val="16"/>
          <w:color w:val="auto"/>
        </w:rPr>
      </w:pPr>
    </w:p>
    <w:p>
      <w:pPr>
        <w:ind w:firstLine="1304"/>
        <w:spacing w:after="0" w:line="277" w:lineRule="auto"/>
        <w:tabs>
          <w:tab w:leader="none" w:pos="1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that are or were created by virtue of any Lien granted upon, transfer of, agreement to transfer or grant of, any option or right with respect to any assets or Equity Interests not otherwise prohibited under this Indenture;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2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spacing w:after="0" w:line="183" w:lineRule="exact"/>
        <w:rPr>
          <w:rFonts w:ascii="Arial" w:cs="Arial" w:eastAsia="Arial" w:hAnsi="Arial"/>
          <w:sz w:val="18"/>
          <w:szCs w:val="18"/>
          <w:color w:val="auto"/>
        </w:rPr>
      </w:pPr>
    </w:p>
    <w:p>
      <w:pPr>
        <w:ind w:firstLine="1304"/>
        <w:spacing w:after="0" w:line="342" w:lineRule="auto"/>
        <w:tabs>
          <w:tab w:leader="none" w:pos="196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23" w:lineRule="exact"/>
        <w:rPr>
          <w:rFonts w:ascii="Arial" w:cs="Arial" w:eastAsia="Arial" w:hAnsi="Arial"/>
          <w:sz w:val="16"/>
          <w:szCs w:val="16"/>
          <w:color w:val="auto"/>
        </w:rPr>
      </w:pPr>
    </w:p>
    <w:p>
      <w:pPr>
        <w:ind w:firstLine="1304"/>
        <w:spacing w:after="0" w:line="277" w:lineRule="auto"/>
        <w:tabs>
          <w:tab w:leader="none" w:pos="19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set forth in provisions in agreements or instruments that prohibit the payment of dividends or the making of other distributions with respect to any class of Equity Interests of a Person other than on a pro rata basis;</w:t>
      </w:r>
    </w:p>
    <w:p>
      <w:pPr>
        <w:spacing w:after="0" w:line="170" w:lineRule="exact"/>
        <w:rPr>
          <w:rFonts w:ascii="Arial" w:cs="Arial" w:eastAsia="Arial" w:hAnsi="Arial"/>
          <w:sz w:val="18"/>
          <w:szCs w:val="18"/>
          <w:color w:val="auto"/>
        </w:rPr>
      </w:pPr>
    </w:p>
    <w:p>
      <w:pPr>
        <w:ind w:right="20" w:firstLine="1304"/>
        <w:spacing w:after="0" w:line="277" w:lineRule="auto"/>
        <w:tabs>
          <w:tab w:leader="none" w:pos="203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imposed by customary provisions in partnership agreements, limited liability company agreements, joint venture agreements, other organizational and governance documents and other similar agreements;</w:t>
      </w:r>
    </w:p>
    <w:p>
      <w:pPr>
        <w:spacing w:after="0" w:line="170" w:lineRule="exact"/>
        <w:rPr>
          <w:rFonts w:ascii="Arial" w:cs="Arial" w:eastAsia="Arial" w:hAnsi="Arial"/>
          <w:sz w:val="18"/>
          <w:szCs w:val="18"/>
          <w:color w:val="auto"/>
        </w:rPr>
      </w:pPr>
    </w:p>
    <w:p>
      <w:pPr>
        <w:ind w:firstLine="1304"/>
        <w:spacing w:after="0" w:line="277" w:lineRule="auto"/>
        <w:tabs>
          <w:tab w:leader="none" w:pos="18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jc w:val="both"/>
        <w:ind w:firstLine="1304"/>
        <w:spacing w:after="0" w:line="263" w:lineRule="auto"/>
        <w:tabs>
          <w:tab w:leader="none" w:pos="195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set forth (i) in documents that exist on the Issue Date, including pursuant to the Notes, the Note Guarantees, the Existing Notes, the Existing Notes Guarantees, this Indenture, the Existing Notes Indenture or (ii) in the Revolving Credit Facility, and, in each case, related documentation and related Derivative Transactions;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87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(y) arising pursuant to an agreement or instrument relating to any Indebtedness permitted to be incurred after the Issue Date or (z)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Issuer) (i) are not materially less favorable to the holders than the restrictions contained in the Notes,</w:t>
      </w:r>
    </w:p>
    <w:p>
      <w:pPr>
        <w:spacing w:after="0" w:line="1" w:lineRule="exact"/>
        <w:rPr>
          <w:rFonts w:ascii="Arial" w:cs="Arial" w:eastAsia="Arial" w:hAnsi="Arial"/>
          <w:sz w:val="16"/>
          <w:szCs w:val="16"/>
          <w:color w:val="auto"/>
        </w:rPr>
      </w:pPr>
    </w:p>
    <w:p>
      <w:pPr>
        <w:jc w:val="both"/>
        <w:ind w:firstLine="8"/>
        <w:spacing w:after="0" w:line="255" w:lineRule="auto"/>
        <w:tabs>
          <w:tab w:leader="none" w:pos="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generally represent market terms at the time of incurrence or structuring, as applicable, taken as a whole, or (iii) would not, in the good faith determination of senior management of the Issuer, at the time of incurrence or structuring, as applicable, materially impair the Issuer’s ability to make payments under the Notes when due;</w:t>
      </w:r>
    </w:p>
    <w:p>
      <w:pPr>
        <w:spacing w:after="0" w:line="189" w:lineRule="exact"/>
        <w:rPr>
          <w:rFonts w:ascii="Arial" w:cs="Arial" w:eastAsia="Arial" w:hAnsi="Arial"/>
          <w:sz w:val="18"/>
          <w:szCs w:val="18"/>
          <w:color w:val="auto"/>
        </w:rPr>
      </w:pPr>
    </w:p>
    <w:p>
      <w:pPr>
        <w:ind w:left="1960" w:hanging="656"/>
        <w:spacing w:after="0"/>
        <w:tabs>
          <w:tab w:leader="none" w:pos="19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arising under or as a result of applicable Requirements of Law or the terms of any license, authorization, concession or permit;</w:t>
      </w:r>
    </w:p>
    <w:p>
      <w:pPr>
        <w:spacing w:after="0" w:line="248" w:lineRule="exact"/>
        <w:rPr>
          <w:rFonts w:ascii="Arial" w:cs="Arial" w:eastAsia="Arial" w:hAnsi="Arial"/>
          <w:sz w:val="16"/>
          <w:szCs w:val="16"/>
          <w:color w:val="auto"/>
        </w:rPr>
      </w:pPr>
    </w:p>
    <w:p>
      <w:pPr>
        <w:ind w:left="1920" w:hanging="616"/>
        <w:spacing w:after="0"/>
        <w:tabs>
          <w:tab w:leader="none" w:pos="19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arising in any Hedge Agreement and/or any agreement relating to Banking Services;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5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relating to any asset (or all of the assets) of and/or the Equity Interests of the Issuer and/or any Restricted Subsidiary which is imposed pursuant to an agreement entered into in connection with any disposition of such asset (or assets) and/or all or a portion of the Equity Interests of the relevant Person that is not prohibited by the terms of this Indenture;</w:t>
      </w:r>
    </w:p>
    <w:p>
      <w:pPr>
        <w:spacing w:after="0" w:line="183" w:lineRule="exact"/>
        <w:rPr>
          <w:rFonts w:ascii="Arial" w:cs="Arial" w:eastAsia="Arial" w:hAnsi="Arial"/>
          <w:sz w:val="18"/>
          <w:szCs w:val="18"/>
          <w:color w:val="auto"/>
        </w:rPr>
      </w:pPr>
    </w:p>
    <w:p>
      <w:pPr>
        <w:ind w:firstLine="1304"/>
        <w:spacing w:after="0" w:line="277" w:lineRule="auto"/>
        <w:tabs>
          <w:tab w:leader="none" w:pos="213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set forth in any agreement relating to any Permitted Lien that limits the right of the Issuer or any Restricted Subsidiary to dispose of or encumber the assets subject thereto;</w:t>
      </w:r>
    </w:p>
    <w:p>
      <w:pPr>
        <w:spacing w:after="0" w:line="170" w:lineRule="exact"/>
        <w:rPr>
          <w:rFonts w:ascii="Arial" w:cs="Arial" w:eastAsia="Arial" w:hAnsi="Arial"/>
          <w:sz w:val="18"/>
          <w:szCs w:val="18"/>
          <w:color w:val="auto"/>
        </w:rPr>
      </w:pPr>
    </w:p>
    <w:p>
      <w:pPr>
        <w:jc w:val="both"/>
        <w:ind w:firstLine="1304"/>
        <w:spacing w:after="0" w:line="293" w:lineRule="auto"/>
        <w:tabs>
          <w:tab w:leader="none" w:pos="209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restrictions or conditions contained in any trading, netting, operating, construction, service, supply, purchase, sale or other agreement to which the Issuer or any of its Restricted Subsidiaries is a party entered into in the ordinary course of business, consistent with past practice or consistent with industry norm;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(i) prohibits the encumbrance of solely the property or assets of the Issuer or such Restricted Subsidiary that are subject to such agreements, the payment rights arising thereunder or the proceeds thereof and does not extend to any other asset or property of the Issuer or such Restricted Subsidiary or the assets or property of another Restricted Subsidiary or (ii) would not, in the good faith of the Issuer, at the time such Indebtedness is incurred, materially impair the Issuer’s ability to make payments under the Notes when due;</w:t>
      </w:r>
    </w:p>
    <w:p>
      <w:pPr>
        <w:spacing w:after="0" w:line="164" w:lineRule="exact"/>
        <w:rPr>
          <w:rFonts w:ascii="Arial" w:cs="Arial" w:eastAsia="Arial" w:hAnsi="Arial"/>
          <w:sz w:val="16"/>
          <w:szCs w:val="16"/>
          <w:color w:val="auto"/>
        </w:rPr>
      </w:pPr>
    </w:p>
    <w:p>
      <w:pPr>
        <w:jc w:val="both"/>
        <w:ind w:firstLine="1304"/>
        <w:spacing w:after="0" w:line="275" w:lineRule="auto"/>
        <w:tabs>
          <w:tab w:leader="none" w:pos="193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was not entered into in anticipation of an Unrestricted Subsidiary becoming or being redesignated as a Restricted Subsidiary and any such encumbrance or restriction does not extend to any assets or property of the Issuer or any Restricted Subsidiary other than the assets and property of such Subsidiary and its Subsidiaries; and/or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both"/>
        <w:ind w:firstLine="1304"/>
        <w:spacing w:after="0" w:line="257" w:lineRule="auto"/>
        <w:tabs>
          <w:tab w:leader="none" w:pos="193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imposed by any amendment, modification, restatement, renewal, increase, supplement, refunding, replacement or refinancing of any contract, instrument or obligation referred to in clauses (a) through (p)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restatement, renewal, increase, supplement, refunding, replacement or refinancing is, in the good faith judgment of the Issuer, more restrictive with respect to such restrictions, taken as a whole, than those in existence prior to such amendment, modification, restatement, renewal, increase, supplement, refunding, replacement or refinancing.</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4.08</w:t>
      </w:r>
      <w:r>
        <w:rPr>
          <w:rFonts w:ascii="Arial" w:cs="Arial" w:eastAsia="Arial" w:hAnsi="Arial"/>
          <w:sz w:val="18"/>
          <w:szCs w:val="18"/>
          <w:color w:val="auto"/>
        </w:rPr>
        <w:t>,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Issuer or a Restricted Subsidiary to other Indebtedness incurred by the Issuer or such Restricted Subsidiary shall not be deemed a restriction on the ability to make loans or advances.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LIMITATION ON INCURRENCE OF INDEBTEDNESS AND ISSUANCE OF DISQUALIFIED STOCK AND PREFERRED STOCK</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Issuer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7"/>
          <w:szCs w:val="17"/>
          <w:u w:val="single" w:color="auto"/>
          <w:color w:val="auto"/>
        </w:rPr>
        <w:t>incur</w:t>
      </w:r>
      <w:r>
        <w:rPr>
          <w:rFonts w:ascii="Arial" w:cs="Arial" w:eastAsia="Arial" w:hAnsi="Arial"/>
          <w:sz w:val="17"/>
          <w:szCs w:val="17"/>
          <w:color w:val="auto"/>
        </w:rPr>
        <w:t>” and collectively, an “</w:t>
      </w:r>
      <w:r>
        <w:rPr>
          <w:rFonts w:ascii="Arial" w:cs="Arial" w:eastAsia="Arial" w:hAnsi="Arial"/>
          <w:sz w:val="17"/>
          <w:szCs w:val="17"/>
          <w:u w:val="single" w:color="auto"/>
          <w:color w:val="auto"/>
        </w:rPr>
        <w:t>incurrence</w:t>
      </w:r>
      <w:r>
        <w:rPr>
          <w:rFonts w:ascii="Arial" w:cs="Arial" w:eastAsia="Arial" w:hAnsi="Arial"/>
          <w:sz w:val="17"/>
          <w:szCs w:val="17"/>
          <w:color w:val="auto"/>
        </w:rPr>
        <w:t xml:space="preserve">”) with respect to any Indebtedness (including Acquired Indebtedness) and the Issuer shall not issue any shares of Disqualified Stock and shall not permit any Restricted Subsidiary to issue any shares of Disqualified Stock or any Restricted Subsidiary that is not a Guarantor to issue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may incur Indebtedness (including Acquired Indebtedness) and issue shares of Disqualified Stock, and any of its Restricted Subsidiaries may incur Indebtedness (including Acquired Indebtedness), and issue shares of Disqualified Stock or Preferred Stock, if the Fixed Charge Coverage Ratio of the Issuer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the Test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provisions of the first paragraph of this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shall not apply to:</w:t>
      </w:r>
    </w:p>
    <w:p>
      <w:pPr>
        <w:spacing w:after="0" w:line="225" w:lineRule="exact"/>
        <w:rPr>
          <w:sz w:val="20"/>
          <w:szCs w:val="20"/>
          <w:color w:val="auto"/>
        </w:rPr>
      </w:pPr>
    </w:p>
    <w:p>
      <w:pPr>
        <w:jc w:val="both"/>
        <w:ind w:firstLine="1304"/>
        <w:spacing w:after="0" w:line="296" w:lineRule="auto"/>
        <w:tabs>
          <w:tab w:leader="none" w:pos="197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the incurrence of Indebtedness under Credit Facilities by the Issuer or any of its Restricted Subsidiaries and the issuance and creation of letters of credit and bankers’ acceptances thereunder (with letters of credit and bankers’ acceptances being deemed to have a principal amount equal to the face amount thereof), up to an aggregate outstanding principal amount (when aggregated with the aggregate principal amount of Refinancing Indebtedness incurred pursuant to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respect of such Indebtedness then outstanding) not to exceed, except as contemplated by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the greater of (i) $175.0 million and (ii) 50.0% of Annualized EBITDA;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ind w:firstLine="1304"/>
        <w:spacing w:after="0" w:line="277" w:lineRule="auto"/>
        <w:tabs>
          <w:tab w:leader="none" w:pos="19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incurrence by the Issuer and any Guarantor of Indebtedness represented by the Notes (including any Note Guarantee thereof, but excluding any Additional Notes and any Note Guarantees thereof) issued on the Issue Date;</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95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Indebtedness, Disqualified Stock and Preferred Stock of the Issuer issued or owing to any Restricted Subsidiary and/or of any Restricted Subsidiary issued or owing to the Issuer and/or any 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Disqualified Stock and Preferred Stock of the Issuer or a Guarantor owing to any Restricted Subsidiary that is not a Guarantor is expressly subordinated in right of payment to the Notes (but only to the extent any such Indebtedness, Disqualified Stock or Preferred Stock is outstanding at any time after the date that is 30 days after the Issue Date and thereafter only to the extent permitted by applicable law and not giving rise to material adverse tax consequences);</w:t>
      </w:r>
    </w:p>
    <w:p>
      <w:pPr>
        <w:spacing w:after="0" w:line="161" w:lineRule="exact"/>
        <w:rPr>
          <w:rFonts w:ascii="Arial" w:cs="Arial" w:eastAsia="Arial" w:hAnsi="Arial"/>
          <w:sz w:val="16"/>
          <w:szCs w:val="16"/>
          <w:color w:val="auto"/>
        </w:rPr>
      </w:pPr>
    </w:p>
    <w:p>
      <w:pPr>
        <w:ind w:left="1960" w:hanging="656"/>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in respect of Permitted Receivables Financings;</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9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Disqualified Stock and Preferred Stock (i) arising from any agreement providing for indemnification, adjustment of purchase price, earn-out or similar obligations (including contingent earn-out obligations), in each case, incurred, issued or assumed in connection with any disposition, any acquisition or Investment permitted under this Indenture or consummated prior to the Issue Date or any other purchase of assets or Equity Interests, and (ii) arising from guaranties, letters of credit, bank guaranties, surety bonds, performance bonds, completion bonds or similar instruments securing the performance of the Issuer or any such Restricted Subsidiary pursuant to any such agreement described in the foregoing subclause (i);</w:t>
      </w:r>
    </w:p>
    <w:p>
      <w:pPr>
        <w:spacing w:after="0" w:line="192" w:lineRule="exact"/>
        <w:rPr>
          <w:rFonts w:ascii="Arial" w:cs="Arial" w:eastAsia="Arial" w:hAnsi="Arial"/>
          <w:sz w:val="18"/>
          <w:szCs w:val="18"/>
          <w:color w:val="auto"/>
        </w:rPr>
      </w:pPr>
    </w:p>
    <w:p>
      <w:pPr>
        <w:jc w:val="both"/>
        <w:ind w:firstLine="1304"/>
        <w:spacing w:after="0" w:line="275" w:lineRule="auto"/>
        <w:tabs>
          <w:tab w:leader="none" w:pos="205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Indebtedness, Disqualified Stock and Preferred Stock of the Issuer and/or any Restricted Subsidiary (i) pursuant to tenders, statutory obligations, bids, leases, governmental contracts, trade contracts, surety, completion, stay, customs, appeal, performance and/or return of money bonds or other similar obligations incurred in the ordinary course of business, consistent with past practice or consistent with industry norm (including relating to any litigation not constituting an Event of Default under </w:t>
      </w:r>
      <w:r>
        <w:rPr>
          <w:rFonts w:ascii="Arial" w:cs="Arial" w:eastAsia="Arial" w:hAnsi="Arial"/>
          <w:sz w:val="17"/>
          <w:szCs w:val="17"/>
          <w:u w:val="single" w:color="auto"/>
          <w:color w:val="auto"/>
        </w:rPr>
        <w:t>Section 6.01(a)(5)</w:t>
      </w:r>
      <w:r>
        <w:rPr>
          <w:rFonts w:ascii="Arial" w:cs="Arial" w:eastAsia="Arial" w:hAnsi="Arial"/>
          <w:sz w:val="17"/>
          <w:szCs w:val="17"/>
          <w:color w:val="auto"/>
        </w:rPr>
        <w:t>) and (ii) in respect of letters of credit, bank guaranties, surety bonds, performance bonds, completion bonds or similar instruments to support any of the foregoing items;</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99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in respect of Banking Services (including Indebtedness owed on a short term basis to banks and other financial institutions incurred in the ordinary course of business, consistent with past practice or consistent with industry norm that arises in connection with ordinary banking arrangements to manage cash balances of the Issuer and its Restricted Subsidiaries) and incentive, supplier finance or similar programs;</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208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 guaranties by the Issuer and/or any Restricted Subsidiary of the obligations of suppliers, customers and licensees in the ordinary course of business, consistent with past practice or consistent with industry norm, (ii) Indebtedness incurred in the ordinary course of business, consistent with past practice or consistent with industry norm in respect of obligations of the Issuer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 consistent with past practice or consistent with industry norm;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jc w:val="both"/>
        <w:ind w:firstLine="1304"/>
        <w:spacing w:after="0" w:line="263" w:lineRule="auto"/>
        <w:tabs>
          <w:tab w:leader="none" w:pos="19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guarantees of Indebtedness by the Issuer and/or any Restricted Subsidiary of Indebtedness or other obligations of the Issuer or any Restricted Subsidiary with respect to Indebtedness otherwise permitted to be incurred pursuant to the terms of this Indenture or other obligations not prohibited by this Indenture;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8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existing, or pursuant to commitments existing (1) on the Issue Date, including the Existing Notes and Existing Notes Guarantees or (2) under the Revolving Credit Facility (in each case, other than Indebtedness described in clause (a) or (b) above);</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9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Restricted Subsidiaries that are not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(k) (when aggregated with the aggregate principal amount of Refinancing Indebtedness incurred pursuant to clause (q)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in respect of such Indebtedness then outstanding) shall not, except as contemplated by clause (q)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exceed an amount equal to the greater of $100.0 million and 25.0% of Annualized EBITDA;</w:t>
      </w:r>
    </w:p>
    <w:p>
      <w:pPr>
        <w:spacing w:after="0" w:line="192" w:lineRule="exact"/>
        <w:rPr>
          <w:rFonts w:ascii="Arial" w:cs="Arial" w:eastAsia="Arial" w:hAnsi="Arial"/>
          <w:sz w:val="18"/>
          <w:szCs w:val="18"/>
          <w:color w:val="auto"/>
        </w:rPr>
      </w:pPr>
    </w:p>
    <w:p>
      <w:pPr>
        <w:ind w:firstLine="1304"/>
        <w:spacing w:after="0" w:line="277" w:lineRule="auto"/>
        <w:tabs>
          <w:tab w:leader="none" w:pos="199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consisting of obligations owing under incentive, supply, license or similar agreements entered into in the ordinary course of business, consistent with past practice or consistent with industry norm;</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8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consisting of (i) the financing of insurance premiums, (ii) take-or-pay obligations contained in supply arrangements, in each case, in the ordinary course of business, consistent with past practice or consistent with industry norm, and/or (iii) obligations to reacquire assets or inventory in connection with customer financing arrangements in the ordinary course of business, consistent with past practice or consistent with industry norm;</w:t>
      </w:r>
    </w:p>
    <w:p>
      <w:pPr>
        <w:spacing w:after="0" w:line="186" w:lineRule="exact"/>
        <w:rPr>
          <w:rFonts w:ascii="Arial" w:cs="Arial" w:eastAsia="Arial" w:hAnsi="Arial"/>
          <w:sz w:val="18"/>
          <w:szCs w:val="18"/>
          <w:color w:val="auto"/>
        </w:rPr>
      </w:pPr>
    </w:p>
    <w:p>
      <w:pPr>
        <w:jc w:val="both"/>
        <w:ind w:firstLine="1304"/>
        <w:spacing w:after="0" w:line="293" w:lineRule="auto"/>
        <w:tabs>
          <w:tab w:leader="none" w:pos="197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Indebtedness (including with respect to Financing Leases and purchase money Indebtedness), Disqualified Stock and Preferred Stock of the Issuer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incurrence or issuance is prior to, at the time of or within two years after the completion of such acquisition, construction, lease, expansion, development, installation, repair, replacement, relocation, renewal, maintenance, upgrade or improvement;</w:t>
      </w:r>
    </w:p>
    <w:p>
      <w:pPr>
        <w:spacing w:after="0" w:line="164" w:lineRule="exact"/>
        <w:rPr>
          <w:rFonts w:ascii="Arial" w:cs="Arial" w:eastAsia="Arial" w:hAnsi="Arial"/>
          <w:sz w:val="16"/>
          <w:szCs w:val="16"/>
          <w:color w:val="auto"/>
        </w:rPr>
      </w:pPr>
    </w:p>
    <w:p>
      <w:pPr>
        <w:jc w:val="both"/>
        <w:ind w:firstLine="1304"/>
        <w:spacing w:after="0" w:line="272" w:lineRule="auto"/>
        <w:tabs>
          <w:tab w:leader="none" w:pos="188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(x) of the Issuer or a Restricted Subsidiary incurred or issued to finance an acquisition or Investment or (y) of Persons that are acquired by the Issuer or a Restricted Subsidiary or merged into, amalgamated with or consolidated with the Issuer or a Restricted Subsidiary in accordance with the terms of this Indenture (including designating an Unrestricted Subsidiary as a Restricted Subsidiary) or that are assumed in connection with an acquisition of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pro forma effect to such Investment, acquisition, merger, amalgamation or consolidation, either: (i) the Issuer would be permitted to incur at least $1.00 of additional Indebtedness pursuant to the Fixed Charge Coverage Ratio test set forth in the first paragraph of this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or (ii) the Fixed Charge Coverage Ratio of the Issuer is equal to or greater than immediately prior to such Investment, acquisition, merger, amalgamation or consolidation;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jc w:val="both"/>
        <w:ind w:firstLine="1304"/>
        <w:spacing w:after="0" w:line="311" w:lineRule="auto"/>
        <w:tabs>
          <w:tab w:leader="none" w:pos="190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Indebtedness issued by the Issuer or any Restricted Subsidiary to any shareholder of the Issuer or any future, current or former director, officer, employee, member of management, manager, member, partner, independent contractor or consultant (or any Immediate Family Member of the foregoing) of the Issuer or any Subsidiary to finance the purchase or redemption of Equity Interests of the Issuer permitted under </w:t>
      </w:r>
      <w:r>
        <w:rPr>
          <w:rFonts w:ascii="Arial" w:cs="Arial" w:eastAsia="Arial" w:hAnsi="Arial"/>
          <w:sz w:val="16"/>
          <w:szCs w:val="16"/>
          <w:u w:val="single" w:color="auto"/>
          <w:color w:val="auto"/>
        </w:rPr>
        <w:t>Section 4.07</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1304"/>
        <w:spacing w:after="0" w:line="287" w:lineRule="auto"/>
        <w:tabs>
          <w:tab w:leader="none" w:pos="201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incurrence or issuance by the Issuer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w:t>
      </w:r>
      <w:r>
        <w:rPr>
          <w:rFonts w:ascii="Arial" w:cs="Arial" w:eastAsia="Arial" w:hAnsi="Arial"/>
          <w:sz w:val="16"/>
          <w:szCs w:val="16"/>
          <w:u w:val="single" w:color="auto"/>
          <w:color w:val="auto"/>
        </w:rPr>
        <w:t>refinance</w:t>
      </w:r>
      <w:r>
        <w:rPr>
          <w:rFonts w:ascii="Arial" w:cs="Arial" w:eastAsia="Arial" w:hAnsi="Arial"/>
          <w:sz w:val="16"/>
          <w:szCs w:val="16"/>
          <w:color w:val="auto"/>
        </w:rPr>
        <w:t>” with “</w:t>
      </w:r>
      <w:r>
        <w:rPr>
          <w:rFonts w:ascii="Arial" w:cs="Arial" w:eastAsia="Arial" w:hAnsi="Arial"/>
          <w:sz w:val="16"/>
          <w:szCs w:val="16"/>
          <w:u w:val="single" w:color="auto"/>
          <w:color w:val="auto"/>
        </w:rPr>
        <w:t>refinances</w:t>
      </w:r>
      <w:r>
        <w:rPr>
          <w:rFonts w:ascii="Arial" w:cs="Arial" w:eastAsia="Arial" w:hAnsi="Arial"/>
          <w:sz w:val="16"/>
          <w:szCs w:val="16"/>
          <w:color w:val="auto"/>
        </w:rPr>
        <w:t>”, “</w:t>
      </w:r>
      <w:r>
        <w:rPr>
          <w:rFonts w:ascii="Arial" w:cs="Arial" w:eastAsia="Arial" w:hAnsi="Arial"/>
          <w:sz w:val="16"/>
          <w:szCs w:val="16"/>
          <w:u w:val="single" w:color="auto"/>
          <w:color w:val="auto"/>
        </w:rPr>
        <w:t>refinanced</w:t>
      </w:r>
      <w:r>
        <w:rPr>
          <w:rFonts w:ascii="Arial" w:cs="Arial" w:eastAsia="Arial" w:hAnsi="Arial"/>
          <w:sz w:val="16"/>
          <w:szCs w:val="16"/>
          <w:color w:val="auto"/>
        </w:rPr>
        <w:t>” and “</w:t>
      </w:r>
      <w:r>
        <w:rPr>
          <w:rFonts w:ascii="Arial" w:cs="Arial" w:eastAsia="Arial" w:hAnsi="Arial"/>
          <w:sz w:val="16"/>
          <w:szCs w:val="16"/>
          <w:u w:val="single" w:color="auto"/>
          <w:color w:val="auto"/>
        </w:rPr>
        <w:t>refinancing</w:t>
      </w:r>
      <w:r>
        <w:rPr>
          <w:rFonts w:ascii="Arial" w:cs="Arial" w:eastAsia="Arial" w:hAnsi="Arial"/>
          <w:sz w:val="16"/>
          <w:szCs w:val="16"/>
          <w:color w:val="auto"/>
        </w:rPr>
        <w:t xml:space="preserve">” having a correlative meaning) any Indebtedness (or unutilized commitment in respect of Indebtedness), Disqualified Stock or Preferred Stock incurred or issued as permitted under the first paragraph of this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or any of clauses (a), (b), (j), (k), (n), (o), (q), (r), (u), (w), (x), (y), (jj), (oo) and (pp)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any case, including any refinancing Indebtedness incurred in respect thereof, “</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xml:space="preserve">” and such Indebtedness, Disqualified Stock or Preferred Stock being refinanced, the “Refinanced Indebtedness”) and any subsequent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1" w:lineRule="exact"/>
        <w:rPr>
          <w:rFonts w:ascii="Arial" w:cs="Arial" w:eastAsia="Arial" w:hAnsi="Arial"/>
          <w:sz w:val="16"/>
          <w:szCs w:val="16"/>
          <w:color w:val="auto"/>
        </w:rPr>
      </w:pPr>
    </w:p>
    <w:p>
      <w:pPr>
        <w:jc w:val="both"/>
        <w:ind w:left="660" w:firstLine="1292"/>
        <w:spacing w:after="0" w:line="269" w:lineRule="auto"/>
        <w:tabs>
          <w:tab w:leader="none" w:pos="261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additional Indebtedness, Disqualified Stock or Preferred Stock referenced in this clause (C) satisfies the other applicable requirements of this clause (q)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w:t>
      </w:r>
      <w:r>
        <w:rPr>
          <w:rFonts w:ascii="Arial" w:cs="Arial" w:eastAsia="Arial" w:hAnsi="Arial"/>
          <w:sz w:val="17"/>
          <w:szCs w:val="17"/>
          <w:u w:val="single" w:color="auto"/>
          <w:color w:val="auto"/>
        </w:rPr>
        <w:t>Section 4.12</w:t>
      </w:r>
      <w:r>
        <w:rPr>
          <w:rFonts w:ascii="Arial" w:cs="Arial" w:eastAsia="Arial" w:hAnsi="Arial"/>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jc w:val="both"/>
        <w:ind w:left="-460" w:firstLine="1292"/>
        <w:spacing w:after="0" w:line="272" w:lineRule="auto"/>
        <w:tabs>
          <w:tab w:leader="none" w:pos="157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solely in the case of Refinancing Indebtedness with respect to Indebtedness, Disqualified Stock or Preferred Stock incurred or issued under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of the Notes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spacing w:after="0" w:line="177" w:lineRule="exact"/>
        <w:rPr>
          <w:rFonts w:ascii="Arial" w:cs="Arial" w:eastAsia="Arial" w:hAnsi="Arial"/>
          <w:sz w:val="17"/>
          <w:szCs w:val="17"/>
          <w:color w:val="auto"/>
        </w:rPr>
      </w:pPr>
    </w:p>
    <w:p>
      <w:pPr>
        <w:ind w:left="1460" w:hanging="628"/>
        <w:spacing w:after="0"/>
        <w:tabs>
          <w:tab w:leader="none" w:pos="1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Refinancing Indebtedness shall not include:</w:t>
      </w:r>
    </w:p>
    <w:p>
      <w:pPr>
        <w:spacing w:after="0" w:line="225" w:lineRule="exact"/>
        <w:rPr>
          <w:rFonts w:ascii="Arial" w:cs="Arial" w:eastAsia="Arial" w:hAnsi="Arial"/>
          <w:sz w:val="18"/>
          <w:szCs w:val="18"/>
          <w:color w:val="auto"/>
        </w:rPr>
      </w:pPr>
    </w:p>
    <w:p>
      <w:pPr>
        <w:ind w:left="180" w:firstLine="1948"/>
        <w:spacing w:after="0" w:line="277" w:lineRule="auto"/>
        <w:tabs>
          <w:tab w:leader="none" w:pos="302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Issuer that is not a Guarantor that refinances Indebtedness or Disqualified Stock of the Issuer;</w:t>
      </w:r>
    </w:p>
    <w:p>
      <w:pPr>
        <w:spacing w:after="0" w:line="170" w:lineRule="exact"/>
        <w:rPr>
          <w:rFonts w:ascii="Arial" w:cs="Arial" w:eastAsia="Arial" w:hAnsi="Arial"/>
          <w:sz w:val="18"/>
          <w:szCs w:val="18"/>
          <w:color w:val="auto"/>
        </w:rPr>
      </w:pPr>
    </w:p>
    <w:p>
      <w:pPr>
        <w:ind w:left="180" w:firstLine="1948"/>
        <w:spacing w:after="0" w:line="277" w:lineRule="auto"/>
        <w:tabs>
          <w:tab w:leader="none" w:pos="301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Issuer that is not a Guarantor that refinances Indebtedness, Disqualified Stock or Preferred Stock of a Guarantor; or</w:t>
      </w:r>
    </w:p>
    <w:p>
      <w:pPr>
        <w:spacing w:after="0" w:line="170" w:lineRule="exact"/>
        <w:rPr>
          <w:rFonts w:ascii="Arial" w:cs="Arial" w:eastAsia="Arial" w:hAnsi="Arial"/>
          <w:sz w:val="18"/>
          <w:szCs w:val="18"/>
          <w:color w:val="auto"/>
        </w:rPr>
      </w:pPr>
    </w:p>
    <w:p>
      <w:pPr>
        <w:ind w:left="180" w:firstLine="1948"/>
        <w:spacing w:after="0" w:line="342" w:lineRule="auto"/>
        <w:tabs>
          <w:tab w:leader="none" w:pos="291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Indebtedness or Disqualified Stock of the Issuer or Indebtedness, Disqualified Stock or Preferred Stock of a Restricted Subsidiary that refinances Indebtedness, Disqualified Stock or Preferred Stock of an Unrestricted Subsidiary; and</w:t>
      </w:r>
    </w:p>
    <w:p>
      <w:pPr>
        <w:spacing w:after="0" w:line="123" w:lineRule="exact"/>
        <w:rPr>
          <w:rFonts w:ascii="Arial" w:cs="Arial" w:eastAsia="Arial" w:hAnsi="Arial"/>
          <w:sz w:val="16"/>
          <w:szCs w:val="16"/>
          <w:color w:val="auto"/>
        </w:rPr>
      </w:pPr>
    </w:p>
    <w:p>
      <w:pPr>
        <w:jc w:val="both"/>
        <w:ind w:left="-460" w:firstLine="1292"/>
        <w:spacing w:after="0" w:line="254" w:lineRule="auto"/>
        <w:tabs>
          <w:tab w:leader="none" w:pos="151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 the case of Refinancing Indebtedness incurred in respect of Indebtedness incurred under clause (a)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or that is secured by Liens on the Collateral that are equal in priority (without regard to control of remedies) with the Secured Notes Obligations, such Refinancing Indebtedness ranks equal or junior in right of payment with the Secured Notes Obligations and is secured by Liens on the Collateral on an equal or junior priority basis with respect to the Secured Notes Obligations or is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Refinancing Indebtedness that is (1) secured by Liens on the Collateral ranking on an equal priority basis (but without regard to control of remedies) with the Secured Notes Obligations shall be subject to an Equal Priority Intercreditor Agreement or (2) secured by Liens on the Collateral ranking junior in priority to the Liens on the Collateral securing the Secured Notes Obligations shall be subject to a Junior Priority Intercreditor Agreement;</w:t>
      </w:r>
    </w:p>
    <w:p>
      <w:pPr>
        <w:spacing w:after="0" w:line="36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31" w:name="page132"/>
    <w:bookmarkEnd w:id="131"/>
    <w:p>
      <w:pPr>
        <w:jc w:val="both"/>
        <w:ind w:firstLine="1304"/>
        <w:spacing w:after="0" w:line="270" w:lineRule="auto"/>
        <w:tabs>
          <w:tab w:leader="none" w:pos="192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of the Issuer and/or any Guarantors;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or issuance thereof and after giving pro forma effect thereto and the use of proceeds thereof, the aggregate principal amount of such Indebtedness, Disqualified Stock or Preferred Stock then outstanding pursuant to this clause (r) (when aggregated with the aggregate principal amount of Refinancing Indebtedness incurred pursuant to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in respect of such Indebtedness then outstanding) shall not, except as contemplated by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exceed an amount equal to 100.0% of the net proceeds received by the Issuer since September 2, 2020 from the issue or sale of Equity Interests of the Issuer or cash contributed to the capital of the Issuer (other than proceeds of Disqualified Stock or sales of Equity Interests to the Issuer or any of its Subsidiaries) to the extent such net proceeds have not otherwise been applied to make Restricted Payments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or to make Permitted Investments (other than Permitted Investments specified in any of clauses (a), (b) and (e) of the definition thereof);</w:t>
      </w:r>
    </w:p>
    <w:p>
      <w:pPr>
        <w:spacing w:after="0" w:line="180" w:lineRule="exact"/>
        <w:rPr>
          <w:rFonts w:ascii="Arial" w:cs="Arial" w:eastAsia="Arial" w:hAnsi="Arial"/>
          <w:sz w:val="17"/>
          <w:szCs w:val="17"/>
          <w:color w:val="auto"/>
        </w:rPr>
      </w:pPr>
    </w:p>
    <w:p>
      <w:pPr>
        <w:ind w:firstLine="1304"/>
        <w:spacing w:after="0" w:line="277" w:lineRule="auto"/>
        <w:tabs>
          <w:tab w:leader="none" w:pos="194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under any Derivative Transaction that was, at the time entered into, not for speculative purposes;</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188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Indebtedness of the Issuer and/or any Restricted Subsidiary representing (i) deferred compensation to current or former directors, officers, employees, members of management, managers, members, partners, independent contractors and consultants of the Issuer and/or any Restricted Subsidiary in the ordinary course of business, consistent with past practice or consistent with industry norm of the Issuer and/or its Subsidiaries and (ii) deferred compensation or other similar arrangements in connection with any Investment or any acquisition permitted under this Indenture;</w:t>
      </w:r>
    </w:p>
    <w:p>
      <w:pPr>
        <w:spacing w:after="0" w:line="157" w:lineRule="exact"/>
        <w:rPr>
          <w:rFonts w:ascii="Arial" w:cs="Arial" w:eastAsia="Arial" w:hAnsi="Arial"/>
          <w:sz w:val="16"/>
          <w:szCs w:val="16"/>
          <w:color w:val="auto"/>
        </w:rPr>
      </w:pPr>
    </w:p>
    <w:p>
      <w:pPr>
        <w:jc w:val="both"/>
        <w:ind w:firstLine="1304"/>
        <w:spacing w:after="0" w:line="255" w:lineRule="auto"/>
        <w:tabs>
          <w:tab w:leader="none" w:pos="188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the Issuer and/or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(u) (when aggregated with the aggregate principal amount of Refinancing Indebtedness incurred pursuant to clause (q)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in respect of such Indebtedness then outstanding) shall not, except as contemplated by clause (q)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exceed an amount equal to the greater of $215.0 million and 60.0% of Annualized EBITDA of the Issuer and its Restricted Subsidiaries;</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189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incurrence of Indebtedness constituting Junior Priority Obligations up to an aggregate outstanding principal amount (when aggregated with the aggregate principal amount of Refinancing Indebtedness incurred pursuant to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in respect of such Indebtedness then outstanding) not to exceed, except as contemplated by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an amount such that, after giving pro forma effect to the incurrence of such amount and the application of the proceeds therefrom, the Consolidated Secured Debt Ratio of the Issuer would be no greater than 4.00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amount that may be incurred under this clause (w), all Indebtedness incurred under this clause (w) shall be deemed to be Consolidated Secured Debt;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jc w:val="both"/>
        <w:ind w:firstLine="1304"/>
        <w:spacing w:after="0" w:line="291" w:lineRule="auto"/>
        <w:tabs>
          <w:tab w:leader="none" w:pos="190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incurrence of Indebtedness that is secured by Liens on assets that do not constitute Collateral (assuming, for purposes of this clause (x) and future ratio calculations for so long as such Indebtedness remains outstanding, that such assets constitute Collateral), up to an aggregate outstanding principal amount (when aggregated with the aggregate principal amount of Refinancing Indebtedness incurred pursuant to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respect of such Indebtedness then outstanding) not to exceed, except as contemplated by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 amount such that, after giving pro forma effect to the incurrence of such amount and the application of the proceeds therefrom, the Consolidated Secured Debt Ratio of the Issuer would be no greater than 4.00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the amount that may be incurred under this clause (x), all Indebtedness incurred under this clause (x) shall be deemed to be Consolidated Secured Debt;</w:t>
      </w:r>
    </w:p>
    <w:p>
      <w:pPr>
        <w:spacing w:after="0" w:line="166" w:lineRule="exact"/>
        <w:rPr>
          <w:rFonts w:ascii="Arial" w:cs="Arial" w:eastAsia="Arial" w:hAnsi="Arial"/>
          <w:sz w:val="16"/>
          <w:szCs w:val="16"/>
          <w:color w:val="auto"/>
        </w:rPr>
      </w:pPr>
    </w:p>
    <w:p>
      <w:pPr>
        <w:ind w:firstLine="1304"/>
        <w:spacing w:after="0" w:line="277" w:lineRule="auto"/>
        <w:tabs>
          <w:tab w:leader="none" w:pos="19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Indebtedness (including in the form of Financing Leases) of the Issuer and/or any Restricted Subsidiary incurred in connection with Sale and Lease-Back Transactions;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both"/>
        <w:ind w:firstLine="1304"/>
        <w:spacing w:after="0" w:line="257" w:lineRule="auto"/>
        <w:tabs>
          <w:tab w:leader="none" w:pos="195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Indebtedness (including obligations in respect of letters of credit, bank guaranties, surety bonds, performance bonds, completion bonds or similar instruments with respect to such Indebtedness) incurred by the Issuer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spacing w:after="0" w:line="187" w:lineRule="exact"/>
        <w:rPr>
          <w:rFonts w:ascii="Arial" w:cs="Arial" w:eastAsia="Arial" w:hAnsi="Arial"/>
          <w:sz w:val="18"/>
          <w:szCs w:val="18"/>
          <w:color w:val="auto"/>
        </w:rPr>
      </w:pPr>
    </w:p>
    <w:p>
      <w:pPr>
        <w:ind w:left="1960" w:hanging="656"/>
        <w:spacing w:after="0"/>
        <w:tabs>
          <w:tab w:leader="none" w:pos="1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304"/>
        <w:spacing w:after="0" w:line="277" w:lineRule="auto"/>
        <w:tabs>
          <w:tab w:leader="none" w:pos="20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Indebtedness of the Issuer or any Restricted Subsidiary supported by any letter of credit, bank guaranty or similar instrument issued in compliance with this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in a principal amount not exceeding the face amount of such instrument;</w:t>
      </w:r>
    </w:p>
    <w:p>
      <w:pPr>
        <w:spacing w:after="0" w:line="170" w:lineRule="exact"/>
        <w:rPr>
          <w:rFonts w:ascii="Arial" w:cs="Arial" w:eastAsia="Arial" w:hAnsi="Arial"/>
          <w:sz w:val="18"/>
          <w:szCs w:val="18"/>
          <w:color w:val="auto"/>
        </w:rPr>
      </w:pPr>
    </w:p>
    <w:p>
      <w:pPr>
        <w:ind w:right="20" w:firstLine="1304"/>
        <w:spacing w:after="0" w:line="277" w:lineRule="auto"/>
        <w:tabs>
          <w:tab w:leader="none" w:pos="192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incurred by the Issuer and/or any Restricted Subsidiary in the ordinary course of business, consistent with past practice or consistent with industry norm;</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4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customer deposits and advance payments (including progress premiums) received in the ordinary course of business, consistent with past practice or consistent with industry norm from customers or (ii) obligations to pay, in each case, for goods and services purchased or sold in the ordinary course of business, consistent with past practice or consistent with industry norm;</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Issuer and/or any Restricted Subsidiary otherwise permitted under this Indenture;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ind w:left="1960" w:hanging="656"/>
        <w:spacing w:after="0"/>
        <w:tabs>
          <w:tab w:leader="none" w:pos="1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96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Indebtedness, Disqualified Stock or Preferred Stock incurred or issued by the Issuer or any Restricted Subsidiary for the benefit of joint ventures;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(jj) (when aggregated with the aggregate principal amount of Refinancing Indebtedness incurred pursuant to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respect of such Indebtedness then outstanding) shall not, except as contemplated by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exceed an amount equal to the greater of $50.0 million and 15.0% of Annualized EBITDA of the Issuer and its Restricted Subsidiaries;</w:t>
      </w:r>
    </w:p>
    <w:p>
      <w:pPr>
        <w:spacing w:after="0" w:line="164" w:lineRule="exact"/>
        <w:rPr>
          <w:rFonts w:ascii="Arial" w:cs="Arial" w:eastAsia="Arial" w:hAnsi="Arial"/>
          <w:sz w:val="16"/>
          <w:szCs w:val="16"/>
          <w:color w:val="auto"/>
        </w:rPr>
      </w:pPr>
    </w:p>
    <w:p>
      <w:pPr>
        <w:ind w:left="1960" w:hanging="656"/>
        <w:spacing w:after="0"/>
        <w:tabs>
          <w:tab w:leader="none" w:pos="1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7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incurred or issued by the Issuer or any Restricted Subsidiary to the extent that the net proceeds thereof are promptly deposited with the Trustee in connection with a Legal Defeasance, Covenant Defeasance or satisfaction and discharge of this Indenture;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9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Indebtedness of the Issuer or any Restricted Subsidiary incurred through the provision of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Issuer or any Restricted Subsidiary, not to exceed the amount required by such governmental or regulatory authority;</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0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incurrence by the Issuer or any Restricted Subsidiary of Indebtedness in relation to: (i) regular maintenance required to maintain the classification of any of the ships owned or chartered on bareboat terms by the Issuer or any Restricted Subsidiary, (ii) scheduled dry-docking of any of the ships owned by the Issuer or any Restricted Subsidiary for normal maintenance purposes and (iii) any expenditures that will or reasonably may be expected to be recoverable from insurance on such ships; and</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9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incurrence by the Issuer or any Restricted Subsidiary of Indebtedness to finance the replacement of a marine vessel upon the total loss, destruction, condemnation, confiscation, requisition, seizure or forfeiture of, or other taking of title to or use of, such marine vessel (collectively, a “Total Loss”)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Issuer or any Restricted Subsidiary from any Person in connection with such Total Loss in excess of amounts actually used to repay Indebtedness secured by the marine vessel subject to such Total Loss.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both"/>
        <w:ind w:firstLine="648"/>
        <w:spacing w:after="0" w:line="255" w:lineRule="auto"/>
        <w:rPr>
          <w:sz w:val="20"/>
          <w:szCs w:val="20"/>
          <w:color w:val="auto"/>
        </w:rPr>
      </w:pPr>
      <w:r>
        <w:rPr>
          <w:rFonts w:ascii="Arial" w:cs="Arial" w:eastAsia="Arial" w:hAnsi="Arial"/>
          <w:sz w:val="18"/>
          <w:szCs w:val="18"/>
          <w:color w:val="auto"/>
        </w:rPr>
        <w:t xml:space="preserve">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the principal amount of Indebtedness or the liquidation preference of Disqualified Stock or Preferred Stock outstanding under any clause of this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shall be determined after giving effect to the application of proceeds of any such Indebtedness, Disqualified Stock or Preferred Stock to refinance any such other Indebtedness, Disqualified Stock or Preferred Stock.</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Indenture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ASSET SALES.</w:t>
      </w:r>
    </w:p>
    <w:p>
      <w:pPr>
        <w:spacing w:after="0" w:line="225" w:lineRule="exact"/>
        <w:rPr>
          <w:sz w:val="20"/>
          <w:szCs w:val="20"/>
          <w:color w:val="auto"/>
        </w:rPr>
      </w:pPr>
    </w:p>
    <w:p>
      <w:pPr>
        <w:ind w:left="1920" w:hanging="616"/>
        <w:spacing w:after="0"/>
        <w:tabs>
          <w:tab w:leader="none" w:pos="19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Issuer shall not, and shall not permit any of its Restricted Subsidiaries to, consummate, directly or indirectly, an Asset Sale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211" w:lineRule="exact"/>
        <w:rPr>
          <w:sz w:val="20"/>
          <w:szCs w:val="20"/>
          <w:color w:val="auto"/>
        </w:rPr>
      </w:pPr>
    </w:p>
    <w:p>
      <w:pPr>
        <w:jc w:val="both"/>
        <w:ind w:firstLine="1952"/>
        <w:spacing w:after="0" w:line="311" w:lineRule="auto"/>
        <w:tabs>
          <w:tab w:leader="none" w:pos="258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Issuer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and</w:t>
      </w:r>
    </w:p>
    <w:p>
      <w:pPr>
        <w:spacing w:after="0" w:line="148" w:lineRule="exact"/>
        <w:rPr>
          <w:rFonts w:ascii="Arial" w:cs="Arial" w:eastAsia="Arial" w:hAnsi="Arial"/>
          <w:sz w:val="16"/>
          <w:szCs w:val="16"/>
          <w:color w:val="auto"/>
        </w:rPr>
      </w:pPr>
    </w:p>
    <w:p>
      <w:pPr>
        <w:jc w:val="both"/>
        <w:ind w:firstLine="1952"/>
        <w:spacing w:after="0" w:line="311" w:lineRule="auto"/>
        <w:tabs>
          <w:tab w:leader="none" w:pos="2548"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except in the case of a Permitted Asset Swap, at least 75.0% of the consideration (measured at the time of contractually agreeing to such Asset Sale) for such Asset Sale, together with all other Asset Sales completed or contractually agreed upon since September 2, 2020 (on a cumulative basis), received (or to be received) by the Issuer or such Restricted Subsidiary, as the case may be, is in the form of cash or Cash Equivalents.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95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Within 12 months after the later of (A) the date of any Asset Sale and (B) receipt of any Net Proceeds from any Asset Sale (the “</w:t>
      </w:r>
      <w:r>
        <w:rPr>
          <w:rFonts w:ascii="Arial" w:cs="Arial" w:eastAsia="Arial" w:hAnsi="Arial"/>
          <w:sz w:val="18"/>
          <w:szCs w:val="18"/>
          <w:u w:val="single" w:color="auto"/>
          <w:color w:val="auto"/>
        </w:rPr>
        <w:t>Asset Sale Proceeds Application Period</w:t>
      </w:r>
      <w:r>
        <w:rPr>
          <w:rFonts w:ascii="Arial" w:cs="Arial" w:eastAsia="Arial" w:hAnsi="Arial"/>
          <w:sz w:val="18"/>
          <w:szCs w:val="18"/>
          <w:color w:val="auto"/>
        </w:rPr>
        <w:t>”), the Issuer or such Restricted Subsidiary, at its option, may apply an amount equal to the Net Proceeds from such Asset Sale (the “</w:t>
      </w:r>
      <w:r>
        <w:rPr>
          <w:rFonts w:ascii="Arial" w:cs="Arial" w:eastAsia="Arial" w:hAnsi="Arial"/>
          <w:sz w:val="18"/>
          <w:szCs w:val="18"/>
          <w:u w:val="single" w:color="auto"/>
          <w:color w:val="auto"/>
        </w:rPr>
        <w:t>Applicable Proceeds</w:t>
      </w:r>
      <w:r>
        <w:rPr>
          <w:rFonts w:ascii="Arial" w:cs="Arial" w:eastAsia="Arial" w:hAnsi="Arial"/>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jc w:val="both"/>
        <w:ind w:firstLine="1952"/>
        <w:spacing w:after="0" w:line="259" w:lineRule="auto"/>
        <w:tabs>
          <w:tab w:leader="none" w:pos="25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the assets or property disposed of in the Asset Sale constituted Collateral, to repay (i) Obligations under the Notes or (ii) any Additional Equal Priority Obligations, and in each case,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w:t>
      </w:r>
    </w:p>
    <w:p>
      <w:pPr>
        <w:spacing w:after="0" w:line="186" w:lineRule="exact"/>
        <w:rPr>
          <w:rFonts w:ascii="Arial" w:cs="Arial" w:eastAsia="Arial" w:hAnsi="Arial"/>
          <w:sz w:val="18"/>
          <w:szCs w:val="18"/>
          <w:color w:val="auto"/>
        </w:rPr>
      </w:pPr>
    </w:p>
    <w:p>
      <w:pPr>
        <w:ind w:left="2620" w:hanging="668"/>
        <w:spacing w:after="0"/>
        <w:tabs>
          <w:tab w:leader="none" w:pos="2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the assets or property disposed of in the Asset Sale did not constitute Collateral:</w:t>
      </w:r>
    </w:p>
    <w:p>
      <w:pPr>
        <w:spacing w:after="0" w:line="225" w:lineRule="exact"/>
        <w:rPr>
          <w:sz w:val="20"/>
          <w:szCs w:val="20"/>
          <w:color w:val="auto"/>
        </w:rPr>
      </w:pPr>
    </w:p>
    <w:p>
      <w:pPr>
        <w:jc w:val="both"/>
        <w:ind w:left="660" w:firstLine="1292"/>
        <w:spacing w:after="0" w:line="269" w:lineRule="auto"/>
        <w:tabs>
          <w:tab w:leader="none" w:pos="262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to repay (y) Obligations under the Notes or (z) any Additional Equal Priority Obligations, and in each case,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Issuer or any Restricted Subsidiary shall repay any Additional Equal Priority Obligations pursuant to clause (z) above, the Issuer or such Restricted Subsidiary will either (A) reduce the aggregate principal amount of Obligations under the Notes on a ratable basis with any such Obligations under the Additional Equal Priority Obligations repaid pursuant to this clause (2)(i) by, at its option, (1) redeeming Notes as provided under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and/or (2) purchasing Notes through open-market purchases or in privately negotiated transactions (which may be below par) and/or (B) make an offer (in accordance with the provisions set forth below for an Asset Sale Offer) to all Holders to purchase their Notes on a ratable basis with any Obligations under the Additional Equal Priority Obligations repaid pursuant to this clause (2)(i) for no less than 100.0% of the principal amount thereof, plus the amount of accrued and unpaid interest, if any, thereon (which offer shall be deemed to be an Asset Sale Offer for purposes hereof); or</w:t>
      </w:r>
    </w:p>
    <w:p>
      <w:pPr>
        <w:spacing w:after="0" w:line="181" w:lineRule="exact"/>
        <w:rPr>
          <w:rFonts w:ascii="Arial" w:cs="Arial" w:eastAsia="Arial" w:hAnsi="Arial"/>
          <w:sz w:val="17"/>
          <w:szCs w:val="17"/>
          <w:color w:val="auto"/>
        </w:rPr>
      </w:pPr>
    </w:p>
    <w:p>
      <w:pPr>
        <w:jc w:val="both"/>
        <w:ind w:left="660" w:firstLine="1292"/>
        <w:spacing w:after="0" w:line="289" w:lineRule="auto"/>
        <w:tabs>
          <w:tab w:leader="none" w:pos="272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to repay Obligations under any Senior Indebtedness (other than any Senior Indebtedness referred to in clause (2)(i) above), and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 or such Restricted Subsidiary will either (A) reduce the aggregate principal amount of Obligations under the Notes on a ratable basis with any such Senior Indebtedness repaid pursuant to this clause (2)(ii) by, at its option, (1) redeeming Notes as provided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and/or (2) purchasing Notes through open-market purchases or in privately negotiated transactions (which may be below par) and/or (B) make an offer (in accordance with the provisions set forth below for an Asset Sale Offer) to all Holders to purchase their Notes on a ratable basis with any Senior Indebtedness repaid pursuant to this clause (2)(ii) for no less than 100.0% of the principal amount thereof, plus the amount of accrued and unpaid interest, if any, thereon (which offer shall be deemed to be an Asset Sale Offer for purposes hereof);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jc w:val="both"/>
        <w:ind w:firstLine="1952"/>
        <w:spacing w:after="0" w:line="275" w:lineRule="auto"/>
        <w:tabs>
          <w:tab w:leader="none" w:pos="253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invest in the business of the Issuer and its Subsidiaries, including (i) any investment in Additional Assets, (ii) making capital expenditures in respect of assets used or useful in a Similar Business, (iii) any investment in any property or other assets that replace the businesses, properties and/or assets that are the subject of such Asset Sale and (iv) in the case of proceeds of sales of assets or property of a Qualified Liquefaction Development Entity, depositing such proceeds in a construction fund, escrow or similar account to be used solely for the purpose of capital expenditures of such entity or the acquisition, construction or improvement of assets of such entity;</w:t>
      </w:r>
    </w:p>
    <w:p>
      <w:pPr>
        <w:spacing w:after="0" w:line="176" w:lineRule="exact"/>
        <w:rPr>
          <w:rFonts w:ascii="Arial" w:cs="Arial" w:eastAsia="Arial" w:hAnsi="Arial"/>
          <w:sz w:val="17"/>
          <w:szCs w:val="17"/>
          <w:color w:val="auto"/>
        </w:rPr>
      </w:pPr>
    </w:p>
    <w:p>
      <w:pPr>
        <w:jc w:val="both"/>
        <w:ind w:firstLine="1952"/>
        <w:spacing w:after="0" w:line="279" w:lineRule="auto"/>
        <w:tabs>
          <w:tab w:leader="none" w:pos="25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the extent the assets or property disposed of in the Asset Sale did not constitute Collateral, to repay Indebtedness of a Restricted Subsidiary that is not a Guarantor, other than Indebtedness owed to the Issuer or a Guarantor, and,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 or</w:t>
      </w:r>
    </w:p>
    <w:p>
      <w:pPr>
        <w:spacing w:after="0" w:line="171" w:lineRule="exact"/>
        <w:rPr>
          <w:rFonts w:ascii="Arial" w:cs="Arial" w:eastAsia="Arial" w:hAnsi="Arial"/>
          <w:sz w:val="17"/>
          <w:szCs w:val="17"/>
          <w:color w:val="auto"/>
        </w:rPr>
      </w:pPr>
    </w:p>
    <w:p>
      <w:pPr>
        <w:ind w:left="2620" w:hanging="668"/>
        <w:spacing w:after="0"/>
        <w:tabs>
          <w:tab w:leader="none" w:pos="2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(3) above, a binding commitment or letter of intent shall be treated as a permitted application of the Applicable Proceeds from the date of such commitment or letter of intent so long as the Issuer or such Restricted Subsidiary enters into such commitment or letter of intent with the good faith expectation that such Applicable Proceeds will be applied to satisfy such commitment or letter of intent within 180 days of the expiration of the Asset Sale Proceeds Application Period (an “</w:t>
      </w:r>
      <w:r>
        <w:rPr>
          <w:rFonts w:ascii="Arial" w:cs="Arial" w:eastAsia="Arial" w:hAnsi="Arial"/>
          <w:sz w:val="16"/>
          <w:szCs w:val="16"/>
          <w:u w:val="single" w:color="auto"/>
          <w:color w:val="auto"/>
        </w:rPr>
        <w:t>Acceptable Commitment</w:t>
      </w:r>
      <w:r>
        <w:rPr>
          <w:rFonts w:ascii="Arial" w:cs="Arial" w:eastAsia="Arial" w:hAnsi="Arial"/>
          <w:sz w:val="16"/>
          <w:szCs w:val="16"/>
          <w:color w:val="auto"/>
        </w:rPr>
        <w:t>”) and such Applicable Proceeds are actually applied in such manner within 180 days of the expiration of the Asset Sale Proceeds Application Period (the period from the consummation of the Asset Sale to such date, the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Application Period</w:t>
      </w:r>
      <w:r>
        <w:rPr>
          <w:rFonts w:ascii="Arial" w:cs="Arial" w:eastAsia="Arial" w:hAnsi="Arial"/>
          <w:sz w:val="16"/>
          <w:szCs w:val="16"/>
          <w:color w:val="auto"/>
        </w:rPr>
        <w:t xml:space="preserve">”), and, in the event any Acceptable Commitment is later cancelled or terminated for any reason after the expiration of the Asset Sale Proceeds Application Period and before the Applicable Proceeds are applied in connection therewith, then such Applicable Proceeds shall constitute Excess Proceeds unless the Issuer or such Restricted Subsidiary reasonably expects to enter into another Acceptable Commitment prior to the expiration of the Asset Sale Proceeds Application Period and such Applicable Proceeds are actually applied in such manner prior to the expiration of the Commitment Application Period. To the extent Applicable Proceeds from an Asset Sale exceed amounts that are invested or applied as provided and within the time period set forth in this </w:t>
      </w:r>
      <w:r>
        <w:rPr>
          <w:rFonts w:ascii="Arial" w:cs="Arial" w:eastAsia="Arial" w:hAnsi="Arial"/>
          <w:sz w:val="16"/>
          <w:szCs w:val="16"/>
          <w:u w:val="single" w:color="auto"/>
          <w:color w:val="auto"/>
        </w:rPr>
        <w:t>Section 4.10(b)</w:t>
      </w:r>
      <w:r>
        <w:rPr>
          <w:rFonts w:ascii="Arial" w:cs="Arial" w:eastAsia="Arial" w:hAnsi="Arial"/>
          <w:sz w:val="16"/>
          <w:szCs w:val="16"/>
          <w:color w:val="auto"/>
        </w:rPr>
        <w:t>, such excess amount will be deemed to constitute “</w:t>
      </w:r>
      <w:r>
        <w:rPr>
          <w:rFonts w:ascii="Arial" w:cs="Arial" w:eastAsia="Arial" w:hAnsi="Arial"/>
          <w:sz w:val="16"/>
          <w:szCs w:val="16"/>
          <w:u w:val="single" w:color="auto"/>
          <w:color w:val="auto"/>
        </w:rPr>
        <w:t>Excess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of Applicable Proceeds offered to Holders of any Notes pursuant to clause (2) above shall not be deemed to be Excess Proceeds without regard to whether such offer is accepted by any Holders. If at any time the aggregate amount of Excess Proceeds exceeds $50.0 million, then the Issuer shall within 20 Business Days make an offer to all Holders and, if required or not prohibited by the terms of any other Equal Priority Obligations and/or, to the extent that the assets or property disposed of in the Asset Sale were not Collateral, Indebtedness that is equal in right of payment with the Notes (“</w:t>
      </w:r>
      <w:r>
        <w:rPr>
          <w:rFonts w:ascii="Arial" w:cs="Arial" w:eastAsia="Arial" w:hAnsi="Arial"/>
          <w:sz w:val="16"/>
          <w:szCs w:val="16"/>
          <w:u w:val="single" w:color="auto"/>
          <w:color w:val="auto"/>
        </w:rPr>
        <w:t>Pari Passu Indebtedness</w:t>
      </w:r>
      <w:r>
        <w:rPr>
          <w:rFonts w:ascii="Arial" w:cs="Arial" w:eastAsia="Arial" w:hAnsi="Arial"/>
          <w:sz w:val="16"/>
          <w:szCs w:val="16"/>
          <w:color w:val="auto"/>
        </w:rPr>
        <w:t>”), to the holders of such Equal Priority Obligations and/or Pari Passu Indebtedness, as applicable (an “</w:t>
      </w:r>
      <w:r>
        <w:rPr>
          <w:rFonts w:ascii="Arial" w:cs="Arial" w:eastAsia="Arial" w:hAnsi="Arial"/>
          <w:sz w:val="16"/>
          <w:szCs w:val="16"/>
          <w:u w:val="single" w:color="auto"/>
          <w:color w:val="auto"/>
        </w:rPr>
        <w:t>Asset Sale Offer</w:t>
      </w:r>
      <w:r>
        <w:rPr>
          <w:rFonts w:ascii="Arial" w:cs="Arial" w:eastAsia="Arial" w:hAnsi="Arial"/>
          <w:sz w:val="16"/>
          <w:szCs w:val="16"/>
          <w:color w:val="auto"/>
        </w:rPr>
        <w:t xml:space="preserve">”), to purchase the maximum aggregate principal amount (or accreted value, as applicable) of the Notes and such Equal Priority Obligations and/or Pari Passu Indebtedness, as applicable, out of the amount of the Excess Proceeds (which, (x) in the case of the Notes only, is equal to $1,000 or an integral multiple thereof and at an offer price in cash in an amount equal to 100.0% of the principal amount thereof, plus accrued and unpaid interest, if any, to, but excluding, the date fixed for the repurchase of such Notes pursuant to such offer, in accordance with the procedures set forth in this Indenture and (y) in the case of such Equal Priority Obligations and/or Pari Passu Indebtedness, if applicable, is in accordance with the documents governing such Equal Priority Obligations and/or Pari Passu Indebtedness, as applicable). The Issuer shall commence an Asset Sale Offer by sending the notice required pursuant to the terms of </w:t>
      </w:r>
      <w:r>
        <w:rPr>
          <w:rFonts w:ascii="Arial" w:cs="Arial" w:eastAsia="Arial" w:hAnsi="Arial"/>
          <w:sz w:val="16"/>
          <w:szCs w:val="16"/>
          <w:u w:val="single" w:color="auto"/>
          <w:color w:val="auto"/>
        </w:rPr>
        <w:t>Section 3.09</w:t>
      </w:r>
      <w:r>
        <w:rPr>
          <w:rFonts w:ascii="Arial" w:cs="Arial" w:eastAsia="Arial" w:hAnsi="Arial"/>
          <w:sz w:val="16"/>
          <w:szCs w:val="16"/>
          <w:color w:val="auto"/>
        </w:rPr>
        <w:t>. The Issuer may satisfy the foregoing obligation with respect to such Applicable Proceeds from an Asset Sale by making an Asset Sale Offer in advance of being required to do so by this Indenture (an “</w:t>
      </w:r>
      <w:r>
        <w:rPr>
          <w:rFonts w:ascii="Arial" w:cs="Arial" w:eastAsia="Arial" w:hAnsi="Arial"/>
          <w:sz w:val="16"/>
          <w:szCs w:val="16"/>
          <w:u w:val="single" w:color="auto"/>
          <w:color w:val="auto"/>
        </w:rPr>
        <w:t>Advance Offer</w:t>
      </w:r>
      <w:r>
        <w:rPr>
          <w:rFonts w:ascii="Arial" w:cs="Arial" w:eastAsia="Arial" w:hAnsi="Arial"/>
          <w:sz w:val="16"/>
          <w:szCs w:val="16"/>
          <w:color w:val="auto"/>
        </w:rPr>
        <w:t>”) with respect to all or part of the available Applicable Proceeds (the “</w:t>
      </w:r>
      <w:r>
        <w:rPr>
          <w:rFonts w:ascii="Arial" w:cs="Arial" w:eastAsia="Arial" w:hAnsi="Arial"/>
          <w:sz w:val="16"/>
          <w:szCs w:val="16"/>
          <w:u w:val="single" w:color="auto"/>
          <w:color w:val="auto"/>
        </w:rPr>
        <w:t>Advance Portion</w:t>
      </w:r>
      <w:r>
        <w:rPr>
          <w:rFonts w:ascii="Arial" w:cs="Arial" w:eastAsia="Arial" w:hAnsi="Arial"/>
          <w:sz w:val="16"/>
          <w:szCs w:val="16"/>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jc w:val="both"/>
        <w:ind w:firstLine="1304"/>
        <w:spacing w:after="0" w:line="269" w:lineRule="auto"/>
        <w:tabs>
          <w:tab w:leader="none" w:pos="192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aggregate principal amount (or accreted value, as applicable) of Notes and, if applicable, Equal Priority Obligations and/or Pari Passu Indebtedness, tendered pursuant to an Asset Sale Offer is less than the Excess Proceeds (or, in the case of an Advance Offer, the Advance Portion), the Issuer may use any remaining Excess Proceeds (or, in the case of an Advance Offer, the Advance Portion) in any manner not prohibited by this Indenture. If the aggregate principal amount (or accreted value, as applicable) of Notes or the Equal Priority Obligations and/or Pari Passu Indebtedness tendered pursuant to an Asset Sale Offer exceeds the amount of Excess Proceeds (or, in the case of an Advance Offer, the Advance Portion), the Notes shall be selected pro rata (subject to applicable DTC procedures as to global notes) and the Issuer or the representative of such Equal Priority Obligations and/or Pari Passu Indebtedness shall select such Equal Priority Obligations and/or Pari Passu Indebtedness to be purchased or repaid on a pro rata basis based on the accreted value or principal amount of the Notes and such Equal Priority Obligations and/or Pari Passu Indebtedness tendered, with adjustments as necessary so that no Notes or Equal Priority Obligations and/or Pari Passu Indebtedness, as the case may be, will be repurchased in an unauthorized denomination. Upon completion of any such Asset Sale Offer, the amount of Excess Proceeds shall be reset at zero (regardless of whether there are any remaining Excess Proceeds upon such completion), and in the case of an Advance Offer, the Advance Portion shall be excluded in subsequent calculations of Excess Proceeds.</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19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Pending the final application of an amount equal to the Applicable Proceeds pursuant to this </w:t>
      </w:r>
      <w:r>
        <w:rPr>
          <w:rFonts w:ascii="Arial" w:cs="Arial" w:eastAsia="Arial" w:hAnsi="Arial"/>
          <w:sz w:val="18"/>
          <w:szCs w:val="18"/>
          <w:u w:val="single" w:color="auto"/>
          <w:color w:val="auto"/>
        </w:rPr>
        <w:t>Section 4.10</w:t>
      </w:r>
      <w:r>
        <w:rPr>
          <w:rFonts w:ascii="Arial" w:cs="Arial" w:eastAsia="Arial" w:hAnsi="Arial"/>
          <w:sz w:val="18"/>
          <w:szCs w:val="18"/>
          <w:color w:val="auto"/>
        </w:rPr>
        <w:t>, the holder of such Applicable Proceeds may apply any Applicable Proceeds temporarily to reduce Indebtedness outstanding under a revolving credit facility or otherwise invest such Applicable Proceeds in any manner not prohibited by this Indenture. For the avoidance of doubt, the Holder of any Retained Asset Sale Proceeds may apply any Retained Asset Sale Proceeds in any manner not prohibited by this Indenture and such Retained Asset Sale Proceeds shall in no event and under no circumstances constitute Excess Proceeds.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jc w:val="both"/>
        <w:ind w:firstLine="1304"/>
        <w:spacing w:after="0" w:line="285" w:lineRule="auto"/>
        <w:tabs>
          <w:tab w:leader="none" w:pos="190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Indenture to the contrary, for so long as the repatriation, distribution or dividend to the Issuer of any Net Proceeds of an Asset Sale by any Foreign Subsidiary would (i) be prohibited, delayed or restricted under any Requirements of Law or conflict with the fiduciary duties of the directors of the applicable Foreign Subsidiary or result in, or could reasonably be expected to result in, a material risk of personal or criminal liability for any officer, director, employee, manager, member of management, member, partner, independent contractor or consultant of such Foreign Subsidiary (the Issuer hereby agreeing to cause the applicable Foreign Subsidiary to promptly take all commercially reasonable actions available under applicable Requirements of Law to permit such repatriation or to remove such prohibition), (ii) be prohibited, delayed or restricted under the organizational documents governing the applicable Subsidiary or (iii) as determined in good faith by the Issuer, result in a material adverse tax liability (including any taxable dividend, deemed dividend pursuant to Section 956 of the Code or withholding tax obligation) to the Issuer or its Subsidiaries, an amount equal to the portion of such Net Proceeds so affected will not be required to be applied in compliance with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shall not constitute Excess Proceeds and may be retained by the Issuer or the applicable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within 18 months following the date on which application of the portion of such Net Proceeds would otherwise have been required pursuant to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such repatriation, distribution or dividend of such Net Proceeds is permitted under the applicable Requirements of Law, would no longer conflict with the fiduciary duties of such director, or result in, or be reasonably expected to result in, a material risk of personal or criminal liability for the Persons described above, would no longer be prohibited, delayed or restricted under the applicable organizational documents and/or in the good faith determination of the Issuer would no longer have a material adverse tax liability, then such portion of the Net Proceeds shall be promptly applied (net of additional taxes that would be payable or reserved against as a result of repatriating such amounts) in compliance with this </w:t>
      </w:r>
      <w:r>
        <w:rPr>
          <w:rFonts w:ascii="Arial" w:cs="Arial" w:eastAsia="Arial" w:hAnsi="Arial"/>
          <w:sz w:val="16"/>
          <w:szCs w:val="16"/>
          <w:u w:val="single" w:color="auto"/>
          <w:color w:val="auto"/>
        </w:rPr>
        <w:t>Section 4.10</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960" w:hanging="656"/>
        <w:spacing w:after="0"/>
        <w:tabs>
          <w:tab w:leader="none" w:pos="19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clause (a)(2)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no other provision), the following shall be deemed to be cash or Cash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Equivalents:</w:t>
      </w:r>
    </w:p>
    <w:p>
      <w:pPr>
        <w:spacing w:after="0" w:line="210" w:lineRule="exact"/>
        <w:rPr>
          <w:rFonts w:ascii="Arial" w:cs="Arial" w:eastAsia="Arial" w:hAnsi="Arial"/>
          <w:sz w:val="16"/>
          <w:szCs w:val="16"/>
          <w:color w:val="auto"/>
        </w:rPr>
      </w:pPr>
    </w:p>
    <w:p>
      <w:pPr>
        <w:jc w:val="both"/>
        <w:ind w:firstLine="1952"/>
        <w:spacing w:after="0" w:line="272" w:lineRule="auto"/>
        <w:tabs>
          <w:tab w:leader="none" w:pos="2559"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greater of the principal amount and the carrying value of any liabilities (as reflected on the most recent balance sheet of the Issuer or such Restricted Subsidiary or in the footnotes thereto, or if incurred, accrued or increased subsequent to the date of such balance sheet, such liabilities that would have been reflected on the balance sheet of the Issuer or such Restricted Subsidiary or in the footnotes thereto if such incurrence, accrual or increase had taken place on or prior to the date of such balance sheet, as determined in good faith by the Issuer) of the Issuer or such Restricted Subsidiary, other than liabilities that are by their terms subordinated in right of payment to the Notes or the Note Guarantees, that are assumed by the transferee of any such assets (or are otherwise extinguished in connection with the transactions relating to such Asset Sale) pursuant to a written agreement which releases or indemnifies the Issuer or such Restricted Subsidiary from such liabilities;</w:t>
      </w:r>
    </w:p>
    <w:p>
      <w:pPr>
        <w:spacing w:after="0" w:line="177" w:lineRule="exact"/>
        <w:rPr>
          <w:rFonts w:ascii="Arial" w:cs="Arial" w:eastAsia="Arial" w:hAnsi="Arial"/>
          <w:sz w:val="17"/>
          <w:szCs w:val="17"/>
          <w:color w:val="auto"/>
        </w:rPr>
      </w:pPr>
    </w:p>
    <w:p>
      <w:pPr>
        <w:ind w:left="2660" w:hanging="708"/>
        <w:spacing w:after="0"/>
        <w:tabs>
          <w:tab w:leader="none" w:pos="26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amount of any trade-in value applied to the purchase price of any replacement assets acquired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Asset Sale;</w:t>
      </w:r>
    </w:p>
    <w:p>
      <w:pPr>
        <w:spacing w:after="0" w:line="210" w:lineRule="exact"/>
        <w:rPr>
          <w:rFonts w:ascii="Arial" w:cs="Arial" w:eastAsia="Arial" w:hAnsi="Arial"/>
          <w:sz w:val="16"/>
          <w:szCs w:val="16"/>
          <w:color w:val="auto"/>
        </w:rPr>
      </w:pPr>
    </w:p>
    <w:p>
      <w:pPr>
        <w:jc w:val="both"/>
        <w:ind w:firstLine="1952"/>
        <w:spacing w:after="0" w:line="259" w:lineRule="auto"/>
        <w:tabs>
          <w:tab w:leader="none" w:pos="275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Issuer or such Restricted Subsidiary from such transferee that are converted or reasonably expected by the Issuer acting in good faith to be converted by the Issuer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59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 received pursuant to this clause (4) that is outstanding at such time, not in excess of the greater of $50.0 million and 15.0% of Annualized EBITDA of the Issuer and its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-4149725</wp:posOffset>
            </wp:positionV>
            <wp:extent cx="28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jc w:val="both"/>
        <w:ind w:firstLine="1304"/>
        <w:spacing w:after="0" w:line="263" w:lineRule="auto"/>
        <w:tabs>
          <w:tab w:leader="none" w:pos="20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that any portion of Applicable Proceeds payable in respect of the Notes is denominated in a currency other than U.S. dollars, the amount thereof payable in respect of the Notes shall not exceed the net amount of funds in dollars that is actually received by the Issuer upon converting such portion into U.S. dollars.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1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Issuer shall comply with the requirements of Rule 14e-1 under the Exchange Act and any other securities laws and regulations thereunder to the extent such laws or regulations are applicable in connection with the repurchase of the Notes pursuant to an Asset Sale Offer or an Advance Offer. To the extent that the provisions of any securities laws or regulations conflict with the asset sale provisions of this Indenture, the Issuer shall comply with the applicable securities laws and regulations and shall not be deemed to have breached its obligations under the asset sale provisions of this Indenture by virtue of such compliance.</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99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The provisions of this Indenture and the Notes relating to the Issuer’s obligation to make an offer to repurchase the Notes as a result of an Asset Sale, including the provisions of Section 3.09,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and the definition of “</w:t>
      </w:r>
      <w:r>
        <w:rPr>
          <w:rFonts w:ascii="Arial" w:cs="Arial" w:eastAsia="Arial" w:hAnsi="Arial"/>
          <w:sz w:val="17"/>
          <w:szCs w:val="17"/>
          <w:u w:val="single" w:color="auto"/>
          <w:color w:val="auto"/>
        </w:rPr>
        <w:t>Asset Sale</w:t>
      </w:r>
      <w:r>
        <w:rPr>
          <w:rFonts w:ascii="Arial" w:cs="Arial" w:eastAsia="Arial" w:hAnsi="Arial"/>
          <w:sz w:val="17"/>
          <w:szCs w:val="17"/>
          <w:color w:val="auto"/>
        </w:rPr>
        <w:t>”, may be waived or modified at any time with the written consent of the Holders of a majority in aggregate principal amount of the Notes then outstanding. An Asset Sale Offer or Advance Offer may be made at the same time as consents are solicited with respect to an amendment, supplement or waiver of this Indenture, the Notes and/or the Note Guarantees so long as the tender of the Notes by a Holder is not conditioned upon the delivery of consents by such Holder.</w:t>
      </w:r>
    </w:p>
    <w:p>
      <w:pPr>
        <w:spacing w:after="0" w:line="17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7"/>
          <w:szCs w:val="17"/>
          <w:u w:val="single" w:color="auto"/>
          <w:color w:val="auto"/>
        </w:rPr>
        <w:t>TRANSACTIONS WITH AFFILIATES.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Issuer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Issuer (each of the foregoing,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involving aggregate payments or consideration in excess of (at the time of the relevant transaction) the greater of $25.0 million and 7.5% of Annualized EBITDA of the Issuer and its Restricted Subsidiaries, unless:</w:t>
      </w:r>
    </w:p>
    <w:p>
      <w:pPr>
        <w:spacing w:after="0" w:line="188" w:lineRule="exact"/>
        <w:rPr>
          <w:sz w:val="20"/>
          <w:szCs w:val="20"/>
          <w:color w:val="auto"/>
        </w:rPr>
      </w:pPr>
    </w:p>
    <w:p>
      <w:pPr>
        <w:jc w:val="both"/>
        <w:ind w:firstLine="1952"/>
        <w:spacing w:after="0" w:line="257" w:lineRule="auto"/>
        <w:tabs>
          <w:tab w:leader="none" w:pos="273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such Affiliate Transaction is on terms, taken as a whole, that are not materially less favorable to the Issuer or the relevant Restricted Subsidiary than those that would have been obtained in a comparable transaction by the Issuer or such Restricted Subsidiary with an unrelated Person on an arm’s-length basis or, if in the good faith judgment of the Issuer, no comparable transaction is available with which to compare such Affiliate Transaction, such Affiliate Transaction is otherwise fair to the Issuer or such Restricted Subsidiary from a financial point of view and when such transaction is taken in its entirety; and</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65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Issuer delivers to the Trustee with respect to any Affiliate Transaction or series of related Affiliate Transactions involving aggregate payments or consideration in excess of the greater of $50.0 million and 15.0% of Annualized EBITDA of the Issuer and its Restricted Subsidiaries, a resolution adopted by the Board of Directors of the Issuer approving such Affiliate Transaction.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 xml:space="preserve">The provisions of the first paragraph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shall not apply to the following:</w:t>
      </w:r>
    </w:p>
    <w:p>
      <w:pPr>
        <w:spacing w:after="0" w:line="225" w:lineRule="exact"/>
        <w:rPr>
          <w:sz w:val="20"/>
          <w:szCs w:val="20"/>
          <w:color w:val="auto"/>
        </w:rPr>
      </w:pPr>
    </w:p>
    <w:p>
      <w:pPr>
        <w:jc w:val="both"/>
        <w:ind w:firstLine="1304"/>
        <w:spacing w:after="0" w:line="263" w:lineRule="auto"/>
        <w:tabs>
          <w:tab w:leader="none" w:pos="196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transaction between or among the Issuer, one or more Restricted Subsidiaries and/or one or more joint ventures with respect to which the Issuer or any of its Restricted Subsidiaries holds Equity Interests (or any entity that becomes a Restricted Subsidiary or a joint venture, as applicable, as a result of such transaction) to the extent not prohibited by this Indenture;</w:t>
      </w:r>
    </w:p>
    <w:p>
      <w:pPr>
        <w:spacing w:after="0" w:line="183" w:lineRule="exact"/>
        <w:rPr>
          <w:rFonts w:ascii="Arial" w:cs="Arial" w:eastAsia="Arial" w:hAnsi="Arial"/>
          <w:sz w:val="18"/>
          <w:szCs w:val="18"/>
          <w:color w:val="auto"/>
        </w:rPr>
      </w:pPr>
    </w:p>
    <w:p>
      <w:pPr>
        <w:ind w:firstLine="1304"/>
        <w:spacing w:after="0" w:line="308" w:lineRule="auto"/>
        <w:tabs>
          <w:tab w:leader="none" w:pos="195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issuance, sale or grant of securities or other payments, awards or grants in cash, securities or otherwise pursuant to, or the funding of, employment arrangements, stock options and stock ownership plans approved by the Board of Directors of the Issuer;</w:t>
      </w:r>
    </w:p>
    <w:p>
      <w:pPr>
        <w:spacing w:after="0" w:line="146" w:lineRule="exact"/>
        <w:rPr>
          <w:rFonts w:ascii="Arial" w:cs="Arial" w:eastAsia="Arial" w:hAnsi="Arial"/>
          <w:sz w:val="17"/>
          <w:szCs w:val="17"/>
          <w:color w:val="auto"/>
        </w:rPr>
      </w:pPr>
    </w:p>
    <w:p>
      <w:pPr>
        <w:jc w:val="both"/>
        <w:ind w:firstLine="1304"/>
        <w:spacing w:after="0" w:line="269" w:lineRule="auto"/>
        <w:tabs>
          <w:tab w:leader="none" w:pos="210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 any collective bargaining, employment or severance agreement or compensatory (including profit sharing) arrangement entered into by the Issuer or any of its Restricted Subsidiaries with their respective current or former officers, directors, members of management, managers, employees, members, partners, consultants or independent contractors, (ii) 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 (iii)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 (iv) any transaction with an Immediate Family Member of a current or former officer, director, member of management, manager, employee, member, partner, consultant or independent contractor of the Issuer or any of its Restricted Subsidiaries, in connection with any agreement, arrangement or transaction described in the foregoing clauses (i) through (iii);</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216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 Restricted Payments not prohibited by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4.07(b)(ix)</w:t>
      </w:r>
      <w:r>
        <w:rPr>
          <w:rFonts w:ascii="Arial" w:cs="Arial" w:eastAsia="Arial" w:hAnsi="Arial"/>
          <w:sz w:val="18"/>
          <w:szCs w:val="18"/>
          <w:color w:val="auto"/>
        </w:rPr>
        <w:t>) and the definition of “</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(other than clause (ll) of such definition) and (ii) issuances of Equity Interests and issuances and incurrences of Indebtedness, Disqualified Stock and Preferred Stock not restricted by this Indenture;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9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transactions in existence on the Issue Date and any amendment, modification or extension thereof to the extent such amendment, modification or extension, taken as a whole, is not (i) materially adverse to the Holders or (ii) more disadvantageous, in any material respect, to the Holders than the relevant transaction in existence on the Issue Date, in each case as determined in the good faith judgment of the Board of Directors or the senior management of the Issuer;</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0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[Reserved];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jc w:val="both"/>
        <w:ind w:firstLine="1304"/>
        <w:spacing w:after="0" w:line="259" w:lineRule="auto"/>
        <w:tabs>
          <w:tab w:leader="none" w:pos="19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compensation to Affiliates in connection with financial advisory, consulting, financing, underwriting or placement services or in respect of other investment banking activities and other transaction fees, including in connection with any acquisitions or divestitures, which payments are approved by the majority of the members of the Board of Directors or a majority of the disinterested members of the Board of Directors of the Issuer in good faith;</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guarantees not prohibited by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or the definition of “Permitted Investments”;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Issuer and/or any of its Restricted Subsidiaries;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2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purchasers or sellers of goods or services or providers of employees or other labor entered into in the ordinary course of business, consistent with past practice or consistent with industry norm, which are (i) fair to the Issuer and/or its applicable Restricted Subsidiary in the good faith determination of the Board of Directors of the Issuer or the senior management thereof or (ii) on terms, taken as a whole, that are not materially less favorable to the Issuer and/or its applicable Restricted Subsidiary as might reasonably have been obtained at such time from a Person other than an Affiliate;</w:t>
      </w:r>
    </w:p>
    <w:p>
      <w:pPr>
        <w:spacing w:after="0" w:line="187" w:lineRule="exact"/>
        <w:rPr>
          <w:rFonts w:ascii="Arial" w:cs="Arial" w:eastAsia="Arial" w:hAnsi="Arial"/>
          <w:sz w:val="18"/>
          <w:szCs w:val="18"/>
          <w:color w:val="auto"/>
        </w:rPr>
      </w:pPr>
    </w:p>
    <w:p>
      <w:pPr>
        <w:jc w:val="both"/>
        <w:ind w:firstLine="1304"/>
        <w:spacing w:after="0" w:line="289" w:lineRule="auto"/>
        <w:tabs>
          <w:tab w:leader="none" w:pos="198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(i) the existence of, or the performance by the Issuer or any of its Restricted Subsidiaries of its obligations under the terms of, any equityholders agreement, investor rights agreement or the equivalent (including any registration rights agreement or purchase agreement related thereto) to which it is a party as of the Issue Date and any similar agreements which it may enter into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existence of, or the performance by the Issuer or any of its Restricted Subsidiaries of obligations under any future amendment to any such existing agreement or under any similar agreement entered into after the Issue Date shall only be permitted by this clause (m) to the extent that the terms of any such amendment or new agreement are not otherwise materially disadvantageous in the good faith judgment of the Board of Directors or the senior management of the Issuer to the Issuer when taken as a whole as compared to the applicable agreement as in effect on the Issue Date and (ii) the payment of reasonable out-of-pocket costs and expenses relating to registration rights and indemnities provided to equityholders of the Issuer pursuant to any equityholders agreement, investor rights agreement or the equivalent (including any registration rights agreement or purchase agreement related thereto);</w:t>
      </w:r>
    </w:p>
    <w:p>
      <w:pPr>
        <w:spacing w:after="0" w:line="166" w:lineRule="exact"/>
        <w:rPr>
          <w:rFonts w:ascii="Arial" w:cs="Arial" w:eastAsia="Arial" w:hAnsi="Arial"/>
          <w:sz w:val="16"/>
          <w:szCs w:val="16"/>
          <w:color w:val="auto"/>
        </w:rPr>
      </w:pPr>
    </w:p>
    <w:p>
      <w:pPr>
        <w:ind w:left="1960" w:hanging="656"/>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301" w:lineRule="auto"/>
        <w:tabs>
          <w:tab w:leader="none" w:pos="198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any transaction in which the Issuer or any of its Restricted Subsidiaries, as the case may be, delivers to the Trustee a letter from an Independent Financial Advisor stating </w:t>
      </w:r>
      <w:r>
        <w:rPr>
          <w:rFonts w:ascii="Arial" w:cs="Arial" w:eastAsia="Arial" w:hAnsi="Arial"/>
          <w:sz w:val="16"/>
          <w:szCs w:val="16"/>
          <w:b w:val="1"/>
          <w:bCs w:val="1"/>
          <w:i w:val="1"/>
          <w:iCs w:val="1"/>
          <w:color w:val="auto"/>
        </w:rPr>
        <w:t>that</w:t>
      </w:r>
      <w:r>
        <w:rPr>
          <w:rFonts w:ascii="Arial" w:cs="Arial" w:eastAsia="Arial" w:hAnsi="Arial"/>
          <w:sz w:val="16"/>
          <w:szCs w:val="16"/>
          <w:color w:val="auto"/>
        </w:rPr>
        <w:t xml:space="preserve"> such transaction is fair to the Issuer or such Restricted Subsidiary from a financial point of view or stating that the terms are not materially less favorable, when taken as a whole, to the Issuer or the relevant Restricted Subsidiary than those that would have been obtained in a comparable transaction by the Issuer or such Restricted Subsidiary with an unrelated Person on an arm’s length basis;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ind w:left="1960" w:hanging="656"/>
        <w:spacing w:after="0"/>
        <w:tabs>
          <w:tab w:leader="none" w:pos="1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transactions in connection with any Permitted Receivables Financing;</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94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 Affiliate purchases of the Notes to the extent permitted under this Indenture, the holding of such Notes and the payments and other related transactions in respect thereof (including any payment of out-of-pocket expenses incurred by such Affiliate in connection therewith), (ii) other investments by Fortress, its Affiliates or Permitted Holders in securities or loans of the Issuer or any of its Restricted Subsidiaries (and any payment of out-of-pocket expenses incurred by such Permitted Holders in connection therewith) so long as the investment is being offered generally to other investors on the same terms or on terms that are more favorable to the Issuer and (iii) payments to Fortress, its Affiliates or Permitted Holders in respect of securities or loans of the Issuer or any of its Restricted Subsidiaries contemplated in the foregoing subclause (ii) or that were acquired from Persons other than the Issuer and its Restricted Subsidiaries, in each case, in accordance with the terms of such securities or loans;</w:t>
      </w:r>
    </w:p>
    <w:p>
      <w:pPr>
        <w:spacing w:after="0" w:line="177" w:lineRule="exact"/>
        <w:rPr>
          <w:rFonts w:ascii="Arial" w:cs="Arial" w:eastAsia="Arial" w:hAnsi="Arial"/>
          <w:sz w:val="17"/>
          <w:szCs w:val="17"/>
          <w:color w:val="auto"/>
        </w:rPr>
      </w:pPr>
    </w:p>
    <w:p>
      <w:pPr>
        <w:ind w:left="1980" w:hanging="676"/>
        <w:spacing w:after="0"/>
        <w:tabs>
          <w:tab w:leader="none" w:pos="19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transactions undertaken pursuant to a shared services agreement or pursuant to a membership in a purchasing consortium;</w:t>
      </w:r>
    </w:p>
    <w:p>
      <w:pPr>
        <w:spacing w:after="0" w:line="248" w:lineRule="exact"/>
        <w:rPr>
          <w:rFonts w:ascii="Arial" w:cs="Arial" w:eastAsia="Arial" w:hAnsi="Arial"/>
          <w:sz w:val="16"/>
          <w:szCs w:val="16"/>
          <w:color w:val="auto"/>
        </w:rPr>
      </w:pPr>
    </w:p>
    <w:p>
      <w:pPr>
        <w:ind w:right="20" w:firstLine="1304"/>
        <w:spacing w:after="0" w:line="277" w:lineRule="auto"/>
        <w:tabs>
          <w:tab w:leader="none" w:pos="194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payment to any Permitted Holder of out of pocket expenses incurred by such Permitted Holder in connection with any direct or indirect Investment in the Issuer and its Subsidiaries;</w:t>
      </w:r>
    </w:p>
    <w:p>
      <w:pPr>
        <w:spacing w:after="0" w:line="170" w:lineRule="exact"/>
        <w:rPr>
          <w:rFonts w:ascii="Arial" w:cs="Arial" w:eastAsia="Arial" w:hAnsi="Arial"/>
          <w:sz w:val="18"/>
          <w:szCs w:val="18"/>
          <w:color w:val="auto"/>
        </w:rPr>
      </w:pPr>
    </w:p>
    <w:p>
      <w:pPr>
        <w:ind w:firstLine="1304"/>
        <w:spacing w:after="0" w:line="308" w:lineRule="auto"/>
        <w:tabs>
          <w:tab w:leader="none" w:pos="197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issuance or transfer of (i) Equity Interests (other than Disqualified Stock) of the Issuer and the granting and performing of customary registration rights and (ii) directors’ qualifying shares and shares issued to foreign nationals as required by applicable law;</w:t>
      </w:r>
    </w:p>
    <w:p>
      <w:pPr>
        <w:spacing w:after="0" w:line="146" w:lineRule="exact"/>
        <w:rPr>
          <w:rFonts w:ascii="Arial" w:cs="Arial" w:eastAsia="Arial" w:hAnsi="Arial"/>
          <w:sz w:val="17"/>
          <w:szCs w:val="17"/>
          <w:color w:val="auto"/>
        </w:rPr>
      </w:pPr>
    </w:p>
    <w:p>
      <w:pPr>
        <w:ind w:right="20" w:firstLine="1304"/>
        <w:spacing w:after="0" w:line="277" w:lineRule="auto"/>
        <w:tabs>
          <w:tab w:leader="none" w:pos="204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that is an Affiliate of the Issuer arising solely because the Issuer or any Restricted Subsidiary owns any Equity Interests in, or controls, such Person;</w:t>
      </w:r>
    </w:p>
    <w:p>
      <w:pPr>
        <w:spacing w:after="0" w:line="170" w:lineRule="exact"/>
        <w:rPr>
          <w:rFonts w:ascii="Arial" w:cs="Arial" w:eastAsia="Arial" w:hAnsi="Arial"/>
          <w:sz w:val="18"/>
          <w:szCs w:val="18"/>
          <w:color w:val="auto"/>
        </w:rPr>
      </w:pPr>
    </w:p>
    <w:p>
      <w:pPr>
        <w:ind w:firstLine="1304"/>
        <w:spacing w:after="0" w:line="277" w:lineRule="auto"/>
        <w:tabs>
          <w:tab w:leader="none" w:pos="203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lease entered into between the Issuer or any Restricted Subsidiary, on the one hand, and any Affiliate of the Issuer, on the other hand, which is approved by the Board of Directors of the Issuer or is entered into in the ordinary course of business;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intellectual property licenses entered into in the ordinary course of business, consistent with past practice or consistent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industry norm;</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21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transactions between the Issuer or any Restricted Subsidiary and any other Person that would constitute an Affiliate solely because a director of such other Person is also a director of the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director abstains from voting as a director of the Issuer on any matter including such other Person;</w:t>
      </w:r>
    </w:p>
    <w:p>
      <w:pPr>
        <w:spacing w:after="0" w:line="183" w:lineRule="exact"/>
        <w:rPr>
          <w:rFonts w:ascii="Arial" w:cs="Arial" w:eastAsia="Arial" w:hAnsi="Arial"/>
          <w:sz w:val="18"/>
          <w:szCs w:val="18"/>
          <w:color w:val="auto"/>
        </w:rPr>
      </w:pPr>
    </w:p>
    <w:p>
      <w:pPr>
        <w:ind w:firstLine="1304"/>
        <w:spacing w:after="0" w:line="308" w:lineRule="auto"/>
        <w:tabs>
          <w:tab w:leader="none" w:pos="194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(i) pledges of Equity Interests of Unrestricted Subsidiaries and (ii) in connection with the incurrence of any Indebtedness not prohibited by </w:t>
      </w:r>
      <w:r>
        <w:rPr>
          <w:rFonts w:ascii="Arial" w:cs="Arial" w:eastAsia="Arial" w:hAnsi="Arial"/>
          <w:sz w:val="17"/>
          <w:szCs w:val="17"/>
          <w:u w:val="single" w:color="auto"/>
          <w:color w:val="auto"/>
        </w:rPr>
        <w:t>Section 4.09</w:t>
      </w:r>
      <w:r>
        <w:rPr>
          <w:rFonts w:ascii="Arial" w:cs="Arial" w:eastAsia="Arial" w:hAnsi="Arial"/>
          <w:sz w:val="17"/>
          <w:szCs w:val="17"/>
          <w:color w:val="auto"/>
        </w:rPr>
        <w:t>, pledges of equity interests of a Qualified Liquefaction Development Entity to secure such Indebtedness;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jc w:val="both"/>
        <w:ind w:right="20" w:firstLine="1304"/>
        <w:spacing w:after="0" w:line="311" w:lineRule="auto"/>
        <w:tabs>
          <w:tab w:leader="none" w:pos="22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any transition services arrangement, supply arrangement or similar arrangement entered into in connection with or in contemplation of the disposition of assets or Equity Interests in any Restricted Subsidiary not in violation of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that the Board of Directors of the Issuer determines is either fair to the Issuer or otherwise on customary terms for such type of arrangements in connection with similar transactions;</w:t>
      </w:r>
    </w:p>
    <w:p>
      <w:pPr>
        <w:spacing w:after="0" w:line="149" w:lineRule="exact"/>
        <w:rPr>
          <w:sz w:val="20"/>
          <w:szCs w:val="20"/>
          <w:color w:val="auto"/>
        </w:rPr>
      </w:pPr>
    </w:p>
    <w:p>
      <w:pPr>
        <w:jc w:val="both"/>
        <w:ind w:firstLine="1304"/>
        <w:spacing w:after="0" w:line="263" w:lineRule="auto"/>
        <w:tabs>
          <w:tab w:leader="none" w:pos="218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transactions entered into by an Unrestricted Subsidiary with an Affiliate prior to the redesignation of such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transaction was not entered into in anticipation of such Unrestricted Subsidiary becoming or being redesignated as a Restricted Subsidiary;</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11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payments by the Issuer and its Subsidiaries pursuant to tax sharing agreements among the Issuer and its Subsidiaries on customary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payments shall not exceed the excess (if any) of the amount of taxes that the Issuer and its Subsidiaries would have paid on a stand-alone basis over the amount of such taxes actually paid by the Issuer and its Subsidiaries directly to governmental authorities;</w:t>
      </w:r>
    </w:p>
    <w:p>
      <w:pPr>
        <w:spacing w:after="0" w:line="165" w:lineRule="exact"/>
        <w:rPr>
          <w:rFonts w:ascii="Arial" w:cs="Arial" w:eastAsia="Arial" w:hAnsi="Arial"/>
          <w:sz w:val="17"/>
          <w:szCs w:val="17"/>
          <w:color w:val="auto"/>
        </w:rPr>
      </w:pPr>
    </w:p>
    <w:p>
      <w:pPr>
        <w:ind w:firstLine="1304"/>
        <w:spacing w:after="0" w:line="308" w:lineRule="auto"/>
        <w:tabs>
          <w:tab w:leader="none" w:pos="191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payments to and from, and transactions with, any joint ventures or Unrestricted Subsidiary entered into in the ordinary course of business, consistent with past practice or consistent with industry norm (including any cash management activities related thereto); and</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9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transactions undertaken in good faith (as certified by a responsible financial or accounting officer of the Issuer in an Officer’s Certificate) for the purposes of improving the consolidated tax efficiency of the Issuer and its Subsidiaries and not for the purpose of circumventing any covenant set forth in this Indenture.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7"/>
          <w:szCs w:val="17"/>
          <w:u w:val="single" w:color="auto"/>
          <w:color w:val="auto"/>
        </w:rPr>
        <w:t>LIMITATION ON LIENS.</w:t>
      </w:r>
    </w:p>
    <w:p>
      <w:pPr>
        <w:spacing w:after="0" w:line="225" w:lineRule="exact"/>
        <w:rPr>
          <w:sz w:val="20"/>
          <w:szCs w:val="20"/>
          <w:color w:val="auto"/>
        </w:rPr>
      </w:pPr>
    </w:p>
    <w:p>
      <w:pPr>
        <w:ind w:firstLine="1304"/>
        <w:spacing w:after="0" w:line="342" w:lineRule="auto"/>
        <w:tabs>
          <w:tab w:leader="none" w:pos="207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Issuer shall not, and shall not permit any Guarantor to, directly or indirectly, create, incur or assume any Lien (except Permitted Liens) (each, a “</w:t>
      </w:r>
      <w:r>
        <w:rPr>
          <w:rFonts w:ascii="Arial" w:cs="Arial" w:eastAsia="Arial" w:hAnsi="Arial"/>
          <w:sz w:val="16"/>
          <w:szCs w:val="16"/>
          <w:u w:val="single" w:color="auto"/>
          <w:color w:val="auto"/>
        </w:rPr>
        <w:t>Subject Lien</w:t>
      </w:r>
      <w:r>
        <w:rPr>
          <w:rFonts w:ascii="Arial" w:cs="Arial" w:eastAsia="Arial" w:hAnsi="Arial"/>
          <w:sz w:val="16"/>
          <w:szCs w:val="16"/>
          <w:color w:val="auto"/>
        </w:rPr>
        <w:t>”) that secures Obligations under any Indebtedness on any asset or property of the Issuer or any Guarantor, unless:</w:t>
      </w:r>
    </w:p>
    <w:p>
      <w:pPr>
        <w:spacing w:after="0" w:line="123" w:lineRule="exact"/>
        <w:rPr>
          <w:rFonts w:ascii="Arial" w:cs="Arial" w:eastAsia="Arial" w:hAnsi="Arial"/>
          <w:sz w:val="16"/>
          <w:szCs w:val="16"/>
          <w:color w:val="auto"/>
        </w:rPr>
      </w:pPr>
    </w:p>
    <w:p>
      <w:pPr>
        <w:ind w:left="2620" w:hanging="668"/>
        <w:spacing w:after="0"/>
        <w:tabs>
          <w:tab w:leader="none" w:pos="2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the case of Subject Liens on any Collateral, such Subject Lien is a Permitted Lien; and</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61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the case of any Subject Lien on any such asset or property that is not Collateral, (i) the Notes (or the related Note Guarantee in the case of Liens on assets or property of a Guarantor) are equally and ratably secured with (or, at the Issuer’s option or if such Subject Lien secures Subordinated Indebtedness, on a senior basis to) the Obligations secured by such Subject Lien until such time as such Obligations are no longer secured by such Subject Lien.</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9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Any Lien created for the benefit of the Holders pursuant to </w:t>
      </w:r>
      <w:r>
        <w:rPr>
          <w:rFonts w:ascii="Arial" w:cs="Arial" w:eastAsia="Arial" w:hAnsi="Arial"/>
          <w:sz w:val="16"/>
          <w:szCs w:val="16"/>
          <w:u w:val="single" w:color="auto"/>
          <w:color w:val="auto"/>
        </w:rPr>
        <w:t>clause (a)(2)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shall provide by its terms that such Lien shall be automatically and unconditionally released and discharged upon the release and discharge of the Subject Lien that gave rise to the obligation to secure the Notes. In addition, in the event that a Subject Lien is or becomes a Permitted Lien, the Issuer may, at its option and without consent from any Holder, elect to release and discharge any Lien created for the benefit of the Holders pursuant to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in respect of such Subject Lien.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jc w:val="both"/>
        <w:ind w:firstLine="1304"/>
        <w:spacing w:after="0" w:line="255" w:lineRule="auto"/>
        <w:tabs>
          <w:tab w:leader="none" w:pos="197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8"/>
          <w:szCs w:val="18"/>
          <w:u w:val="single" w:color="auto"/>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7"/>
          <w:szCs w:val="17"/>
          <w:u w:val="single" w:color="auto"/>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OFFER TO REPURCHASE UPON CHANGE OF CONTROL.</w:t>
      </w:r>
    </w:p>
    <w:p>
      <w:pPr>
        <w:spacing w:after="0" w:line="225" w:lineRule="exact"/>
        <w:rPr>
          <w:sz w:val="20"/>
          <w:szCs w:val="20"/>
          <w:color w:val="auto"/>
        </w:rPr>
      </w:pPr>
    </w:p>
    <w:p>
      <w:pPr>
        <w:jc w:val="both"/>
        <w:ind w:firstLine="1304"/>
        <w:spacing w:after="0" w:line="253" w:lineRule="auto"/>
        <w:tabs>
          <w:tab w:leader="none" w:pos="190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If a Change of Control occurs after the Issue Date, unless, prior to or concurrently with the time the Issuer is required to make a Change of Control Offer, the Issuer or a third-party has mailed or delivered, or otherwise sent through electronic transmission, a redemption notice with respect to all the outstanding Notes as described under </w:t>
      </w:r>
      <w:r>
        <w:rPr>
          <w:rFonts w:ascii="Arial" w:cs="Arial" w:eastAsia="Arial" w:hAnsi="Arial"/>
          <w:sz w:val="18"/>
          <w:szCs w:val="18"/>
          <w:u w:val="single" w:color="auto"/>
          <w:color w:val="auto"/>
        </w:rPr>
        <w:t>Article 3</w:t>
      </w:r>
      <w:r>
        <w:rPr>
          <w:rFonts w:ascii="Arial" w:cs="Arial" w:eastAsia="Arial" w:hAnsi="Arial"/>
          <w:sz w:val="18"/>
          <w:szCs w:val="18"/>
          <w:color w:val="auto"/>
        </w:rPr>
        <w:t>, the Issuer shall make an offer to purchase all of the Notes pursuant to the offer described below (the “</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at a price in cash equal to 101.0% of the aggregate principal amount thereof (or such higher amount as the Issuer may determine (any Change of Control Offer at a higher amount, an “</w:t>
      </w:r>
      <w:r>
        <w:rPr>
          <w:rFonts w:ascii="Arial" w:cs="Arial" w:eastAsia="Arial" w:hAnsi="Arial"/>
          <w:sz w:val="18"/>
          <w:szCs w:val="18"/>
          <w:u w:val="single" w:color="auto"/>
          <w:color w:val="auto"/>
        </w:rPr>
        <w:t>Alternate Offer</w:t>
      </w:r>
      <w:r>
        <w:rPr>
          <w:rFonts w:ascii="Arial" w:cs="Arial" w:eastAsia="Arial" w:hAnsi="Arial"/>
          <w:sz w:val="18"/>
          <w:szCs w:val="18"/>
          <w:color w:val="auto"/>
        </w:rPr>
        <w:t>”)) (such price, the “</w:t>
      </w:r>
      <w:r>
        <w:rPr>
          <w:rFonts w:ascii="Arial" w:cs="Arial" w:eastAsia="Arial" w:hAnsi="Arial"/>
          <w:sz w:val="18"/>
          <w:szCs w:val="18"/>
          <w:u w:val="single" w:color="auto"/>
          <w:color w:val="auto"/>
        </w:rPr>
        <w:t>Change of Control Payment</w:t>
      </w:r>
      <w:r>
        <w:rPr>
          <w:rFonts w:ascii="Arial" w:cs="Arial" w:eastAsia="Arial" w:hAnsi="Arial"/>
          <w:sz w:val="18"/>
          <w:szCs w:val="18"/>
          <w:color w:val="auto"/>
        </w:rPr>
        <w:t>”) plus accrued and unpaid interest, if any, to, but excluding the date of purchase, subject to the right of Holders of record of the Notes on the relevant record date to receive interest due on the relevant interest payment date falling on or prior to the Change of Control Payment Date (as defined below). Within 60 days following any Change of Control, the Issuer shall send notice of such Change of Control Offer by first-class mail, with a copy to the Trustee, to each Holder of Notes to the address of such Holder appearing in the security register or otherwise deliver in accordance with the procedures of DTC, with the following information:</w:t>
      </w:r>
    </w:p>
    <w:p>
      <w:pPr>
        <w:spacing w:after="0" w:line="194" w:lineRule="exact"/>
        <w:rPr>
          <w:rFonts w:ascii="Arial" w:cs="Arial" w:eastAsia="Arial" w:hAnsi="Arial"/>
          <w:sz w:val="18"/>
          <w:szCs w:val="18"/>
          <w:color w:val="auto"/>
        </w:rPr>
      </w:pPr>
    </w:p>
    <w:p>
      <w:pPr>
        <w:ind w:firstLine="1952"/>
        <w:spacing w:after="0" w:line="277" w:lineRule="auto"/>
        <w:tabs>
          <w:tab w:leader="none" w:pos="25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that a Change of Control Offer is being made pursuant to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that all Notes properly tendered pursuant to such Change of Control Offer will be accepted for payment by the Issuer;</w:t>
      </w:r>
    </w:p>
    <w:p>
      <w:pPr>
        <w:spacing w:after="0" w:line="170" w:lineRule="exact"/>
        <w:rPr>
          <w:rFonts w:ascii="Arial" w:cs="Arial" w:eastAsia="Arial" w:hAnsi="Arial"/>
          <w:sz w:val="18"/>
          <w:szCs w:val="18"/>
          <w:color w:val="auto"/>
        </w:rPr>
      </w:pPr>
    </w:p>
    <w:p>
      <w:pPr>
        <w:jc w:val="both"/>
        <w:ind w:firstLine="1952"/>
        <w:spacing w:after="0" w:line="311" w:lineRule="auto"/>
        <w:tabs>
          <w:tab w:leader="none" w:pos="256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purchase price and the purchase date, which will be no earlier than 20 Business Days nor later than 60 days from the date such notice is sent (the “</w:t>
      </w:r>
      <w:r>
        <w:rPr>
          <w:rFonts w:ascii="Arial" w:cs="Arial" w:eastAsia="Arial" w:hAnsi="Arial"/>
          <w:sz w:val="16"/>
          <w:szCs w:val="16"/>
          <w:u w:val="single" w:color="auto"/>
          <w:color w:val="auto"/>
        </w:rPr>
        <w:t>Change of Control Payment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Change of Control Payment Date shall be delayed until such time (including more than 60 days after the date such notice is sent) as any or all such conditions referred to in clause (8) below shall be satisfied or waived;</w:t>
      </w:r>
    </w:p>
    <w:p>
      <w:pPr>
        <w:spacing w:after="0" w:line="148" w:lineRule="exact"/>
        <w:rPr>
          <w:rFonts w:ascii="Arial" w:cs="Arial" w:eastAsia="Arial" w:hAnsi="Arial"/>
          <w:sz w:val="16"/>
          <w:szCs w:val="16"/>
          <w:color w:val="auto"/>
        </w:rPr>
      </w:pPr>
    </w:p>
    <w:p>
      <w:pPr>
        <w:ind w:left="2620" w:hanging="668"/>
        <w:spacing w:after="0"/>
        <w:tabs>
          <w:tab w:leader="none" w:pos="2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56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plus accrued and unpaid interest, if any, on all properly tendered Notes, all Notes accepted for payment pursuant to the Change of Control Offer will cease to accrue interest on the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-996950</wp:posOffset>
            </wp:positionV>
            <wp:extent cx="368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jc w:val="both"/>
        <w:ind w:firstLine="1952"/>
        <w:spacing w:after="0" w:line="259" w:lineRule="auto"/>
        <w:tabs>
          <w:tab w:leader="none" w:pos="26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Control Offer will be required to surrender such Notes,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spacing w:after="0" w:line="186" w:lineRule="exact"/>
        <w:rPr>
          <w:rFonts w:ascii="Arial" w:cs="Arial" w:eastAsia="Arial" w:hAnsi="Arial"/>
          <w:sz w:val="18"/>
          <w:szCs w:val="18"/>
          <w:color w:val="auto"/>
        </w:rPr>
      </w:pPr>
    </w:p>
    <w:p>
      <w:pPr>
        <w:jc w:val="both"/>
        <w:ind w:firstLine="1952"/>
        <w:spacing w:after="0" w:line="273" w:lineRule="auto"/>
        <w:tabs>
          <w:tab w:leader="none" w:pos="257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until the close of business on the earlier of the last day of the offer period and the tenth Business Day after the date such notice is sent (or such later time and date as the Issuer may decide in its sole discretion) (such time and date, the “</w:t>
      </w:r>
      <w:r>
        <w:rPr>
          <w:rFonts w:ascii="Arial" w:cs="Arial" w:eastAsia="Arial" w:hAnsi="Arial"/>
          <w:sz w:val="17"/>
          <w:szCs w:val="17"/>
          <w:u w:val="single" w:color="auto"/>
          <w:color w:val="auto"/>
        </w:rPr>
        <w:t>withdrawal deadline</w:t>
      </w:r>
      <w:r>
        <w:rPr>
          <w:rFonts w:ascii="Arial" w:cs="Arial" w:eastAsia="Arial" w:hAnsi="Arial"/>
          <w:sz w:val="17"/>
          <w:szCs w:val="17"/>
          <w:color w:val="auto"/>
        </w:rPr>
        <w:t xml:space="preserve">”), that Holders shall be entitled to withdraw their tendered Notes and their election to require the Issuer to purchase such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paying agent receives, not later than the withdrawal deadline, as electronic transmission (in PDF), a facsimile transmission or letter or other communication in accordance with the procedures of DTC setting forth the name of the Holder of the Notes, the principal amount of Notes tendered for purchase, and a statement that such Holder is withdrawing its tendered Notes and its election to have such Notes purchased;</w:t>
      </w:r>
    </w:p>
    <w:p>
      <w:pPr>
        <w:spacing w:after="0" w:line="177" w:lineRule="exact"/>
        <w:rPr>
          <w:rFonts w:ascii="Arial" w:cs="Arial" w:eastAsia="Arial" w:hAnsi="Arial"/>
          <w:sz w:val="17"/>
          <w:szCs w:val="17"/>
          <w:color w:val="auto"/>
        </w:rPr>
      </w:pPr>
    </w:p>
    <w:p>
      <w:pPr>
        <w:jc w:val="both"/>
        <w:ind w:firstLine="1952"/>
        <w:spacing w:after="0" w:line="259" w:lineRule="auto"/>
        <w:tabs>
          <w:tab w:leader="none" w:pos="26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if less than all of such Holder’s Notes are tendered for purchase, such Holder will be issued new Notes (or, in the case of Global Notes, such Notes shall be reduced by such amount of Notes that the Holder has tendered) and such new Notes will be equal in principal amount to the unpurchased portion of the Notes surrendered (the unpurchased portion of the Notes must be equal to $2,000 or an integral multiple of $1,000 in excess thereof);</w:t>
      </w:r>
    </w:p>
    <w:p>
      <w:pPr>
        <w:spacing w:after="0" w:line="186" w:lineRule="exact"/>
        <w:rPr>
          <w:rFonts w:ascii="Arial" w:cs="Arial" w:eastAsia="Arial" w:hAnsi="Arial"/>
          <w:sz w:val="18"/>
          <w:szCs w:val="18"/>
          <w:color w:val="auto"/>
        </w:rPr>
      </w:pPr>
    </w:p>
    <w:p>
      <w:pPr>
        <w:jc w:val="both"/>
        <w:ind w:firstLine="1952"/>
        <w:spacing w:after="0" w:line="273" w:lineRule="auto"/>
        <w:tabs>
          <w:tab w:leader="none" w:pos="276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such notice is sent prior to the occurrence of a Change of Control, stating that the Change of Control Offer is conditional on the occurrence of such Change of Control or such other conditions specified therein and describing each such condition, and, if applicable, stating that, in the Issuer’s discretion, the Change of Control Payment Date may be delayed until such time (including more than 60 days after the notice is mailed or delivered) as any or all such conditions shall be satisfied or waived, or that such purchase may not occur and such notice may be rescinded in the event that the Issuer reasonably believes that any or all such conditions (including the occurrence of such Change of Control) will not be satisfied or waived by the Change of Control Payment Date, or by the Change of Control Payment Date as so delayed; and</w:t>
      </w:r>
    </w:p>
    <w:p>
      <w:pPr>
        <w:spacing w:after="0" w:line="177" w:lineRule="exact"/>
        <w:rPr>
          <w:rFonts w:ascii="Arial" w:cs="Arial" w:eastAsia="Arial" w:hAnsi="Arial"/>
          <w:sz w:val="17"/>
          <w:szCs w:val="17"/>
          <w:color w:val="auto"/>
        </w:rPr>
      </w:pPr>
    </w:p>
    <w:p>
      <w:pPr>
        <w:ind w:left="2620" w:hanging="668"/>
        <w:spacing w:after="0"/>
        <w:tabs>
          <w:tab w:leader="none" w:pos="2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such other instructions, as determined by the Issuer, consistent with this </w:t>
      </w:r>
      <w:r>
        <w:rPr>
          <w:rFonts w:ascii="Arial" w:cs="Arial" w:eastAsia="Arial" w:hAnsi="Arial"/>
          <w:sz w:val="17"/>
          <w:szCs w:val="17"/>
          <w:u w:val="single" w:color="auto"/>
          <w:color w:val="auto"/>
        </w:rPr>
        <w:t>Section 4.14</w:t>
      </w:r>
      <w:r>
        <w:rPr>
          <w:rFonts w:ascii="Arial" w:cs="Arial" w:eastAsia="Arial" w:hAnsi="Arial"/>
          <w:sz w:val="17"/>
          <w:szCs w:val="17"/>
          <w:color w:val="auto"/>
        </w:rPr>
        <w:t>, that a Holder must follow.</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notice relating to a Change of Control Offer that is subject to one or more conditions precedent (other than the occurrence of a Change of Control) is later rescinded as described in clause (8) above as a result of the failure of such condition(s) to be satisfied or waived (or as a result of the Issuer reasonably believing that such will be the case), the offer described in such notice will not be deemed a valid “</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jc w:val="both"/>
        <w:ind w:firstLine="648"/>
        <w:spacing w:after="0" w:line="277" w:lineRule="auto"/>
        <w:rPr>
          <w:sz w:val="20"/>
          <w:szCs w:val="20"/>
          <w:color w:val="auto"/>
        </w:rPr>
      </w:pPr>
      <w:r>
        <w:rPr>
          <w:rFonts w:ascii="Arial" w:cs="Arial" w:eastAsia="Arial" w:hAnsi="Arial"/>
          <w:sz w:val="18"/>
          <w:szCs w:val="18"/>
          <w:color w:val="auto"/>
        </w:rPr>
        <w:t>While the Notes are in global form and the Issuer makes an offer to purchase all of the Notes pursuant to the Change of Control Offer, a Holder may exercise its option to elect for the purchase of the Notes through the facilities of DTC, subject to its rules and regulations.</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notice, if sent in a manner herein provided, shall be conclusively presumed to have been given, whether or not the Holder receives such notice. If (a) the notice is sent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Issuer shall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Issuer shall comply with the applicable securities laws and regulations and shall not be deemed to have breached its obligations described in this Indenture by virtue thereof.</w:t>
      </w:r>
    </w:p>
    <w:p>
      <w:pPr>
        <w:spacing w:after="0" w:line="171" w:lineRule="exact"/>
        <w:rPr>
          <w:sz w:val="20"/>
          <w:szCs w:val="20"/>
          <w:color w:val="auto"/>
        </w:rPr>
      </w:pPr>
    </w:p>
    <w:p>
      <w:pPr>
        <w:ind w:left="1960" w:hanging="656"/>
        <w:spacing w:after="0"/>
        <w:tabs>
          <w:tab w:leader="none" w:pos="1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the Change of Control Payment Date, the Issuer shall, to the extent permitted by law,</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accept for payment all Notes issued by it or portions thereof properly tendered pursuant to the Change of Control Offer,</w:t>
      </w:r>
    </w:p>
    <w:p>
      <w:pPr>
        <w:spacing w:after="0" w:line="248" w:lineRule="exact"/>
        <w:rPr>
          <w:rFonts w:ascii="Arial" w:cs="Arial" w:eastAsia="Arial" w:hAnsi="Arial"/>
          <w:sz w:val="16"/>
          <w:szCs w:val="16"/>
          <w:color w:val="auto"/>
        </w:rPr>
      </w:pPr>
    </w:p>
    <w:p>
      <w:pPr>
        <w:ind w:firstLine="1952"/>
        <w:spacing w:after="0" w:line="277" w:lineRule="auto"/>
        <w:tabs>
          <w:tab w:leader="none" w:pos="257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plus accrued and unpaid interest thereon, and</w:t>
      </w:r>
    </w:p>
    <w:p>
      <w:pPr>
        <w:spacing w:after="0" w:line="170" w:lineRule="exact"/>
        <w:rPr>
          <w:rFonts w:ascii="Arial" w:cs="Arial" w:eastAsia="Arial" w:hAnsi="Arial"/>
          <w:sz w:val="18"/>
          <w:szCs w:val="18"/>
          <w:color w:val="auto"/>
        </w:rPr>
      </w:pPr>
    </w:p>
    <w:p>
      <w:pPr>
        <w:ind w:firstLine="1952"/>
        <w:spacing w:after="0" w:line="277" w:lineRule="auto"/>
        <w:tabs>
          <w:tab w:leader="none" w:pos="27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195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Issuer shall not be required to make a Change of Control Offer if a third party approved in writing by the Issuer makes the Change of Control Offer (including, for the avoidance of doubt, an Alternate Offer) in the manner, at the times and otherwise in compliance with the requirements set forth in this Indenture applicable to a Change of Control Offer made by the Issuer and purchases all Notes validly tendered and not withdrawn under such Change of Control Offer. Notwithstanding anything to the contrary herein, a Change of Control Offer (including, for the avoidance of doubt, an Alternate Offer) may be made in advance of a Change of Control, conditional upon such Change of Control and such other conditions specified therein, if a definitive agreement is in place for the Change of Control at the time of making of the Change of Control Offer.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jc w:val="both"/>
        <w:ind w:firstLine="1304"/>
        <w:spacing w:after="0" w:line="269" w:lineRule="auto"/>
        <w:tabs>
          <w:tab w:leader="none" w:pos="201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do not withdraw such Notes in a Change of Control Offer and the Issuer, or any third party approved in writing by the Issuer making a Change of Control Offer in lieu of the Issuer as described above, purchases all of the Notes validly tendered and not withdrawn by such Holders, the Issuer or such third party will have the right, upon not less than 20 nor more than 60 days’ prior notice (except that such notice may be delivered or mailed more than 60 days prior to the Redemption Date or purchase date if the notice is issued in connection with Article 8, Article 11 or as specified in Section 3.03(c)), given not more than 60 days following such purchase pursuant to the Change of Control Offer described above, to redeem (with respect to the Issuer) or purchase (with respect to a third party) all of the Notes that remain outstanding following such purchase on a date (the “</w:t>
      </w:r>
      <w:r>
        <w:rPr>
          <w:rFonts w:ascii="Arial" w:cs="Arial" w:eastAsia="Arial" w:hAnsi="Arial"/>
          <w:sz w:val="17"/>
          <w:szCs w:val="17"/>
          <w:u w:val="single" w:color="auto"/>
          <w:color w:val="auto"/>
        </w:rPr>
        <w:t>Second Change of Control Payment Date</w:t>
      </w:r>
      <w:r>
        <w:rPr>
          <w:rFonts w:ascii="Arial" w:cs="Arial" w:eastAsia="Arial" w:hAnsi="Arial"/>
          <w:sz w:val="17"/>
          <w:szCs w:val="17"/>
          <w:color w:val="auto"/>
        </w:rPr>
        <w:t>”) at a price in cash equal to the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Notes on the relevant record date to receive interest due on the relevant interest payment date falling on or prior to the Second Change of Control Payment Date.</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20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provisions of this Indenture and the Notes relating to the Issuer’s obligation to make a Change of Control Offer upon a Change of Control, including the provisions of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the definition of “Change of Control”, may be waived or modified at any time with the written consent of the Holders of a majority in aggregate principal amount of the Notes then outstanding.</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93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Change of Control Offer (including, for the avoidance of doubt, an Alternate Offer) may be made at the same time as consents are solicited with respect to an amendment, supplement or waiver of this Indenture, the Notes and/or the Note Guarantees so long as the tender of Notes by a Holder is not conditioned upon the delivery of consents by such Holder. In addition, the Issuer or any third party approved in writing by the Issuer that is making the Change of Control Offer (including, for the avoidance of doubt, an Alternate Offer) may, subject to applicable law, increase or decrease the Change of Control Payment (or decline to pay any early tender or similar premium) being offered to Holders at any time in its sole discretion, so long as the Change of Control Payment is at least equal to 101.0% of the aggregate principal amount of the Notes being repurchased, plus accrued and unpaid interest thereon.</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7"/>
          <w:szCs w:val="17"/>
          <w:u w:val="single" w:color="auto"/>
          <w:color w:val="auto"/>
        </w:rPr>
        <w:t>ADDITIONAL NOTE GUARANTEES.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Issuer shall cause each of its Wholly-Owned Restricted Subsidiaries (other than (a) the Guarantors, (b) any Qualified Liquefaction Development Entities, (c) any Receivables Subsidiaries, (d) any Immaterial Subsidiaries, (e) any Captive Insurance Subsidiaries, (f) any not-for-profit or special purpose Subsidiaries and (g) any Subsidiary with respect to which a guarantee would result in material adverse tax consequences, as reasonably determined by the Issuer) to, within 60 days of the later of (i) such Subsidiary becoming a Wholly-Owned Restricted Subsidiary and (ii) the Issuer determining such Subsidiary ceased to meet any of the exceptions set forth in the preceding parenthetical, execute and deliver a supplemental indenture to this Indenture, substantially in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providing for a Note Guarantee by such Subsidiary and, thereafter (and within the time periods or efforts requirements as set forth in such documents), joinders to any applicable Equal Priority Intercreditor Agreement, Junior Priority Intercreditor Agreement and Security Documents or new intercreditor agreements and Security Documents, an updated perfection certificate, together with any filings and agreements to the extent required by the Security Documents to create or perfect the security interests for the benefit of the Holders in the Collateral of such Subsidiary. The Merger Entities are not expected to be Wholly-Owned Subsidiaries and as a result will not guarantee the Notes. The Issuer may elect, in its sole discretion, to cause any Subsidiary that is not otherwise required to be a Guarantor to become a Guarantor (and no 60-day period described in the foregoing sentence shall apply to such Subsidiary).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tabs>
          <w:tab w:leader="none" w:pos="128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7"/>
          <w:szCs w:val="17"/>
          <w:u w:val="single" w:color="auto"/>
          <w:color w:val="auto"/>
        </w:rPr>
        <w:t>EFFECTIVENESS OF COVENANTS.</w:t>
      </w:r>
    </w:p>
    <w:p>
      <w:pPr>
        <w:spacing w:after="0" w:line="225" w:lineRule="exact"/>
        <w:rPr>
          <w:sz w:val="20"/>
          <w:szCs w:val="20"/>
          <w:color w:val="auto"/>
        </w:rPr>
      </w:pPr>
    </w:p>
    <w:p>
      <w:pPr>
        <w:jc w:val="both"/>
        <w:ind w:firstLine="1304"/>
        <w:spacing w:after="0" w:line="275" w:lineRule="auto"/>
        <w:tabs>
          <w:tab w:leader="none" w:pos="193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on any date following the Issue Date, (i) the Notes have Investment Grade Ratings from two of three Rating Agencies and (ii) no Default has occurred and is continuing under this Indenture (the occurrence of the events described in the foregoing clauses (i) and (ii) being collectively referred to as a “</w:t>
      </w:r>
      <w:r>
        <w:rPr>
          <w:rFonts w:ascii="Arial" w:cs="Arial" w:eastAsia="Arial" w:hAnsi="Arial"/>
          <w:sz w:val="17"/>
          <w:szCs w:val="17"/>
          <w:u w:val="single" w:color="auto"/>
          <w:color w:val="auto"/>
        </w:rPr>
        <w:t>Covenant Suspension Event</w:t>
      </w:r>
      <w:r>
        <w:rPr>
          <w:rFonts w:ascii="Arial" w:cs="Arial" w:eastAsia="Arial" w:hAnsi="Arial"/>
          <w:sz w:val="17"/>
          <w:szCs w:val="17"/>
          <w:color w:val="auto"/>
        </w:rPr>
        <w:t>”), then, beginning on such date and continuing until the Reversion Date, the Issuer and its Restricted Subsidiaries shall not be subject to the following provisions of this Indenture (collectively, the “</w:t>
      </w:r>
      <w:r>
        <w:rPr>
          <w:rFonts w:ascii="Arial" w:cs="Arial" w:eastAsia="Arial" w:hAnsi="Arial"/>
          <w:sz w:val="17"/>
          <w:szCs w:val="17"/>
          <w:u w:val="single" w:color="auto"/>
          <w:color w:val="auto"/>
        </w:rPr>
        <w:t>Suspended Covenants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5.01(c)</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9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event that the Issuer and its Restricted Subsidiaries are not subject to the Suspended Covenants for any period of time as a result of the foregoing, and on any subsequent date (the “</w:t>
      </w:r>
      <w:r>
        <w:rPr>
          <w:rFonts w:ascii="Arial" w:cs="Arial" w:eastAsia="Arial" w:hAnsi="Arial"/>
          <w:sz w:val="18"/>
          <w:szCs w:val="18"/>
          <w:u w:val="single" w:color="auto"/>
          <w:color w:val="auto"/>
        </w:rPr>
        <w:t>Reversion Date</w:t>
      </w:r>
      <w:r>
        <w:rPr>
          <w:rFonts w:ascii="Arial" w:cs="Arial" w:eastAsia="Arial" w:hAnsi="Arial"/>
          <w:sz w:val="18"/>
          <w:szCs w:val="18"/>
          <w:color w:val="auto"/>
        </w:rPr>
        <w:t>”) the rating assigned to the Notes by two of three of the Rating Agencies is below an Investment Grade Rating, then the Issuer and its Restricted Subsidiaries will thereafter again be subject to the Suspended Covenants with respect to future events.</w:t>
      </w:r>
    </w:p>
    <w:p>
      <w:pPr>
        <w:spacing w:after="0" w:line="186" w:lineRule="exact"/>
        <w:rPr>
          <w:rFonts w:ascii="Arial" w:cs="Arial" w:eastAsia="Arial" w:hAnsi="Arial"/>
          <w:sz w:val="18"/>
          <w:szCs w:val="18"/>
          <w:color w:val="auto"/>
        </w:rPr>
      </w:pPr>
    </w:p>
    <w:p>
      <w:pPr>
        <w:jc w:val="both"/>
        <w:ind w:firstLine="1304"/>
        <w:spacing w:after="0" w:line="285" w:lineRule="auto"/>
        <w:tabs>
          <w:tab w:leader="none" w:pos="197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period of time between (and including) the date of the Covenant Suspension Event and the Reversion Date (but excluding the Reversion Date) is referred to in this description as the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In the event of any reinstatement, no action taken or omitted to be taken by the Issuer or any of its Restricted Subsidiaries prior to such reinstatement will give rise to a Default or Event of Default with respect to the Suspended Covenants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with respect to Restricted Payments made on or after the Reversion Date and the capacity to make Restricted Payments, the amount of Restricted Payments made and the capacity to make Restricted Payments will be calculated as though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had been in effect prior to, but not during, the Suspension Period (including with respect to a Limited Condition Transaction entered into during the Suspension Period) and accordingly, Restricted Payments made or deemed to be made during the Suspension Period will not reduce the amount available to be made as Restricted Payments under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4.07(a)</w:t>
      </w:r>
      <w:r>
        <w:rPr>
          <w:rFonts w:ascii="Arial" w:cs="Arial" w:eastAsia="Arial" w:hAnsi="Arial"/>
          <w:sz w:val="16"/>
          <w:szCs w:val="16"/>
          <w:color w:val="auto"/>
        </w:rPr>
        <w:t xml:space="preserve">, (2) all Indebtedness incurred, or Disqualified Stock or Preferred Stock issued, during the Suspension Period (or deemed incurred or issued in connection with a Limited Condition Transaction entered into during the Suspension Period) will be deemed to have been incurred or issued pursuant to clause (j)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(3) no Subsidiaries shall be designated as Unrestricted Subsidiaries during any Suspension Period, unless such designation would have complied with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as if such covenant was in effect for the purposes of designating Unrestricted Subsidiaries from the Issue Date to the date of such designation, (4) any Affiliate Transaction entered into on or after the Reversion Date pursuant to an agreement entered into during any Suspension Period shall be deemed to be permitted pursuant to clause (e) of the second paragraph of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(5) any encumbrance or restriction on the ability of any Restricted Subsidiary that is not a Guarantor to take any action described in clauses (1) through (3) of the first paragraph of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that becomes effective during any Suspension Period shall be deemed to be permitted pursuant to clause (i) of the second paragraph of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and (6) all Investments made during the Suspension Period (or deemed made in connection with a Limited Condition Transaction entered into during the Suspension Period) will be classified as having been made pursuant to clause (f) of the definition of “Permitted Investments”. On the Reversion Date, the amount of Excess Proceeds shall be reset at zero.</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jc w:val="both"/>
        <w:ind w:firstLine="1304"/>
        <w:spacing w:after="0" w:line="259" w:lineRule="auto"/>
        <w:tabs>
          <w:tab w:leader="none" w:pos="20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During the Suspension Period, the Issuer and its Restricted Subsidiaries will be entitled to incur Liens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(including Permitted Liens). To the extent such covenant and any Permitted Liens refer to one or more Suspended Covenants, such covenant or definition shall be interpreted as though such applicable Suspended Covenant(s) continued to be applicable during the Suspension Period (but solely for purposes of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and the “</w:t>
      </w:r>
      <w:r>
        <w:rPr>
          <w:rFonts w:ascii="Arial" w:cs="Arial" w:eastAsia="Arial" w:hAnsi="Arial"/>
          <w:sz w:val="18"/>
          <w:szCs w:val="18"/>
          <w:u w:val="single" w:color="auto"/>
          <w:color w:val="auto"/>
        </w:rPr>
        <w:t>Permitted Liens</w:t>
      </w:r>
      <w:r>
        <w:rPr>
          <w:rFonts w:ascii="Arial" w:cs="Arial" w:eastAsia="Arial" w:hAnsi="Arial"/>
          <w:sz w:val="18"/>
          <w:szCs w:val="18"/>
          <w:color w:val="auto"/>
        </w:rPr>
        <w:t>” definition and for no other covenant).</w:t>
      </w:r>
    </w:p>
    <w:p>
      <w:pPr>
        <w:spacing w:after="0" w:line="186" w:lineRule="exact"/>
        <w:rPr>
          <w:rFonts w:ascii="Arial" w:cs="Arial" w:eastAsia="Arial" w:hAnsi="Arial"/>
          <w:sz w:val="18"/>
          <w:szCs w:val="18"/>
          <w:color w:val="auto"/>
        </w:rPr>
      </w:pPr>
    </w:p>
    <w:p>
      <w:pPr>
        <w:jc w:val="both"/>
        <w:ind w:firstLine="1304"/>
        <w:spacing w:after="0" w:line="289" w:lineRule="auto"/>
        <w:tabs>
          <w:tab w:leader="none" w:pos="197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that the Suspended Covenants may be reinstated after the Reversion Date, (1) no Default, Event of Default or breach of any kind will be deemed to exist or have occurred under the Notes, the Note Guarantees or this Indenture with respect to the Suspended Covenants, and none of the Issuer or any of its Subsidiaries shall bear any liability for any actions taken or events occurring during the Suspension Period (including any Limited Condition Transaction entered into during the Suspension Period), or any actions taken at any time pursuant to any contractual obligation entered into or arising during any Suspension Period, in each case as a result of a failure to comply with the Suspended Covenants during the Suspension Period (or, upon termination of the Suspension Period or after that time, as a result of any action taken or event that occurred during the Suspension Period), and (2) following a Reversion Date, the Issuer and each Restricted Subsidiary will be permitted, without causing a Default or Event of Default, to honor, comply with or otherwise perform any contractual commitments or obligations arising during any Suspension Period and to consummate the transactions contemplated thereby (including any Limited Condition Transaction entered into during the Suspension Period).</w:t>
      </w:r>
    </w:p>
    <w:p>
      <w:pPr>
        <w:spacing w:after="0" w:line="166" w:lineRule="exact"/>
        <w:rPr>
          <w:rFonts w:ascii="Arial" w:cs="Arial" w:eastAsia="Arial" w:hAnsi="Arial"/>
          <w:sz w:val="16"/>
          <w:szCs w:val="16"/>
          <w:color w:val="auto"/>
        </w:rPr>
      </w:pPr>
    </w:p>
    <w:p>
      <w:pPr>
        <w:ind w:left="2020" w:hanging="716"/>
        <w:spacing w:after="0"/>
        <w:tabs>
          <w:tab w:leader="none" w:pos="20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Issuer shall deliver promptly to the Trustee an Officer’s Certificate notifying it of any such occurrence under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4.16.</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7"/>
          <w:szCs w:val="17"/>
          <w:u w:val="single" w:color="auto"/>
          <w:color w:val="auto"/>
        </w:rPr>
        <w:t>AFTER-ACQUIRED COLLATERAL; REAL PROPERTY MORTGAGE; SHIP MORTGAGE.</w:t>
      </w:r>
    </w:p>
    <w:p>
      <w:pPr>
        <w:spacing w:after="0" w:line="225" w:lineRule="exact"/>
        <w:rPr>
          <w:sz w:val="20"/>
          <w:szCs w:val="20"/>
          <w:color w:val="auto"/>
        </w:rPr>
      </w:pPr>
    </w:p>
    <w:p>
      <w:pPr>
        <w:jc w:val="both"/>
        <w:ind w:firstLine="1304"/>
        <w:spacing w:after="0" w:line="301" w:lineRule="auto"/>
        <w:tabs>
          <w:tab w:leader="none" w:pos="196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From and after the Issue Date, and subject to the applicable limitations and exceptions set forth in the Security Documents and this Indenture (including as described under </w:t>
      </w:r>
      <w:r>
        <w:rPr>
          <w:rFonts w:ascii="Arial" w:cs="Arial" w:eastAsia="Arial" w:hAnsi="Arial"/>
          <w:sz w:val="16"/>
          <w:szCs w:val="16"/>
          <w:u w:val="single" w:color="auto"/>
          <w:color w:val="auto"/>
        </w:rPr>
        <w:t>Section 12.07(c)(x)</w:t>
      </w:r>
      <w:r>
        <w:rPr>
          <w:rFonts w:ascii="Arial" w:cs="Arial" w:eastAsia="Arial" w:hAnsi="Arial"/>
          <w:sz w:val="16"/>
          <w:szCs w:val="16"/>
          <w:color w:val="auto"/>
        </w:rPr>
        <w:t>), if the Issuer or any Guarantor creates, or acquires any security interest upon any property or asset that would constitute Collateral (which, for the avoidance of doubt, does not include any Excluded Assets), the Issuer or such Guarantor must grant a first-priority perfected security interest (subject to Permitted Liens) upon any such Collateral, as security for the Secured Notes Obligations.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jc w:val="both"/>
        <w:ind w:firstLine="1304"/>
        <w:spacing w:after="0" w:line="286" w:lineRule="auto"/>
        <w:tabs>
          <w:tab w:leader="none" w:pos="192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Subject to the applicable terms of the Security Documents and any Intercreditor Agreements, within 90 days after the acquisition by any Grantor of any Material Real Estate Asset (or within 90 days after the acquisition of a Person that becomes a Grantor and that owns any Material Real Estate Asset) (in each case, other than any Excluded Asset) (or as soon as practicable thereafter using commercially reasonable efforts), the Issuer shall cause such Grantor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Issuer, naming the Notes Collateral Agent for the benefit of the Secured Notes Secured Parties as the insured, insuring such Mortgage to be a valid first priority Lien on the real property described therein, free and clear of all Liens other than Permitted Liens and containing reasonable and customary endorsements (each, a “</w:t>
      </w:r>
      <w:r>
        <w:rPr>
          <w:rFonts w:ascii="Arial" w:cs="Arial" w:eastAsia="Arial" w:hAnsi="Arial"/>
          <w:sz w:val="16"/>
          <w:szCs w:val="16"/>
          <w:u w:val="single" w:color="auto"/>
          <w:color w:val="auto"/>
        </w:rPr>
        <w:t>Title Policy</w:t>
      </w:r>
      <w:r>
        <w:rPr>
          <w:rFonts w:ascii="Arial" w:cs="Arial" w:eastAsia="Arial" w:hAnsi="Arial"/>
          <w:sz w:val="16"/>
          <w:szCs w:val="16"/>
          <w:color w:val="auto"/>
        </w:rPr>
        <w:t>”),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Indenture, such Material Real Estate Asset shall be deemed to have been acquired by such Restricted Subsidiary on the first day of the time period within which such Restricted Subsidiary is required to become a Guarantor under this Indenture.</w:t>
      </w:r>
    </w:p>
    <w:p>
      <w:pPr>
        <w:spacing w:after="0" w:line="170" w:lineRule="exact"/>
        <w:rPr>
          <w:rFonts w:ascii="Arial" w:cs="Arial" w:eastAsia="Arial" w:hAnsi="Arial"/>
          <w:sz w:val="16"/>
          <w:szCs w:val="16"/>
          <w:color w:val="auto"/>
        </w:rPr>
      </w:pPr>
    </w:p>
    <w:p>
      <w:pPr>
        <w:jc w:val="both"/>
        <w:ind w:firstLine="1304"/>
        <w:spacing w:after="0" w:line="254" w:lineRule="auto"/>
        <w:tabs>
          <w:tab w:leader="none" w:pos="190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Subject to the applicable terms of the Security Documents and any Intercreditor Agreements, after the acquisition by any Grantor of any tanker or other marine vessel with a value (as reasonably estimated by the Issuer) in excess of $40.0 million, the Issuer, as soon as practicable thereafter using commercially reasonable efforts, shall cause such Grantor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Issuer) in excess of $40.0 million owned by any Restricted Subsidiary at the time such Restricted Subsidiary is required to become a Guarantor under this Indenture, such tanker or other marine vessel shall be deemed to have been acquired by such Restricted Subsidiary on the first day of the time period within which such Restricted Subsidiary is required to become a Guarantor under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SUCCESSORS</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MERGER, CONSOLIDATION, AMALGAMATION OR SALE OF ALL OR SUBSTANTIALLY ALL ASSETS.</w:t>
      </w:r>
    </w:p>
    <w:p>
      <w:pPr>
        <w:spacing w:after="0" w:line="225" w:lineRule="exact"/>
        <w:rPr>
          <w:sz w:val="20"/>
          <w:szCs w:val="20"/>
          <w:color w:val="auto"/>
        </w:rPr>
      </w:pPr>
    </w:p>
    <w:p>
      <w:pPr>
        <w:jc w:val="both"/>
        <w:ind w:firstLine="1304"/>
        <w:spacing w:after="0" w:line="263" w:lineRule="auto"/>
        <w:tabs>
          <w:tab w:leader="none" w:pos="19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Issuer shall not merge, consolidate or amalgamate with or into or wind up into (whether or not the Issuer is the surviving Person), or sell, assign, transfer, lease, convey or otherwise dispose of all or substantially all of the properties or assets of the Issuer and its Restricted Subsidiaries, taken as a whole, in one or more related transactions, to any Person unless:</w:t>
      </w:r>
    </w:p>
    <w:p>
      <w:pPr>
        <w:spacing w:after="0" w:line="183" w:lineRule="exact"/>
        <w:rPr>
          <w:rFonts w:ascii="Arial" w:cs="Arial" w:eastAsia="Arial" w:hAnsi="Arial"/>
          <w:sz w:val="18"/>
          <w:szCs w:val="18"/>
          <w:color w:val="auto"/>
        </w:rPr>
      </w:pPr>
    </w:p>
    <w:p>
      <w:pPr>
        <w:jc w:val="both"/>
        <w:ind w:left="660" w:firstLine="1292"/>
        <w:spacing w:after="0" w:line="296" w:lineRule="auto"/>
        <w:tabs>
          <w:tab w:leader="none" w:pos="25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Issuer is the surviving Person or the Person formed by or surviving any such merger, consolidation, amalgamation or winding up (if other than the Issuer)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Issuer or such Person, as the case may be, being herein called the “</w:t>
      </w:r>
      <w:r>
        <w:rPr>
          <w:rFonts w:ascii="Arial" w:cs="Arial" w:eastAsia="Arial" w:hAnsi="Arial"/>
          <w:sz w:val="16"/>
          <w:szCs w:val="16"/>
          <w:u w:val="single" w:color="auto"/>
          <w:color w:val="auto"/>
        </w:rPr>
        <w:t>Successor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where the Successor Company of the Issuer is not a corporation, a co-issuer of the Notes is a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jc w:val="both"/>
        <w:ind w:left="660" w:firstLine="1292"/>
        <w:spacing w:after="0" w:line="257" w:lineRule="auto"/>
        <w:tabs>
          <w:tab w:leader="none" w:pos="27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Successor Company (if other than the Issuer) expressly assumes all of the obligations of the Issuer under this Indenture, the Notes, the Equal Priority Intercreditor Agreement, any Junior Priority Intercreditor Agreement and the applicable Security Documents pursuant to supplemental indentures, joinders to the applicable Security Documents, the Equal Priority Intercreditor Agreement, any Junior Priority Intercreditor Agreement, or other documents or instruments in form reasonably satisfactory to the Trustee and the Notes Collateral Agent;</w:t>
      </w:r>
    </w:p>
    <w:p>
      <w:pPr>
        <w:spacing w:after="0" w:line="187" w:lineRule="exact"/>
        <w:rPr>
          <w:rFonts w:ascii="Arial" w:cs="Arial" w:eastAsia="Arial" w:hAnsi="Arial"/>
          <w:sz w:val="18"/>
          <w:szCs w:val="18"/>
          <w:color w:val="auto"/>
        </w:rPr>
      </w:pPr>
    </w:p>
    <w:p>
      <w:pPr>
        <w:ind w:left="2620" w:hanging="668"/>
        <w:spacing w:after="0"/>
        <w:tabs>
          <w:tab w:leader="none" w:pos="2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shall have occurred and be continuing;</w:t>
      </w:r>
    </w:p>
    <w:p>
      <w:pPr>
        <w:spacing w:after="0" w:line="225" w:lineRule="exact"/>
        <w:rPr>
          <w:rFonts w:ascii="Arial" w:cs="Arial" w:eastAsia="Arial" w:hAnsi="Arial"/>
          <w:sz w:val="18"/>
          <w:szCs w:val="18"/>
          <w:color w:val="auto"/>
        </w:rPr>
      </w:pPr>
    </w:p>
    <w:p>
      <w:pPr>
        <w:ind w:left="660" w:firstLine="1292"/>
        <w:spacing w:after="0" w:line="277" w:lineRule="auto"/>
        <w:tabs>
          <w:tab w:leader="none" w:pos="277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in the case of the Issuer, immediately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transaction and any related financing transactions, as if such transactions had occurred at the beginning of the Test Period, either</w:t>
      </w:r>
    </w:p>
    <w:p>
      <w:pPr>
        <w:spacing w:after="0" w:line="170" w:lineRule="exact"/>
        <w:rPr>
          <w:sz w:val="20"/>
          <w:szCs w:val="20"/>
          <w:color w:val="auto"/>
        </w:rPr>
      </w:pPr>
    </w:p>
    <w:p>
      <w:pPr>
        <w:ind w:right="20" w:firstLine="1952"/>
        <w:spacing w:after="0" w:line="277" w:lineRule="auto"/>
        <w:tabs>
          <w:tab w:leader="none" w:pos="268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Successor Company would be permitted to incur at least $1.00 of additional Indebtedness pursuant to the Fixed Charge Coverage Ratio test set forth in the first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firstLine="1952"/>
        <w:spacing w:after="0" w:line="277" w:lineRule="auto"/>
        <w:tabs>
          <w:tab w:leader="none" w:pos="256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Fixed Charge Coverage Ratio immediately after such transaction would be equal to or greater than the Fixed Charge Coverage Ratio of the Issuer immediately prior to such transaction;</w:t>
      </w:r>
    </w:p>
    <w:p>
      <w:pPr>
        <w:spacing w:after="0" w:line="170" w:lineRule="exact"/>
        <w:rPr>
          <w:sz w:val="20"/>
          <w:szCs w:val="20"/>
          <w:color w:val="auto"/>
        </w:rPr>
      </w:pPr>
    </w:p>
    <w:p>
      <w:pPr>
        <w:jc w:val="both"/>
        <w:ind w:left="660" w:firstLine="1292"/>
        <w:spacing w:after="0" w:line="263" w:lineRule="auto"/>
        <w:tabs>
          <w:tab w:leader="none" w:pos="267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Successor Company shall have delivered to the Trustee an Officer’s Certificate and an Opinion of Counsel, each stating that such merger, consolidation, amalgamation, winding up, sale, assignment, transfer, lease, conveyance or disposition and such supplemental indentures or other documents or instruments, if any, comply with this Indenture; and</w:t>
      </w:r>
    </w:p>
    <w:p>
      <w:pPr>
        <w:spacing w:after="0" w:line="183" w:lineRule="exact"/>
        <w:rPr>
          <w:rFonts w:ascii="Arial" w:cs="Arial" w:eastAsia="Arial" w:hAnsi="Arial"/>
          <w:sz w:val="18"/>
          <w:szCs w:val="18"/>
          <w:color w:val="auto"/>
        </w:rPr>
      </w:pPr>
    </w:p>
    <w:p>
      <w:pPr>
        <w:jc w:val="both"/>
        <w:ind w:left="660" w:firstLine="1292"/>
        <w:spacing w:after="0" w:line="257" w:lineRule="auto"/>
        <w:tabs>
          <w:tab w:leader="none" w:pos="25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Indenture or the applicable Security Documents and shall take all reasonably necessary action so that such Lien is perfected to the extent required by the applicable Security Documents.</w:t>
      </w:r>
    </w:p>
    <w:p>
      <w:pPr>
        <w:spacing w:after="0" w:line="187" w:lineRule="exact"/>
        <w:rPr>
          <w:rFonts w:ascii="Arial" w:cs="Arial" w:eastAsia="Arial" w:hAnsi="Arial"/>
          <w:sz w:val="18"/>
          <w:szCs w:val="18"/>
          <w:color w:val="auto"/>
        </w:rPr>
      </w:pPr>
    </w:p>
    <w:p>
      <w:pPr>
        <w:jc w:val="both"/>
        <w:ind w:firstLine="1304"/>
        <w:spacing w:after="0" w:line="279" w:lineRule="auto"/>
        <w:tabs>
          <w:tab w:leader="none" w:pos="191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The Successor Company will succeed to and be substituted for the Issuer under this Indenture, the Notes, the Equal Priority Intercreditor Agreement, any Junior Priority Intercreditor Agreement and the applicable Security Documents and the Issuer will automatically be released and discharged from its obligations under this Indenture, the Notes, the Note Guarantee, the Equal Priority Intercreditor Agreement, any Junior Priority Intercreditor Agreement and the applicable Security Documents, as applicable. Notwithstanding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5.01(a)</w:t>
      </w:r>
      <w:r>
        <w:rPr>
          <w:rFonts w:ascii="Arial" w:cs="Arial" w:eastAsia="Arial" w:hAnsi="Arial"/>
          <w:sz w:val="17"/>
          <w:szCs w:val="17"/>
          <w:color w:val="auto"/>
        </w:rPr>
        <w: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ind w:firstLine="1952"/>
        <w:spacing w:after="0" w:line="277" w:lineRule="auto"/>
        <w:tabs>
          <w:tab w:leader="none" w:pos="264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Restricted Subsidiary may merge, consolidate or amalgamate with or into, wind up into or sell, assign, transfer, lease, convey or otherwise dispose of all or part of its properties and assets to the Issuer or any Restricted Subsidiary,</w:t>
      </w:r>
    </w:p>
    <w:p>
      <w:pPr>
        <w:spacing w:after="0" w:line="170" w:lineRule="exact"/>
        <w:rPr>
          <w:rFonts w:ascii="Arial" w:cs="Arial" w:eastAsia="Arial" w:hAnsi="Arial"/>
          <w:sz w:val="18"/>
          <w:szCs w:val="18"/>
          <w:color w:val="auto"/>
        </w:rPr>
      </w:pPr>
    </w:p>
    <w:p>
      <w:pPr>
        <w:ind w:firstLine="1952"/>
        <w:spacing w:after="0" w:line="277" w:lineRule="auto"/>
        <w:tabs>
          <w:tab w:leader="none" w:pos="260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Issuer may merge, consolidate or amalgamate with or into or wind up into an Affiliate of the Issuer solely for the purpose of reincorporating the Issuer in the United States, any state or territory thereof or the District of Columbia, and</w:t>
      </w:r>
    </w:p>
    <w:p>
      <w:pPr>
        <w:spacing w:after="0" w:line="170" w:lineRule="exact"/>
        <w:rPr>
          <w:rFonts w:ascii="Arial" w:cs="Arial" w:eastAsia="Arial" w:hAnsi="Arial"/>
          <w:sz w:val="18"/>
          <w:szCs w:val="18"/>
          <w:color w:val="auto"/>
        </w:rPr>
      </w:pPr>
    </w:p>
    <w:p>
      <w:pPr>
        <w:ind w:right="20" w:firstLine="1952"/>
        <w:spacing w:after="0" w:line="277" w:lineRule="auto"/>
        <w:tabs>
          <w:tab w:leader="none" w:pos="263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Issuer may merge, consolidate or amalgamate with or into, wind up into or sell, assign, transfer, lease convey or otherwise dispose of all or part of its properties and assets to any Guarantor.</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9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the provisions described in this Indenture and the Security Documents governing release of a Note Guarantee, no Guarantor shall, and the Issuer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spacing w:after="0" w:line="186" w:lineRule="exact"/>
        <w:rPr>
          <w:rFonts w:ascii="Arial" w:cs="Arial" w:eastAsia="Arial" w:hAnsi="Arial"/>
          <w:sz w:val="18"/>
          <w:szCs w:val="18"/>
          <w:color w:val="auto"/>
        </w:rPr>
      </w:pPr>
    </w:p>
    <w:p>
      <w:pPr>
        <w:jc w:val="both"/>
        <w:ind w:firstLine="1952"/>
        <w:spacing w:after="0" w:line="275" w:lineRule="auto"/>
        <w:tabs>
          <w:tab w:leader="none" w:pos="260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 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Arial" w:cs="Arial" w:eastAsia="Arial" w:hAnsi="Arial"/>
          <w:sz w:val="17"/>
          <w:szCs w:val="17"/>
          <w:u w:val="single" w:color="auto"/>
          <w:color w:val="auto"/>
        </w:rPr>
        <w:t>Successor Guarantor</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1300" w:firstLine="1948"/>
        <w:spacing w:after="0" w:line="279" w:lineRule="auto"/>
        <w:tabs>
          <w:tab w:leader="none" w:pos="3884" w:val="left"/>
        </w:tabs>
        <w:numPr>
          <w:ilvl w:val="2"/>
          <w:numId w:val="194"/>
        </w:numPr>
        <w:rPr>
          <w:rFonts w:ascii="Arial" w:cs="Arial" w:eastAsia="Arial" w:hAnsi="Arial"/>
          <w:sz w:val="17"/>
          <w:szCs w:val="17"/>
          <w:color w:val="auto"/>
        </w:rPr>
      </w:pPr>
      <w:r>
        <w:rPr>
          <w:rFonts w:ascii="Arial" w:cs="Arial" w:eastAsia="Arial" w:hAnsi="Arial"/>
          <w:sz w:val="17"/>
          <w:szCs w:val="17"/>
          <w:color w:val="auto"/>
        </w:rPr>
        <w:t>the Successor Guarantor, if other than such Guarantor, expressly assumes all the obligations of such Guarantor under this Indenture and such Guarantor’s related Note Guarantee pursuant to supplemental indentures, joinders to the applicable Security Documents and the Equal Priority Intercreditor Agreement, any Junior Priority Intercreditor Agreement or other documents or instruments in form reasonably satisfactory to the Trustee and the Notes Collateral Agent; and</w:t>
      </w:r>
    </w:p>
    <w:p>
      <w:pPr>
        <w:spacing w:after="0" w:line="171" w:lineRule="exact"/>
        <w:rPr>
          <w:rFonts w:ascii="Arial" w:cs="Arial" w:eastAsia="Arial" w:hAnsi="Arial"/>
          <w:sz w:val="17"/>
          <w:szCs w:val="17"/>
          <w:color w:val="auto"/>
        </w:rPr>
      </w:pPr>
    </w:p>
    <w:p>
      <w:pPr>
        <w:jc w:val="both"/>
        <w:ind w:left="1300" w:firstLine="1948"/>
        <w:spacing w:after="0" w:line="296" w:lineRule="auto"/>
        <w:tabs>
          <w:tab w:leader="none" w:pos="3893" w:val="left"/>
        </w:tabs>
        <w:numPr>
          <w:ilvl w:val="2"/>
          <w:numId w:val="194"/>
        </w:numPr>
        <w:rPr>
          <w:rFonts w:ascii="Arial" w:cs="Arial" w:eastAsia="Arial" w:hAnsi="Arial"/>
          <w:sz w:val="16"/>
          <w:szCs w:val="16"/>
          <w:color w:val="auto"/>
        </w:rPr>
      </w:pPr>
      <w:r>
        <w:rPr>
          <w:rFonts w:ascii="Arial" w:cs="Arial" w:eastAsia="Arial" w:hAnsi="Arial"/>
          <w:sz w:val="16"/>
          <w:szCs w:val="16"/>
          <w:color w:val="auto"/>
        </w:rPr>
        <w:t>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Indenture or the applicable Security Documents and shall take all reasonably necessary action so that such Lien is perfected to the extent required by the applicable Security Documents; or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ind w:left="2620" w:hanging="668"/>
        <w:spacing w:after="0"/>
        <w:tabs>
          <w:tab w:leader="none" w:pos="26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transaction is not prohibited by Section 4.10.</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209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The Successor Guarantor will succeed to, and be substituted for, such Guarantor under this Indenture, the Equal Priority Intercreditor Agreement, any Junior Priority Intercreditor Agreement and the applicable Security Documents and such Guarantor’s Note Guarantee and such Guarantor will automatically be released and discharged from its obligations under this Indenture, the Equal Priority Intercreditor Agreement, any Junior Priority Intercreditor Agreement and the applicable Security Documents and such Guarantor’s Note Guarantee. Notwithstanding the foregoing, any Guarantor may (i) merge, consolidate or amalgamate with or into, wind up into or sell, assign, transfer, lease, convey or otherwise dispose of all or part of its properties or assets to another Guarantor or the Issuer, (ii) merge, consolidate or amalgamate with or into or wind up into the Issuer or an Affiliate of the Issuer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Issuer determines in good faith that such action is in the best interests of the Issuer and is not materially disadvantageous to the Holders, in each case, without regard to the requirements set forth in </w:t>
      </w:r>
      <w:r>
        <w:rPr>
          <w:rFonts w:ascii="Arial" w:cs="Arial" w:eastAsia="Arial" w:hAnsi="Arial"/>
          <w:sz w:val="16"/>
          <w:szCs w:val="16"/>
          <w:u w:val="single" w:color="auto"/>
          <w:color w:val="auto"/>
        </w:rPr>
        <w:t>Section 5.01(c)</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DEFAULTS AND REMEDIES</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7"/>
          <w:szCs w:val="17"/>
          <w:u w:val="single" w:color="auto"/>
          <w:color w:val="auto"/>
        </w:rPr>
        <w:t>EVENTS OF DEFAULT.</w:t>
      </w:r>
    </w:p>
    <w:p>
      <w:pPr>
        <w:spacing w:after="0" w:line="225" w:lineRule="exact"/>
        <w:rPr>
          <w:sz w:val="20"/>
          <w:szCs w:val="20"/>
          <w:color w:val="auto"/>
        </w:rPr>
      </w:pPr>
    </w:p>
    <w:p>
      <w:pPr>
        <w:ind w:left="1960" w:hanging="656"/>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default in payment when due and payable, upon redemption, acceleration or otherwise, of principal of, or premium, if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on the Notes;</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default for 30 days or more in the payment when due of interest on or with respect to the Notes;</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57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failure by the Issuer or any Restricted Subsidiary for 60 days after receipt of written notice given by the Trustee or the Holders of not less than 30.0% in principal amount of the Notes then outstanding (with a copy to the Trustee) to comply with any of its obligations, covenants or agreements (other than a default referred to in clauses (1) or (2) above) contained in this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failure to comply with </w:t>
      </w:r>
      <w:r>
        <w:rPr>
          <w:rFonts w:ascii="Arial" w:cs="Arial" w:eastAsia="Arial" w:hAnsi="Arial"/>
          <w:sz w:val="18"/>
          <w:szCs w:val="18"/>
          <w:u w:val="single" w:color="auto"/>
          <w:color w:val="auto"/>
        </w:rPr>
        <w:t>Section 4.03</w:t>
      </w:r>
      <w:r>
        <w:rPr>
          <w:rFonts w:ascii="Arial" w:cs="Arial" w:eastAsia="Arial" w:hAnsi="Arial"/>
          <w:sz w:val="18"/>
          <w:szCs w:val="18"/>
          <w:color w:val="auto"/>
        </w:rPr>
        <w:t>, such period of continuance of such default or breach shall be 180 days after written notice described in this clause (3) has been given;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jc w:val="both"/>
        <w:ind w:firstLine="1952"/>
        <w:spacing w:after="0" w:line="254" w:lineRule="auto"/>
        <w:tabs>
          <w:tab w:leader="none" w:pos="277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(other than (i) Indebtedness owed to the Issuer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Issuer or any Restricted Subsidiary and (iv) Indebtedness of a Restricted Subsidiary as to which the Issuer delivers to the Trustee an Officer’s Certificate certifying a resolution adopted by the Issuer to the effect that the obligees of such Indebtedness have no recourse to the assets of the Issuer or any Guarantor), whether such Indebtedness or guarantee now exists or is created after the issuance of the Notes, if both</w:t>
      </w:r>
    </w:p>
    <w:p>
      <w:pPr>
        <w:spacing w:after="0" w:line="192" w:lineRule="exact"/>
        <w:rPr>
          <w:sz w:val="20"/>
          <w:szCs w:val="20"/>
          <w:color w:val="auto"/>
        </w:rPr>
      </w:pPr>
    </w:p>
    <w:p>
      <w:pPr>
        <w:jc w:val="both"/>
        <w:ind w:left="660" w:firstLine="1292"/>
        <w:spacing w:after="0" w:line="259" w:lineRule="auto"/>
        <w:tabs>
          <w:tab w:leader="none" w:pos="263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spacing w:after="0" w:line="186" w:lineRule="exact"/>
        <w:rPr>
          <w:rFonts w:ascii="Arial" w:cs="Arial" w:eastAsia="Arial" w:hAnsi="Arial"/>
          <w:sz w:val="18"/>
          <w:szCs w:val="18"/>
          <w:color w:val="auto"/>
        </w:rPr>
      </w:pPr>
    </w:p>
    <w:p>
      <w:pPr>
        <w:jc w:val="both"/>
        <w:ind w:left="660" w:firstLine="1292"/>
        <w:spacing w:after="0" w:line="257" w:lineRule="auto"/>
        <w:tabs>
          <w:tab w:leader="none" w:pos="259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acceleration is being contested in good faith by appropriate proceedings promptly instituted and diligently concluded, then the Event of Default by reason thereof would not be deemed to have occurred until the conclusion of such proceedings;</w:t>
      </w:r>
    </w:p>
    <w:p>
      <w:pPr>
        <w:spacing w:after="0" w:line="188" w:lineRule="exact"/>
        <w:rPr>
          <w:sz w:val="20"/>
          <w:szCs w:val="20"/>
          <w:color w:val="auto"/>
        </w:rPr>
      </w:pPr>
    </w:p>
    <w:p>
      <w:pPr>
        <w:jc w:val="both"/>
        <w:ind w:firstLine="1952"/>
        <w:spacing w:after="0" w:line="269" w:lineRule="auto"/>
        <w:tabs>
          <w:tab w:leader="none" w:pos="28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failure by the Issuer or any Restricted Subsidiary that is a Significant Subsidiary (other than any Receivables Subsidiary) (or group of Restricted Subsidiaries that together (as determined as of the most recent consolidated financial statements of the Issuer for a fiscal quarter end provided as required under Section 4.03)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failure shall not be an Event of Default with respect to a judgment against a Significant Subsidiary as to which the Issuer delivers to the Trustee an Officer’s Certificate certifying a resolution adopted by the Board of Directors of the Issuer to the effect that the creditors of such Significant Subsidiary have no recourse to the assets of the Issuer or any Guarantor (other than such Significant Subsidiary) and that the Board of Directors of the Issuer has determined in good faith that the assets of such Significant Subsidiary have a Fair Market Value less than the sum of (x) the amount of such outstanding judgment, and (y) the outstanding Indebtedness of such Significant Subsidiary;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jc w:val="both"/>
        <w:ind w:firstLine="1952"/>
        <w:spacing w:after="0" w:line="286" w:lineRule="auto"/>
        <w:tabs>
          <w:tab w:leader="none" w:pos="261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(A)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7"/>
          <w:szCs w:val="17"/>
          <w:u w:val="single" w:color="auto"/>
          <w:color w:val="auto"/>
        </w:rPr>
        <w:t>Section 4.03</w:t>
      </w:r>
      <w:r>
        <w:rPr>
          <w:rFonts w:ascii="Arial" w:cs="Arial" w:eastAsia="Arial" w:hAnsi="Arial"/>
          <w:sz w:val="17"/>
          <w:szCs w:val="17"/>
          <w:color w:val="auto"/>
        </w:rPr>
        <w:t>) would constitute a Significant Subsidiary, other than a Receivables Subsidiary), pursuant to or within the meaning of any Bankruptcy Law:</w:t>
      </w:r>
    </w:p>
    <w:p>
      <w:pPr>
        <w:spacing w:after="0" w:line="165" w:lineRule="exact"/>
        <w:rPr>
          <w:sz w:val="20"/>
          <w:szCs w:val="20"/>
          <w:color w:val="auto"/>
        </w:rPr>
      </w:pPr>
    </w:p>
    <w:p>
      <w:pPr>
        <w:ind w:left="2620" w:hanging="668"/>
        <w:spacing w:after="0"/>
        <w:tabs>
          <w:tab w:leader="none" w:pos="2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660" w:firstLine="1292"/>
        <w:spacing w:after="0" w:line="277" w:lineRule="auto"/>
        <w:tabs>
          <w:tab w:leader="none" w:pos="25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170" w:lineRule="exact"/>
        <w:rPr>
          <w:rFonts w:ascii="Arial" w:cs="Arial" w:eastAsia="Arial" w:hAnsi="Arial"/>
          <w:sz w:val="18"/>
          <w:szCs w:val="18"/>
          <w:color w:val="auto"/>
        </w:rPr>
      </w:pPr>
    </w:p>
    <w:p>
      <w:pPr>
        <w:ind w:left="660" w:firstLine="1292"/>
        <w:spacing w:after="0" w:line="277" w:lineRule="auto"/>
        <w:tabs>
          <w:tab w:leader="none" w:pos="264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2660" w:hanging="708"/>
        <w:spacing w:after="0"/>
        <w:tabs>
          <w:tab w:leader="none" w:pos="2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3940" w:hanging="692"/>
        <w:spacing w:after="0"/>
        <w:tabs>
          <w:tab w:leader="none" w:pos="39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sz w:val="20"/>
          <w:szCs w:val="20"/>
          <w:color w:val="auto"/>
        </w:rPr>
      </w:pPr>
    </w:p>
    <w:p>
      <w:pPr>
        <w:jc w:val="both"/>
        <w:ind w:left="660" w:firstLine="1292"/>
        <w:spacing w:after="0" w:line="255" w:lineRule="auto"/>
        <w:tabs>
          <w:tab w:leader="none" w:pos="260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is for relief against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would constitute a Significant Subsidiary other than a Receivables Subsidiary), in a proceeding in which the Issuer or any such Significant Subsidiary or any such group of Restricted Subsidiaries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would constitute a Significant Subsidiary other than a Receivables Subsidiary, is to be adjudicated bankrupt or insolvent;</w:t>
      </w:r>
    </w:p>
    <w:p>
      <w:pPr>
        <w:spacing w:after="0" w:line="192" w:lineRule="exact"/>
        <w:rPr>
          <w:rFonts w:ascii="Arial" w:cs="Arial" w:eastAsia="Arial" w:hAnsi="Arial"/>
          <w:sz w:val="18"/>
          <w:szCs w:val="18"/>
          <w:color w:val="auto"/>
        </w:rPr>
      </w:pPr>
    </w:p>
    <w:p>
      <w:pPr>
        <w:jc w:val="both"/>
        <w:ind w:left="660" w:firstLine="1292"/>
        <w:spacing w:after="0" w:line="273" w:lineRule="auto"/>
        <w:tabs>
          <w:tab w:leader="none" w:pos="256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appoints a receiver, liquidator, assignee, trustee, sequestrator or other similar official of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would constitute a Significant Subsidiary other than a Receivables Subsidiary), or for all or substantially all of the property of the Issuer or any such Significant Subsidiary or any such group of Restricted Subsidiaries that together (as determined as of the most recent consolidated financial statements of the Issuer for a fiscal quarter end provided as required under </w:t>
      </w:r>
      <w:r>
        <w:rPr>
          <w:rFonts w:ascii="Arial" w:cs="Arial" w:eastAsia="Arial" w:hAnsi="Arial"/>
          <w:sz w:val="17"/>
          <w:szCs w:val="17"/>
          <w:u w:val="single" w:color="auto"/>
          <w:color w:val="auto"/>
        </w:rPr>
        <w:t>Section 4.03</w:t>
      </w:r>
      <w:r>
        <w:rPr>
          <w:rFonts w:ascii="Arial" w:cs="Arial" w:eastAsia="Arial" w:hAnsi="Arial"/>
          <w:sz w:val="17"/>
          <w:szCs w:val="17"/>
          <w:color w:val="auto"/>
        </w:rPr>
        <w:t>) would constitute a Significant Subsidiary other than a Receivables Subsidiary; or</w:t>
      </w:r>
    </w:p>
    <w:p>
      <w:pPr>
        <w:spacing w:after="0" w:line="177" w:lineRule="exact"/>
        <w:rPr>
          <w:rFonts w:ascii="Arial" w:cs="Arial" w:eastAsia="Arial" w:hAnsi="Arial"/>
          <w:sz w:val="17"/>
          <w:szCs w:val="17"/>
          <w:color w:val="auto"/>
        </w:rPr>
      </w:pPr>
    </w:p>
    <w:p>
      <w:pPr>
        <w:jc w:val="both"/>
        <w:ind w:left="660" w:firstLine="1292"/>
        <w:spacing w:after="0" w:line="263" w:lineRule="auto"/>
        <w:tabs>
          <w:tab w:leader="none" w:pos="26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orders the liquidation of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4.03</w:t>
      </w:r>
      <w:r>
        <w:rPr>
          <w:rFonts w:ascii="Arial" w:cs="Arial" w:eastAsia="Arial" w:hAnsi="Arial"/>
          <w:sz w:val="18"/>
          <w:szCs w:val="18"/>
          <w:color w:val="auto"/>
        </w:rPr>
        <w:t>) would constitute a Significant Subsidiary other than a Receivables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jc w:val="both"/>
        <w:ind w:firstLine="1952"/>
        <w:spacing w:after="0" w:line="296" w:lineRule="auto"/>
        <w:tabs>
          <w:tab w:leader="none" w:pos="2816" w:val="left"/>
        </w:tabs>
        <w:numPr>
          <w:ilvl w:val="2"/>
          <w:numId w:val="204"/>
        </w:numPr>
        <w:rPr>
          <w:rFonts w:ascii="Arial" w:cs="Arial" w:eastAsia="Arial" w:hAnsi="Arial"/>
          <w:sz w:val="16"/>
          <w:szCs w:val="16"/>
          <w:color w:val="auto"/>
        </w:rPr>
      </w:pPr>
      <w:r>
        <w:rPr>
          <w:rFonts w:ascii="Arial" w:cs="Arial" w:eastAsia="Arial" w:hAnsi="Arial"/>
          <w:sz w:val="16"/>
          <w:szCs w:val="16"/>
          <w:color w:val="auto"/>
        </w:rPr>
        <w:t xml:space="preserve">any Note Guarantee of any Guarantor that is a Significant Subsidiary (or group of Guarantors that together (as determined as of the most recent consolidated financial statements of the Issuer for a fiscal quarter end provided as required under </w:t>
      </w:r>
      <w:r>
        <w:rPr>
          <w:rFonts w:ascii="Arial" w:cs="Arial" w:eastAsia="Arial" w:hAnsi="Arial"/>
          <w:sz w:val="16"/>
          <w:szCs w:val="16"/>
          <w:u w:val="single" w:color="auto"/>
          <w:color w:val="auto"/>
        </w:rPr>
        <w:t>Section 4.03</w:t>
      </w:r>
      <w:r>
        <w:rPr>
          <w:rFonts w:ascii="Arial" w:cs="Arial" w:eastAsia="Arial" w:hAnsi="Arial"/>
          <w:sz w:val="16"/>
          <w:szCs w:val="16"/>
          <w:color w:val="auto"/>
        </w:rPr>
        <w:t>) would constitute a Significant Subsidiary) ceases to be in full force and effect (other than in accordance with the terms of such Note Guarantee) or such Guarantor or such group of Guarantors denies or disaffirms its obligations under its Note Guarantee (other than by reason of the satisfaction in full of all obligations under this Indenture and discharge of this Indenture or the release of such Note Guarantee in accordance with the terms of this Indenture);</w:t>
      </w:r>
    </w:p>
    <w:p>
      <w:pPr>
        <w:spacing w:after="0" w:line="161" w:lineRule="exact"/>
        <w:rPr>
          <w:rFonts w:ascii="Arial" w:cs="Arial" w:eastAsia="Arial" w:hAnsi="Arial"/>
          <w:sz w:val="16"/>
          <w:szCs w:val="16"/>
          <w:color w:val="auto"/>
        </w:rPr>
      </w:pPr>
    </w:p>
    <w:p>
      <w:pPr>
        <w:ind w:left="2620" w:hanging="668"/>
        <w:spacing w:after="0"/>
        <w:tabs>
          <w:tab w:leader="none" w:pos="262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952"/>
        <w:spacing w:after="0" w:line="291" w:lineRule="auto"/>
        <w:tabs>
          <w:tab w:leader="none" w:pos="2722" w:val="left"/>
        </w:tabs>
        <w:numPr>
          <w:ilvl w:val="2"/>
          <w:numId w:val="204"/>
        </w:numPr>
        <w:rPr>
          <w:rFonts w:ascii="Arial" w:cs="Arial" w:eastAsia="Arial" w:hAnsi="Arial"/>
          <w:sz w:val="16"/>
          <w:szCs w:val="16"/>
          <w:color w:val="auto"/>
        </w:rPr>
      </w:pPr>
      <w:r>
        <w:rPr>
          <w:rFonts w:ascii="Arial" w:cs="Arial" w:eastAsia="Arial" w:hAnsi="Arial"/>
          <w:sz w:val="16"/>
          <w:szCs w:val="16"/>
          <w:color w:val="auto"/>
        </w:rPr>
        <w:t>(i) the Liens created by the Security Documents shall at any time not constitute a valid and perfected Lien on any material portion of the Collateral intended to be covered thereby (unless perfection is not required by this Indenture or the Security Documents) other than</w:t>
      </w:r>
    </w:p>
    <w:p>
      <w:pPr>
        <w:ind w:left="300" w:hanging="292"/>
        <w:spacing w:after="0"/>
        <w:tabs>
          <w:tab w:leader="none" w:pos="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 accordance with the terms of the relevant Security Document and this Indenture, (B) the satisfaction in full of all Obligations under this Indenture or</w:t>
      </w:r>
    </w:p>
    <w:p>
      <w:pPr>
        <w:spacing w:after="0" w:line="32" w:lineRule="exact"/>
        <w:rPr>
          <w:rFonts w:ascii="Arial" w:cs="Arial" w:eastAsia="Arial" w:hAnsi="Arial"/>
          <w:sz w:val="16"/>
          <w:szCs w:val="16"/>
          <w:color w:val="auto"/>
        </w:rPr>
      </w:pPr>
    </w:p>
    <w:p>
      <w:pPr>
        <w:jc w:val="both"/>
        <w:ind w:firstLine="8"/>
        <w:spacing w:after="0" w:line="253" w:lineRule="auto"/>
        <w:tabs>
          <w:tab w:leader="none" w:pos="29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loss of perfection that results from the failure of the Controlling Collateral Agent or Notes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Trustee or the Holders of not less than 30.0% in aggregate principal amount of the then outstanding Notes; or</w:t>
      </w:r>
    </w:p>
    <w:p>
      <w:pPr>
        <w:spacing w:after="0" w:line="192" w:lineRule="exact"/>
        <w:rPr>
          <w:rFonts w:ascii="Arial" w:cs="Arial" w:eastAsia="Arial" w:hAnsi="Arial"/>
          <w:sz w:val="18"/>
          <w:szCs w:val="18"/>
          <w:color w:val="auto"/>
        </w:rPr>
      </w:pPr>
    </w:p>
    <w:p>
      <w:pPr>
        <w:jc w:val="both"/>
        <w:ind w:firstLine="1952"/>
        <w:spacing w:after="0" w:line="255" w:lineRule="auto"/>
        <w:tabs>
          <w:tab w:leader="none" w:pos="2591" w:val="left"/>
        </w:tabs>
        <w:numPr>
          <w:ilvl w:val="2"/>
          <w:numId w:val="206"/>
        </w:numPr>
        <w:rPr>
          <w:rFonts w:ascii="Arial" w:cs="Arial" w:eastAsia="Arial" w:hAnsi="Arial"/>
          <w:sz w:val="18"/>
          <w:szCs w:val="18"/>
          <w:color w:val="auto"/>
        </w:rPr>
      </w:pPr>
      <w:r>
        <w:rPr>
          <w:rFonts w:ascii="Arial" w:cs="Arial" w:eastAsia="Arial" w:hAnsi="Arial"/>
          <w:sz w:val="18"/>
          <w:szCs w:val="18"/>
          <w:color w:val="auto"/>
        </w:rPr>
        <w:t xml:space="preserve">the Issuer or any Guarantor that is a Significant Subsidiary (or any group of Guarantors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would constitute a Significant Subsidiary) shall assert, in any pleading in any court of competent jurisdiction, that any security interest in any material Security Document is invalid or unenforceable (other than by reason of the satisfaction in full of all obligations under this Indenture and discharge of this Indenture, the release of the Note Guarantee of such Guarantor in accordance with the terms of this Indenture or the release of such security interest in accordance with the terms of this Indenture and the Security Documents).</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07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In the event of any Event of Default specified in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6.01(a)</w:t>
      </w:r>
      <w:r>
        <w:rPr>
          <w:rFonts w:ascii="Arial" w:cs="Arial" w:eastAsia="Arial" w:hAnsi="Arial"/>
          <w:sz w:val="18"/>
          <w:szCs w:val="18"/>
          <w:color w:val="auto"/>
        </w:rPr>
        <w:t>, such Event of Default and all consequences thereof (excluding any resulting payment default, other than as a result of acceleration of the Notes) shall be annulled, waived and rescinded, automatically and without any action by the Trustee or the Holders, if within 30 days after such Event of Default arose:</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 or</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2"/>
          <w:numId w:val="207"/>
        </w:numPr>
        <w:rPr>
          <w:rFonts w:ascii="Arial" w:cs="Arial" w:eastAsia="Arial" w:hAnsi="Arial"/>
          <w:sz w:val="16"/>
          <w:szCs w:val="16"/>
          <w:color w:val="auto"/>
        </w:rPr>
      </w:pPr>
      <w:r>
        <w:rPr>
          <w:rFonts w:ascii="Arial" w:cs="Arial" w:eastAsia="Arial" w:hAnsi="Arial"/>
          <w:sz w:val="16"/>
          <w:szCs w:val="16"/>
          <w:color w:val="auto"/>
        </w:rPr>
        <w:t>the requisite holders thereof have rescinded or waived the acceleration, notice or action (as the case may be) giving rise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Event of Default; or</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7"/>
          <w:szCs w:val="17"/>
          <w:u w:val="single" w:color="auto"/>
          <w:color w:val="auto"/>
        </w:rPr>
        <w:t>ACCELERATION; NOTEHOLDER DIRECTION.</w:t>
      </w:r>
    </w:p>
    <w:p>
      <w:pPr>
        <w:spacing w:after="0" w:line="225" w:lineRule="exact"/>
        <w:rPr>
          <w:sz w:val="20"/>
          <w:szCs w:val="20"/>
          <w:color w:val="auto"/>
        </w:rPr>
      </w:pPr>
    </w:p>
    <w:p>
      <w:pPr>
        <w:jc w:val="both"/>
        <w:ind w:firstLine="1304"/>
        <w:spacing w:after="0" w:line="286" w:lineRule="auto"/>
        <w:tabs>
          <w:tab w:leader="none" w:pos="204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If any Event of Default (other than an Event of Default specified in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with respect to the Issuer) occurs and is continuing under this Indenture, the Trustee or the Holders of at least 30.0% in aggregate principal amount of the then total outstanding Notes may declare the principal, premium, if any, interest and any other monetary obligations on all the then outstanding Notes to be due and payable immediately. Notwithstanding anything in this Indenture to the contrary, a notice of Default may not be given with respect to any action taken, any inaction that occurred or any event that took place and, in each case, was either reported publicly or reported to Holders, more than two years prior to such notice of Default. Any notice of Default, notice of acceleration or instruction to the Trustee to provide a notice of Default, notice of acceleration or take any other action (a “</w:t>
      </w:r>
      <w:r>
        <w:rPr>
          <w:rFonts w:ascii="Arial" w:cs="Arial" w:eastAsia="Arial" w:hAnsi="Arial"/>
          <w:sz w:val="16"/>
          <w:szCs w:val="16"/>
          <w:u w:val="single" w:color="auto"/>
          <w:color w:val="auto"/>
        </w:rPr>
        <w:t>Noteholder Direction</w:t>
      </w:r>
      <w:r>
        <w:rPr>
          <w:rFonts w:ascii="Arial" w:cs="Arial" w:eastAsia="Arial" w:hAnsi="Arial"/>
          <w:sz w:val="16"/>
          <w:szCs w:val="16"/>
          <w:color w:val="auto"/>
        </w:rPr>
        <w:t>”) provided by any one or more Holders (each a “</w:t>
      </w:r>
      <w:r>
        <w:rPr>
          <w:rFonts w:ascii="Arial" w:cs="Arial" w:eastAsia="Arial" w:hAnsi="Arial"/>
          <w:sz w:val="16"/>
          <w:szCs w:val="16"/>
          <w:u w:val="single" w:color="auto"/>
          <w:color w:val="auto"/>
        </w:rPr>
        <w:t>Directing Holder</w:t>
      </w:r>
      <w:r>
        <w:rPr>
          <w:rFonts w:ascii="Arial" w:cs="Arial" w:eastAsia="Arial" w:hAnsi="Arial"/>
          <w:sz w:val="16"/>
          <w:szCs w:val="16"/>
          <w:color w:val="auto"/>
        </w:rPr>
        <w:t>”) must be accompanied by a written representation from each such Holder to the Issuer and the Trustee that such Holder is not (or, in the case such Holder is DTC or its nominee, that such Holder is being instructed solely by beneficial owners that are not) Net Short (a “</w:t>
      </w:r>
      <w:r>
        <w:rPr>
          <w:rFonts w:ascii="Arial" w:cs="Arial" w:eastAsia="Arial" w:hAnsi="Arial"/>
          <w:sz w:val="16"/>
          <w:szCs w:val="16"/>
          <w:u w:val="single" w:color="auto"/>
          <w:color w:val="auto"/>
        </w:rPr>
        <w:t>Position Representation</w:t>
      </w:r>
      <w:r>
        <w:rPr>
          <w:rFonts w:ascii="Arial" w:cs="Arial" w:eastAsia="Arial" w:hAnsi="Arial"/>
          <w:sz w:val="16"/>
          <w:szCs w:val="16"/>
          <w:color w:val="auto"/>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 with such other information as the Issuer may reasonably request from time to time in order to verify the accuracy of such Holder’s Position Representation within five Business Days of request therefor (a “</w:t>
      </w:r>
      <w:r>
        <w:rPr>
          <w:rFonts w:ascii="Arial" w:cs="Arial" w:eastAsia="Arial" w:hAnsi="Arial"/>
          <w:sz w:val="16"/>
          <w:szCs w:val="16"/>
          <w:u w:val="single" w:color="auto"/>
          <w:color w:val="auto"/>
        </w:rPr>
        <w:t>Verification Covenant</w:t>
      </w:r>
      <w:r>
        <w:rPr>
          <w:rFonts w:ascii="Arial" w:cs="Arial" w:eastAsia="Arial" w:hAnsi="Arial"/>
          <w:sz w:val="16"/>
          <w:szCs w:val="16"/>
          <w:color w:val="auto"/>
        </w:rPr>
        <w:t>”). In any case in which the Holder is DTC or its nominee, any Position Representation or Verification Covenant required hereunder shall be provided by the beneficial owner of the Notes in lieu of DTC or its nominee.</w:t>
      </w:r>
    </w:p>
    <w:p>
      <w:pPr>
        <w:spacing w:after="0" w:line="170" w:lineRule="exact"/>
        <w:rPr>
          <w:rFonts w:ascii="Arial" w:cs="Arial" w:eastAsia="Arial" w:hAnsi="Arial"/>
          <w:sz w:val="16"/>
          <w:szCs w:val="16"/>
          <w:color w:val="auto"/>
        </w:rPr>
      </w:pPr>
    </w:p>
    <w:p>
      <w:pPr>
        <w:jc w:val="both"/>
        <w:ind w:firstLine="1304"/>
        <w:spacing w:after="0" w:line="286" w:lineRule="auto"/>
        <w:tabs>
          <w:tab w:leader="none" w:pos="191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following the delivery of a Noteholder Direction, but prior to the acceleration of the Notes, the Issuer determines in good faith that there is a reasonable basis to believe that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If, following the delivery of a Noteholder Direction, but prior to the acceleration of the Notes, the Issuer provides to the Trustee an Officer’s Certificate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the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jc w:val="both"/>
        <w:ind w:firstLine="1304"/>
        <w:spacing w:after="0" w:line="263" w:lineRule="auto"/>
        <w:tabs>
          <w:tab w:leader="none" w:pos="2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to the contrary, any Noteholder Direction delivered to the Trustee during the pendency of an Event of Default as the result of a bankruptcy or similar proceeding shall not require compliance with the third and fourth sentences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93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Upon the effectiveness of a declaration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such principal and interest shall be due and payable immediately. Notwithstanding the foregoing, in the case of an Event of Default arising under </w:t>
      </w:r>
      <w:r>
        <w:rPr>
          <w:rFonts w:ascii="Arial" w:cs="Arial" w:eastAsia="Arial" w:hAnsi="Arial"/>
          <w:sz w:val="17"/>
          <w:szCs w:val="17"/>
          <w:u w:val="single" w:color="auto"/>
          <w:color w:val="auto"/>
        </w:rPr>
        <w:t>clause (6)</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with respect to the Issuer, the principal of and interest on all outstanding Notes shall become due and payable without further action or notice.</w:t>
      </w:r>
    </w:p>
    <w:p>
      <w:pPr>
        <w:spacing w:after="0" w:line="165" w:lineRule="exact"/>
        <w:rPr>
          <w:rFonts w:ascii="Arial" w:cs="Arial" w:eastAsia="Arial" w:hAnsi="Arial"/>
          <w:sz w:val="17"/>
          <w:szCs w:val="17"/>
          <w:color w:val="auto"/>
        </w:rPr>
      </w:pPr>
    </w:p>
    <w:p>
      <w:pPr>
        <w:jc w:val="both"/>
        <w:ind w:firstLine="1304"/>
        <w:spacing w:after="0" w:line="257" w:lineRule="auto"/>
        <w:tabs>
          <w:tab w:leader="none" w:pos="202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Trustee shall be entitled to conclusively rely on any Noteholder Direction delivered to it in accordance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acting in good faith on a Noteholder Direction.</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200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If a Default for a failure to report or failure to deliver a required certificate in connection with another default (such other default, the “</w:t>
      </w:r>
      <w:r>
        <w:rPr>
          <w:rFonts w:ascii="Arial" w:cs="Arial" w:eastAsia="Arial" w:hAnsi="Arial"/>
          <w:sz w:val="18"/>
          <w:szCs w:val="18"/>
          <w:u w:val="single" w:color="auto"/>
          <w:color w:val="auto"/>
        </w:rPr>
        <w:t>Initial Default</w:t>
      </w:r>
      <w:r>
        <w:rPr>
          <w:rFonts w:ascii="Arial" w:cs="Arial" w:eastAsia="Arial" w:hAnsi="Arial"/>
          <w:sz w:val="18"/>
          <w:szCs w:val="18"/>
          <w:color w:val="auto"/>
        </w:rPr>
        <w:t xml:space="preserve">”) occurs, then at the time such Initial Default is cured, the Default for a failure to report or failure to deliver a required certificate in connection with the Initial Default will also be cured without any further action and (ii) any Default or Event of Default for the failure to comply with the time periods prescribed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otherwise to deliver any notice or certificate pursuant to any other provision of this Indenture shall be deemed to be cured upon the delivery of any such report required by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such notice or certificate, as applicable, even though such delivery is not within the prescribed period specified in this Indenture. Any time period specified in this Indenture to cure any actual or alleged Default or Event of Default may be extended or stayed by a court of competent jurisdiction.</w:t>
      </w:r>
    </w:p>
    <w:p>
      <w:pPr>
        <w:spacing w:after="0" w:line="194" w:lineRule="exact"/>
        <w:rPr>
          <w:rFonts w:ascii="Arial" w:cs="Arial" w:eastAsia="Arial" w:hAnsi="Arial"/>
          <w:sz w:val="18"/>
          <w:szCs w:val="18"/>
          <w:color w:val="auto"/>
        </w:rPr>
      </w:pPr>
    </w:p>
    <w:p>
      <w:pPr>
        <w:ind w:left="1900" w:hanging="596"/>
        <w:spacing w:after="0"/>
        <w:tabs>
          <w:tab w:leader="none" w:pos="1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Trustee shall have no obligation to accelerate the Notes if in the reasonable judgment of the Trustee acceleration is not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 of the Holders.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7"/>
          <w:szCs w:val="17"/>
          <w:u w:val="single" w:color="auto"/>
          <w:color w:val="auto"/>
        </w:rPr>
        <w:t>OTHER REMEDIES.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u w:val="single" w:color="auto"/>
          <w:color w:val="auto"/>
        </w:rPr>
        <w:t>WAIVER OF PAST DEFAULTS.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Holders of a majority in aggregate principal amount of the then outstanding Notes by notice to the Trustee may on behalf of the Holders of all of the Notes waive any existing Default or Event of Default and its consequences under this Indenture and the Security Documents, except a continuing Default or Event of Default in the payment of the principal of, premium, if any, or interest on, any Note held by a non-consenting Holder, and may rescind any acceleration and its consequences with respect to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rescission would not conflict with any judgment of a court of competent jurisdiction.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Equal Priority Intercreditor Agreement, Holders of a majority in aggregate principal amount of the outstanding Notes shall have the right to direct the time, method and place of conducting any proceeding for exercising any remedy available to the Trustee or the Notes Collateral Agent or of exercising any trust or power conferred on the Trustee or the Notes Collateral Agent, and the Trustee or the Notes Collateral Agent, as applicable, may act at the direction of the Holders without liability. The Trustee or the Notes Collateral Agent, as applicable, however, may refuse to follow any direction that conflicts with law or this Indenture or that the Trustee or the Notes Collateral Agent, as applicable, determines is unduly prejudicial to the rights of any other Holder or that would involve the Trustee or the Notes Collateral Agent, as applicable, in personal liability. Notwithstanding anything to the contrary herein, the Controlling Collateral Agent will determine the time and method by which the security interests in the Shared Collateral will be enforced, as will be set forth in the Equal Priority Intercreditor Agreement.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6.07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7.01</w:t>
      </w:r>
      <w:r>
        <w:rPr>
          <w:rFonts w:ascii="Arial" w:cs="Arial" w:eastAsia="Arial" w:hAnsi="Arial"/>
          <w:sz w:val="18"/>
          <w:szCs w:val="18"/>
          <w:color w:val="auto"/>
        </w:rPr>
        <w:t>, in case an Event of Default occurs and is continuing, the Trustee will be under no obligation to exercise any of the rights or powers under this Indenture at the request or direction of any of the Holders unless the Holders have offered to the Trustee indemnity or security reasonably satisfactory to the Trustee against any loss, liability or expense. Subject to the Equal Priority Intercreditor Agreement, and except to enforce the right to receive payment of principal, premium (if any) or interest when due, no Holder may pursue any remedy with respect to the Notes or this Indenture unless:</w:t>
      </w:r>
    </w:p>
    <w:p>
      <w:pPr>
        <w:spacing w:after="0" w:line="188" w:lineRule="exact"/>
        <w:rPr>
          <w:sz w:val="20"/>
          <w:szCs w:val="20"/>
          <w:color w:val="auto"/>
        </w:rPr>
      </w:pPr>
    </w:p>
    <w:p>
      <w:pPr>
        <w:ind w:left="2620" w:hanging="668"/>
        <w:spacing w:after="0"/>
        <w:tabs>
          <w:tab w:leader="none" w:pos="2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2680" w:hanging="728"/>
        <w:spacing w:after="0"/>
        <w:tabs>
          <w:tab w:leader="none" w:pos="26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Holders of at least 30.0% in aggregate principal amount of the total outstanding Notes have requested the Trustee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writing to pursue the remedy;</w:t>
      </w:r>
    </w:p>
    <w:p>
      <w:pPr>
        <w:spacing w:after="0" w:line="210" w:lineRule="exact"/>
        <w:rPr>
          <w:rFonts w:ascii="Arial" w:cs="Arial" w:eastAsia="Arial" w:hAnsi="Arial"/>
          <w:sz w:val="16"/>
          <w:szCs w:val="16"/>
          <w:color w:val="auto"/>
        </w:rPr>
      </w:pPr>
    </w:p>
    <w:p>
      <w:pPr>
        <w:ind w:right="20" w:firstLine="1952"/>
        <w:spacing w:after="0" w:line="277" w:lineRule="auto"/>
        <w:tabs>
          <w:tab w:leader="none" w:pos="270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Holders have offered and, if requested, provided to the Trustee indemnity or security reasonably satisfactory to the Trustee against any loss, liability or expense;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ind w:left="2680" w:hanging="728"/>
        <w:spacing w:after="0"/>
        <w:tabs>
          <w:tab w:leader="none" w:pos="26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Trustee has not complied with such request within 60 days after the receipt thereof and the offer of security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indemnity; and</w:t>
      </w:r>
    </w:p>
    <w:p>
      <w:pPr>
        <w:spacing w:after="0" w:line="211" w:lineRule="exact"/>
        <w:rPr>
          <w:sz w:val="20"/>
          <w:szCs w:val="20"/>
          <w:color w:val="auto"/>
        </w:rPr>
      </w:pPr>
    </w:p>
    <w:p>
      <w:pPr>
        <w:ind w:right="20" w:firstLine="1952"/>
        <w:spacing w:after="0" w:line="277" w:lineRule="auto"/>
        <w:tabs>
          <w:tab w:leader="none" w:pos="262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total then outstanding Notes have not given the Trustee a direction inconsistent with such request within such 60-day period.</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7"/>
          <w:szCs w:val="17"/>
          <w:u w:val="single" w:color="auto"/>
          <w:color w:val="auto"/>
        </w:rPr>
        <w:t>RIGHTS OF HOLDERS TO RECEIVE PAYMENT.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 other provision of this Indenture (including </w:t>
      </w:r>
      <w:r>
        <w:rPr>
          <w:rFonts w:ascii="Arial" w:cs="Arial" w:eastAsia="Arial" w:hAnsi="Arial"/>
          <w:sz w:val="18"/>
          <w:szCs w:val="18"/>
          <w:u w:val="single" w:color="auto"/>
          <w:color w:val="auto"/>
        </w:rPr>
        <w:t>Section 6.06</w:t>
      </w:r>
      <w:r>
        <w:rPr>
          <w:rFonts w:ascii="Arial" w:cs="Arial" w:eastAsia="Arial" w:hAnsi="Arial"/>
          <w:sz w:val="18"/>
          <w:szCs w:val="18"/>
          <w:color w:val="auto"/>
        </w:rPr>
        <w:t>), the contractual right expressly set forth in this Indenture or the Notes of any Holder to receive payment of principal of, premium, if any, or interest on the Notes held by such Holder, on or after the respective due dates, Redemption Dates or purchase date expressed in this Indenture or the Notes, or to bring suit for the enforcement of any such payment on or after such respective dates, shall not be amended without the consent of such Holder.</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COLLECTION SUIT BY TRUSTEE.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If an Event of Default specified in </w:t>
      </w:r>
      <w:r>
        <w:rPr>
          <w:rFonts w:ascii="Arial" w:cs="Arial" w:eastAsia="Arial" w:hAnsi="Arial"/>
          <w:sz w:val="17"/>
          <w:szCs w:val="17"/>
          <w:u w:val="single" w:color="auto"/>
          <w:color w:val="auto"/>
        </w:rPr>
        <w:t>Section 6.01(a)(1)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7"/>
          <w:szCs w:val="17"/>
          <w:u w:val="single" w:color="auto"/>
          <w:color w:val="auto"/>
        </w:rPr>
        <w:t>RESTORATION OF RIGHTS AND REMEDIES.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u w:val="single" w:color="auto"/>
          <w:color w:val="auto"/>
        </w:rPr>
        <w:t>RIGHTS AND REMEDIES CUMULATIVE.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Except as otherwise provided with respect to the replacement or payment of mutilated, destroyed, lost or stolen Notes in </w:t>
      </w:r>
      <w:r>
        <w:rPr>
          <w:rFonts w:ascii="Arial" w:cs="Arial" w:eastAsia="Arial" w:hAnsi="Arial"/>
          <w:sz w:val="18"/>
          <w:szCs w:val="18"/>
          <w:u w:val="single" w:color="auto"/>
          <w:color w:val="auto"/>
        </w:rPr>
        <w:t>Section 2.07</w:t>
      </w:r>
      <w:r>
        <w:rPr>
          <w:rFonts w:ascii="Arial" w:cs="Arial" w:eastAsia="Arial" w:hAnsi="Arial"/>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7"/>
          <w:szCs w:val="17"/>
          <w:u w:val="single" w:color="auto"/>
          <w:color w:val="auto"/>
        </w:rPr>
        <w:t>DELAY OR OMISSION NOT WAIVER.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7"/>
          <w:szCs w:val="17"/>
          <w:u w:val="single" w:color="auto"/>
          <w:color w:val="auto"/>
        </w:rPr>
        <w:t>TRUSTEE MAY FILE PROOFS OF CLAIM.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To the extent that the payment of any such compensation, expenses, disbursements and advances of the Trustee, its agents and counsel, and any other amounts due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7"/>
          <w:szCs w:val="17"/>
          <w:u w:val="single" w:color="auto"/>
          <w:color w:val="auto"/>
        </w:rPr>
        <w:t>PRIORITIES.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Subject to the provisions of any Intercreditor Agreements and the Security Documents, if the Trustee collects any money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after an Event of Default, any money or other property distributable in respect of the Issuer’s obligations under this Indenture, it shall pay out the money in the following order:</w:t>
      </w:r>
    </w:p>
    <w:p>
      <w:pPr>
        <w:spacing w:after="0" w:line="184" w:lineRule="exact"/>
        <w:rPr>
          <w:sz w:val="20"/>
          <w:szCs w:val="20"/>
          <w:color w:val="auto"/>
        </w:rPr>
      </w:pPr>
    </w:p>
    <w:p>
      <w:pPr>
        <w:jc w:val="both"/>
        <w:ind w:left="660" w:firstLine="1292"/>
        <w:spacing w:after="0" w:line="286" w:lineRule="auto"/>
        <w:tabs>
          <w:tab w:leader="none" w:pos="25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first to the Trustee (including any predecessor trustee) and second to the Notes Collateral Agent, in each case, and their respective agents and attorneys for amounts due under </w:t>
      </w:r>
      <w:r>
        <w:rPr>
          <w:rFonts w:ascii="Arial" w:cs="Arial" w:eastAsia="Arial" w:hAnsi="Arial"/>
          <w:sz w:val="17"/>
          <w:szCs w:val="17"/>
          <w:u w:val="single" w:color="auto"/>
          <w:color w:val="auto"/>
        </w:rPr>
        <w:t>Section 7.06</w:t>
      </w:r>
      <w:r>
        <w:rPr>
          <w:rFonts w:ascii="Arial" w:cs="Arial" w:eastAsia="Arial" w:hAnsi="Arial"/>
          <w:sz w:val="17"/>
          <w:szCs w:val="17"/>
          <w:color w:val="auto"/>
        </w:rPr>
        <w:t>, including payment of all compensation, expenses and liabilities incurred, and all advances made, by the Trustee and the Notes Collateral Agent and the costs and expenses of collection;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jc w:val="both"/>
        <w:ind w:left="660" w:firstLine="1292"/>
        <w:spacing w:after="0" w:line="263" w:lineRule="auto"/>
        <w:tabs>
          <w:tab w:leader="none" w:pos="272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to the Issuer or to such party as a court of competent jurisdiction shall direct, including a Guarantor, if applicable.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Trustee may fix a record date and payment date for any payment to Holders pursuant to this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7"/>
          <w:szCs w:val="17"/>
          <w:u w:val="single" w:color="auto"/>
          <w:color w:val="auto"/>
        </w:rPr>
        <w:t>UNDERTAKING FOR COSTS.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does not apply to a suit by the Trustee, a suit by a Holder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6.07</w:t>
      </w:r>
      <w:r>
        <w:rPr>
          <w:rFonts w:ascii="Arial" w:cs="Arial" w:eastAsia="Arial" w:hAnsi="Arial"/>
          <w:sz w:val="17"/>
          <w:szCs w:val="17"/>
          <w:color w:val="auto"/>
        </w:rPr>
        <w:t>, or a suit by Holders of more than 10.0% in principal amount of the then outstanding Notes.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TRUSTEE</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7"/>
          <w:szCs w:val="17"/>
          <w:u w:val="single" w:color="auto"/>
          <w:color w:val="auto"/>
        </w:rPr>
        <w:t>DUTIES OF TRUSTEE.</w:t>
      </w:r>
    </w:p>
    <w:p>
      <w:pPr>
        <w:spacing w:after="0" w:line="225" w:lineRule="exact"/>
        <w:rPr>
          <w:sz w:val="20"/>
          <w:szCs w:val="20"/>
          <w:color w:val="auto"/>
        </w:rPr>
      </w:pPr>
    </w:p>
    <w:p>
      <w:pPr>
        <w:jc w:val="both"/>
        <w:ind w:firstLine="1304"/>
        <w:spacing w:after="0" w:line="263" w:lineRule="auto"/>
        <w:tabs>
          <w:tab w:leader="none" w:pos="191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660" w:firstLine="1292"/>
        <w:spacing w:after="0" w:line="277" w:lineRule="auto"/>
        <w:tabs>
          <w:tab w:leader="none" w:pos="257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jc w:val="both"/>
        <w:ind w:left="660" w:firstLine="1292"/>
        <w:spacing w:after="0" w:line="296" w:lineRule="auto"/>
        <w:tabs>
          <w:tab w:leader="none" w:pos="274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ind w:left="1940" w:hanging="636"/>
        <w:spacing w:after="0"/>
        <w:tabs>
          <w:tab w:leader="none" w:pos="19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0" w:lineRule="exact"/>
        <w:rPr>
          <w:rFonts w:ascii="Arial" w:cs="Arial" w:eastAsia="Arial" w:hAnsi="Arial"/>
          <w:sz w:val="17"/>
          <w:szCs w:val="17"/>
          <w:color w:val="auto"/>
        </w:rPr>
      </w:pPr>
    </w:p>
    <w:p>
      <w:pPr>
        <w:ind w:left="2620" w:hanging="668"/>
        <w:spacing w:after="0"/>
        <w:tabs>
          <w:tab w:leader="none" w:pos="26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does not limit the effect of </w:t>
      </w:r>
      <w:r>
        <w:rPr>
          <w:rFonts w:ascii="Arial" w:cs="Arial" w:eastAsia="Arial" w:hAnsi="Arial"/>
          <w:sz w:val="18"/>
          <w:szCs w:val="18"/>
          <w:u w:val="single" w:color="auto"/>
          <w:color w:val="auto"/>
        </w:rPr>
        <w:t>Sections 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1292"/>
        <w:spacing w:after="0" w:line="277" w:lineRule="auto"/>
        <w:tabs>
          <w:tab w:leader="none" w:pos="262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64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Whether or not therein expressly so provided, every provision of this Indenture that in any way relates to the Trustee is subject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92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its rights or powers under this Indenture at the request or direction of any of the Holders unless the Holders have offered to the Trustee indemnity or security reasonably satisfactory to the Trustee against any loss, liability or expense, with respect to such exercise.</w:t>
      </w:r>
    </w:p>
    <w:p>
      <w:pPr>
        <w:spacing w:after="0" w:line="183" w:lineRule="exact"/>
        <w:rPr>
          <w:rFonts w:ascii="Arial" w:cs="Arial" w:eastAsia="Arial" w:hAnsi="Arial"/>
          <w:sz w:val="18"/>
          <w:szCs w:val="18"/>
          <w:color w:val="auto"/>
        </w:rPr>
      </w:pPr>
    </w:p>
    <w:p>
      <w:pPr>
        <w:ind w:right="20" w:firstLine="1304"/>
        <w:spacing w:after="0" w:line="277" w:lineRule="auto"/>
        <w:tabs>
          <w:tab w:leader="none" w:pos="18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06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7"/>
          <w:szCs w:val="17"/>
          <w:u w:val="single" w:color="auto"/>
          <w:color w:val="auto"/>
        </w:rPr>
        <w:t>RIGHTS OF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1" w:lineRule="auto"/>
        <w:tabs>
          <w:tab w:leader="none" w:pos="19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shall not be bound to make any investigation into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jc w:val="both"/>
        <w:ind w:firstLine="1304"/>
        <w:spacing w:after="0" w:line="279" w:lineRule="auto"/>
        <w:tabs>
          <w:tab w:leader="none" w:pos="202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firstLine="1304"/>
        <w:spacing w:after="0" w:line="277" w:lineRule="auto"/>
        <w:tabs>
          <w:tab w:leader="none" w:pos="194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firstLine="1304"/>
        <w:spacing w:after="0" w:line="277" w:lineRule="auto"/>
        <w:tabs>
          <w:tab w:leader="none" w:pos="194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firstLine="1304"/>
        <w:spacing w:after="0" w:line="342" w:lineRule="auto"/>
        <w:tabs>
          <w:tab w:leader="none" w:pos="210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Unless otherwise specifically provided in this Indenture, any demand, request, direction or notice from the Issuer shall be sufficient if signed by an Officer of the Issuer. Any request or direction of the Issuer mentioned herein shall be sufficiently evidenced by an Issuer Order.</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94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Notes and this Indenture.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6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8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rights, privileges, benefits, immunities, indemnities and other protections given to the Trustee are extended to, and shall be enforceable by, the Trustee in each of its capacities hereunder, and each agent, custodian and other Person employed to act hereunder, including the Notes Collateral Agent.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7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Trustee may request that the Issuer and any Guarantor deliver a certificate setting forth the names of the individuals and/or titles of Officers (with specimen signatures) authorized at such times to take specific actions pursuant to this Indenture, which certificate may be signed by any person specified as so authorized in any certificate previously delivered and not superseded.</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u w:val="single" w:color="auto"/>
          <w:color w:val="auto"/>
        </w:rPr>
        <w:t>INDIVIDUAL RIGHTS OF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as Trustee. Any Agent may do the same with like rights and duties. The Trustee is also subject to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5" w:name="page166"/>
    <w:bookmarkEnd w:id="165"/>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u w:val="single" w:color="auto"/>
          <w:color w:val="auto"/>
        </w:rPr>
        <w:t>TRUSTEE’S DISCLAIMER.</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Trustee shall not be responsible for and makes no representation as to the validity, sufficiency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The Trustee shall not be responsible to make any calculation with respect to any matter under this Indenture. The Trustee shall have no duty to monitor or investigate the Issuer’s compliance with or the breach of, or cause to be performed or observed, any representation, warranty, or covenant, or agreement of any Person, other than the Trustee, made in this Indenture.</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Trustee does not assume any responsibility for any failure or delay in performance or any breach by the Issuer or any other Grantor under this Indenture, any Intercreditor Agreements and the Security Documents. The Trustee shall not be responsible to the Holders or any other Person for any recitals, statements, information, representations or warranties contained in this Indenture, the Security Documents, any Intercreditor Agreements or any certificate, report, statement, or other document referred to or provided for in, or received by the Trustee under or in connection with, this Indenture, any Intercreditor Agreements or any Security Document; the execution, validity, genuineness, effectiveness or enforceability of any Intercreditor Agreements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any Intercreditor Agreements and the Security Documents.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7"/>
          <w:szCs w:val="17"/>
          <w:u w:val="single" w:color="auto"/>
          <w:color w:val="auto"/>
        </w:rPr>
        <w:t>NOTICE OF DEFAULTS.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Default occurs and is continuing and if it is actually known to the Trustee pursuant to Section 7.02(f), the Trustee shall send to Holders a notice of the Default within 90 days after it is known to the Trustee. Except in the case of a Default relating to the payment of principal, premium, if any, or interest on any Note, the Trustee may withhold from the Holders notice of any continuing Default if it in good faith determines that withholding the notice is in the interests of the Holders.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7"/>
          <w:szCs w:val="17"/>
          <w:u w:val="single" w:color="auto"/>
          <w:color w:val="auto"/>
        </w:rPr>
        <w:t>COMPENSATION AND INDEMNITY.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6" w:name="page167"/>
    <w:bookmarkEnd w:id="166"/>
    <w:p>
      <w:pPr>
        <w:jc w:val="both"/>
        <w:ind w:firstLine="648"/>
        <w:spacing w:after="0" w:line="288" w:lineRule="auto"/>
        <w:rPr>
          <w:sz w:val="20"/>
          <w:szCs w:val="20"/>
          <w:color w:val="auto"/>
        </w:rPr>
      </w:pPr>
      <w:r>
        <w:rPr>
          <w:rFonts w:ascii="Arial" w:cs="Arial" w:eastAsia="Arial" w:hAnsi="Arial"/>
          <w:sz w:val="16"/>
          <w:szCs w:val="16"/>
          <w:color w:val="auto"/>
        </w:rPr>
        <w:t xml:space="preserve">The Issuer and the Guarantors, jointly and severally, shall indemnify each of the Trustee or any predecessor Trustee and their officers, agents, directors and employees for, and hold them harmless against, any and all loss, damage, claim, liability or expense (including attorneys’ fees and expenses), including taxes (other than taxes based upon, measured by or determined by the income of the Trustee), incurred by it in connection with the acceptance or administration of this trust and the performance of its duties hereunder (including the costs and expenses of enforcing this Indenture against the Issuer or any of the Guarantors (including this </w:t>
      </w:r>
      <w:r>
        <w:rPr>
          <w:rFonts w:ascii="Arial" w:cs="Arial" w:eastAsia="Arial" w:hAnsi="Arial"/>
          <w:sz w:val="16"/>
          <w:szCs w:val="16"/>
          <w:u w:val="single" w:color="auto"/>
          <w:color w:val="auto"/>
        </w:rPr>
        <w:t>Section 7.06</w:t>
      </w:r>
      <w:r>
        <w:rPr>
          <w:rFonts w:ascii="Arial" w:cs="Arial" w:eastAsia="Arial" w:hAnsi="Arial"/>
          <w:sz w:val="16"/>
          <w:szCs w:val="16"/>
          <w:color w:val="auto"/>
        </w:rPr>
        <w:t>) or defending itself against any claim whether asserted by any Holder, the Issuer, any Guarantor or any other Person, or liability in connection with the acceptance, exercise or performance of any of its powers or duties hereunder). The Trustee shall notify the Issuer promptly of any claim for which it may seek indemnity. Failure by the Trustee to so notify the Issuer shall not relieve the Issuer of its obligations hereunder and the Trustee shall not incur any liability it if fails to so notify. The Issuer shall defend the claim and the Trustee may have separate counsel and the Issuer shall pay the fees and expenses of such counsel. The Issuer need not reimburse any expense or indemnify against any loss, liability or expense determined to have been caused by the Trustee’s own willful misconduct or gross negligence.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To secure the payment obligations of the Issuer and the Guarantors in this </w:t>
      </w:r>
      <w:r>
        <w:rPr>
          <w:rFonts w:ascii="Arial" w:cs="Arial" w:eastAsia="Arial" w:hAnsi="Arial"/>
          <w:sz w:val="18"/>
          <w:szCs w:val="18"/>
          <w:u w:val="single" w:color="auto"/>
          <w:color w:val="auto"/>
        </w:rPr>
        <w:t>Section 7.06</w:t>
      </w:r>
      <w:r>
        <w:rPr>
          <w:rFonts w:ascii="Arial" w:cs="Arial" w:eastAsia="Arial" w:hAnsi="Arial"/>
          <w:sz w:val="18"/>
          <w:szCs w:val="18"/>
          <w:color w:val="auto"/>
        </w:rPr>
        <w:t>, the Trustee shall have a Lien prior to the Notes on all money or property held or collected by the Trustee, except that held in trust to pay principal and interest on particular Notes.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When the Trustee incurs expenses or renders services after an Event of Default specified in </w:t>
      </w:r>
      <w:r>
        <w:rPr>
          <w:rFonts w:ascii="Arial" w:cs="Arial" w:eastAsia="Arial" w:hAnsi="Arial"/>
          <w:sz w:val="18"/>
          <w:szCs w:val="18"/>
          <w:u w:val="single" w:color="auto"/>
          <w:color w:val="auto"/>
        </w:rPr>
        <w:t>Section 6.01(a)(6)</w:t>
      </w:r>
      <w:r>
        <w:rPr>
          <w:rFonts w:ascii="Arial" w:cs="Arial" w:eastAsia="Arial" w:hAnsi="Arial"/>
          <w:sz w:val="18"/>
          <w:szCs w:val="18"/>
          <w:color w:val="auto"/>
        </w:rPr>
        <w:t xml:space="preserv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for purposes of this Section shall include any predecessor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negligence, willful misconduct or bad faith of any Trustee hereunder shall not affect the rights of any other Trustee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survive the satisfaction and discharge of this Indenture, the earlier resignation or removal of the Trustee or the termination for any reason of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7"/>
          <w:szCs w:val="17"/>
          <w:u w:val="single" w:color="auto"/>
          <w:color w:val="auto"/>
        </w:rPr>
        <w:t>REPLACEMENT OF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resignation or removal of the Trustee and appointment of a successor Trustee shall become effective only upon the successor Trustee’s acceptance of appointment as provided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spacing w:after="0" w:line="187" w:lineRule="exact"/>
        <w:rPr>
          <w:sz w:val="20"/>
          <w:szCs w:val="20"/>
          <w:color w:val="auto"/>
        </w:rPr>
      </w:pPr>
    </w:p>
    <w:p>
      <w:pPr>
        <w:ind w:left="1960" w:hanging="656"/>
        <w:spacing w:after="0"/>
        <w:tabs>
          <w:tab w:leader="none" w:pos="1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Bankruptcy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p>
      <w:pPr>
        <w:ind w:left="1960" w:hanging="656"/>
        <w:spacing w:after="0"/>
        <w:tabs>
          <w:tab w:leader="none" w:pos="1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successor Trustee does not take office within 60 days after the retiring Trustee resigns or is removed, the retiring Trustee (at the Issuer’s expense), the Issuer or the Holders of at least 10.0% in principal amount of the then outstanding Notes may petition any court of competent jurisdiction for the appointment of a successor Trustee.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If the Trustee, after written request by any Holder who has been a Holder for at least six months, fails to comply with </w:t>
      </w:r>
      <w:r>
        <w:rPr>
          <w:rFonts w:ascii="Arial" w:cs="Arial" w:eastAsia="Arial" w:hAnsi="Arial"/>
          <w:sz w:val="18"/>
          <w:szCs w:val="18"/>
          <w:u w:val="single" w:color="auto"/>
          <w:color w:val="auto"/>
        </w:rPr>
        <w:t>Section 7.09</w:t>
      </w:r>
      <w:r>
        <w:rPr>
          <w:rFonts w:ascii="Arial" w:cs="Arial" w:eastAsia="Arial" w:hAnsi="Arial"/>
          <w:sz w:val="18"/>
          <w:szCs w:val="18"/>
          <w:color w:val="auto"/>
        </w:rPr>
        <w:t>, such Holder may petition any court of competent jurisdiction for the removal of the Trustee and the appointment of a successor Trustee.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sums owing to the Trustee hereunder have been paid and subject to the Lien provided for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Notwithstanding replacement of the Trustee pursuant to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the Issuer’s obligations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continue for the benefit of the retiring Trustee.</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SUCCESSOR TRUSTEE BY MERGER, ETC.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Person, the successor Person without any further act shall be the successor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8"/>
          <w:szCs w:val="18"/>
          <w:u w:val="single" w:color="auto"/>
          <w:color w:val="auto"/>
        </w:rPr>
        <w:t>ELIGIBILITY; DISQUALIFICATION.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shall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8" w:name="page169"/>
    <w:bookmarkEnd w:id="168"/>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CERTAIN TAX MATTERS.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comply with applicable tax laws (inclusive of rules, regulations and interpretations promulgated by competent authorities) related to this Indenture in effect from time to time (“</w:t>
      </w:r>
      <w:r>
        <w:rPr>
          <w:rFonts w:ascii="Arial" w:cs="Arial" w:eastAsia="Arial" w:hAnsi="Arial"/>
          <w:sz w:val="18"/>
          <w:szCs w:val="18"/>
          <w:u w:val="single" w:color="auto"/>
          <w:color w:val="auto"/>
        </w:rPr>
        <w:t>Applicable Law</w:t>
      </w:r>
      <w:r>
        <w:rPr>
          <w:rFonts w:ascii="Arial" w:cs="Arial" w:eastAsia="Arial" w:hAnsi="Arial"/>
          <w:sz w:val="18"/>
          <w:szCs w:val="18"/>
          <w:color w:val="auto"/>
        </w:rPr>
        <w:t>”) that a foreign financial institution, issuer, trustee, paying agent or other party is or has agreed to be subject to, the Issuer agrees (i) to use commercially reasonable efforts to provide to the Trustee sufficient information about the parties and/or transactions related to this Indenture and the Notes (including any modification to the terms of such transactions) so the Trustee can determine whether it has tax related obligations under Applicable Law, and (ii) that the Trustee shall be entitled to make any withholding or deduction from payments to the extent necessary to comply with Applicable Law for which the Trustee shall not have any liability. The terms of this section shall survive the termination of this Indenture.</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u w:val="single" w:color="auto"/>
          <w:color w:val="auto"/>
        </w:rPr>
        <w:t>SECURITY DOCUMENTS; INTERCREDITOR AGREEMENTS.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By their acceptance of the Notes, the Holders hereby authorize and direct the Trustee and Notes Collateral Agent, as the case may be, to execute and deliver each of the Security Documents, the Equal Priority Intercreditor Agreement and, if applicable, any Junior Priority Intercreditor Agreement to which the Trustee or the Notes Collateral Agent, as applicable, is to be a party, including any Intercreditor Agreement or Security Documents executed on or after the Issue Date and any amendments, joinders or supplements to any Intercreditor Agreement or Security Document not prohibited by this Indenture.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any Intercreditor Agreement or any other Security Document,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u w:val="single" w:color="auto"/>
          <w:color w:val="auto"/>
        </w:rPr>
        <w:t>LEGAL DEFEASANCE AND COVENANT DEFEASANCE</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7"/>
          <w:szCs w:val="17"/>
          <w:u w:val="single" w:color="auto"/>
          <w:color w:val="auto"/>
        </w:rPr>
        <w:t>OPTION TO EFFECT LEGAL DEFEASANCE OR COVENANT DEFEASANCE.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Issuer may, at its option and at any time, elect to have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applied to all outstanding Notes upon compliance with the conditions set forth below in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7"/>
          <w:szCs w:val="17"/>
          <w:u w:val="single" w:color="auto"/>
          <w:color w:val="auto"/>
        </w:rPr>
        <w:t>LEGAL DEFEASANCE AND DISCHARGE.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Upon the Issuer’s exercise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option applicable to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the Issuer and the Guarantors shall, subject to the satisfaction of the conditions set forth in </w:t>
      </w:r>
      <w:r>
        <w:rPr>
          <w:rFonts w:ascii="Arial" w:cs="Arial" w:eastAsia="Arial" w:hAnsi="Arial"/>
          <w:sz w:val="17"/>
          <w:szCs w:val="17"/>
          <w:u w:val="single" w:color="auto"/>
          <w:color w:val="auto"/>
        </w:rPr>
        <w:t>Section 8.04</w:t>
      </w:r>
      <w:r>
        <w:rPr>
          <w:rFonts w:ascii="Arial" w:cs="Arial" w:eastAsia="Arial" w:hAnsi="Arial"/>
          <w:sz w:val="17"/>
          <w:szCs w:val="17"/>
          <w:color w:val="auto"/>
        </w:rPr>
        <w:t>, be deemed to have been discharged from their Obligations with respect to all outstanding Notes, this Indenture, the applicable Security Documents and Note Guarantees on the date the conditions set forth below are satisfied (“</w:t>
      </w:r>
      <w:r>
        <w:rPr>
          <w:rFonts w:ascii="Arial" w:cs="Arial" w:eastAsia="Arial" w:hAnsi="Arial"/>
          <w:sz w:val="17"/>
          <w:szCs w:val="17"/>
          <w:u w:val="single" w:color="auto"/>
          <w:color w:val="auto"/>
        </w:rPr>
        <w:t>Legal Defeasance</w:t>
      </w:r>
      <w:r>
        <w:rPr>
          <w:rFonts w:ascii="Arial" w:cs="Arial" w:eastAsia="Arial" w:hAnsi="Arial"/>
          <w:sz w:val="17"/>
          <w:szCs w:val="17"/>
          <w:color w:val="auto"/>
        </w:rPr>
        <w:t xml:space="preserve">”). For this purpose, Legal Defeasance means that the Issuer shall be deemed to have paid and discharged the entire Indebtedness represented by the outstanding Notes, which shall thereafter be deemed to be “outstanding” only for the purposes of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the other Sections of this Indenture referred to in clauses (a) and (b) below, and to have satisfied all its other Obligations under such Notes and this Indenture, the applicable Security Documents and the applicable Intercreditor Agreements, and to have the Obligations of each of the Guarantors discharged with respect to its Note Guarantee, and to have Liens on the Collateral securing the Notes released (and the Trustee, on demand of and at the expense of the Issuer, shall execute proper instruments acknowledging the same) and to have cured all then existing Events of Default, except for the following provisions which shall survive until otherwise terminated or discharged under this Indenture: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9" w:name="page170"/>
    <w:bookmarkEnd w:id="169"/>
    <w:p>
      <w:pPr>
        <w:ind w:firstLine="1304"/>
        <w:spacing w:after="0" w:line="277" w:lineRule="auto"/>
        <w:tabs>
          <w:tab w:leader="none" w:pos="196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rights of Holders to receive payments in respect of the principal of, premium, if any, and interest on the Notes when such payments are due solely out of the trust created pursuant to this Indenture referred to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308" w:lineRule="auto"/>
        <w:tabs>
          <w:tab w:leader="none" w:pos="216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left="1980" w:hanging="676"/>
        <w:spacing w:after="0"/>
        <w:tabs>
          <w:tab w:leader="none" w:pos="19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Notes Collateral Agent, and the Issuer’s obligations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connection therewith; and</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Subject to compliance with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the Issuer may exercise its option under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notwithstanding the prior exercise of their option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7"/>
          <w:szCs w:val="17"/>
          <w:u w:val="single" w:color="auto"/>
          <w:color w:val="auto"/>
        </w:rPr>
        <w:t>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Issuer and the Guarantors shall,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be released from their obligations under the covenants contained in </w:t>
      </w:r>
      <w:r>
        <w:rPr>
          <w:rFonts w:ascii="Arial" w:cs="Arial" w:eastAsia="Arial" w:hAnsi="Arial"/>
          <w:sz w:val="16"/>
          <w:szCs w:val="16"/>
          <w:u w:val="single" w:color="auto"/>
          <w:color w:val="auto"/>
        </w:rPr>
        <w:t>Sections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4.04</w:t>
      </w:r>
      <w:r>
        <w:rPr>
          <w:rFonts w:ascii="Arial" w:cs="Arial" w:eastAsia="Arial" w:hAnsi="Arial"/>
          <w:sz w:val="16"/>
          <w:szCs w:val="16"/>
          <w:color w:val="auto"/>
        </w:rPr>
        <w:t xml:space="preserve">, </w:t>
      </w:r>
      <w:r>
        <w:rPr>
          <w:rFonts w:ascii="Arial" w:cs="Arial" w:eastAsia="Arial" w:hAnsi="Arial"/>
          <w:sz w:val="16"/>
          <w:szCs w:val="16"/>
          <w:u w:val="single" w:color="auto"/>
          <w:color w:val="auto"/>
        </w:rPr>
        <w:t>4.05</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w:t>
      </w:r>
      <w:r>
        <w:rPr>
          <w:rFonts w:ascii="Arial" w:cs="Arial" w:eastAsia="Arial" w:hAnsi="Arial"/>
          <w:sz w:val="16"/>
          <w:szCs w:val="16"/>
          <w:u w:val="single" w:color="auto"/>
          <w:color w:val="auto"/>
        </w:rPr>
        <w:t>4.09</w:t>
      </w:r>
      <w:r>
        <w:rPr>
          <w:rFonts w:ascii="Arial" w:cs="Arial" w:eastAsia="Arial" w:hAnsi="Arial"/>
          <w:sz w:val="16"/>
          <w:szCs w:val="16"/>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w:t>
      </w:r>
      <w:r>
        <w:rPr>
          <w:rFonts w:ascii="Arial" w:cs="Arial" w:eastAsia="Arial" w:hAnsi="Arial"/>
          <w:sz w:val="16"/>
          <w:szCs w:val="16"/>
          <w:u w:val="single" w:color="auto"/>
          <w:color w:val="auto"/>
        </w:rPr>
        <w:t>4.14</w:t>
      </w:r>
      <w:r>
        <w:rPr>
          <w:rFonts w:ascii="Arial" w:cs="Arial" w:eastAsia="Arial" w:hAnsi="Arial"/>
          <w:sz w:val="16"/>
          <w:szCs w:val="16"/>
          <w:color w:val="auto"/>
        </w:rPr>
        <w:t xml:space="preserve">, </w:t>
      </w:r>
      <w:r>
        <w:rPr>
          <w:rFonts w:ascii="Arial" w:cs="Arial" w:eastAsia="Arial" w:hAnsi="Arial"/>
          <w:sz w:val="16"/>
          <w:szCs w:val="16"/>
          <w:u w:val="single" w:color="auto"/>
          <w:color w:val="auto"/>
        </w:rPr>
        <w:t>4.15</w:t>
      </w:r>
      <w:r>
        <w:rPr>
          <w:rFonts w:ascii="Arial" w:cs="Arial" w:eastAsia="Arial" w:hAnsi="Arial"/>
          <w:sz w:val="16"/>
          <w:szCs w:val="16"/>
          <w:color w:val="auto"/>
        </w:rPr>
        <w:t xml:space="preserve"> and 4.17 and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with respect to the outstanding Notes on and after the date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are satisfied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and the Notes shall thereafter be deemed not “outstanding” for the purposes of any direction, waiver, consent or declaration or act of Holders (and the consequences of any thereof) in connection with such covenants, but shall continue to be deemed “</w:t>
      </w:r>
      <w:r>
        <w:rPr>
          <w:rFonts w:ascii="Arial" w:cs="Arial" w:eastAsia="Arial" w:hAnsi="Arial"/>
          <w:sz w:val="16"/>
          <w:szCs w:val="16"/>
          <w:u w:val="single" w:color="auto"/>
          <w:color w:val="auto"/>
        </w:rPr>
        <w:t>outstanding</w:t>
      </w:r>
      <w:r>
        <w:rPr>
          <w:rFonts w:ascii="Arial" w:cs="Arial" w:eastAsia="Arial" w:hAnsi="Arial"/>
          <w:sz w:val="16"/>
          <w:szCs w:val="16"/>
          <w:color w:val="auto"/>
        </w:rPr>
        <w:t xml:space="preserve">” for all other purposes under this Indenture (it being understood that such Notes shall not be deemed outstanding for accounting purposes). For this purpose, Covenant Defeasance means that, with respect to the outstanding Notes, the Issuer and its Restricted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but, except as specified above, the remainder of this Indenture and such Notes shall be unaffected thereby. In addition, 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6.01(a)(6)</w:t>
      </w:r>
      <w:r>
        <w:rPr>
          <w:rFonts w:ascii="Arial" w:cs="Arial" w:eastAsia="Arial" w:hAnsi="Arial"/>
          <w:sz w:val="16"/>
          <w:szCs w:val="16"/>
          <w:color w:val="auto"/>
        </w:rPr>
        <w:t xml:space="preserve"> (solely with respect to Restricted Subsidiaries that are Significant Subsidiaries and any group of Restricted Subsidiaries that taken together would constitute a Significant Subsidiary), 6.01(a)(7), 6.01(a)(9) and 6.01(a)(10) shall not constitute Events of Default.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7"/>
          <w:szCs w:val="17"/>
          <w:u w:val="single" w:color="auto"/>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shall be the conditions to the application of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to the outstanding Notes:</w:t>
      </w:r>
    </w:p>
    <w:p>
      <w:pPr>
        <w:spacing w:after="0" w:line="225" w:lineRule="exact"/>
        <w:rPr>
          <w:sz w:val="20"/>
          <w:szCs w:val="20"/>
          <w:color w:val="auto"/>
        </w:rPr>
      </w:pPr>
    </w:p>
    <w:p>
      <w:pPr>
        <w:jc w:val="both"/>
        <w:ind w:firstLine="1952"/>
        <w:spacing w:after="0" w:line="269" w:lineRule="auto"/>
        <w:tabs>
          <w:tab w:leader="none" w:pos="2598"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the Issuer must irrevocably deposit with the Trustee, in trust, for the benefit of the Holders, cash in U.S. dollars, U.S. Government Obligations, or a combination thereof, in such amounts (including scheduled payments thereon) as will be sufficient, in the opinion of an Independent Financial Advisor,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Arial" w:cs="Arial" w:eastAsia="Arial" w:hAnsi="Arial"/>
          <w:sz w:val="17"/>
          <w:szCs w:val="17"/>
          <w:u w:val="single" w:color="auto"/>
          <w:color w:val="auto"/>
        </w:rPr>
        <w:t>Applicable Premium Deficit</w:t>
      </w:r>
      <w:r>
        <w:rPr>
          <w:rFonts w:ascii="Arial" w:cs="Arial" w:eastAsia="Arial" w:hAnsi="Arial"/>
          <w:sz w:val="17"/>
          <w:szCs w:val="17"/>
          <w:color w:val="auto"/>
        </w:rPr>
        <w: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85" w:lineRule="exact"/>
        <w:rPr>
          <w:rFonts w:ascii="Arial" w:cs="Arial" w:eastAsia="Arial" w:hAnsi="Arial"/>
          <w:sz w:val="17"/>
          <w:szCs w:val="17"/>
          <w:color w:val="auto"/>
        </w:rPr>
      </w:pPr>
    </w:p>
    <w:p>
      <w:pPr>
        <w:ind w:right="20" w:firstLine="1952"/>
        <w:spacing w:after="0" w:line="277" w:lineRule="auto"/>
        <w:tabs>
          <w:tab w:leader="none" w:pos="275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reasonably acceptable to the Trustee confirming that, subject to customary assumptions and exclusions,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U.S. Internal Revenue Service a ruling,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since the issuance of the Notes, there has been a change in the applicable U.S. federal income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-1656080</wp:posOffset>
            </wp:positionV>
            <wp:extent cx="457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20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subject to customary assumptions and exclusions, the Holders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firstLine="1952"/>
        <w:spacing w:after="0" w:line="279" w:lineRule="auto"/>
        <w:tabs>
          <w:tab w:leader="none" w:pos="257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reasonably acceptable to the Trustee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64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Default or Event of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1" w:name="page172"/>
    <w:bookmarkEnd w:id="171"/>
    <w:p>
      <w:pPr>
        <w:jc w:val="both"/>
        <w:ind w:firstLine="1952"/>
        <w:spacing w:after="0" w:line="259" w:lineRule="auto"/>
        <w:tabs>
          <w:tab w:leader="none" w:pos="2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w:t>
      </w:r>
    </w:p>
    <w:p>
      <w:pPr>
        <w:spacing w:after="0" w:line="186" w:lineRule="exact"/>
        <w:rPr>
          <w:rFonts w:ascii="Arial" w:cs="Arial" w:eastAsia="Arial" w:hAnsi="Arial"/>
          <w:sz w:val="18"/>
          <w:szCs w:val="18"/>
          <w:color w:val="auto"/>
        </w:rPr>
      </w:pPr>
    </w:p>
    <w:p>
      <w:pPr>
        <w:ind w:right="20" w:firstLine="1952"/>
        <w:spacing w:after="0" w:line="277" w:lineRule="auto"/>
        <w:tabs>
          <w:tab w:leader="none" w:pos="258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the Issuer with the intent of defeating, hindering, delaying or defrauding any creditors of the Issuer or any Guarantor or others; 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68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DEPOSITED MONEY AND U.S. GOVERNMENT OBLIGATIONS TO BE HELD IN TRUST; OTHER MISCELLANEOUS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PROVISIONS.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all money and U.S. Government Obligations (including the proceeds thereof) deposited with the Trustee (or other qualifying trustee, collectively for purposes of this </w:t>
      </w:r>
      <w:r>
        <w:rPr>
          <w:rFonts w:ascii="Arial" w:cs="Arial" w:eastAsia="Arial" w:hAnsi="Arial"/>
          <w:sz w:val="18"/>
          <w:szCs w:val="18"/>
          <w:u w:val="single" w:color="auto"/>
          <w:color w:val="auto"/>
        </w:rPr>
        <w:t>Section 8.05</w:t>
      </w:r>
      <w:r>
        <w:rPr>
          <w:rFonts w:ascii="Arial" w:cs="Arial" w:eastAsia="Arial" w:hAnsi="Arial"/>
          <w:sz w:val="18"/>
          <w:szCs w:val="18"/>
          <w:color w:val="auto"/>
        </w:rPr>
        <w:t>, the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Issuer shall pay and indemnify the Trustee against any tax, fee or other charge imposed on or assessed against the cash or U.S. Government Obligations deposited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to the contrary notwithstanding, the Trustee shall deliver or pay to the Issuer from time to time upon the request of the Issuer any money or U.S. Government Obligations held by it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which, in the opinion of an Independent Financial Advisor expressed in a written certification thereof delivered to the Trustee (which may be the opinion delivered under </w:t>
      </w:r>
      <w:r>
        <w:rPr>
          <w:rFonts w:ascii="Arial" w:cs="Arial" w:eastAsia="Arial" w:hAnsi="Arial"/>
          <w:sz w:val="17"/>
          <w:szCs w:val="17"/>
          <w:u w:val="single" w:color="auto"/>
          <w:color w:val="auto"/>
        </w:rPr>
        <w:t>Section 8.04(1)</w:t>
      </w:r>
      <w:r>
        <w:rPr>
          <w:rFonts w:ascii="Arial" w:cs="Arial" w:eastAsia="Arial" w:hAnsi="Arial"/>
          <w:sz w:val="17"/>
          <w:szCs w:val="17"/>
          <w:color w:val="auto"/>
        </w:rPr>
        <w:t>), are in excess of the amount thereof that would then be required to be deposited to effect an equivalent Legal Defeasance or Covenant Defeasance.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2" w:name="page173"/>
    <w:bookmarkEnd w:id="172"/>
    <w:p>
      <w:pPr>
        <w:spacing w:after="0"/>
        <w:tabs>
          <w:tab w:leader="none" w:pos="134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REPAYMENT TO ISSUER.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Trustee and each Paying Agent shall promptly turn over to the Issuer upon receipt of an Issuer Order any excess money or securities held by them upon payment of all the obligations under this Indenture.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7"/>
          <w:szCs w:val="17"/>
          <w:u w:val="single" w:color="auto"/>
          <w:color w:val="auto"/>
        </w:rPr>
        <w:t>REINSTATEMENT.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the Trustee or Paying Agent is unable to apply any United States dollars or U.S. Government Obligations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until such time as the Trustee or Paying Agent is permitted to apply all such money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Issuer makes any payment of principal of, premium or interest on any Note following the reinstatement of their obligations, the Issuer shall be subrogated to the rights of the Holders of such Notes to receive such payment from the money held by the Trustee or Paying Agent.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SUPPLEMENT AND WAIVER</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7"/>
          <w:szCs w:val="17"/>
          <w:u w:val="single" w:color="auto"/>
          <w:color w:val="auto"/>
        </w:rPr>
        <w:t>WITHOUT CONSENT OF 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9.02</w:t>
      </w:r>
      <w:r>
        <w:rPr>
          <w:rFonts w:ascii="Arial" w:cs="Arial" w:eastAsia="Arial" w:hAnsi="Arial"/>
          <w:sz w:val="18"/>
          <w:szCs w:val="18"/>
          <w:color w:val="auto"/>
        </w:rPr>
        <w:t>, the Issuer, any Guarantor (with respect to its Note Guarantee, this Indenture, the Equal Priority Intercreditor Agreement, any Junior Priority Intercreditor Agreement or the Security Documents to which it is a party and excluding any amendment or supplement the sole purpose of which is to add an additional Guarantor), the Trustee and the Notes Collateral Agent, without the consent of any Holders, may amend the Notes, the Note Guarantee, this Indenture, the Equal Priority Intercreditor Agreement, any Junior Priority Intercreditor Agreement or the Security Documents, for any of the following purposes:</w:t>
      </w:r>
    </w:p>
    <w:p>
      <w:pPr>
        <w:spacing w:after="0" w:line="188" w:lineRule="exact"/>
        <w:rPr>
          <w:sz w:val="20"/>
          <w:szCs w:val="20"/>
          <w:color w:val="auto"/>
        </w:rPr>
      </w:pPr>
    </w:p>
    <w:p>
      <w:pPr>
        <w:ind w:left="2620" w:hanging="668"/>
        <w:spacing w:after="0"/>
        <w:tabs>
          <w:tab w:leader="none" w:pos="2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225" w:lineRule="exact"/>
        <w:rPr>
          <w:rFonts w:ascii="Arial" w:cs="Arial" w:eastAsia="Arial" w:hAnsi="Arial"/>
          <w:sz w:val="18"/>
          <w:szCs w:val="18"/>
          <w:color w:val="auto"/>
        </w:rPr>
      </w:pPr>
    </w:p>
    <w:p>
      <w:pPr>
        <w:ind w:firstLine="1952"/>
        <w:spacing w:after="0" w:line="277" w:lineRule="auto"/>
        <w:tabs>
          <w:tab w:leader="none" w:pos="273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or to alter the provisions of this Indenture relating to the form of Notes (including the related definitions) in a manner that does not materially adversely affect any Holder;</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77" w:lineRule="auto"/>
        <w:tabs>
          <w:tab w:leader="none" w:pos="259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provide for the assumption of the Issuer’s or any Guarantor’s obligations to the Holders pursuant to the terms of this Indenture, the Equal Priority Intercreditor Agreement, any Junior Priority Intercreditor Agreement or any Security Document;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ind w:right="20" w:firstLine="1952"/>
        <w:spacing w:after="0" w:line="277" w:lineRule="auto"/>
        <w:tabs>
          <w:tab w:leader="none" w:pos="258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 in any material respect;</w:t>
      </w:r>
    </w:p>
    <w:p>
      <w:pPr>
        <w:spacing w:after="0" w:line="170" w:lineRule="exact"/>
        <w:rPr>
          <w:rFonts w:ascii="Arial" w:cs="Arial" w:eastAsia="Arial" w:hAnsi="Arial"/>
          <w:sz w:val="18"/>
          <w:szCs w:val="18"/>
          <w:color w:val="auto"/>
        </w:rPr>
      </w:pPr>
    </w:p>
    <w:p>
      <w:pPr>
        <w:ind w:left="2660" w:hanging="708"/>
        <w:spacing w:after="0"/>
        <w:tabs>
          <w:tab w:leader="none" w:pos="2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add covenants for the benefit of the Holders or to surrender any right or power conferred upon the Issuer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Guarantor;</w:t>
      </w:r>
    </w:p>
    <w:p>
      <w:pPr>
        <w:spacing w:after="0" w:line="210" w:lineRule="exact"/>
        <w:rPr>
          <w:rFonts w:ascii="Arial" w:cs="Arial" w:eastAsia="Arial" w:hAnsi="Arial"/>
          <w:sz w:val="17"/>
          <w:szCs w:val="17"/>
          <w:color w:val="auto"/>
        </w:rPr>
      </w:pPr>
    </w:p>
    <w:p>
      <w:pPr>
        <w:ind w:left="2620" w:hanging="668"/>
        <w:spacing w:after="0"/>
        <w:tabs>
          <w:tab w:leader="none" w:pos="2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terms of this Indenture;</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this Indenture under the Trust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 Act, if applicable;</w:t>
      </w:r>
    </w:p>
    <w:p>
      <w:pPr>
        <w:spacing w:after="0" w:line="210" w:lineRule="exact"/>
        <w:rPr>
          <w:rFonts w:ascii="Arial" w:cs="Arial" w:eastAsia="Arial" w:hAnsi="Arial"/>
          <w:sz w:val="16"/>
          <w:szCs w:val="16"/>
          <w:color w:val="auto"/>
        </w:rPr>
      </w:pPr>
    </w:p>
    <w:p>
      <w:pPr>
        <w:ind w:firstLine="1952"/>
        <w:spacing w:after="0" w:line="277" w:lineRule="auto"/>
        <w:tabs>
          <w:tab w:leader="none" w:pos="266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a successor Notes Collateral Agent or a successor paying agent hereunder pursuant to the requirements hereof;</w:t>
      </w:r>
    </w:p>
    <w:p>
      <w:pPr>
        <w:spacing w:after="0" w:line="170" w:lineRule="exact"/>
        <w:rPr>
          <w:rFonts w:ascii="Arial" w:cs="Arial" w:eastAsia="Arial" w:hAnsi="Arial"/>
          <w:sz w:val="18"/>
          <w:szCs w:val="18"/>
          <w:color w:val="auto"/>
        </w:rPr>
      </w:pPr>
    </w:p>
    <w:p>
      <w:pPr>
        <w:ind w:firstLine="1952"/>
        <w:spacing w:after="0" w:line="277" w:lineRule="auto"/>
        <w:tabs>
          <w:tab w:leader="none" w:pos="263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add a Guarantor or a co-obligor of the Notes under this Indenture, the Equal Priority Intercreditor Agreement, any Junior Priority Intercreditor Agreement and/or the Security Documents;</w:t>
      </w:r>
    </w:p>
    <w:p>
      <w:pPr>
        <w:spacing w:after="0" w:line="170" w:lineRule="exact"/>
        <w:rPr>
          <w:rFonts w:ascii="Arial" w:cs="Arial" w:eastAsia="Arial" w:hAnsi="Arial"/>
          <w:sz w:val="18"/>
          <w:szCs w:val="18"/>
          <w:color w:val="auto"/>
        </w:rPr>
      </w:pPr>
    </w:p>
    <w:p>
      <w:pPr>
        <w:jc w:val="both"/>
        <w:ind w:firstLine="1952"/>
        <w:spacing w:after="0" w:line="301" w:lineRule="auto"/>
        <w:tabs>
          <w:tab w:leader="none" w:pos="266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conform the text of this Indenture, the Equal Priority Intercreditor Agreement, any Junior Priority Intercreditor Agreement, the Security Documents, the Notes or the Note Guarantees to any provision of the “Description of Notes” section of the Offering Memorandum to the extent that such provision in such “Description of Notes” section was intended to be a verbatim recitation of a provision of this Indenture, the Equal Priority Intercreditor Agreement, any Junior Priority Intercreditor Agreement, any Security Document, the Notes or the Note Guarantees;</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5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to make any amendment to the provisions of this Indenture relating to the transfer and legending of Notes as permitted by this Indenture, including to facilitate the issuance and administration of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amendment does not materially and adversely affect the rights of Holders to transfer Notes;</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add Collateral with respect to any or all of the Notes and/or the Note Guarantees;</w:t>
      </w:r>
    </w:p>
    <w:p>
      <w:pPr>
        <w:spacing w:after="0" w:line="225" w:lineRule="exact"/>
        <w:rPr>
          <w:rFonts w:ascii="Arial" w:cs="Arial" w:eastAsia="Arial" w:hAnsi="Arial"/>
          <w:sz w:val="18"/>
          <w:szCs w:val="18"/>
          <w:color w:val="auto"/>
        </w:rPr>
      </w:pPr>
    </w:p>
    <w:p>
      <w:pPr>
        <w:ind w:left="2820" w:hanging="868"/>
        <w:spacing w:after="0"/>
        <w:tabs>
          <w:tab w:leader="none" w:pos="28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release any Guarantor from its Note Guarantee pursuant to this Indenture when permitted or required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jc w:val="both"/>
        <w:ind w:firstLine="1952"/>
        <w:spacing w:after="0" w:line="263" w:lineRule="auto"/>
        <w:tabs>
          <w:tab w:leader="none" w:pos="256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to release any Collateral from the Lien securing the Notes when permitted or required by the Security Documents, this Indenture (including pursuant to </w:t>
      </w:r>
      <w:r>
        <w:rPr>
          <w:rFonts w:ascii="Arial" w:cs="Arial" w:eastAsia="Arial" w:hAnsi="Arial"/>
          <w:sz w:val="18"/>
          <w:szCs w:val="18"/>
          <w:u w:val="single" w:color="auto"/>
          <w:color w:val="auto"/>
        </w:rPr>
        <w:t>Section 4.12(b)</w:t>
      </w:r>
      <w:r>
        <w:rPr>
          <w:rFonts w:ascii="Arial" w:cs="Arial" w:eastAsia="Arial" w:hAnsi="Arial"/>
          <w:sz w:val="18"/>
          <w:szCs w:val="18"/>
          <w:color w:val="auto"/>
        </w:rPr>
        <w:t xml:space="preserve"> and including any release of any Lien that is not then otherwise required by this Indenture to be pledged as security for the Notes) or the Equal Priority Intercreditor Agreement;</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depositary;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4" w:name="page175"/>
    <w:bookmarkEnd w:id="174"/>
    <w:p>
      <w:pPr>
        <w:ind w:firstLine="1952"/>
        <w:spacing w:after="0" w:line="277" w:lineRule="auto"/>
        <w:tabs>
          <w:tab w:leader="none" w:pos="259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add any Additional Equal Priority Secured Parties to any Security Documents or the Equal Priority Intercreditor Agreement or add any Junior Priority Secured Parties to any Junior Priority Intercreditor Agreement;</w:t>
      </w:r>
    </w:p>
    <w:p>
      <w:pPr>
        <w:spacing w:after="0" w:line="170" w:lineRule="exact"/>
        <w:rPr>
          <w:rFonts w:ascii="Arial" w:cs="Arial" w:eastAsia="Arial" w:hAnsi="Arial"/>
          <w:sz w:val="18"/>
          <w:szCs w:val="18"/>
          <w:color w:val="auto"/>
        </w:rPr>
      </w:pPr>
    </w:p>
    <w:p>
      <w:pPr>
        <w:ind w:left="2740" w:hanging="788"/>
        <w:spacing w:after="0"/>
        <w:tabs>
          <w:tab w:leader="none" w:pos="27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to enter into the Equal Priority Intercreditor Agreement, any Junior Priority Intercreditor Agreement or any joinder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210" w:lineRule="exact"/>
        <w:rPr>
          <w:rFonts w:ascii="Arial" w:cs="Arial" w:eastAsia="Arial" w:hAnsi="Arial"/>
          <w:sz w:val="17"/>
          <w:szCs w:val="17"/>
          <w:color w:val="auto"/>
        </w:rPr>
      </w:pPr>
    </w:p>
    <w:p>
      <w:pPr>
        <w:jc w:val="both"/>
        <w:ind w:firstLine="1952"/>
        <w:spacing w:after="0" w:line="263" w:lineRule="auto"/>
        <w:tabs>
          <w:tab w:leader="none" w:pos="267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case of any Security Document, to include therein any legend required to be set forth therein pursuant to the Equal Priority Intercreditor Agreement or any Junior Priority Intercreditor Agreement, or to modify any such legend as required by the Equal Priority Intercreditor Agreement or any Junior Priority Intercreditor Agreement;</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5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the Security Documents, the Equal Priority Intercreditor Agreement and any Junior Priority Intercreditor Agreement, as provided in the relevant Security Document, Equal Priority Intercreditor Agreement or Junior Priority Intercreditor Agreement, as applicable; or</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63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provide for the succession of any parties to the Security Documents, the Equal Priority Intercreditor Agreement or any Junior Priority Intercreditor Agreement (and any amendments that are administrative or ministerial in nature) in connection with an amendment, renewal, extension, substitution, refinancing, restructuring, replacement, supplementing or other modification from time to time of any agreement that is not prohibited by this Indenture.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Upon the request of the Issuer, and upon receipt by the Trustee of the documents described in </w:t>
      </w:r>
      <w:r>
        <w:rPr>
          <w:rFonts w:ascii="Arial" w:cs="Arial" w:eastAsia="Arial" w:hAnsi="Arial"/>
          <w:sz w:val="17"/>
          <w:szCs w:val="17"/>
          <w:u w:val="single" w:color="auto"/>
          <w:color w:val="auto"/>
        </w:rPr>
        <w:t>Section 9.06</w:t>
      </w:r>
      <w:r>
        <w:rPr>
          <w:rFonts w:ascii="Arial" w:cs="Arial" w:eastAsia="Arial" w:hAnsi="Arial"/>
          <w:sz w:val="17"/>
          <w:szCs w:val="17"/>
          <w:color w:val="auto"/>
        </w:rPr>
        <w:t>, the Trustee and/or the Notes Collateral Agent shall join with the Issuer and the Guarantors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7"/>
          <w:szCs w:val="17"/>
          <w:u w:val="single" w:color="auto"/>
          <w:color w:val="auto"/>
        </w:rPr>
        <w:t>WITH CONSENT OF 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Except as provided in Section 9.01 or below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Issuer, the Guarantors and the Trustee and the Notes Collateral Agent may amend or supplement this Indenture, the Notes, any Note Guarantee, the Equal Priority Intercreditor Agreement, any Junior Priority Intercreditor Agreement and the Security Documents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and, subject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any existing Default or Event of Default (other than a Default or Event of Default in the payment of the principal of, premium or interest on the Notes, except a payment default resulting from an acceleration that has been rescinded) or compliance with any provision of this Indenture, the Notes, any Note Guarantee, the Equal Priority Intercreditor Agreement, any Junior Priority Intercreditor Agreement or any Security Document may be waived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determine which Notes are considered to be “outstanding” for the purposes of this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5" w:name="page176"/>
    <w:bookmarkEnd w:id="175"/>
    <w:p>
      <w:pPr>
        <w:jc w:val="both"/>
        <w:ind w:firstLine="648"/>
        <w:spacing w:after="0" w:line="273" w:lineRule="auto"/>
        <w:rPr>
          <w:sz w:val="20"/>
          <w:szCs w:val="20"/>
          <w:color w:val="auto"/>
        </w:rPr>
      </w:pPr>
      <w:r>
        <w:rPr>
          <w:rFonts w:ascii="Arial" w:cs="Arial" w:eastAsia="Arial" w:hAnsi="Arial"/>
          <w:sz w:val="17"/>
          <w:szCs w:val="17"/>
          <w:color w:val="auto"/>
        </w:rPr>
        <w:t xml:space="preserve">Upon the request of the Issuer and upon the filing with the Trustee of evidence satisfactory to the Trustee of the consent of the Holders as aforesaid, and upon receipt by the Trustee of the documents described in </w:t>
      </w:r>
      <w:r>
        <w:rPr>
          <w:rFonts w:ascii="Arial" w:cs="Arial" w:eastAsia="Arial" w:hAnsi="Arial"/>
          <w:sz w:val="17"/>
          <w:szCs w:val="17"/>
          <w:u w:val="single" w:color="auto"/>
          <w:color w:val="auto"/>
        </w:rPr>
        <w:t>Section 9.06</w:t>
      </w:r>
      <w:r>
        <w:rPr>
          <w:rFonts w:ascii="Arial" w:cs="Arial" w:eastAsia="Arial" w:hAnsi="Arial"/>
          <w:sz w:val="17"/>
          <w:szCs w:val="17"/>
          <w:color w:val="auto"/>
        </w:rPr>
        <w:t>, the Trustee and/or the Notes Collateral Agent shall join with the Issuer and the Guarantors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approve the particular form of any proposed amendment or waiver; it shall be sufficient if such consent approves the substance thereof.</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After an amendment, supplement or waiver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becomes effective, the Issuer shall deliver to the Holders of Notes affected thereby a notice briefly describing the amendment, supplement or waiver. Any failure of the Issuer to deliver such notice, or any defect therein, shall not, however, in any way impair or affect the validity of any such amended or supplemental indenture or waiver.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Without the consent of each affected Holder, an amendment or waiver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may not, with respect to any Notes held by a non-consenting Holder:</w:t>
      </w:r>
    </w:p>
    <w:p>
      <w:pPr>
        <w:spacing w:after="0" w:line="170" w:lineRule="exact"/>
        <w:rPr>
          <w:sz w:val="20"/>
          <w:szCs w:val="20"/>
          <w:color w:val="auto"/>
        </w:rPr>
      </w:pPr>
    </w:p>
    <w:p>
      <w:pPr>
        <w:ind w:left="2620" w:hanging="668"/>
        <w:spacing w:after="0"/>
        <w:tabs>
          <w:tab w:leader="none" w:pos="26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reduce the principal amount of such Notes whose Holders must consent to an amendment, supplement or waiver;</w:t>
      </w:r>
    </w:p>
    <w:p>
      <w:pPr>
        <w:spacing w:after="0" w:line="236" w:lineRule="exact"/>
        <w:rPr>
          <w:rFonts w:ascii="Arial" w:cs="Arial" w:eastAsia="Arial" w:hAnsi="Arial"/>
          <w:sz w:val="17"/>
          <w:szCs w:val="17"/>
          <w:color w:val="auto"/>
        </w:rPr>
      </w:pPr>
    </w:p>
    <w:p>
      <w:pPr>
        <w:jc w:val="both"/>
        <w:ind w:firstLine="1952"/>
        <w:spacing w:after="0" w:line="286" w:lineRule="auto"/>
        <w:tabs>
          <w:tab w:leader="none" w:pos="258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reduce the principal of or change the fixed final maturity of any such Note or reduce the premium payable upon the redemption of such Notes or change the time at which such Notes may be redeemed under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 to notice periods may be made with the consent of the Holders of a majority in aggregate principal amount of the Notes then outstanding;</w:t>
      </w:r>
    </w:p>
    <w:p>
      <w:pPr>
        <w:spacing w:after="0" w:line="165" w:lineRule="exact"/>
        <w:rPr>
          <w:rFonts w:ascii="Arial" w:cs="Arial" w:eastAsia="Arial" w:hAnsi="Arial"/>
          <w:sz w:val="17"/>
          <w:szCs w:val="17"/>
          <w:color w:val="auto"/>
        </w:rPr>
      </w:pPr>
    </w:p>
    <w:p>
      <w:pPr>
        <w:ind w:left="2620" w:hanging="668"/>
        <w:spacing w:after="0"/>
        <w:tabs>
          <w:tab w:leader="none" w:pos="26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69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waive a Default or Event of Default in (a) the payment of principal of or premium, if any, or interest on the Notes, except a rescission of acceleration of the Notes by the Holders of at least a majority in aggregate principal amount of the outstanding Notes and a waiver of the payment default that resulted from such acceleration, or (b) in respect of a covenant or provision contained in this Indenture or any Note Guarantee which cannot be amended or modified without the consent of all affected Holders;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6" w:name="page177"/>
    <w:bookmarkEnd w:id="176"/>
    <w:p>
      <w:pPr>
        <w:ind w:left="2620" w:hanging="668"/>
        <w:spacing w:after="0"/>
        <w:tabs>
          <w:tab w:leader="none" w:pos="26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therein;</w:t>
      </w:r>
    </w:p>
    <w:p>
      <w:pPr>
        <w:spacing w:after="0" w:line="225" w:lineRule="exact"/>
        <w:rPr>
          <w:rFonts w:ascii="Arial" w:cs="Arial" w:eastAsia="Arial" w:hAnsi="Arial"/>
          <w:sz w:val="18"/>
          <w:szCs w:val="18"/>
          <w:color w:val="auto"/>
        </w:rPr>
      </w:pPr>
    </w:p>
    <w:p>
      <w:pPr>
        <w:ind w:firstLine="1952"/>
        <w:spacing w:after="0" w:line="277" w:lineRule="auto"/>
        <w:tabs>
          <w:tab w:leader="none" w:pos="270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premium, if any, or interest on the Notes;</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225" w:lineRule="exact"/>
        <w:rPr>
          <w:rFonts w:ascii="Arial" w:cs="Arial" w:eastAsia="Arial" w:hAnsi="Arial"/>
          <w:sz w:val="18"/>
          <w:szCs w:val="18"/>
          <w:color w:val="auto"/>
        </w:rPr>
      </w:pPr>
    </w:p>
    <w:p>
      <w:pPr>
        <w:ind w:firstLine="1952"/>
        <w:spacing w:after="0" w:line="277" w:lineRule="auto"/>
        <w:tabs>
          <w:tab w:leader="none" w:pos="263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amend the contractual right expressly set forth in this Indenture or any Note of any Holder to institute suit for the enforcement of any payment of principal, premium, if any, and interest on such Holder’s Notes on or after the due dates therefor;</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make any change to or modify the ranking of the Notes that would adversely affect the Holders; or</w:t>
      </w:r>
    </w:p>
    <w:p>
      <w:pPr>
        <w:spacing w:after="0" w:line="225" w:lineRule="exact"/>
        <w:rPr>
          <w:rFonts w:ascii="Arial" w:cs="Arial" w:eastAsia="Arial" w:hAnsi="Arial"/>
          <w:sz w:val="18"/>
          <w:szCs w:val="18"/>
          <w:color w:val="auto"/>
        </w:rPr>
      </w:pPr>
    </w:p>
    <w:p>
      <w:pPr>
        <w:ind w:right="20" w:firstLine="1952"/>
        <w:spacing w:after="0" w:line="277" w:lineRule="auto"/>
        <w:tabs>
          <w:tab w:leader="none" w:pos="27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as expressly permitted by this Indenture, modify the Note Guarantees of any Significant Subsidiary in any manner materially adverse to the Holders.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the foregoing, without the consent of the Holders of at least 662⁄3% in aggregate principal amount of the Notes then outstanding, no amendment or waiver may (A) make any change in any Security Document, the Equal Priority Intercreditor Agreement, any Junior Priority Intercreditor Agreement or the provisions in this Indenture dealing with Collateral or application of trust proceeds of the Collateral, which change has the effect of releasing the Liens on all or substantially all of the Collateral which secure the Secured Notes Obligations or (B) change or alter the priority of the Liens securing the Secured Notes Obligations in any material portion of the Collateral in any way materially adverse, taken as a whole, to the Holders, other than, in each case, as provided under the terms of this Indenture, the Security Documents or the Equal Priority Intercreditor Agreement.</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7"/>
          <w:szCs w:val="17"/>
          <w:u w:val="single" w:color="auto"/>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7"/>
          <w:szCs w:val="17"/>
          <w:u w:val="single" w:color="auto"/>
          <w:color w:val="auto"/>
        </w:rPr>
        <w:t>REVOCATION AND EFFECT OF CONSENTS.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the Holder and every subsequent Holder of a Note or portion thereof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u w:val="single" w:color="auto"/>
          <w:color w:val="auto"/>
        </w:rPr>
        <w:t>NOTATION ON OR EXCHANGE OF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7"/>
          <w:szCs w:val="17"/>
          <w:u w:val="single" w:color="auto"/>
          <w:color w:val="auto"/>
        </w:rPr>
        <w:t>TRUSTEE TO SIGN AMENDMENTS, ETC.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Trustee and the Notes Collateral Agent shall sign any amendment, supplement or waiver authorized pursuant to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if the amendment or supplement does not adversely affect the rights, duties, liabilities or immunities of the Trustee and the Notes Collateral Agent. The Issuer may not sign an amendment, supplement or waiver until its Board approves it. In executing any amendment, supplement or waiver, the Trustee shall receive and (subject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be fully protected in relying upon, in addition to the documents required by </w:t>
      </w:r>
      <w:r>
        <w:rPr>
          <w:rFonts w:ascii="Arial" w:cs="Arial" w:eastAsia="Arial" w:hAnsi="Arial"/>
          <w:sz w:val="18"/>
          <w:szCs w:val="18"/>
          <w:u w:val="single" w:color="auto"/>
          <w:color w:val="auto"/>
        </w:rPr>
        <w:t>Section 13.04</w:t>
      </w:r>
      <w:r>
        <w:rPr>
          <w:rFonts w:ascii="Arial" w:cs="Arial" w:eastAsia="Arial" w:hAnsi="Arial"/>
          <w:sz w:val="18"/>
          <w:szCs w:val="18"/>
          <w:color w:val="auto"/>
        </w:rPr>
        <w:t>, an Officer’s Certificate and an Opinion of Counsel stating that the execution of such amended or supplemental indenture or security documents or intercreditor agreements is authorized or not prohibited by this Indenture and that such amendment, supplement or waiver is the legal, valid and binding obligation of the Issuer and any Guarantors party thereto, enforceable against them in accordance with its terms, subject to customary exceptions, and complies with the provisions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GUARANTEE.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Subject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each of the Guarantors hereby, jointly and severally, fully and unconditionally guarantees, as primary obligor and not merely as surety, to each Holder of a Note authenticated and delivered by the Trustee and to the Trustee and its successors and assigns, irrespective of the validity and enforceability of this Indenture, the Notes or the Obligations of the Issuer hereunder or thereunder, that: (a) the principal of, interest and premium on the Notes shall be promptly paid in full when due, whether at maturity, by acceleration, redemption or otherwise, and interest on the overdue principal of and interest on the Notes, if 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8" w:name="page179"/>
    <w:bookmarkEnd w:id="178"/>
    <w:p>
      <w:pPr>
        <w:jc w:val="both"/>
        <w:ind w:firstLine="648"/>
        <w:spacing w:after="0" w:line="270" w:lineRule="auto"/>
        <w:rPr>
          <w:sz w:val="20"/>
          <w:szCs w:val="20"/>
          <w:color w:val="auto"/>
        </w:rPr>
      </w:pPr>
      <w:r>
        <w:rPr>
          <w:rFonts w:ascii="Arial" w:cs="Arial" w:eastAsia="Arial" w:hAnsi="Arial"/>
          <w:sz w:val="17"/>
          <w:szCs w:val="17"/>
          <w:color w:val="auto"/>
        </w:rPr>
        <w:t xml:space="preserve">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Issuer, any right to require a proceeding first against the Issuer, protest, notice and all demands whatsoever and covenants that this Note Guarantee shall not be discharged except by complete performance of the obligations contained in the Notes and this Indenture, as well as any rights of </w:t>
      </w:r>
      <w:r>
        <w:rPr>
          <w:rFonts w:ascii="Arial" w:cs="Arial" w:eastAsia="Arial" w:hAnsi="Arial"/>
          <w:sz w:val="17"/>
          <w:szCs w:val="17"/>
          <w:i w:val="1"/>
          <w:iCs w:val="1"/>
          <w:color w:val="auto"/>
        </w:rPr>
        <w:t>orden</w:t>
      </w:r>
      <w:r>
        <w:rPr>
          <w:rFonts w:ascii="Arial" w:cs="Arial" w:eastAsia="Arial" w:hAnsi="Arial"/>
          <w:sz w:val="17"/>
          <w:szCs w:val="17"/>
          <w:color w:val="auto"/>
        </w:rPr>
        <w:t xml:space="preserve"> and </w:t>
      </w:r>
      <w:r>
        <w:rPr>
          <w:rFonts w:ascii="Arial" w:cs="Arial" w:eastAsia="Arial" w:hAnsi="Arial"/>
          <w:sz w:val="17"/>
          <w:szCs w:val="17"/>
          <w:i w:val="1"/>
          <w:iCs w:val="1"/>
          <w:color w:val="auto"/>
        </w:rPr>
        <w:t>excusión</w:t>
      </w:r>
      <w:r>
        <w:rPr>
          <w:rFonts w:ascii="Arial" w:cs="Arial" w:eastAsia="Arial" w:hAnsi="Arial"/>
          <w:sz w:val="17"/>
          <w:szCs w:val="17"/>
          <w:color w:val="auto"/>
        </w:rPr>
        <w:t xml:space="preserve"> 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Each Guarantor also agrees to pay any and all costs and expenses (including reasonable attorneys’ fees) incurred by the Trustee or any Holder in enforcing any rights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Note Guarantee, to the extent theretofore discharged, shall be reinstated in full force and effect.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for the purposes of this Note Guarantee, notwithstanding any stay, injunction or other prohibition preventing such acceleration in respect of the obligations guaranteed hereby, and (y) in the event of any declaration of acceleration of such obligations as provided in </w:t>
      </w:r>
      <w:r>
        <w:rPr>
          <w:rFonts w:ascii="Arial" w:cs="Arial" w:eastAsia="Arial" w:hAnsi="Arial"/>
          <w:sz w:val="16"/>
          <w:szCs w:val="16"/>
          <w:u w:val="single" w:color="auto"/>
          <w:color w:val="auto"/>
        </w:rPr>
        <w:t>Article 6</w:t>
      </w:r>
      <w:r>
        <w:rPr>
          <w:rFonts w:ascii="Arial" w:cs="Arial" w:eastAsia="Arial" w:hAnsi="Arial"/>
          <w:sz w:val="16"/>
          <w:szCs w:val="16"/>
          <w:color w:val="auto"/>
        </w:rPr>
        <w:t>, such obligations (whether or not due and payable) shall forthwith become due and payable by the Guarantors for the purpose of this Note Guarantee. The Guarantors shall have the right to seek contribution from any non-paying Guarantor so long as the exercise of such right does not impair the rights of the Holders under the Note Guarantees.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Note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 Guarantees, whether as a “</w:t>
      </w:r>
      <w:r>
        <w:rPr>
          <w:rFonts w:ascii="Arial" w:cs="Arial" w:eastAsia="Arial" w:hAnsi="Arial"/>
          <w:sz w:val="16"/>
          <w:szCs w:val="16"/>
          <w:u w:val="single" w:color="auto"/>
          <w:color w:val="auto"/>
        </w:rPr>
        <w:t>voidable preference</w:t>
      </w:r>
      <w:r>
        <w:rPr>
          <w:rFonts w:ascii="Arial" w:cs="Arial" w:eastAsia="Arial" w:hAnsi="Arial"/>
          <w:sz w:val="16"/>
          <w:szCs w:val="16"/>
          <w:color w:val="auto"/>
        </w:rPr>
        <w:t>”, “</w:t>
      </w:r>
      <w:r>
        <w:rPr>
          <w:rFonts w:ascii="Arial" w:cs="Arial" w:eastAsia="Arial" w:hAnsi="Arial"/>
          <w:sz w:val="16"/>
          <w:szCs w:val="16"/>
          <w:u w:val="single" w:color="auto"/>
          <w:color w:val="auto"/>
        </w:rPr>
        <w:t>fraudulent transfer</w:t>
      </w:r>
      <w:r>
        <w:rPr>
          <w:rFonts w:ascii="Arial" w:cs="Arial" w:eastAsia="Arial" w:hAnsi="Arial"/>
          <w:sz w:val="16"/>
          <w:szCs w:val="16"/>
          <w:color w:val="auto"/>
        </w:rPr>
        <w:t>”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9" w:name="page180"/>
    <w:bookmarkEnd w:id="179"/>
    <w:p>
      <w:pPr>
        <w:jc w:val="both"/>
        <w:ind w:firstLine="648"/>
        <w:spacing w:after="0" w:line="277" w:lineRule="auto"/>
        <w:rPr>
          <w:sz w:val="20"/>
          <w:szCs w:val="20"/>
          <w:color w:val="auto"/>
        </w:rPr>
      </w:pPr>
      <w:r>
        <w:rPr>
          <w:rFonts w:ascii="Arial" w:cs="Arial" w:eastAsia="Arial" w:hAnsi="Arial"/>
          <w:sz w:val="18"/>
          <w:szCs w:val="18"/>
          <w:color w:val="auto"/>
        </w:rPr>
        <w:t>In case any provision of any Note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Note Guarantee issued by any Guarantor shall be a general senior obligation of such Guarantor and shall be equal in right of payment with all existing and future Senior Indebtedness of such Guarantor, including the guarantees in respect of the Existing Notes Secured Obligations and, upon the effectiveness thereof, the guarantees in respect of the Revolving Credit Secured Obligations, in each case of such Guarantor.</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payment to be made by a Guarantor in respect of its Note Guarantee shall be made without set-off, counterclaim, reduction or diminution of any kind or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LIMITATION ON GUARANTOR LIABILITY.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result in the obligations of such Guarantor under its Note Guarantee not constituting a fraudulent conveyance or fraudulent transfer under applicable law. Each Guarantor that makes a payment under its Note Guarantee shall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w:t>
      </w:r>
    </w:p>
    <w:p>
      <w:pPr>
        <w:spacing w:after="0" w:line="1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Note Guarantee of a Guarantor incorporated under the laws of England and Wales shall not apply to the extent that it would result in such Note Guarantee constituting unlawful financial assistance within the meaning of sections 678 or 679 of the Companies Act 2006.</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Note Guarantee of a Guarantor incorporated under the laws of Ireland shall not apply to the extent that it would result in such Note Guarantee constituting financial assistance as prohibited by section 82 of the Irish Companies Act 2014.</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EXECUTION AND DELIVERY.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To evidence its Note Guarantee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(i) each Subsidiary that executes this Indenture as a Guarantor on the Issue Date hereby agrees that this Indenture shall be executed on behalf of such Guarantor by any Officer of such Guarantor and (ii) each Subsidiary that thereafter becomes a Guarantor in accordance with the terms of this Indenture agrees that a supplemental indenture,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shall be executed on behalf of such Guarantor by any Officer of such Guarantor.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Each Guarantor hereby agrees that its Note Guarantee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remain in full force and effect notwithstanding the absence of the endorsement of any notation of such Note Guarantee on the Notes.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Officer of the Issuer or any Guarantor whose signature is on this Indenture or any supplemental indenture hereto no longer holds that office at the time the Trustee authenticates any Note, the Note Guarantee shall be valid nevertheless.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Note Guarantee set forth in this Indenture on behalf of the Guarantors.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If required by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the Issuer shall cause any of its Wholly-Owned Restricted Subsidiaries to comply with the provisions of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10</w:t>
      </w:r>
      <w:r>
        <w:rPr>
          <w:rFonts w:ascii="Arial" w:cs="Arial" w:eastAsia="Arial" w:hAnsi="Arial"/>
          <w:sz w:val="18"/>
          <w:szCs w:val="18"/>
          <w:color w:val="auto"/>
        </w:rPr>
        <w:t>,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SUBROGATION.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against the Issuer in respect of any amounts paid by any Guarantor pursuant to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no Guarantor shall be entitled to enforce or receive any payments arising out of, or based upon, such right of subrogation until all amounts then due and payable by the Issuer under this Indenture and the Notes shall have been paid in full.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BENEFITS ACKNOWLEDGED.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Guarantor acknowledges that it will receive direct and indirect benefits from the financing arrangements contemplated by this Indenture and that the guarantee and waivers made by it pursuant to its Note Guarantee are knowingly made in contemplation of such benefits.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RELEASE OF NOTE GUARANTEES.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anything to the contrary, a Note Guarantee by a Guarantor shall be automatically and unconditionally released and discharged, and no further action by such Guarantor, the Issuer or the Trustee is required for the release of such Guarantor’s Note Guarantee:</w:t>
      </w:r>
    </w:p>
    <w:p>
      <w:pPr>
        <w:spacing w:after="0" w:line="146" w:lineRule="exact"/>
        <w:rPr>
          <w:sz w:val="20"/>
          <w:szCs w:val="20"/>
          <w:color w:val="auto"/>
        </w:rPr>
      </w:pPr>
    </w:p>
    <w:p>
      <w:pPr>
        <w:jc w:val="both"/>
        <w:ind w:firstLine="1304"/>
        <w:spacing w:after="0" w:line="259" w:lineRule="auto"/>
        <w:tabs>
          <w:tab w:leader="none" w:pos="19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upon any sale, exchange, issuance, transfer or other disposition (by merger, consolidation, amalgamation, dividend, distribution or otherwise) of (i) the Capital Stock of such Guarantor, after which such Guarantor is no longer a Restricted Subsidiary, or (ii) all or substantially all of the assets of such Guarantor, in each case, if such sale, exchange, issuance, transfer or other disposition is not prohibited by the applicable provisions of this Indenture;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ind w:left="1960" w:hanging="656"/>
        <w:spacing w:after="0"/>
        <w:tabs>
          <w:tab w:leader="none" w:pos="1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16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upon the designation of such Guarantor as an Unrestricted Subsidiary or upon such Guarantor becoming (i) a Qualified Liquefaction Development Entity, (ii) a Receivables Subsidiary, (iii) an Immaterial Subsidiary, (iv) a Captive Insurance Subsidiary, (v) a not-for-profit or special purpose Subsidiary or (vi) a Subsidiary with respect to which a guarantee would result in material adverse tax consequences, as reasonably determined by the Issuer, in each case in compliance with the applicable provisions of this Indenture;</w:t>
      </w:r>
    </w:p>
    <w:p>
      <w:pPr>
        <w:spacing w:after="0" w:line="186" w:lineRule="exact"/>
        <w:rPr>
          <w:rFonts w:ascii="Arial" w:cs="Arial" w:eastAsia="Arial" w:hAnsi="Arial"/>
          <w:sz w:val="18"/>
          <w:szCs w:val="18"/>
          <w:color w:val="auto"/>
        </w:rPr>
      </w:pPr>
    </w:p>
    <w:p>
      <w:pPr>
        <w:ind w:right="20" w:firstLine="1304"/>
        <w:spacing w:after="0" w:line="277" w:lineRule="auto"/>
        <w:tabs>
          <w:tab w:leader="none" w:pos="191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upon a Legal Defeasance or Covenant Defeasance with respect to the Notes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a satisfaction and discharge of this Indenture with respect to the Notes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4"/>
        <w:spacing w:after="0" w:line="277" w:lineRule="auto"/>
        <w:tabs>
          <w:tab w:leader="none" w:pos="199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upon the merger, amalgamation, consolidation or winding up of such Guarantor with and into the Issuer or another Guarantor that is the surviving Person in such merger, amalgamation, consolidation or winding up, or upon the liquidation of such Guarantor;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as described under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hereof or in accordance with the provisions of the Equal Priority Intercreditor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Indenture shall be discharged and shall cease to be of further effect as to all Notes, and the Liens on the Collateral securing the Notes will be released, when:</w:t>
      </w:r>
    </w:p>
    <w:p>
      <w:pPr>
        <w:spacing w:after="0" w:line="170" w:lineRule="exact"/>
        <w:rPr>
          <w:sz w:val="20"/>
          <w:szCs w:val="20"/>
          <w:color w:val="auto"/>
        </w:rPr>
      </w:pPr>
    </w:p>
    <w:p>
      <w:pPr>
        <w:ind w:left="2620" w:hanging="668"/>
        <w:spacing w:after="0"/>
        <w:tabs>
          <w:tab w:leader="none" w:pos="2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jc w:val="both"/>
        <w:ind w:left="660" w:firstLine="1292"/>
        <w:spacing w:after="0" w:line="263" w:lineRule="auto"/>
        <w:tabs>
          <w:tab w:leader="none" w:pos="271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(except mutilated, lost, stolen or destroyed Notes which have been replaced or paid and Notes for whose payment money has theretofore been deposited in trust) have been delivered to the Trustee for cancellation; or</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57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all Notes not theretofore delivered to the Trustee for cancellation (i) have become due and payable by reason of the making of a notice of redemption or otherwise, (ii) will become due and payable within one year or (iii) are to be called for redemption within one year under arrangements reasonably satisfactory to the Trustee for the giving of notice of redemption by the Trustee in the name, and at the expense, of the Issuer;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jc w:val="both"/>
        <w:ind w:left="1280" w:firstLine="1948"/>
        <w:spacing w:after="0" w:line="288" w:lineRule="auto"/>
        <w:tabs>
          <w:tab w:leader="none" w:pos="398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the Issuer or any Guarantor has irrevocably deposited or caused to be deposited with the Trustee as trust funds in trust solely for the benefit of the Holders, cash in U.S. dollars, U.S. Government Obligations or a combination thereof in an amount (including scheduled payments thereon) sufficient to pay and discharge the entire Indebtedness on the Notes not theretofore delivered to the Trustee for cancellation, for principal, premium, if any, and accrued interest to the date of such deposit (in the case of Notes which have become due and payable) or to the date of maturity or redemption, as the case may be; provided,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68" w:lineRule="exact"/>
        <w:rPr>
          <w:rFonts w:ascii="Arial" w:cs="Arial" w:eastAsia="Arial" w:hAnsi="Arial"/>
          <w:sz w:val="16"/>
          <w:szCs w:val="16"/>
          <w:color w:val="auto"/>
        </w:rPr>
      </w:pPr>
    </w:p>
    <w:p>
      <w:pPr>
        <w:jc w:val="both"/>
        <w:ind w:left="1280" w:firstLine="1948"/>
        <w:spacing w:after="0" w:line="272" w:lineRule="auto"/>
        <w:tabs>
          <w:tab w:leader="none" w:pos="3867" w:val="left"/>
        </w:tabs>
        <w:numPr>
          <w:ilvl w:val="1"/>
          <w:numId w:val="235"/>
        </w:numPr>
        <w:rPr>
          <w:rFonts w:ascii="Arial" w:cs="Arial" w:eastAsia="Arial" w:hAnsi="Arial"/>
          <w:sz w:val="17"/>
          <w:szCs w:val="17"/>
          <w:color w:val="auto"/>
        </w:rPr>
      </w:pPr>
      <w:r>
        <w:rPr>
          <w:rFonts w:ascii="Arial" w:cs="Arial" w:eastAsia="Arial" w:hAnsi="Arial"/>
          <w:sz w:val="17"/>
          <w:szCs w:val="17"/>
          <w:color w:val="auto"/>
        </w:rPr>
        <w:t>no Default or Event of Default (other than that resulting from borrowing funds to be applied to make such deposit or any similar and simultaneous deposit relating to other Indebtedness and, in each case, the granting of Liens in connection therewith) shall have occurred and be continuing on the date of such deposit or shall occur as a result of such deposit and such deposit will not result in a breach or violation of, or constitute a default under any,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 and</w:t>
      </w:r>
    </w:p>
    <w:p>
      <w:pPr>
        <w:spacing w:after="0" w:line="177" w:lineRule="exact"/>
        <w:rPr>
          <w:rFonts w:ascii="Arial" w:cs="Arial" w:eastAsia="Arial" w:hAnsi="Arial"/>
          <w:sz w:val="17"/>
          <w:szCs w:val="17"/>
          <w:color w:val="auto"/>
        </w:rPr>
      </w:pPr>
    </w:p>
    <w:p>
      <w:pPr>
        <w:ind w:left="1280" w:firstLine="1948"/>
        <w:spacing w:after="0" w:line="277" w:lineRule="auto"/>
        <w:tabs>
          <w:tab w:leader="none" w:pos="394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money toward the payment of the Notes at maturity or the Redemption Date, as the case may be.</w:t>
      </w:r>
    </w:p>
    <w:p>
      <w:pPr>
        <w:spacing w:after="0" w:line="170" w:lineRule="exact"/>
        <w:rPr>
          <w:rFonts w:ascii="Arial" w:cs="Arial" w:eastAsia="Arial" w:hAnsi="Arial"/>
          <w:sz w:val="18"/>
          <w:szCs w:val="18"/>
          <w:color w:val="auto"/>
        </w:rPr>
      </w:pPr>
    </w:p>
    <w:p>
      <w:pPr>
        <w:ind w:left="2600" w:hanging="668"/>
        <w:spacing w:after="0"/>
        <w:tabs>
          <w:tab w:leader="none" w:pos="26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by it under this Indenture; and</w:t>
      </w:r>
    </w:p>
    <w:p>
      <w:pPr>
        <w:spacing w:after="0" w:line="225" w:lineRule="exact"/>
        <w:rPr>
          <w:rFonts w:ascii="Arial" w:cs="Arial" w:eastAsia="Arial" w:hAnsi="Arial"/>
          <w:sz w:val="18"/>
          <w:szCs w:val="18"/>
          <w:color w:val="auto"/>
        </w:rPr>
      </w:pPr>
    </w:p>
    <w:p>
      <w:pPr>
        <w:jc w:val="both"/>
        <w:ind w:left="-20" w:firstLine="1952"/>
        <w:spacing w:after="0" w:line="286" w:lineRule="auto"/>
        <w:tabs>
          <w:tab w:leader="none" w:pos="258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Issuer has delivered an Officer’s Certificate and an Opinion of Counsel (which Opinion of Counsel may be subject to customary assumptions and exclusions) to the Trustee stating that all conditions precedent to satisfaction and discharge have been complied with. Such Opinion of Counsel may rely on such Officer’s Certificate as to matters of fact, including clauses (ii)(A), (B), (C) and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6412230</wp:posOffset>
            </wp:positionH>
            <wp:positionV relativeFrom="paragraph">
              <wp:posOffset>-3065780</wp:posOffset>
            </wp:positionV>
            <wp:extent cx="457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83" w:name="page184"/>
    <w:bookmarkEnd w:id="183"/>
    <w:p>
      <w:pPr>
        <w:jc w:val="both"/>
        <w:ind w:firstLine="648"/>
        <w:spacing w:after="0" w:line="277" w:lineRule="auto"/>
        <w:rPr>
          <w:sz w:val="20"/>
          <w:szCs w:val="20"/>
          <w:color w:val="auto"/>
        </w:rPr>
      </w:pPr>
      <w:r>
        <w:rPr>
          <w:rFonts w:ascii="Arial" w:cs="Arial" w:eastAsia="Arial" w:hAnsi="Arial"/>
          <w:sz w:val="18"/>
          <w:szCs w:val="18"/>
          <w:color w:val="auto"/>
        </w:rPr>
        <w:t xml:space="preserve">Notwithstanding the satisfaction and discharge of this Indenture, if money shall have been deposited with the Trustee pursuant to </w:t>
      </w:r>
      <w:r>
        <w:rPr>
          <w:rFonts w:ascii="Arial" w:cs="Arial" w:eastAsia="Arial" w:hAnsi="Arial"/>
          <w:sz w:val="18"/>
          <w:szCs w:val="18"/>
          <w:u w:val="single" w:color="auto"/>
          <w:color w:val="auto"/>
        </w:rPr>
        <w:t>subclause (ii)(B)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shall survive.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APPLICATION OF TRUST MONEY.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all money deposited with the Trustee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be held in trust and applied by it, in accordance with the provisions of the Notes and this Indenture, to the payment, either directly or through any Paying Agent (including the Issuer or a Guarantor acting as Paying Agent) as the Trustee may determine, to the Persons entitled thereto, of the principal, premium and interest for whose payment such money has been deposited with the Trustee; but such money need not be segregated from other funds except to the extent required by law.</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If the Trustee or Paying Agent is unable to apply any money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Issuer has made any payment of principal of, premium or interest on any Notes because of the reinstatement of its obligations, the Issuer shall be subrogated to the rights of the Holders of such Notes to receive such payment from the money held by the Trustee or Paying Agent.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SECURITY DOCUMENTS.</w:t>
      </w:r>
    </w:p>
    <w:p>
      <w:pPr>
        <w:spacing w:after="0" w:line="225" w:lineRule="exact"/>
        <w:rPr>
          <w:sz w:val="20"/>
          <w:szCs w:val="20"/>
          <w:color w:val="auto"/>
        </w:rPr>
      </w:pPr>
    </w:p>
    <w:p>
      <w:pPr>
        <w:jc w:val="both"/>
        <w:ind w:firstLine="1304"/>
        <w:spacing w:after="0" w:line="284" w:lineRule="auto"/>
        <w:tabs>
          <w:tab w:leader="none" w:pos="200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Issuer and the Guarantors to the Holders or the Trustee under this Indenture, the Notes, the Note Guarantees, any Intercreditor Agreements and the Security Documents, according to the terms hereunder or thereunder, shall be secured as provided in the Security Documents, which define the terms of the Liens that secure Secured Notes Obligations, subject to the terms of any Intercreditor Agreements. The Trustee, the Issuer and the Guarantors hereby acknowledge and agree that the Notes Collateral Agent holds the Collateral in trust for the benefit of the Holders, the Trustee and the Notes Collateral Agent and pursuant to the terms of the Security Documents and any Intercreditor Agreements. Each Holder, by accepting a Note, consents and agrees to the terms of the Security Documents (including the provisions providing for the possession, use, release and foreclosure of Collateral) and any Intercreditor Agreements as the same may be in effect or may be amended from time to time in accordance with their terms and this Indenture and any Intercreditor Agreements, and authorizes and directs the Notes Collateral Agent to enter into the Security Documents on the Issue Date and to perform its obligations and exercise its rights thereunder in accordance therewith. In the event of conflict between an Intercreditor Agreement, any of the other Security Documents and this Indenture, the applicable Intercreditor Agreement shall control. The Issuer shall deliver to the Notes Collateral Agent copies of all documents required to be filed pursuant to the Security Documents, and will do or cause to be done all such acts and things as may be reasonably required by the next sentence of this </w:t>
      </w:r>
      <w:r>
        <w:rPr>
          <w:rFonts w:ascii="Arial" w:cs="Arial" w:eastAsia="Arial" w:hAnsi="Arial"/>
          <w:sz w:val="16"/>
          <w:szCs w:val="16"/>
          <w:u w:val="single" w:color="auto"/>
          <w:color w:val="auto"/>
        </w:rPr>
        <w:t>Section 12.01</w:t>
      </w:r>
      <w:r>
        <w:rPr>
          <w:rFonts w:ascii="Arial" w:cs="Arial" w:eastAsia="Arial" w:hAnsi="Arial"/>
          <w:sz w:val="16"/>
          <w:szCs w:val="16"/>
          <w:color w:val="auto"/>
        </w:rPr>
        <w:t>,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Issuer and the Guarantors shall, at their sole expense and subject to the other limitations set forth in Section 12.07, take all actions (including filing Uniform Commercial Code and other financing statements, mortgages and deeds of trust) that may be required under applicable law, or that the Trustee or the Notes Collateral Agent may reasonably request, in order to ensure the creation, perfection and priority (or continuance thereof) of the security interests created or intended to be created by the Security Documents in the Collateral. Such security interests will be created under the Security Documents and other security agreements, mortgages, deeds of trust and other instruments and documents in form reasonably satisfactory to the Trustee.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RELEASE OF COLLATERAL.</w:t>
      </w:r>
    </w:p>
    <w:p>
      <w:pPr>
        <w:spacing w:after="0" w:line="225" w:lineRule="exact"/>
        <w:rPr>
          <w:sz w:val="20"/>
          <w:szCs w:val="20"/>
          <w:color w:val="auto"/>
        </w:rPr>
      </w:pPr>
    </w:p>
    <w:p>
      <w:pPr>
        <w:jc w:val="both"/>
        <w:ind w:firstLine="1304"/>
        <w:spacing w:after="0" w:line="257" w:lineRule="auto"/>
        <w:tabs>
          <w:tab w:leader="none" w:pos="192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Collateral may be released from the Liens and security interests created by the Security Documents at any time and from time to time in accordance with the provisions of the Security Documents, any Intercreditor Agreements and this Indenture. Notwithstanding anything to the contrary in the Security Documents, any Intercreditor Agreements and this Indenture, the Issuer and the Guarantors will be entitled to the release of property and other assets constituting Collateral from the Liens securing the Notes and the Note Guarantees under any one or more of the following circumstances:</w:t>
      </w:r>
    </w:p>
    <w:p>
      <w:pPr>
        <w:spacing w:after="0" w:line="187" w:lineRule="exact"/>
        <w:rPr>
          <w:rFonts w:ascii="Arial" w:cs="Arial" w:eastAsia="Arial" w:hAnsi="Arial"/>
          <w:sz w:val="18"/>
          <w:szCs w:val="18"/>
          <w:color w:val="auto"/>
        </w:rPr>
      </w:pPr>
    </w:p>
    <w:p>
      <w:pPr>
        <w:jc w:val="both"/>
        <w:ind w:left="660" w:right="20" w:firstLine="1292"/>
        <w:spacing w:after="0" w:line="259" w:lineRule="auto"/>
        <w:tabs>
          <w:tab w:leader="none" w:pos="258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to enable the Issuer or any Guarantor to consummate the sale, transfer or other disposition (including by the termination of Financing Leases or the repossession of the leased property in a Financing Lease by the lessor and by means of a Restricted Payment) of such Collateral to any Person other than the Issuer or a Guarantor, to the extent such sale, transfer or other disposition is not prohibited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4.10</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1292"/>
        <w:spacing w:after="0" w:line="277" w:lineRule="auto"/>
        <w:tabs>
          <w:tab w:leader="none" w:pos="259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in the case of a Guarantor that is released from its Note Guarantee, with respect to the Capital Stock, and property and other assets, of such Guarantor, upon the release of such Guarantor from its Note Guarantee;</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61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with respect to Collateral that is Capital Stock, upon (i) the dissolution or liquidation of the issuer of that Capital Stock that is not prohibited by this Indenture or (ii) upon the designation by the Issuer of such issuer of Capital Stock as an Unrestricted Subsidiary under this Indenture;</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with respect to any Collateral that becomes an Excluded Asset, upon it becoming an Excluded Asset;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4.12(b)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[Reserved];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5" w:name="page186"/>
    <w:bookmarkEnd w:id="185"/>
    <w:p>
      <w:pPr>
        <w:ind w:left="660" w:firstLine="1292"/>
        <w:spacing w:after="0" w:line="277" w:lineRule="auto"/>
        <w:tabs>
          <w:tab w:leader="none" w:pos="265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 connection with any enforcement action taken by the Controlling Collateral Agent in accordance with the terms of the Equal Priority Intercreditor Agreement; or</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as described under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00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Liens on the Collateral securing the Notes and the Note Guarantees also shall automatically and without the need for any further action by any Person be terminated and released:</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85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upon payment in full of the principal of, together with accrued and unpaid interest on, the Notes and all other Obligations in respect of the Notes under this Indenture, the Note Guarantees and the Security Documents that are due and payable at or prior to the time such principal, together with accrued and unpaid interest, are paid;</w:t>
      </w:r>
    </w:p>
    <w:p>
      <w:pPr>
        <w:spacing w:after="0" w:line="183" w:lineRule="exact"/>
        <w:rPr>
          <w:rFonts w:ascii="Arial" w:cs="Arial" w:eastAsia="Arial" w:hAnsi="Arial"/>
          <w:sz w:val="18"/>
          <w:szCs w:val="18"/>
          <w:color w:val="auto"/>
        </w:rPr>
      </w:pPr>
    </w:p>
    <w:p>
      <w:pPr>
        <w:ind w:left="660" w:right="20" w:firstLine="1292"/>
        <w:spacing w:after="0" w:line="342" w:lineRule="auto"/>
        <w:tabs>
          <w:tab w:leader="none" w:pos="2693"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upon a Legal Defeasance or Covenant Defeasance with respect to the Notes under this Indenture as described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or a satisfaction and discharge of this Indenture with respect to the Notes as described under </w:t>
      </w:r>
      <w:r>
        <w:rPr>
          <w:rFonts w:ascii="Arial" w:cs="Arial" w:eastAsia="Arial" w:hAnsi="Arial"/>
          <w:sz w:val="16"/>
          <w:szCs w:val="16"/>
          <w:u w:val="single" w:color="auto"/>
          <w:color w:val="auto"/>
        </w:rPr>
        <w:t>Section 11.01</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2620" w:hanging="668"/>
        <w:spacing w:after="0"/>
        <w:tabs>
          <w:tab w:leader="none" w:pos="262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pursuant to the Equal Priority Intercreditor Agreement and the Security Documents with respect to the Notes,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each case, other than any contingent obligations (including contingent indemnity obligations not yet due or payable).</w:t>
      </w:r>
    </w:p>
    <w:p>
      <w:pPr>
        <w:spacing w:after="0" w:line="225" w:lineRule="exact"/>
        <w:rPr>
          <w:sz w:val="20"/>
          <w:szCs w:val="20"/>
          <w:color w:val="auto"/>
        </w:rPr>
      </w:pPr>
    </w:p>
    <w:p>
      <w:pPr>
        <w:jc w:val="both"/>
        <w:ind w:firstLine="1304"/>
        <w:spacing w:after="0" w:line="285" w:lineRule="auto"/>
        <w:tabs>
          <w:tab w:leader="none" w:pos="190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In addition, any Lien on any Collateral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clause (n)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(o) (other than any Lien on the Equity Interests of any Guarantor), (p), (r), (u) (to the extent the relevant Lien is of the type to which the Lien of the Notes Collateral Agent is otherwise required or, if requested by the Issuer, permitted to be subordinated pursuant to any of the other exceptions included in this clause (c)), (w), (x), (y), (z)(i), (bb), (cc),</w:t>
      </w:r>
    </w:p>
    <w:p>
      <w:pPr>
        <w:spacing w:after="0" w:line="1" w:lineRule="exact"/>
        <w:rPr>
          <w:rFonts w:ascii="Arial" w:cs="Arial" w:eastAsia="Arial" w:hAnsi="Arial"/>
          <w:sz w:val="16"/>
          <w:szCs w:val="16"/>
          <w:color w:val="auto"/>
        </w:rPr>
      </w:pPr>
    </w:p>
    <w:p>
      <w:pPr>
        <w:jc w:val="both"/>
        <w:ind w:firstLine="8"/>
        <w:spacing w:after="0" w:line="253" w:lineRule="auto"/>
        <w:tabs>
          <w:tab w:leader="none" w:pos="34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subclause (dd)(ii) thereof, to the extent the relevant Lien covers cash collateral posted to secure the relevant obligation), (ee), (ff), (gg), (hh),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6" w:name="page187"/>
    <w:bookmarkEnd w:id="186"/>
    <w:p>
      <w:pPr>
        <w:jc w:val="both"/>
        <w:ind w:firstLine="1304"/>
        <w:spacing w:after="0" w:line="269" w:lineRule="auto"/>
        <w:tabs>
          <w:tab w:leader="none" w:pos="206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 respect to any release of Collateral, upon receipt of an Officer’s Certificate and an Opinion of Counsel stating that all conditions precedent under this Indenture and the Security Documents and any Intercreditor Agreements, as applicable, to such release have been met and that it is permitted for the Trustee or Notes Collateral Agent to execute and deliver the documents requested by the Issuer in connection with such release and any necessary or proper instruments of termination, satisfaction or release prepared by the Issuer, the Trustee and the Notes Collateral Agent shall execute, deliver or acknowledge (at the Issuer’s expense) such instruments or releases to evidence the release of any Collateral permitted to be released pursuant to this Indenture or the Security Documents or any Intercreditor Agreements and shall do or cause to be done (at the Issuer’s expense) all acts reasonably requested of them to release such Lien as soon as is reasonably practicable. Neither the Trustee nor the Notes Collateral Agent shall be liable for any such release undertaken in reliance upon any such Officer’s Certificate and such Opinion of Counsel, and notwithstanding any term hereof or in any Security Document or in any Intercreditor Agreements to the contrary, the Trustee and the Notes Collateral Agent shall not be under any obligation to release any such Lien and security interest, or execute and deliver any such instrument of release, satisfaction or termination, unless and until it receives such Officer’s Certificate.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SUITS TO PROTECT THE COLLATERAL.</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the Security Documents and any Intercreditor Agreements, the Trustee may or may direct the Notes Collateral Agent to take all actions it determines in order to:</w:t>
      </w:r>
    </w:p>
    <w:p>
      <w:pPr>
        <w:spacing w:after="0" w:line="170" w:lineRule="exact"/>
        <w:rPr>
          <w:sz w:val="20"/>
          <w:szCs w:val="20"/>
          <w:color w:val="auto"/>
        </w:rPr>
      </w:pPr>
    </w:p>
    <w:p>
      <w:pPr>
        <w:ind w:left="1960" w:hanging="656"/>
        <w:spacing w:after="0"/>
        <w:tabs>
          <w:tab w:leader="none" w:pos="1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enforce any of the terms of the Security Documents;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hereunder.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Subject to the provisions of the Security Documents and any Intercreditor Agreements, the Trustee and the Notes Collateral Agent shall have power to institute and to maintain such suits and proceedings as the Trustee may determine to prevent any impairment of the Collateral by any acts which may be unlawful or in violation of any of the Security Documents or this Indenture, and such suits and proceedings as the Trustee may determine to preserve or protect its interests and the interests of the Holders in the Collateral. Nothing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considered to impose any such duty or obligation to act on the part of the Trustee or the Notes Collateral Agent.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AUTHORIZATION OF RECEIPT OF FUNDS BY THE TRUSTEE UNDER THE SECURITY DOCUMENTS.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Subject to the provisions of any Intercreditor Agreements, the Trustee is authorized to receive any funds for the benefit of the Holders distributed under the Security Documents, and to make further distributions of such funds to the Holders according to the provisions of this Indenture.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PURCHASER PROTECTED.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 event shall any purchaser in good faith of any property purported to be released hereunder be bound to ascertain the authority of the Notes Collateral Agent or the Trustee to execute the applicable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not prohibited by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to be sold be under any obligation to ascertain or inquire into the authority of the Issuer or the applicable Guarantor to make any such sale or other transfer.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POWERS EXERCISABLE BY RECEIVER OR TRUSTEE.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case the Collateral shall be in the possession of a receiver or trustee, lawfully appointed, the powers conferred in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upon the Issuer or a Guarantor with respect to the release, sale or other disposition of such property may be exercised by such receiver or trustee, and an instrument signed by such receiver or trustee shall be deemed the equivalent of any similar instrument of the Issuer or a Guarantor or of any Officer or Officers thereof required by the provisions of this </w:t>
      </w:r>
      <w:r>
        <w:rPr>
          <w:rFonts w:ascii="Arial" w:cs="Arial" w:eastAsia="Arial" w:hAnsi="Arial"/>
          <w:sz w:val="18"/>
          <w:szCs w:val="18"/>
          <w:u w:val="single" w:color="auto"/>
          <w:color w:val="auto"/>
        </w:rPr>
        <w:t>Article 12</w:t>
      </w:r>
      <w:r>
        <w:rPr>
          <w:rFonts w:ascii="Arial" w:cs="Arial" w:eastAsia="Arial" w:hAnsi="Arial"/>
          <w:sz w:val="18"/>
          <w:szCs w:val="18"/>
          <w:color w:val="auto"/>
        </w:rPr>
        <w:t>; and if the Trustee shall be in the possession of the Collateral under any provision of this Indenture, then such powers may be exercised by the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CERTAIN LIMITATIONS ON COLLATERAL.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anything to the contrary, to the extent that the Lien on any Collateral is not or cannot be created and/or perfected on the Issue Date (other than (a) by the execution and delivery of the Security Agreement by the Issuer and the Guarantors, (b) a Lien on Collateral that is of the type that may be perfected by the filing of a financing statement in the United States under the UCC and (c) a Lien on the Equity Interests of each Restricted Subsidiary (other than a Foreign Subsidiary) required to be pledged pursuant to the Security Agreement that may be perfected on the Issue Date by the delivery of a stock or equivalent certificate (together with a stock power or similar instrument endorsed in blank for the relevant certificate)), in each case after the Issuer’s use of commercially reasonably efforts to do so or without undue burden or expense, the Issuer shall take all necessary actions to create and/or perfect such Lien pursuant to arrangements to be mutually agreed between the Issuer and the Notes Collateral Agent acting reasonably. In addition, notwithstanding anything to the contrary, it is further understood and agreed that:</w:t>
      </w:r>
    </w:p>
    <w:p>
      <w:pPr>
        <w:spacing w:after="0" w:line="178" w:lineRule="exact"/>
        <w:rPr>
          <w:sz w:val="20"/>
          <w:szCs w:val="20"/>
          <w:color w:val="auto"/>
        </w:rPr>
      </w:pPr>
    </w:p>
    <w:p>
      <w:pPr>
        <w:jc w:val="both"/>
        <w:ind w:firstLine="1304"/>
        <w:spacing w:after="0" w:line="263" w:lineRule="auto"/>
        <w:tabs>
          <w:tab w:leader="none" w:pos="20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Notes Collateral Agent may waive or grant extensions of time for the creation and perfection of security interests in, or obtaining Mortgages, policies of title insurance, legal opinions, surveys, appraisals or other deliverables with respect to, particular assets or the provision of any Note Guarantee by any Restricted Subsidiary;</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2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(1) perfection by control shall not be required with respect to assets requiring perfection through control agreements or other control arrangements, including Deposit Accounts, securities accounts and commodities accounts (other than control or possession of pledged Equity Interests (to the extent certificated) that constitute Collateral) and (2) no blocked account agreement, deposit account control agreement or similar agreement shall be required for any Deposit Account, securities account or commodities account;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2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Notes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w:t>
      </w:r>
    </w:p>
    <w:p>
      <w:pPr>
        <w:spacing w:after="0" w:line="183" w:lineRule="exact"/>
        <w:rPr>
          <w:rFonts w:ascii="Arial" w:cs="Arial" w:eastAsia="Arial" w:hAnsi="Arial"/>
          <w:sz w:val="18"/>
          <w:szCs w:val="18"/>
          <w:color w:val="auto"/>
        </w:rPr>
      </w:pPr>
    </w:p>
    <w:p>
      <w:pPr>
        <w:ind w:left="660" w:firstLine="1292"/>
        <w:spacing w:after="0" w:line="308" w:lineRule="auto"/>
        <w:tabs>
          <w:tab w:leader="none" w:pos="2776" w:val="left"/>
        </w:tabs>
        <w:numPr>
          <w:ilvl w:val="1"/>
          <w:numId w:val="245"/>
        </w:numPr>
        <w:rPr>
          <w:rFonts w:ascii="Arial" w:cs="Arial" w:eastAsia="Arial" w:hAnsi="Arial"/>
          <w:sz w:val="17"/>
          <w:szCs w:val="17"/>
          <w:color w:val="auto"/>
        </w:rPr>
      </w:pPr>
      <w:r>
        <w:rPr>
          <w:rFonts w:ascii="Arial" w:cs="Arial" w:eastAsia="Arial" w:hAnsi="Arial"/>
          <w:sz w:val="17"/>
          <w:szCs w:val="17"/>
          <w:color w:val="auto"/>
        </w:rPr>
        <w:t>with respect to Equity Interests in, and Collateral owned by, Guarantors located in Barbados as of the date of the Offering Memorandum, a charge over shares and debentures under the Laws of Barbados and any customary filings associated therewith;</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8" w:name="page189"/>
    <w:bookmarkEnd w:id="188"/>
    <w:p>
      <w:pPr>
        <w:ind w:left="-460" w:firstLine="1292"/>
        <w:spacing w:after="0" w:line="277" w:lineRule="auto"/>
        <w:tabs>
          <w:tab w:leader="none" w:pos="1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Bermuda as of the date of the Offering Memorandum, a share charge under the Laws of Bermuda and any customary filings associated therewith;</w:t>
      </w:r>
    </w:p>
    <w:p>
      <w:pPr>
        <w:spacing w:after="0" w:line="170" w:lineRule="exact"/>
        <w:rPr>
          <w:rFonts w:ascii="Arial" w:cs="Arial" w:eastAsia="Arial" w:hAnsi="Arial"/>
          <w:sz w:val="18"/>
          <w:szCs w:val="18"/>
          <w:color w:val="auto"/>
        </w:rPr>
      </w:pPr>
    </w:p>
    <w:p>
      <w:pPr>
        <w:ind w:left="-460" w:firstLine="1292"/>
        <w:spacing w:after="0" w:line="277" w:lineRule="auto"/>
        <w:tabs>
          <w:tab w:leader="none" w:pos="145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Ireland as of the date of the Offering Memorandum, a charge over shares under the laws of Ireland and any customary filings associated therewith;</w:t>
      </w:r>
    </w:p>
    <w:p>
      <w:pPr>
        <w:spacing w:after="0" w:line="170" w:lineRule="exact"/>
        <w:rPr>
          <w:rFonts w:ascii="Arial" w:cs="Arial" w:eastAsia="Arial" w:hAnsi="Arial"/>
          <w:sz w:val="18"/>
          <w:szCs w:val="18"/>
          <w:color w:val="auto"/>
        </w:rPr>
      </w:pPr>
    </w:p>
    <w:p>
      <w:pPr>
        <w:jc w:val="both"/>
        <w:ind w:left="-460" w:firstLine="1292"/>
        <w:spacing w:after="0" w:line="301" w:lineRule="auto"/>
        <w:tabs>
          <w:tab w:leader="none" w:pos="153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with respect to Equity Interests and Collateral located in Jamaica as of the date of the Offering Memorandum, (i) a debenture creating charges over Collateral, (ii) four share charges by a Barbadian parent over shares in four Jamaican subsidiaries, (iii) a share charge by a United States parent over shares in a Jamaican subsidiary and (iv) two mortgages over certain real property interests under the Laws of Jamaica (and Barbados, as applicable, with respect to the charge over shares), and any customary filings associated therewith;</w:t>
      </w:r>
    </w:p>
    <w:p>
      <w:pPr>
        <w:spacing w:after="0" w:line="157" w:lineRule="exact"/>
        <w:rPr>
          <w:rFonts w:ascii="Arial" w:cs="Arial" w:eastAsia="Arial" w:hAnsi="Arial"/>
          <w:sz w:val="16"/>
          <w:szCs w:val="16"/>
          <w:color w:val="auto"/>
        </w:rPr>
      </w:pPr>
    </w:p>
    <w:p>
      <w:pPr>
        <w:jc w:val="both"/>
        <w:ind w:left="-460" w:firstLine="1292"/>
        <w:spacing w:after="0" w:line="263" w:lineRule="auto"/>
        <w:tabs>
          <w:tab w:leader="none" w:pos="143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Mexico as of the date of the Offering Memorandum, equity interests pledge agreements and non-possessory pledge agreements under the Laws of Mexico, and any customary filings associated therewith;</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43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The Netherlands as of the date of the Offering Memorandum, a pledge of shares and pledge on receivables and accounts under the Laws of The Netherlands, and any customary filings associated therewith;</w:t>
      </w:r>
    </w:p>
    <w:p>
      <w:pPr>
        <w:spacing w:after="0" w:line="183" w:lineRule="exact"/>
        <w:rPr>
          <w:rFonts w:ascii="Arial" w:cs="Arial" w:eastAsia="Arial" w:hAnsi="Arial"/>
          <w:sz w:val="18"/>
          <w:szCs w:val="18"/>
          <w:color w:val="auto"/>
        </w:rPr>
      </w:pPr>
    </w:p>
    <w:p>
      <w:pPr>
        <w:ind w:left="-460" w:firstLine="1292"/>
        <w:spacing w:after="0" w:line="308" w:lineRule="auto"/>
        <w:tabs>
          <w:tab w:leader="none" w:pos="154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with respect to Collateral owned by, Guarantors located in Nicaragua as of the date of the Offering Memorandum, movable pledge over the Power Purchase Agreement under the laws of Nicaragua, and any customary filings associated therewith;</w:t>
      </w:r>
    </w:p>
    <w:p>
      <w:pPr>
        <w:spacing w:after="0" w:line="146" w:lineRule="exact"/>
        <w:rPr>
          <w:rFonts w:ascii="Arial" w:cs="Arial" w:eastAsia="Arial" w:hAnsi="Arial"/>
          <w:sz w:val="17"/>
          <w:szCs w:val="17"/>
          <w:color w:val="auto"/>
        </w:rPr>
      </w:pPr>
    </w:p>
    <w:p>
      <w:pPr>
        <w:jc w:val="both"/>
        <w:ind w:left="-460" w:firstLine="1292"/>
        <w:spacing w:after="0" w:line="263" w:lineRule="auto"/>
        <w:tabs>
          <w:tab w:leader="none" w:pos="15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Puerto Rico as of the date of the Offering Memorandum, a filing of the applicable financing statement before the Commonwealth of Puerto Rico Department of State’s Secured Transactions Registry and any customary filings associated therewith;</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58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incorporated in England and Wales as of the date of the Offering Memorandum, a charge over shares and debentures under the Laws of England and Wales and any customary filings associated therewith; and</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47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Foreign Subsidiaries that become Guarantors after the date of the Offering Memorandum, only such share pledges, debentures and similar instruments as are substantially consistent with those described in the foregoing clauses (i) through (x), as applicable.</w:t>
      </w: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89" w:name="page190"/>
    <w:bookmarkEnd w:id="189"/>
    <w:p>
      <w:pPr>
        <w:jc w:val="both"/>
        <w:ind w:firstLine="1304"/>
        <w:spacing w:after="0" w:line="275" w:lineRule="auto"/>
        <w:tabs>
          <w:tab w:leader="none" w:pos="199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no actions shall be required to perfect a security interest in (1) any vehicle, tanker, marine vessel, ISO container or other asset subject to a certificate of title, other than tankers or other marine vessels with a value (as reasonably estimated by the Issuer) in excess of $40.0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above, the Issuer and the Guarantors expect to create security interests in certain of the Collateral on the Issue Date by entering into the Security Agreement, filing certain financing statements in the United States under the UCC and delivering certain stock or equivalent certificates for Domestic Subsidiaries. In addition, on the Issue Date the Issuer, the Guarantors and the Notes Collateral Agent will use commercially reasonable efforts to enter into the other Security Documents (except with respect to mortgages and other documents or agreements that (x) shall be delivered on a post-Issue Date basis per the terms of this Indenture or any Security Document or (y) cannot be reasonably delivered on the Issue Date without undue burden or expense in the sole judgment of the Issuer), which will create the security interests in certain of the other Collateral.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NOTES COLLATERAL AGENT.</w:t>
      </w:r>
    </w:p>
    <w:p>
      <w:pPr>
        <w:spacing w:after="0" w:line="225" w:lineRule="exact"/>
        <w:rPr>
          <w:sz w:val="20"/>
          <w:szCs w:val="20"/>
          <w:color w:val="auto"/>
        </w:rPr>
      </w:pPr>
    </w:p>
    <w:p>
      <w:pPr>
        <w:jc w:val="both"/>
        <w:ind w:firstLine="1304"/>
        <w:spacing w:after="0" w:line="285" w:lineRule="auto"/>
        <w:tabs>
          <w:tab w:leader="none" w:pos="194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Issuer and each of the Holders by acceptance of the Notes hereby designates and appoints the Notes Collateral Agent as its agent under this Indenture, the Security Documents and any Intercreditor Agreements, and the Issuer and each of the Holders by acceptance of the Notes hereby irrevocably authorizes the Notes Collateral Agent to take such action on its behalf under the provisions of this Indenture, the Security Documents and any Intercreditor Agreements and to exercise such powers and perform such duties as are expressly delegated to the Notes Collateral Agent by the terms of this Indenture, the Security Documents and any Intercreditor Agreements, and consents and agrees to the terms of any Intercreditor Agreements and each Security Document, as the same may be in effect or may be amended, restated, supplemented or otherwise modified from time to time in accordance with their respective terms. The Notes Collateral Agent agrees to act as such on the express conditions contained in this </w:t>
      </w:r>
      <w:r>
        <w:rPr>
          <w:rFonts w:ascii="Arial" w:cs="Arial" w:eastAsia="Arial" w:hAnsi="Arial"/>
          <w:sz w:val="16"/>
          <w:szCs w:val="16"/>
          <w:u w:val="single" w:color="auto"/>
          <w:color w:val="auto"/>
        </w:rPr>
        <w:t>Section 12.08</w:t>
      </w:r>
      <w:r>
        <w:rPr>
          <w:rFonts w:ascii="Arial" w:cs="Arial" w:eastAsia="Arial" w:hAnsi="Arial"/>
          <w:sz w:val="16"/>
          <w:szCs w:val="16"/>
          <w:color w:val="auto"/>
        </w:rPr>
        <w:t>. Each Holder agrees that any action taken by the Notes Collateral Agent in accordance with the provision of this Indenture, any Intercreditor Agreements and the Security Documents, and the exercise by the Notes Collateral Agent of any rights or remedies set forth herein and therein shall be authorized and binding upon all Holders. Notwithstanding any provision to the contrary contained elsewhere in this Indenture, the Security Documents and any Intercreditor Agreements, the duties of the Notes Collateral Agent shall be ministerial and administrative in nature, and the Notes Collateral Agent shall not have any duties or responsibilities, except those expressly set forth herein and in the Security Documents and any Intercreditor Agreements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the Security Documents and any Intercreditor Agreements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0" w:name="page191"/>
    <w:bookmarkEnd w:id="190"/>
    <w:p>
      <w:pPr>
        <w:jc w:val="both"/>
        <w:ind w:firstLine="1304"/>
        <w:spacing w:after="0" w:line="293" w:lineRule="auto"/>
        <w:tabs>
          <w:tab w:leader="none" w:pos="19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Notes Collateral Agent may perform any of its duties under this Indenture, the Security Documents or any Intercreditor Agreements by or through receivers, agents, employees, attorneys-in-fact or with respect to any specified Person, such Person’s Affiliates, and the respective officers, directors, employees, agents, advisors and attorneys-in-fact of such Person and its Affiliates (a “</w:t>
      </w:r>
      <w:r>
        <w:rPr>
          <w:rFonts w:ascii="Arial" w:cs="Arial" w:eastAsia="Arial" w:hAnsi="Arial"/>
          <w:sz w:val="16"/>
          <w:szCs w:val="16"/>
          <w:u w:val="single" w:color="auto"/>
          <w:color w:val="auto"/>
        </w:rPr>
        <w:t>Related Person</w:t>
      </w:r>
      <w:r>
        <w:rPr>
          <w:rFonts w:ascii="Arial" w:cs="Arial" w:eastAsia="Arial" w:hAnsi="Arial"/>
          <w:sz w:val="16"/>
          <w:szCs w:val="16"/>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misconduct of any receiver, agent, employee, attorney-in-fact or Related Person that it selects as long as such selection was made in good faith and with due care.</w:t>
      </w:r>
    </w:p>
    <w:p>
      <w:pPr>
        <w:spacing w:after="0" w:line="164" w:lineRule="exact"/>
        <w:rPr>
          <w:rFonts w:ascii="Arial" w:cs="Arial" w:eastAsia="Arial" w:hAnsi="Arial"/>
          <w:sz w:val="16"/>
          <w:szCs w:val="16"/>
          <w:color w:val="auto"/>
        </w:rPr>
      </w:pPr>
    </w:p>
    <w:p>
      <w:pPr>
        <w:jc w:val="both"/>
        <w:ind w:firstLine="1304"/>
        <w:spacing w:after="0" w:line="287" w:lineRule="auto"/>
        <w:tabs>
          <w:tab w:leader="none" w:pos="195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None of the Notes Collateral Agent or any of its respective Related Persons shall (i) be liable for any action taken or omitted to be taken by any of them under or in connection with this Indenture or the transactions contemplated hereby (except for its own gross negligence or willful misconduct) or under or in connection with any Security Document or any Intercreditor Agreements or the transactions contemplated thereby (except for its own gross negligence or willful misconduct), or (ii) be responsible in any manner to any of the Trustee or any Holder for any recital, statement, representation, warranty, covenant or agreement made by the Issuer or any other Grantor or Affiliate of any Grantor, or any Officer or Related Person thereof, contained in this Indenture, the Security Documents, any Intercreditor Agreements or any certificate, report, statement or other document referred to or provided for in, or received by the Notes Collateral Agent under or in connection with, this Indenture, the Security Documents or any Intercreditor Agreements, or the validity, effectiveness, genuineness, enforceability or sufficiency of this Indenture, the Security Documents or any Intercreditor Agreements, or for any failure of any Grantor or any other party to this Indenture, the Security Documents or any Intercreditor Agreements to perform its obligations hereunder or thereunder. None of the Notes Collateral Agent or any of its respective Related Persons shall be under any obligation to the Trustee or any Holder to ascertain or to inquire as to the observance or performance of any of the agreements contained in, or conditions of, this Indenture, the Security Documents or any Intercreditor Agreements or to inspect the properties, books, or records of any Grantor or any Grantor’s Affiliates.</w:t>
      </w:r>
    </w:p>
    <w:p>
      <w:pPr>
        <w:spacing w:after="0" w:line="167" w:lineRule="exact"/>
        <w:rPr>
          <w:rFonts w:ascii="Arial" w:cs="Arial" w:eastAsia="Arial" w:hAnsi="Arial"/>
          <w:sz w:val="16"/>
          <w:szCs w:val="16"/>
          <w:color w:val="auto"/>
        </w:rPr>
      </w:pPr>
    </w:p>
    <w:p>
      <w:pPr>
        <w:jc w:val="both"/>
        <w:ind w:firstLine="1304"/>
        <w:spacing w:after="0" w:line="286" w:lineRule="auto"/>
        <w:tabs>
          <w:tab w:leader="none" w:pos="188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counsel to the Issuer or any other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the Security Documents or any Intercreditor Agreements unless it shall first receive such advice or concurrence of the Trustee or the Holders of a majority in aggregate principal amount of the Notes as it determines and, if it so requests, it shall first be indemnified to its reasonable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Security Documents or any Intercreditor Agreements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1" w:name="page192"/>
    <w:bookmarkEnd w:id="191"/>
    <w:p>
      <w:pPr>
        <w:jc w:val="both"/>
        <w:ind w:firstLine="1304"/>
        <w:spacing w:after="0" w:line="257" w:lineRule="auto"/>
        <w:tabs>
          <w:tab w:leader="none" w:pos="206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the Holders of a majority in aggregate principal amount of the Notes (subject to this </w:t>
      </w:r>
      <w:r>
        <w:rPr>
          <w:rFonts w:ascii="Arial" w:cs="Arial" w:eastAsia="Arial" w:hAnsi="Arial"/>
          <w:sz w:val="18"/>
          <w:szCs w:val="18"/>
          <w:u w:val="single" w:color="auto"/>
          <w:color w:val="auto"/>
        </w:rPr>
        <w:t>Section 12.08</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19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Trustee, at the direction of the Holders of a majority of the aggregate principal amount of the Notes then outstanding, may appoint a successor collateral agent, subject to the consent of the Issuer (which consent shall not be unreasonably withheld and which shall not be required during a continuing Event of Default).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w:t>
      </w:r>
      <w:r>
        <w:rPr>
          <w:rFonts w:ascii="Arial" w:cs="Arial" w:eastAsia="Arial" w:hAnsi="Arial"/>
          <w:sz w:val="16"/>
          <w:szCs w:val="16"/>
          <w:u w:val="single" w:color="auto"/>
          <w:color w:val="auto"/>
        </w:rPr>
        <w:t>Notes Collateral Agent</w:t>
      </w:r>
      <w:r>
        <w:rPr>
          <w:rFonts w:ascii="Arial" w:cs="Arial" w:eastAsia="Arial" w:hAnsi="Arial"/>
          <w:sz w:val="16"/>
          <w:szCs w:val="16"/>
          <w:color w:val="auto"/>
        </w:rPr>
        <w:t xml:space="preserve">” shall mean such successor collateral agent, and the retiring Notes Collateral Agent’s appointment, powers and duties as the Notes Collateral Agent shall be terminated. After the retiring Notes Collateral Agent’s resignation hereunder, the provisions of this </w:t>
      </w:r>
      <w:r>
        <w:rPr>
          <w:rFonts w:ascii="Arial" w:cs="Arial" w:eastAsia="Arial" w:hAnsi="Arial"/>
          <w:sz w:val="16"/>
          <w:szCs w:val="16"/>
          <w:u w:val="single" w:color="auto"/>
          <w:color w:val="auto"/>
        </w:rPr>
        <w:t>Section 12.08</w:t>
      </w:r>
      <w:r>
        <w:rPr>
          <w:rFonts w:ascii="Arial" w:cs="Arial" w:eastAsia="Arial" w:hAnsi="Arial"/>
          <w:sz w:val="16"/>
          <w:szCs w:val="16"/>
          <w:color w:val="auto"/>
        </w:rPr>
        <w:t xml:space="preserve">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173" w:lineRule="exact"/>
        <w:rPr>
          <w:rFonts w:ascii="Arial" w:cs="Arial" w:eastAsia="Arial" w:hAnsi="Arial"/>
          <w:sz w:val="16"/>
          <w:szCs w:val="16"/>
          <w:color w:val="auto"/>
        </w:rPr>
      </w:pPr>
    </w:p>
    <w:p>
      <w:pPr>
        <w:jc w:val="both"/>
        <w:ind w:firstLine="1304"/>
        <w:spacing w:after="0" w:line="254" w:lineRule="auto"/>
        <w:tabs>
          <w:tab w:leader="none" w:pos="212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Trustee shall initially act as Notes Collateral Agent and shall be authorized to appoint co-Notes Collateral Agents as necessary in its sole discretion. Except as otherwise explicitly provided herein or in the Security Documents or any Intercreditor Agreements,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2" w:name="page193"/>
    <w:bookmarkEnd w:id="192"/>
    <w:p>
      <w:pPr>
        <w:jc w:val="both"/>
        <w:ind w:firstLine="1304"/>
        <w:spacing w:after="0" w:line="301" w:lineRule="auto"/>
        <w:tabs>
          <w:tab w:leader="none" w:pos="201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Notes Collateral Agent is authorized and directed to (i) enter into the Security Documents to which it is party, whether executed on or after the Issue Date, (ii) enter into any Intercreditor Agreements, whether executed on or after the Issue Date, (iii) make the representations of the Holders set forth in the Security Documents and Intercreditor Agreements, (iv) bind the Holders on the terms as set forth in the Security Documents and any Intercreditor Agreements and (v) perform and observe its obligations under the Security Documents and any Intercreditor Agreements.</w:t>
      </w:r>
    </w:p>
    <w:p>
      <w:pPr>
        <w:spacing w:after="0" w:line="157" w:lineRule="exact"/>
        <w:rPr>
          <w:rFonts w:ascii="Arial" w:cs="Arial" w:eastAsia="Arial" w:hAnsi="Arial"/>
          <w:sz w:val="16"/>
          <w:szCs w:val="16"/>
          <w:color w:val="auto"/>
        </w:rPr>
      </w:pPr>
    </w:p>
    <w:p>
      <w:pPr>
        <w:jc w:val="both"/>
        <w:ind w:firstLine="1304"/>
        <w:spacing w:after="0" w:line="273" w:lineRule="auto"/>
        <w:tabs>
          <w:tab w:leader="none" w:pos="199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the Security Documents and any Intercreditor Agreements.</w:t>
      </w:r>
    </w:p>
    <w:p>
      <w:pPr>
        <w:spacing w:after="0" w:line="177" w:lineRule="exact"/>
        <w:rPr>
          <w:rFonts w:ascii="Arial" w:cs="Arial" w:eastAsia="Arial" w:hAnsi="Arial"/>
          <w:sz w:val="17"/>
          <w:szCs w:val="17"/>
          <w:color w:val="auto"/>
        </w:rPr>
      </w:pPr>
    </w:p>
    <w:p>
      <w:pPr>
        <w:jc w:val="both"/>
        <w:ind w:firstLine="1304"/>
        <w:spacing w:after="0" w:line="279" w:lineRule="auto"/>
        <w:tabs>
          <w:tab w:leader="none" w:pos="191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71" w:lineRule="exact"/>
        <w:rPr>
          <w:rFonts w:ascii="Arial" w:cs="Arial" w:eastAsia="Arial" w:hAnsi="Arial"/>
          <w:sz w:val="17"/>
          <w:szCs w:val="17"/>
          <w:color w:val="auto"/>
        </w:rPr>
      </w:pPr>
    </w:p>
    <w:p>
      <w:pPr>
        <w:jc w:val="both"/>
        <w:ind w:firstLine="1304"/>
        <w:spacing w:after="0" w:line="290" w:lineRule="auto"/>
        <w:tabs>
          <w:tab w:leader="none" w:pos="189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Security Document or any Intercreditor Agreements other than pursuant to the instructions of the Trustee or the Holders of a majority in aggregate principal amount of the Notes or as otherwise provided in the Security Documents.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3" w:name="page194"/>
    <w:bookmarkEnd w:id="193"/>
    <w:p>
      <w:pPr>
        <w:jc w:val="both"/>
        <w:ind w:firstLine="1304"/>
        <w:spacing w:after="0" w:line="255" w:lineRule="auto"/>
        <w:tabs>
          <w:tab w:leader="none" w:pos="214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 Issuer or any Guarantor (i) incurs any Junior Priority Obligations at any time when no Junior Priority Intercreditor Agreement is in effect and (ii) delivers to the Notes Collateral Agent an Officer’s Certificate so stating and requesting the Notes Collateral Agent to enter into a Junior Priority Intercreditor Agreement in favor of a designated agent or representative for the holders of the Junior Priority Obligations so incurred, the Notes Collateral Agent shall (and is hereby authorized and directed to) enter into such intercreditor agreement (at the sole expense and cost of the Issuer, including legal fees and expenses of the Notes Collateral Agent), bind the Holders on the terms set forth therein and perform and observe its obligations thereunder.</w:t>
      </w:r>
    </w:p>
    <w:p>
      <w:pPr>
        <w:spacing w:after="0" w:line="192" w:lineRule="exact"/>
        <w:rPr>
          <w:rFonts w:ascii="Arial" w:cs="Arial" w:eastAsia="Arial" w:hAnsi="Arial"/>
          <w:sz w:val="18"/>
          <w:szCs w:val="18"/>
          <w:color w:val="auto"/>
        </w:rPr>
      </w:pPr>
    </w:p>
    <w:p>
      <w:pPr>
        <w:jc w:val="both"/>
        <w:ind w:firstLine="1304"/>
        <w:spacing w:after="0" w:line="287" w:lineRule="auto"/>
        <w:tabs>
          <w:tab w:leader="none" w:pos="194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 provision of this Indenture, any Intercreditor Agreements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reasonably satisfactory to the Notes Collateral Agent and the Trustee against potential costs and liabilities incurred by the Notes Collateral Agent relating thereto. Notwithstanding anything to the contrary contained in this Indenture, any Intercreditor Agreements or the Security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reasonably deems any indemnity, security or undertaking from the Issuer or the Holders to be sufficient.</w:t>
      </w:r>
    </w:p>
    <w:p>
      <w:pPr>
        <w:spacing w:after="0" w:line="171" w:lineRule="exact"/>
        <w:rPr>
          <w:rFonts w:ascii="Arial" w:cs="Arial" w:eastAsia="Arial" w:hAnsi="Arial"/>
          <w:sz w:val="16"/>
          <w:szCs w:val="16"/>
          <w:color w:val="auto"/>
        </w:rPr>
      </w:pPr>
    </w:p>
    <w:p>
      <w:pPr>
        <w:jc w:val="both"/>
        <w:ind w:firstLine="1304"/>
        <w:spacing w:after="0" w:line="271" w:lineRule="auto"/>
        <w:tabs>
          <w:tab w:leader="none" w:pos="213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Notes Collateral Agent (i) shall not be liable for any action taken or omitted to be taken by it in connection with this Indenture, any Intercreditor Agreements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 (and money held in trust by the Notes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78" w:lineRule="exact"/>
        <w:rPr>
          <w:rFonts w:ascii="Arial" w:cs="Arial" w:eastAsia="Arial" w:hAnsi="Arial"/>
          <w:sz w:val="17"/>
          <w:szCs w:val="17"/>
          <w:color w:val="auto"/>
        </w:rPr>
      </w:pPr>
    </w:p>
    <w:p>
      <w:pPr>
        <w:jc w:val="both"/>
        <w:ind w:firstLine="1304"/>
        <w:spacing w:after="0" w:line="275" w:lineRule="auto"/>
        <w:tabs>
          <w:tab w:leader="none" w:pos="213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4" w:name="page195"/>
    <w:bookmarkEnd w:id="194"/>
    <w:p>
      <w:pPr>
        <w:jc w:val="both"/>
        <w:ind w:firstLine="1304"/>
        <w:spacing w:after="0" w:line="268" w:lineRule="auto"/>
        <w:tabs>
          <w:tab w:leader="none" w:pos="207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Notes Collateral Agent does not assume any responsibility for any failure or delay in performance or any breach by the Issuer or any other Grantor under this Indenture, any Intercreditor Agreements and the Security Documents. The Notes Collateral Agent shall not be responsible to the Holders or any other Person for any recitals, statements, information, representations or warranties contained in this Indenture, the Security Documents, any Intercreditor Agreements or any certificate, report, statement, or other document referred to or provided for in, or received by the Notes Collateral Agent under or in connection with, this Indenture, any Intercreditor Agreements or any Security Document; the execution, validity, genuineness, effectiveness or enforceability of any Intercreditor Agreements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any Intercreditor Agreements and the Security Documents. The Notes Collateral Agent shall have no obligation to any Holder or any other Person to ascertain or inquire into the existence of any Default or Event of Default, the observance or performance by any obligor of any terms of this Indenture, any Intercreditor Agreements and the Security Documents, or the satisfaction of any conditions precedent contained in this Indenture, any Intercreditor Agreements and any Security Documents. The Notes Collateral Agent shall not be required to initiate or conduct any litigation or collection or other proceeding under this Indenture, any Intercreditor Agreements and the Security Documents unless expressly set forth hereunder or thereunder. The Notes Collateral Agent shall have the right at any time to seek instructions from the Holders with respect to the administration of this Indenture, the Security Documents and any Intercreditor Agreements.</w:t>
      </w:r>
    </w:p>
    <w:p>
      <w:pPr>
        <w:spacing w:after="0" w:line="179" w:lineRule="exact"/>
        <w:rPr>
          <w:rFonts w:ascii="Arial" w:cs="Arial" w:eastAsia="Arial" w:hAnsi="Arial"/>
          <w:sz w:val="17"/>
          <w:szCs w:val="17"/>
          <w:color w:val="auto"/>
        </w:rPr>
      </w:pPr>
    </w:p>
    <w:p>
      <w:pPr>
        <w:jc w:val="both"/>
        <w:ind w:firstLine="1304"/>
        <w:spacing w:after="0" w:line="284" w:lineRule="auto"/>
        <w:tabs>
          <w:tab w:leader="none" w:pos="194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any remediation, corrective action, response, removal or remedial action, or investigation, operations and maintenance or monitoring costs, for personal injury or property damages, real or personal) of any kind whatsoever, pursuant to any environmental law as a result of this Indenture, any Intercreditor Agreements, the Security Documents or any actions taken pursuant hereto or thereto. Further, the parties hereto and the Holders hereby agree and acknowledge that in the exercise of its rights under this Indenture, any Intercreditor Agreements and the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Agent or the Trustee’s sole discretion may cause the Notes Collateral Agent or the Trustee to be considered an “owner or operator” under the provisions of the Comprehensive Environmental Response, Compensation and Liability Act (“</w:t>
      </w:r>
      <w:r>
        <w:rPr>
          <w:rFonts w:ascii="Arial" w:cs="Arial" w:eastAsia="Arial" w:hAnsi="Arial"/>
          <w:sz w:val="16"/>
          <w:szCs w:val="16"/>
          <w:u w:val="single" w:color="auto"/>
          <w:color w:val="auto"/>
        </w:rPr>
        <w:t>CERCLA</w:t>
      </w:r>
      <w:r>
        <w:rPr>
          <w:rFonts w:ascii="Arial" w:cs="Arial" w:eastAsia="Arial" w:hAnsi="Arial"/>
          <w:sz w:val="16"/>
          <w:szCs w:val="16"/>
          <w:color w:val="auto"/>
        </w:rPr>
        <w:t>”), 42 U.S.C. §9601, et seq., or otherwise cause the Notes Collateral Agent or the Trustee to incur liability under CERCLA or any other federal, state or local law, the Notes Collateral Agent and the Trustee reserves the right, instead of taking such action, to either resign as the Notes Collateral Agent or the Trustee or arrange for the transfer of the title or control of the asset to a court-appointed receiver. Neither the Notes Collateral Agent nor the Trustee shall be liable to the Issuer, the Guarantors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Issuer or the Guarantors, a majority in interest of Holders shall direct the Notes Collateral Agent or the Trustee to appoint an appropriately qualified Person (excluding the Notes Collateral Agent or the Trustee) who they shall designate to possess, own, operate or manage, as the case may be, the property.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5" w:name="page196"/>
    <w:bookmarkEnd w:id="195"/>
    <w:p>
      <w:pPr>
        <w:jc w:val="both"/>
        <w:ind w:firstLine="1304"/>
        <w:spacing w:after="0" w:line="254" w:lineRule="auto"/>
        <w:tabs>
          <w:tab w:leader="none" w:pos="198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Upon the receipt by the Notes Collateral Agent of a written request of the Issuer signed by an Officer (a “</w:t>
      </w:r>
      <w:r>
        <w:rPr>
          <w:rFonts w:ascii="Arial" w:cs="Arial" w:eastAsia="Arial" w:hAnsi="Arial"/>
          <w:sz w:val="18"/>
          <w:szCs w:val="18"/>
          <w:u w:val="single" w:color="auto"/>
          <w:color w:val="auto"/>
        </w:rPr>
        <w:t>Security Document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xml:space="preserve">”), the Notes Collateral Agent is hereby authorized to execute and enter into, and shall execute and enter into, without the further consent of any Holder or the Trustee, any Security Document to be executed after the Issue Date. Such Security Document Order shall (i) state that it is being delivered to the Notes Collateral Agent pursuant to, and is a Security Document Order referred to in, this </w:t>
      </w:r>
      <w:r>
        <w:rPr>
          <w:rFonts w:ascii="Arial" w:cs="Arial" w:eastAsia="Arial" w:hAnsi="Arial"/>
          <w:sz w:val="18"/>
          <w:szCs w:val="18"/>
          <w:u w:val="single" w:color="auto"/>
          <w:color w:val="auto"/>
        </w:rPr>
        <w:t>Section 12.08(r)</w:t>
      </w:r>
      <w:r>
        <w:rPr>
          <w:rFonts w:ascii="Arial" w:cs="Arial" w:eastAsia="Arial" w:hAnsi="Arial"/>
          <w:sz w:val="18"/>
          <w:szCs w:val="18"/>
          <w:color w:val="auto"/>
        </w:rPr>
        <w:t>, and (ii) instruct the Notes Collateral Agent to execute and enter into such Security Document. Any such execution of a Security Document shall be at the direction and expense of the Issuer, upon delivery to the Notes Collateral Agent of an Officer’s Certificate stating that all conditions precedent to the execution and delivery of the Security Document have been satisfied. The Holders, by their acceptance of the Notes, hereby authorize and direct the Notes Collateral Agent to execute such Security Documents.</w:t>
      </w:r>
    </w:p>
    <w:p>
      <w:pPr>
        <w:spacing w:after="0" w:line="191" w:lineRule="exact"/>
        <w:rPr>
          <w:rFonts w:ascii="Arial" w:cs="Arial" w:eastAsia="Arial" w:hAnsi="Arial"/>
          <w:sz w:val="18"/>
          <w:szCs w:val="18"/>
          <w:color w:val="auto"/>
        </w:rPr>
      </w:pPr>
    </w:p>
    <w:p>
      <w:pPr>
        <w:jc w:val="both"/>
        <w:ind w:firstLine="1304"/>
        <w:spacing w:after="0" w:line="255" w:lineRule="auto"/>
        <w:tabs>
          <w:tab w:leader="none" w:pos="191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Subject to the provisions of the applicable Security Documents and any Intercreditor Agreements, each Holder, by acceptance of the Notes, agrees that the Notes Collateral Agent shall execute and deliver any Intercreditor Agreements and the Security Documents to which it is a party and all agreements, documents and instruments incidental thereto, and act in accordance with the terms thereof. For the avoidance of doubt, except as otherwise provided in this Indenture, the Notes Collateral Agent shall have no discretion under this Indenture and shall not be required to make or give any determination, consent, approval, request or direction without the written direction of the Holders of a majority in aggregate principal amount of the then outstanding Notes or the Trustee, as applicable.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96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After the occurrence and continuance of an Event of Default, the Trustee, acting at the direction of the Holders of a majority of the aggregate principal amount of the Notes then outstanding, may direct the Notes Collateral Agent in connection with any action required or permitted by this Indenture, the Security Documents or any Intercreditor Agreements.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0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Notes Collateral Agent is authorized to receive any funds for the benefit of itself, the Trustee and the Holders distributed under the Security Documents or any Intercreditor Agreements and to the extent not prohibited under any Intercreditor Agreements, for turnover to the Trustee to make further distributions of such funds to itself, the Trustee and the Holders in accordance with the provisions of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and the other provisions of this Indenture.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6" w:name="page197"/>
    <w:bookmarkEnd w:id="196"/>
    <w:p>
      <w:pPr>
        <w:jc w:val="both"/>
        <w:ind w:firstLine="1304"/>
        <w:spacing w:after="0" w:line="270" w:lineRule="auto"/>
        <w:tabs>
          <w:tab w:leader="none" w:pos="193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In each case that the Notes Collateral Agent may or is required hereunder or under any Security Document or any Intercreditor Agreement to take any action (an “</w:t>
      </w:r>
      <w:r>
        <w:rPr>
          <w:rFonts w:ascii="Arial" w:cs="Arial" w:eastAsia="Arial" w:hAnsi="Arial"/>
          <w:sz w:val="17"/>
          <w:szCs w:val="17"/>
          <w:u w:val="single" w:color="auto"/>
          <w:color w:val="auto"/>
        </w:rPr>
        <w:t>Action</w:t>
      </w:r>
      <w:r>
        <w:rPr>
          <w:rFonts w:ascii="Arial" w:cs="Arial" w:eastAsia="Arial" w:hAnsi="Arial"/>
          <w:sz w:val="17"/>
          <w:szCs w:val="17"/>
          <w:color w:val="auto"/>
        </w:rPr>
        <w:t>”), including to make any determination, to give consents, to exercise rights, powers or remedies, to release or sell Collateral or otherwise to act hereunder or under any Security Document or any Intercreditor Agreement,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spacing w:after="0" w:line="180" w:lineRule="exact"/>
        <w:rPr>
          <w:rFonts w:ascii="Arial" w:cs="Arial" w:eastAsia="Arial" w:hAnsi="Arial"/>
          <w:sz w:val="17"/>
          <w:szCs w:val="17"/>
          <w:color w:val="auto"/>
        </w:rPr>
      </w:pPr>
    </w:p>
    <w:p>
      <w:pPr>
        <w:jc w:val="both"/>
        <w:ind w:firstLine="1304"/>
        <w:spacing w:after="0" w:line="293" w:lineRule="auto"/>
        <w:tabs>
          <w:tab w:leader="none" w:pos="198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or in any Security Document or any Intercreditor Agreement, in no event shall the Notes Collateral Agent or the Trustee be responsible for, or have any duty or obligation with respect to, the recording, filing, registering, perfection, protection or maintenance of the security interests or Liens intended to be created by this Indenture, the Security Documents or any Intercreditor Agreements (including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w:t>
      </w:r>
    </w:p>
    <w:p>
      <w:pPr>
        <w:spacing w:after="0" w:line="164" w:lineRule="exact"/>
        <w:rPr>
          <w:rFonts w:ascii="Arial" w:cs="Arial" w:eastAsia="Arial" w:hAnsi="Arial"/>
          <w:sz w:val="16"/>
          <w:szCs w:val="16"/>
          <w:color w:val="auto"/>
        </w:rPr>
      </w:pPr>
    </w:p>
    <w:p>
      <w:pPr>
        <w:jc w:val="both"/>
        <w:ind w:firstLine="1304"/>
        <w:spacing w:after="0" w:line="279" w:lineRule="auto"/>
        <w:tabs>
          <w:tab w:leader="none" w:pos="210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Before the Notes Collateral Agent acts or refrains from acting in each case at the request or direction of the Issuer or the Guarantors, it may require an Officer’s Certificate, which shall conform to the provisions of this </w:t>
      </w:r>
      <w:r>
        <w:rPr>
          <w:rFonts w:ascii="Arial" w:cs="Arial" w:eastAsia="Arial" w:hAnsi="Arial"/>
          <w:sz w:val="17"/>
          <w:szCs w:val="17"/>
          <w:u w:val="single" w:color="auto"/>
          <w:color w:val="auto"/>
        </w:rPr>
        <w:t>Section 12.08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13.03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Officer’s Certificate shall be required in connection with the Security Documents to be entered by the Notes Collateral Agent on the Issue Date. The Notes Collateral Agent shall not be liable for any action it takes or omits to take in good faith in reliance on such certificate.</w:t>
      </w:r>
    </w:p>
    <w:p>
      <w:pPr>
        <w:spacing w:after="0" w:line="171" w:lineRule="exact"/>
        <w:rPr>
          <w:rFonts w:ascii="Arial" w:cs="Arial" w:eastAsia="Arial" w:hAnsi="Arial"/>
          <w:sz w:val="17"/>
          <w:szCs w:val="17"/>
          <w:color w:val="auto"/>
        </w:rPr>
      </w:pPr>
    </w:p>
    <w:p>
      <w:pPr>
        <w:ind w:firstLine="1304"/>
        <w:spacing w:after="0" w:line="277" w:lineRule="auto"/>
        <w:tabs>
          <w:tab w:leader="none" w:pos="187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Notes Collateral Agent shall act pursuant to the instructions of the Holders and the Trustee solely with respect to the Security Documents and the Collateral.</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2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rights, privileges, benefits, immunities, indemnities and other protections given to the Trustee are extended to, and shall be enforceable by, the Notes Collateral Agent as if the Notes Collateral Agent were named as the Trustee herein and the Security Documents were named as this Indenture herein.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7" w:name="page198"/>
    <w:bookmarkEnd w:id="197"/>
    <w:p>
      <w:pPr>
        <w:jc w:val="both"/>
        <w:ind w:firstLine="1304"/>
        <w:spacing w:after="0" w:line="283" w:lineRule="auto"/>
        <w:tabs>
          <w:tab w:leader="none" w:pos="196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The Issuer and the Guarantors shall furnish to the Trustee and the Notes Collateral Agent, within 120 days after the end of each fiscal year (beginning with the first fiscal year ending after the Issue Date and after giving effect to any fiscal year end change effected on or after the Issue Date), an Officer’s Certificate (which may be the same certificate required to be delivered by the Issuer pursuant to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either (i) (x) stating that such action has been taken with respect to the recording, filing, re-recording, and refiling of this Indenture or the Security Documents, as applicable, as are necessary to maintain the perfected Liens of the applicable Security Documents securing the Obligations under applicable law to the extent required by the Security Documents other than any action as described therein to be taken, and (y) stating that on the date of such Officer’s Certificate, all financing statements, financing statement amendments and continuation statements have been or will be executed and filed that are necessary, as of such date or promptly thereafter and during the succeeding 12 months, fully to maintain the perfection (to the extent required by the Security Documents) of the security interests of the Notes Collateral Agent securing the Obligations thereunder and under the Security Documents with respect to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a required filing of a continuation statement or other instrument within such 12-month period and such continuation statement or amendment is not effective if filed at the time of the Officer’s Certificate, such Officer’s Certificate may so state and in that case the Issuer and the Guarantors shall cause a continuation statement or amendment to be timely filed and become effective so as to maintain such Liens and security interests securing Obligations or</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stating that no such action is necessary to maintain such Liens or security interests.</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of this Indenture shall apply mutatis mutandis to the Notes Collateral Agent in its capacity as such.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notice or communication by the Issuer, any Guarantor, the Trustee or the Notes Collateral Agent to the others is duly given if in writing and delivered in person or mailed by first-class mail (registered or certified, return receipt requested), fax or overnight air courier guaranteeing next day delivery, to the others’ address, or given electronically: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Issuer and/or any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cmacdougall@fortress.com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 (which copy shall be delivered as an accommodation and shall not be required to be delivered in satisfaction of any requirement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10001-8602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Michael J. Schwartz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michael.schwartz@skadden.com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8" w:name="page199"/>
    <w:bookmarkEnd w:id="198"/>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Notes Collateral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Issuer, any Guarantor, the Trustee or the Notes Collateral Agent, by notice to the others, may designate additional or different addresses for subsequent notices or communications.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Notices given by publication (including posting of information as contemplated by the provisions described under </w:t>
      </w:r>
      <w:r>
        <w:rPr>
          <w:rFonts w:ascii="Arial" w:cs="Arial" w:eastAsia="Arial" w:hAnsi="Arial"/>
          <w:sz w:val="16"/>
          <w:szCs w:val="16"/>
          <w:u w:val="single" w:color="auto"/>
          <w:color w:val="auto"/>
        </w:rPr>
        <w:t>Section 4.03</w:t>
      </w:r>
      <w:r>
        <w:rPr>
          <w:rFonts w:ascii="Arial" w:cs="Arial" w:eastAsia="Arial" w:hAnsi="Arial"/>
          <w:sz w:val="16"/>
          <w:szCs w:val="16"/>
          <w:color w:val="auto"/>
        </w:rPr>
        <w:t>) will be deemed given on the first date on which publication is made, notices given by first-class mail, postage prepaid, will be deemed given five calendar days after mailing or transmitting, notices sent by overnight delivery service will be deemed given on the next Business Day after timely delivery to the courier and notices given electronically will be deemed given when sent. Notice given in accordance with the procedures of DTC will be deemed given on the date sent to DTC. Failure to send a notice or communication to a Holder or any defect in it shall not affect its sufficiency with respect to other Holders.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Issuer mails a notice or communication to Holders, it shall mail a copy to the Trustee at the same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9" w:name="page200"/>
    <w:bookmarkEnd w:id="199"/>
    <w:p>
      <w:pPr>
        <w:jc w:val="both"/>
        <w:ind w:firstLine="648"/>
        <w:spacing w:after="0" w:line="289" w:lineRule="auto"/>
        <w:rPr>
          <w:sz w:val="20"/>
          <w:szCs w:val="20"/>
          <w:color w:val="auto"/>
        </w:rPr>
      </w:pPr>
      <w:r>
        <w:rPr>
          <w:rFonts w:ascii="Arial" w:cs="Arial" w:eastAsia="Arial" w:hAnsi="Arial"/>
          <w:sz w:val="16"/>
          <w:szCs w:val="16"/>
          <w:color w:val="auto"/>
        </w:rPr>
        <w:t>Each of the Trustee and the Notes Collateral Agent agrees to accept and act upon instructions or directions pursuant to this Indenture sent by unsecured e-mail, facsimile transmission or other similar unsecured electronic methods. If the Issuer, any Guarantor or any Holder elects to give the Trustee or the Notes Collateral Agent e-mail or facsimile instructions (or instructions by a similar electronic method) and the Trustee or the Notes Collateral Agent, as applicable, in its discretion elects to act upon such instructions, the Trustee’s or Notes Collateral Agent’s, as applicable, understanding of such instructions shall be deemed controlling. The Trustee or the Notes Collateral Agent, as applicable, shall not be liable for any losses, costs or expenses arising directly or indirectly from the Trustee’s or the Notes Collateral Agent’s, as applicable,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the risk of the Trustee or the Notes Collateral Agent, as applicable, acting on unauthorized instructions, and the risk of interception and misuse by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MEXICAN PROCESS AGENT.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purposes of this Section 13.02, each Guarantor incorporated or formed under the laws of Mexico (each a “</w:t>
      </w:r>
      <w:r>
        <w:rPr>
          <w:rFonts w:ascii="Arial" w:cs="Arial" w:eastAsia="Arial" w:hAnsi="Arial"/>
          <w:sz w:val="16"/>
          <w:szCs w:val="16"/>
          <w:u w:val="single" w:color="auto"/>
          <w:color w:val="auto"/>
        </w:rPr>
        <w:t>Mexican Guarantor</w:t>
      </w:r>
      <w:r>
        <w:rPr>
          <w:rFonts w:ascii="Arial" w:cs="Arial" w:eastAsia="Arial" w:hAnsi="Arial"/>
          <w:sz w:val="16"/>
          <w:szCs w:val="16"/>
          <w:color w:val="auto"/>
        </w:rPr>
        <w:t>”), specifically for the purpose of receiving legal and/or judicial service of process in the U.S. in connection with this Section 13.02, independently from the Notes Collateral Agent’s right to make and deliver service of process to the Mexican Guarantors in any other way or form which is legally valid, hereby irrevocably and unconditionally designate the following agent and attorney-in-fact for such purposes in the U.S. (the “</w:t>
      </w:r>
      <w:r>
        <w:rPr>
          <w:rFonts w:ascii="Arial" w:cs="Arial" w:eastAsia="Arial" w:hAnsi="Arial"/>
          <w:sz w:val="16"/>
          <w:szCs w:val="16"/>
          <w:u w:val="single" w:color="auto"/>
          <w:color w:val="auto"/>
        </w:rPr>
        <w:t>Mexican Process Agent</w:t>
      </w:r>
      <w:r>
        <w:rPr>
          <w:rFonts w:ascii="Arial" w:cs="Arial" w:eastAsia="Arial" w:hAnsi="Arial"/>
          <w:sz w:val="16"/>
          <w:szCs w:val="16"/>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NFE Management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The Corporation Trust Company</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Corporation Trust Center</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1209 Orange Street</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Wilmington</w:t>
      </w:r>
      <w:r>
        <w:rPr>
          <w:rFonts w:ascii="Arial" w:cs="Arial" w:eastAsia="Arial" w:hAnsi="Arial"/>
          <w:sz w:val="18"/>
          <w:szCs w:val="18"/>
          <w:color w:val="auto"/>
        </w:rPr>
        <w:t>,</w:t>
      </w:r>
      <w:r>
        <w:rPr>
          <w:rFonts w:ascii="Arial" w:cs="Arial" w:eastAsia="Arial" w:hAnsi="Arial"/>
          <w:sz w:val="18"/>
          <w:szCs w:val="18"/>
          <w:i w:val="1"/>
          <w:iCs w:val="1"/>
          <w:color w:val="auto"/>
        </w:rPr>
        <w:t xml:space="preserve"> New Castle County</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Delaware 19801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United States of America</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Mexican Guarantor represents and warrants to the Notes Collateral Agent that it has received evidence of the acceptance by the Mexican Process Agent of its appointment as such by the Mexican Guarantors.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each Mexican Guarantor covenants and agrees that it will take all necessary and appropriate action in order to grant in favor of the Mexican Process Agent, and within 15 calendar days immediately following the Issue Date, a document of authority or power of attorney, for lawsuits and collections, granted by each Mexican Guarantor in favor of the Mexican Process Agent in full compliance with Mexican law and duly formalized before a Mexican Notary Public for its validity in Mexico, through such corporate actions as may be required by each Mexican Guarantor’s incorporation documents and bylaws, and in form and substance reasonably acceptable to the Notes Collateral Agent, in order to fully and duly formalize the designation of the Mexican Process Agent as each Mexican Guarantor’s agent for service of process in the United States of America in accordance with Mexican law. Each Mexican Guarantor hereby agrees to provide the Notes Collateral Agent with a copy of the formalization of the designation of the Mexican Process Agent within 25 Business Days immediately following the Issue Date.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COMMUNICATION BY HOLDERS WITH OTHER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CERTIFICATE AND OPINION AS TO CONDITIONS PRECEDENT.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any request or application by the Issuer or any of the Guarantors to the Trustee or the Notes Collateral Agent to take any action under this Indenture, the Issuer or such Guarantor, as the case may be, shall furnish to the Trustee or, if such action relates to a Security Document or an Intercreditor Agreement, the Notes Collateral Agent:</w:t>
      </w:r>
    </w:p>
    <w:p>
      <w:pPr>
        <w:spacing w:after="0" w:line="184" w:lineRule="exact"/>
        <w:rPr>
          <w:sz w:val="20"/>
          <w:szCs w:val="20"/>
          <w:color w:val="auto"/>
        </w:rPr>
      </w:pPr>
    </w:p>
    <w:p>
      <w:pPr>
        <w:jc w:val="both"/>
        <w:ind w:firstLine="1304"/>
        <w:spacing w:after="0" w:line="259" w:lineRule="auto"/>
        <w:tabs>
          <w:tab w:leader="none" w:pos="190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An Officer’s Certificate (which shall include the statements set forth in </w:t>
      </w:r>
      <w:r>
        <w:rPr>
          <w:rFonts w:ascii="Arial" w:cs="Arial" w:eastAsia="Arial" w:hAnsi="Arial"/>
          <w:sz w:val="18"/>
          <w:szCs w:val="18"/>
          <w:u w:val="single" w:color="auto"/>
          <w:color w:val="auto"/>
        </w:rPr>
        <w:t>Section 13.05</w:t>
      </w:r>
      <w:r>
        <w:rPr>
          <w:rFonts w:ascii="Arial" w:cs="Arial" w:eastAsia="Arial" w:hAnsi="Arial"/>
          <w:sz w:val="18"/>
          <w:szCs w:val="18"/>
          <w:color w:val="auto"/>
        </w:rPr>
        <w:t xml:space="preserve">) stating that, in the opinion of the signatory thereto, all conditions precedent and covenants, if any, provided for in this Indenture relating to the proposed action have been complied 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Officer’s Certificate shall not be required in connection with the entering into the Security Documents and the Equal Priority Intercreditor Agreement; and</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215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An Opinion of Counsel (which shall include the statements set forth in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stating that, in the opinion of such counsel, all such conditions precedent and covenants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Opinion of Counsel shall not be required in connection with (i) the issuance of the Notes that are issued on the Issue Date and (ii) the entering into of the Security Documents and any Intercreditor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STATEMENTS REQUIRED IN CERTIFICATE OR OPINION.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Each certificate or opinion with respect to compliance with a condition or covenant provided for in this Indenture (other than a certificate provided pursuant to </w:t>
      </w:r>
      <w:r>
        <w:rPr>
          <w:rFonts w:ascii="Arial" w:cs="Arial" w:eastAsia="Arial" w:hAnsi="Arial"/>
          <w:sz w:val="18"/>
          <w:szCs w:val="18"/>
          <w:u w:val="single" w:color="auto"/>
          <w:color w:val="auto"/>
        </w:rPr>
        <w:t>Section 4.04</w:t>
      </w:r>
      <w:r>
        <w:rPr>
          <w:rFonts w:ascii="Arial" w:cs="Arial" w:eastAsia="Arial" w:hAnsi="Arial"/>
          <w:sz w:val="18"/>
          <w:szCs w:val="18"/>
          <w:color w:val="auto"/>
        </w:rPr>
        <w:t>) shall include:</w:t>
      </w:r>
    </w:p>
    <w:p>
      <w:pPr>
        <w:spacing w:after="0" w:line="170" w:lineRule="exact"/>
        <w:rPr>
          <w:sz w:val="20"/>
          <w:szCs w:val="20"/>
          <w:color w:val="auto"/>
        </w:rPr>
      </w:pPr>
    </w:p>
    <w:p>
      <w:pPr>
        <w:ind w:left="1960" w:hanging="656"/>
        <w:spacing w:after="0"/>
        <w:tabs>
          <w:tab w:leader="none" w:pos="1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firstLine="1304"/>
        <w:spacing w:after="0" w:line="277" w:lineRule="auto"/>
        <w:tabs>
          <w:tab w:leader="none" w:pos="19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1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183" w:lineRule="exact"/>
        <w:rPr>
          <w:rFonts w:ascii="Arial" w:cs="Arial" w:eastAsia="Arial" w:hAnsi="Arial"/>
          <w:sz w:val="18"/>
          <w:szCs w:val="18"/>
          <w:color w:val="auto"/>
        </w:rPr>
      </w:pPr>
    </w:p>
    <w:p>
      <w:pPr>
        <w:ind w:firstLine="1304"/>
        <w:spacing w:after="0" w:line="308" w:lineRule="auto"/>
        <w:tabs>
          <w:tab w:leader="none" w:pos="191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such Person, such condition or covenant has been complied 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matters of fact an Opinion of Counsel may rely on an Officer’s Certificate or certificates of public officials.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RULES BY TRUSTEE AND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NO PERSONAL LIABILITY OF DIRECTORS, MANAGERS, OFFICERS, EMPLOYEES AND STOCKHOLDERS.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past, present or future director, manager, officer, employee, incorporator, member, partner or stockholder of the Issuer or any Guarantor or any of their parent companies or entities, as such, shall have any liability for any obligations of the Issuer or the Guarantors under the Notes, the Note Guarantees, the Security Documents, any Intercreditor Agreements or this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GOVERNING LAW; JURISDICTION.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THE NOTES AND ANY NOTE GUARANTEE WILL BE GOVERNED BY AND CONSTRUED IN ACCORDANCE WITH THE LAWS OF THE STATE OF NEW YORK.</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WAIVER OF JURY TRIAL.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ISSUER, THE GUARANTORS, THE TRUSTEE AND THE NOTES COLLATERAL AGENT, AND EACH HOLDER BY ITS ACCEPTANCE THEREOF, HEREBY IRREVOCABLY WAIVES, TO THE FULLEST EXTENT PERMITTED BY APPLICABLE LAW, ANY AND ALL RIGHT TO TRIAL BY JURY IN ANY LEGAL PROCEEDING ARISING OUT OF OR RELATING TO THIS INDENTURE, THE NOTES OR THE TRANSACTIONS CONTEMPLATED HEREBY.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FORCE MAJEURE.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 event shall the Trustee or the Notes Collateral Agent be responsible or liable for any failure or delay in the performance of its obligations under this Indenture arising out of or caused by, directly or indirectly, forces beyond its reasonable control, including strikes, work stoppages, accidents, acts of war or terrorism, civil or military disturbances, nuclear or natural catastrophes or acts of God, and interruptions, loss or malfunctions of utilities, communications or computer (software or hardware)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NO ADVERSE INTERPRETATION OF 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 or the Restricted Subsidiaries or of any other Person. Any such indenture, loan or debt agreement may not be used to interpret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SUCCESSORS.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agreements of the Issuer in this Indenture and the Notes shall bind its respective successors. All agreements of the Trustee in this Indenture shall bind its successors. All agreements of each Guarantor in this Indenture shall bind its successors.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SEVERABILITY.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INTERCREDITOR AGREEMENTS.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Each Holder, by its acceptance of a Note, agrees that it will be bound by and will take no actions contrary to the provisions of any Intercreditor Agreement, and authorizes and instructs the Trustee and the Notes Collateral Agent to enter into the Equal Priority Intercreditor Agreement and/or Junior Priority Intercreditor Agreement after the Issue Date in accordance with </w:t>
      </w:r>
      <w:r>
        <w:rPr>
          <w:rFonts w:ascii="Arial" w:cs="Arial" w:eastAsia="Arial" w:hAnsi="Arial"/>
          <w:sz w:val="16"/>
          <w:szCs w:val="16"/>
          <w:u w:val="single" w:color="auto"/>
          <w:color w:val="auto"/>
        </w:rPr>
        <w:t>Section 12.08(l)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9.01(18)</w:t>
      </w:r>
      <w:r>
        <w:rPr>
          <w:rFonts w:ascii="Arial" w:cs="Arial" w:eastAsia="Arial" w:hAnsi="Arial"/>
          <w:sz w:val="16"/>
          <w:szCs w:val="16"/>
          <w:color w:val="auto"/>
        </w:rPr>
        <w:t>, in each case as Trustee and as Notes Collateral Agent, as the case may be, and on behalf of such Holder, including making the representations of the Holders contained therein.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COUNTERPARTS AND ELECTRONIC EXECUTION.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as effective as delivery of a manually executed counterpart hereof. The exchange of copies of this Agreement and of signature pages by facsimile or PDF transmission shall constitute effective execution and delivery of this Agreement as to the parties hereto and may be used in lieu of the original Agreement and signature pages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Company,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TABLE OF CONTENTS, HEADINGS, ETC.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u w:val="single" w:color="auto"/>
          <w:color w:val="auto"/>
        </w:rPr>
        <w:t>USA PATRIOT ACT.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17570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13"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05" w:name="page206"/>
    <w:bookmarkEnd w:id="205"/>
    <w:p>
      <w:pPr>
        <w:ind w:left="45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Energy Logistics Solutions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LNG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Bradford County Development Holdings LLC</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Island LNG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(Florida)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Intermediate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Angola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Atlantic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Honduras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International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Jamaica GP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Logistics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Management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NFE Nicaragua Development Partners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NFE Nicaragua Development Partners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Sucursal Nicaragua</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Nicaragua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Plant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Sub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Partners LLC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6" w:name="page207"/>
    <w:bookmarkEnd w:id="206"/>
    <w:p>
      <w:pPr>
        <w:ind w:left="4520"/>
        <w:spacing w:after="0"/>
        <w:rPr>
          <w:sz w:val="20"/>
          <w:szCs w:val="20"/>
          <w:color w:val="auto"/>
        </w:rPr>
      </w:pPr>
      <w:r>
        <w:rPr>
          <w:rFonts w:ascii="Arial" w:cs="Arial" w:eastAsia="Arial" w:hAnsi="Arial"/>
          <w:sz w:val="18"/>
          <w:szCs w:val="18"/>
          <w:color w:val="auto"/>
        </w:rPr>
        <w:t>NFE US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 Real Estate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 Real Estate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TICO Development Partners Holdings LLC</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TICO Development Partners LLC</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23495</wp:posOffset>
            </wp:positionV>
            <wp:extent cx="334327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860"/>
        <w:spacing w:after="0"/>
        <w:tabs>
          <w:tab w:leader="none" w:pos="5440" w:val="left"/>
        </w:tabs>
        <w:rPr>
          <w:sz w:val="20"/>
          <w:szCs w:val="20"/>
          <w:color w:val="auto"/>
        </w:rPr>
      </w:pPr>
      <w:r>
        <w:rPr>
          <w:rFonts w:ascii="Arial" w:cs="Arial" w:eastAsia="Arial" w:hAnsi="Arial"/>
          <w:sz w:val="18"/>
          <w:szCs w:val="18"/>
          <w:color w:val="auto"/>
        </w:rPr>
        <w:t>Title:</w:t>
        <w:tab/>
        <w:t>Chief Financial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7" w:name="page208"/>
    <w:bookmarkEnd w:id="207"/>
    <w:p>
      <w:pPr>
        <w:ind w:left="4420"/>
        <w:spacing w:after="0"/>
        <w:rPr>
          <w:sz w:val="20"/>
          <w:szCs w:val="20"/>
          <w:color w:val="auto"/>
        </w:rPr>
      </w:pPr>
      <w:r>
        <w:rPr>
          <w:rFonts w:ascii="Arial" w:cs="Arial" w:eastAsia="Arial" w:hAnsi="Arial"/>
          <w:sz w:val="18"/>
          <w:szCs w:val="18"/>
          <w:color w:val="auto"/>
        </w:rPr>
        <w:t>ATLANTIC DISTRIBUTION HOLDINGS SRL</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ATLANTIC ENERGY HOLDINGS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ATLANTIC TERMINAL HOLDINGS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ATLANTIC POWER HOLDINGS SRL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ATLANTIC ENERGY INFRASTRUCTURE HOLDINGS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SRL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ATLANTIC PIPELINE HOLDINGS SRL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ATLANTIC TERMINAL INFRASTRUCTURE HOLDINGS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SRL</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ATLANTIC POWER HOLDINGS LIMITED</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NORTH HOLDINGS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NORTH INFRASTRUCTURE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NORTH TRADING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SOUTH HOLDINGS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SOUTH POWER TRADING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SOUTH TRADING LIMITED</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SHANNON HOLDINGS LIMITED</w:t>
      </w:r>
    </w:p>
    <w:p>
      <w:pPr>
        <w:spacing w:after="0" w:line="22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NORTH DISTRIBUTION LIMITED</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NORTH HOLDINGS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NORTH TRANSPORT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SOUTH HOLDINGS LIMITED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NFE SOUTH POWER TRADING LIMITED</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8" w:name="page209"/>
    <w:bookmarkEnd w:id="208"/>
    <w:p>
      <w:pPr>
        <w:ind w:left="4900"/>
        <w:spacing w:after="0"/>
        <w:rPr>
          <w:sz w:val="20"/>
          <w:szCs w:val="20"/>
          <w:color w:val="auto"/>
        </w:rPr>
      </w:pPr>
      <w:r>
        <w:rPr>
          <w:rFonts w:ascii="Arial" w:cs="Arial" w:eastAsia="Arial" w:hAnsi="Arial"/>
          <w:sz w:val="18"/>
          <w:szCs w:val="18"/>
          <w:color w:val="auto"/>
        </w:rPr>
        <w:t>AMAUNET, S. DE R.L. DE C.V.</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NFENERGIA MEXICO, S. DE R.L. DE C.V.</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NFENERGIA GN DE BCS, S. DE R.L. DE C.V.</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 PACIFICO LAP, S. DE R.L. DE C.V.</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NFENERGÍA LLC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SOLUCIONES DE ENERGIA LIMPIA PR LLC</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 POWER PR LLC</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ENCANTO EAST LLC</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ENCANTO WEST LLC</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ENCANTO POWER LLC</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ENCANTO POWER WEST LLC</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 MEXICO HOLDINGS B.V.</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 MEXICO HOLDINGS PARENT B.V.</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NFE NICARAGUA DEVELOPMENT PARTNERS LLC</w:t>
      </w:r>
    </w:p>
    <w:p>
      <w:pPr>
        <w:spacing w:after="0" w:line="3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SUCURSAL NICARAGUA</w:t>
      </w:r>
    </w:p>
    <w:p>
      <w:pPr>
        <w:spacing w:after="0" w:line="211"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NFE INTERNATIONAL HOLDINGS LIMITED</w:t>
      </w:r>
    </w:p>
    <w:p>
      <w:pPr>
        <w:spacing w:after="0" w:line="225"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Christopher S. Guinta</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as Trustee and Notes Collateral Agent</w:t>
      </w:r>
    </w:p>
    <w:p>
      <w:pPr>
        <w:spacing w:after="0" w:line="9"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Donald T. Hurrelbrink</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-130175</wp:posOffset>
            </wp:positionV>
            <wp:extent cx="330898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80"/>
          </w:cols>
          <w:pgMar w:left="1440" w:top="125" w:right="1379" w:bottom="1440" w:gutter="0" w:footer="0" w:header="0"/>
        </w:sectPr>
      </w:pPr>
    </w:p>
    <w:bookmarkStart w:id="209" w:name="page210"/>
    <w:bookmarkEnd w:id="209"/>
    <w:p>
      <w:pPr>
        <w:jc w:val="center"/>
        <w:ind w:right="-110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[Insert the Private Placement Legend, if applicable pursuant to the provisions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[Insert the Regulation S Global Note Legend, if applicable pursuant to the provisions of the Indenture]</w:t>
      </w: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10" w:name="page211"/>
    <w:bookmarkEnd w:id="210"/>
    <w:p>
      <w:pPr>
        <w:ind w:left="9900"/>
        <w:spacing w:after="0"/>
        <w:rPr>
          <w:sz w:val="20"/>
          <w:szCs w:val="20"/>
          <w:color w:val="auto"/>
        </w:rPr>
      </w:pPr>
      <w:r>
        <w:rPr>
          <w:rFonts w:ascii="Arial" w:cs="Arial" w:eastAsia="Arial" w:hAnsi="Arial"/>
          <w:sz w:val="16"/>
          <w:szCs w:val="16"/>
          <w:color w:val="auto"/>
        </w:rPr>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0500" w:space="680"/>
            <w:col w:w="60"/>
          </w:cols>
          <w:pgMar w:left="320" w:top="125" w:right="339" w:bottom="1440" w:gutter="0" w:footer="0" w:header="0"/>
        </w:sectPr>
      </w:pPr>
    </w:p>
    <w:p>
      <w:pPr>
        <w:spacing w:after="0" w:line="2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p>
      <w:pPr>
        <w:spacing w:after="0" w:line="209" w:lineRule="exact"/>
        <w:rPr>
          <w:sz w:val="20"/>
          <w:szCs w:val="20"/>
          <w:color w:val="auto"/>
        </w:rPr>
      </w:pPr>
    </w:p>
    <w:p>
      <w:pPr>
        <w:sectPr>
          <w:pgSz w:w="11900" w:h="16838" w:orient="portrait"/>
          <w:cols w:equalWidth="0" w:num="2">
            <w:col w:w="10440" w:space="660"/>
            <w:col w:w="140"/>
          </w:cols>
          <w:pgMar w:left="320" w:top="125"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[RULE 144A][REGULATION S] GLOBAL NOTE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6.500% Senior Secured Notes due 2026</w:t>
      </w:r>
    </w:p>
    <w:p>
      <w:pPr>
        <w:sectPr>
          <w:pgSz w:w="11900" w:h="16838" w:orient="portrait"/>
          <w:cols w:equalWidth="0" w:num="1">
            <w:col w:w="11240"/>
          </w:cols>
          <w:pgMar w:left="320" w:top="125"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 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00"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FORTRESS ENERGY INC.</w:t>
      </w:r>
    </w:p>
    <w:p>
      <w:pPr>
        <w:sectPr>
          <w:pgSz w:w="11900" w:h="16838" w:orient="portrait"/>
          <w:cols w:equalWidth="0" w:num="1">
            <w:col w:w="11240"/>
          </w:cols>
          <w:pgMar w:left="320" w:top="125" w:right="339" w:bottom="144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 promises to pay to CEDE &amp; CO. or registered assigns, the principal sum [set forth on the Schedule of Exchanges of Interests in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Global Note attached hereto]</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________________________ United States Dollars]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on September 30, 2026.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31 and September 30, commencing on September 30, 2021</w:t>
      </w:r>
      <w:r>
        <w:rPr>
          <w:rFonts w:ascii="Arial" w:cs="Arial" w:eastAsia="Arial" w:hAnsi="Arial"/>
          <w:sz w:val="29"/>
          <w:szCs w:val="29"/>
          <w:color w:val="auto"/>
          <w:vertAlign w:val="superscript"/>
        </w:rPr>
        <w:t>4</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Dates: March 15 and September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42303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8180" w:firstLine="8"/>
        <w:spacing w:after="0" w:line="244" w:lineRule="auto"/>
        <w:tabs>
          <w:tab w:leader="none" w:pos="120" w:val="left"/>
        </w:tabs>
        <w:numPr>
          <w:ilvl w:val="0"/>
          <w:numId w:val="260"/>
        </w:numPr>
        <w:rPr>
          <w:rFonts w:ascii="Arial" w:cs="Arial" w:eastAsia="Arial" w:hAnsi="Arial"/>
          <w:sz w:val="27"/>
          <w:szCs w:val="27"/>
          <w:color w:val="auto"/>
          <w:vertAlign w:val="superscript"/>
        </w:rPr>
      </w:pPr>
      <w:r>
        <w:rPr>
          <w:rFonts w:ascii="Arial" w:cs="Arial" w:eastAsia="Arial" w:hAnsi="Arial"/>
          <w:sz w:val="16"/>
          <w:szCs w:val="16"/>
          <w:color w:val="auto"/>
        </w:rPr>
        <w:t>Rule 144A Note CUSIP: 644393 AB6 Rule 144A Note ISIN: US644393AB64 Regulation S Note CUSIP: U6422P AC2 Regulation S Note ISIN: USU6422PAC24</w:t>
      </w:r>
    </w:p>
    <w:p>
      <w:pPr>
        <w:spacing w:after="0" w:line="1" w:lineRule="exact"/>
        <w:rPr>
          <w:rFonts w:ascii="Arial" w:cs="Arial" w:eastAsia="Arial" w:hAnsi="Arial"/>
          <w:sz w:val="27"/>
          <w:szCs w:val="27"/>
          <w:color w:val="auto"/>
          <w:vertAlign w:val="superscript"/>
        </w:rPr>
      </w:pPr>
    </w:p>
    <w:p>
      <w:pPr>
        <w:spacing w:after="0" w:line="181" w:lineRule="auto"/>
        <w:rPr>
          <w:rFonts w:ascii="Arial" w:cs="Arial" w:eastAsia="Arial" w:hAnsi="Arial"/>
          <w:sz w:val="27"/>
          <w:szCs w:val="27"/>
          <w:color w:val="auto"/>
          <w:vertAlign w:val="superscript"/>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Use bracketed language for a Global Note.</w:t>
      </w:r>
    </w:p>
    <w:p>
      <w:pPr>
        <w:spacing w:after="0" w:line="180" w:lineRule="auto"/>
        <w:rPr>
          <w:rFonts w:ascii="Arial" w:cs="Arial" w:eastAsia="Arial" w:hAnsi="Arial"/>
          <w:sz w:val="27"/>
          <w:szCs w:val="27"/>
          <w:color w:val="auto"/>
          <w:vertAlign w:val="superscript"/>
        </w:rPr>
      </w:pPr>
      <w:r>
        <w:rPr>
          <w:rFonts w:ascii="Arial" w:cs="Arial" w:eastAsia="Arial" w:hAnsi="Arial"/>
          <w:sz w:val="25"/>
          <w:szCs w:val="25"/>
          <w:color w:val="auto"/>
          <w:vertAlign w:val="superscript"/>
        </w:rPr>
        <w:t>3</w:t>
      </w:r>
      <w:r>
        <w:rPr>
          <w:rFonts w:ascii="Arial" w:cs="Arial" w:eastAsia="Arial" w:hAnsi="Arial"/>
          <w:sz w:val="16"/>
          <w:szCs w:val="16"/>
          <w:color w:val="auto"/>
        </w:rPr>
        <w:t xml:space="preserve"> Use bracketed language for a Definitive Note.</w:t>
      </w:r>
    </w:p>
    <w:p>
      <w:pPr>
        <w:spacing w:after="0"/>
        <w:rPr>
          <w:rFonts w:ascii="Arial" w:cs="Arial" w:eastAsia="Arial" w:hAnsi="Arial"/>
          <w:sz w:val="27"/>
          <w:szCs w:val="27"/>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With respect to the Initial Notes.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1" w:name="page212"/>
    <w:bookmarkEnd w:id="211"/>
    <w:p>
      <w:pPr>
        <w:ind w:left="660"/>
        <w:spacing w:after="0"/>
        <w:rPr>
          <w:sz w:val="20"/>
          <w:szCs w:val="20"/>
          <w:color w:val="auto"/>
        </w:rPr>
      </w:pPr>
      <w:r>
        <w:rPr>
          <w:rFonts w:ascii="Arial" w:cs="Arial" w:eastAsia="Arial" w:hAnsi="Arial"/>
          <w:sz w:val="18"/>
          <w:szCs w:val="18"/>
          <w:color w:val="auto"/>
        </w:rPr>
        <w:t>IN WITNESS HEREOF, the Issuer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NEW FORTRESS ENERGY INC.,</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3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12" w:name="page213"/>
    <w:bookmarkEnd w:id="212"/>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6.500% Senior Secured Notes due 2026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237" w:lineRule="exact"/>
        <w:rPr>
          <w:sz w:val="20"/>
          <w:szCs w:val="20"/>
          <w:color w:val="auto"/>
        </w:rPr>
      </w:pPr>
    </w:p>
    <w:p>
      <w:pPr>
        <w:jc w:val="both"/>
        <w:ind w:firstLine="656"/>
        <w:spacing w:after="0" w:line="230" w:lineRule="auto"/>
        <w:tabs>
          <w:tab w:leader="none" w:pos="135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INTEREST. New Fortress Energy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promises to pay interest on the principal amount of this Note at 6.500% per annum from April 12, 2021</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until maturity. The Issuer will pay interest semi-annually in arrears on March 31 and September 30 of each year, commencing September 30, 2021,</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or if any such day is not a Business Day, on the next succeeding Business Day (each,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Interest on the Notes will accrue from the most recent date to which interest has been paid or, if no interest has been paid, from April 12, 2021. The Issuer will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 from time to time on demand at the interest rate on the Notes. Interest will be computed on the basis of a 360-day year comprised of twelve 30-day months.</w:t>
      </w:r>
    </w:p>
    <w:p>
      <w:pPr>
        <w:spacing w:after="0" w:line="202" w:lineRule="exact"/>
        <w:rPr>
          <w:rFonts w:ascii="Arial" w:cs="Arial" w:eastAsia="Arial" w:hAnsi="Arial"/>
          <w:sz w:val="17"/>
          <w:szCs w:val="17"/>
          <w:color w:val="auto"/>
        </w:rPr>
      </w:pPr>
    </w:p>
    <w:p>
      <w:pPr>
        <w:jc w:val="both"/>
        <w:ind w:firstLine="656"/>
        <w:spacing w:after="0" w:line="253" w:lineRule="auto"/>
        <w:tabs>
          <w:tab w:leader="none" w:pos="133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METHOD OF PAYMENT. The Issuer will pay interest on the Notes to the Persons who are registered Holders of Notes at the close of business on the March 15 or September 15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or by wire transfer;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payments of principal of and interest and premium, if any, on all Global Notes shall be made in accordance with the Depositary’s applicable procedures. Such payment shall be in such coin or currency of the United States of America as at the time of payment is legal tender for payment of public and private debts. If a payment date is not a Business Day at the place of payment, payment shall be made on the next succeeding day that is a Business Day, and no interest shall accrue for the intervening period. If a regular record date is not a Business Day, the record date shall not be affected.</w:t>
      </w:r>
    </w:p>
    <w:p>
      <w:pPr>
        <w:spacing w:after="0" w:line="196" w:lineRule="exact"/>
        <w:rPr>
          <w:rFonts w:ascii="Arial" w:cs="Arial" w:eastAsia="Arial" w:hAnsi="Arial"/>
          <w:sz w:val="18"/>
          <w:szCs w:val="18"/>
          <w:color w:val="auto"/>
        </w:rPr>
      </w:pPr>
    </w:p>
    <w:p>
      <w:pPr>
        <w:jc w:val="both"/>
        <w:ind w:firstLine="656"/>
        <w:spacing w:after="0" w:line="263" w:lineRule="auto"/>
        <w:tabs>
          <w:tab w:leader="none" w:pos="140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PAYING AGENT AND REGISTRAR. Initially, U.S. Bank National Association, the Trustee under the Indenture, will act as Paying Agent and Registrar. The Issuer may change any Paying Agent or Registrar without notice to the Holders. The Issuer or any of its Subsidiaries may act in any such capacity.</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4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INDENTURE. The Issuer issued the Notes under an Indenture, dated as of April 12, 2021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from time to time parties thereto, the Trustee and the Notes Collateral Agent. This Note is one of a duly authorized issue of notes of the Issuer designated as its 6.500% Senior Secured Notes due 2026. The Issuer shall be entitled to issue Additional Notes pursuant to Sections 2.01, 4.09 and 4.12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42303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60" w:lineRule="exact"/>
        <w:rPr>
          <w:sz w:val="20"/>
          <w:szCs w:val="20"/>
          <w:color w:val="auto"/>
        </w:rPr>
      </w:pPr>
    </w:p>
    <w:p>
      <w:pPr>
        <w:ind w:left="120" w:hanging="112"/>
        <w:spacing w:after="0"/>
        <w:tabs>
          <w:tab w:leader="none" w:pos="120" w:val="left"/>
        </w:tabs>
        <w:numPr>
          <w:ilvl w:val="0"/>
          <w:numId w:val="262"/>
        </w:numPr>
        <w:rPr>
          <w:rFonts w:ascii="Arial" w:cs="Arial" w:eastAsia="Arial" w:hAnsi="Arial"/>
          <w:sz w:val="30"/>
          <w:szCs w:val="30"/>
          <w:color w:val="auto"/>
          <w:vertAlign w:val="superscript"/>
        </w:rPr>
      </w:pPr>
      <w:r>
        <w:rPr>
          <w:rFonts w:ascii="Arial" w:cs="Arial" w:eastAsia="Arial" w:hAnsi="Arial"/>
          <w:sz w:val="18"/>
          <w:szCs w:val="18"/>
          <w:color w:val="auto"/>
        </w:rPr>
        <w:t>With respect to the Initial Notes.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4" w:name="page215"/>
    <w:bookmarkEnd w:id="214"/>
    <w:p>
      <w:pPr>
        <w:jc w:val="both"/>
        <w:ind w:firstLine="656"/>
        <w:spacing w:after="0" w:line="286" w:lineRule="auto"/>
        <w:tabs>
          <w:tab w:leader="none" w:pos="135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REDEMPTION AND REPURCHASE. The Notes are subject to optional redemption, and may be the subject of a Change of Control Offer and an Asset Sale Offer (or an Alternate Offer or Advance Offer, as applicable), as further described in the Indenture. Except as set forth in Section 3.10 of the Indenture, the Issuer shall not be required to make any mandatory or sinking fund payments with respect to the Notes.</w:t>
      </w:r>
    </w:p>
    <w:p>
      <w:pPr>
        <w:spacing w:after="0" w:line="165" w:lineRule="exact"/>
        <w:rPr>
          <w:rFonts w:ascii="Arial" w:cs="Arial" w:eastAsia="Arial" w:hAnsi="Arial"/>
          <w:sz w:val="17"/>
          <w:szCs w:val="17"/>
          <w:color w:val="auto"/>
        </w:rPr>
      </w:pPr>
    </w:p>
    <w:p>
      <w:pPr>
        <w:jc w:val="both"/>
        <w:ind w:firstLine="656"/>
        <w:spacing w:after="0" w:line="271" w:lineRule="auto"/>
        <w:tabs>
          <w:tab w:leader="none" w:pos="14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 Change of Control Offer, an Asset Sale Offer, Alternate Offer, Advance Offer or other tender offer, in whole or in part, except for the unredeemed portion of any Note being redeemed in part. Also, the Issuer need not exchange or register the transfer of any Notes during a period beginning at the opening of business 15 days before the day of selection of Notes to be redeemed and ending at the close of business on the day of selection of Notes to be redeemed.</w:t>
      </w:r>
    </w:p>
    <w:p>
      <w:pPr>
        <w:spacing w:after="0" w:line="178" w:lineRule="exact"/>
        <w:rPr>
          <w:rFonts w:ascii="Arial" w:cs="Arial" w:eastAsia="Arial" w:hAnsi="Arial"/>
          <w:sz w:val="17"/>
          <w:szCs w:val="17"/>
          <w:color w:val="auto"/>
        </w:rPr>
      </w:pPr>
    </w:p>
    <w:p>
      <w:pPr>
        <w:ind w:left="1280" w:hanging="624"/>
        <w:spacing w:after="0"/>
        <w:tabs>
          <w:tab w:leader="none" w:pos="12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PERSONS DEEMED OWNERS. The registered Holder may be treated as its owner for all purposes.</w:t>
      </w:r>
    </w:p>
    <w:p>
      <w:pPr>
        <w:spacing w:after="0" w:line="225" w:lineRule="exact"/>
        <w:rPr>
          <w:rFonts w:ascii="Arial" w:cs="Arial" w:eastAsia="Arial" w:hAnsi="Arial"/>
          <w:sz w:val="18"/>
          <w:szCs w:val="18"/>
          <w:color w:val="auto"/>
        </w:rPr>
      </w:pPr>
    </w:p>
    <w:p>
      <w:pPr>
        <w:ind w:firstLine="656"/>
        <w:spacing w:after="0" w:line="277" w:lineRule="auto"/>
        <w:tabs>
          <w:tab w:leader="none" w:pos="127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Note Guarantees or the Notes may be amended or supplemented as provided in the Indenture.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43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Notes are defined in Section 6.01 of the Indenture. Upon the occurrence of an Event of Default, the rights and obligations of the Issuer, the Guarantors, the Trustee and the Holders shall be as set forth in the applicable provisions of the Indenture.</w:t>
      </w:r>
    </w:p>
    <w:p>
      <w:pPr>
        <w:spacing w:after="0" w:line="183" w:lineRule="exact"/>
        <w:rPr>
          <w:rFonts w:ascii="Arial" w:cs="Arial" w:eastAsia="Arial" w:hAnsi="Arial"/>
          <w:sz w:val="18"/>
          <w:szCs w:val="18"/>
          <w:color w:val="auto"/>
        </w:rPr>
      </w:pPr>
    </w:p>
    <w:p>
      <w:pPr>
        <w:ind w:firstLine="656"/>
        <w:spacing w:after="0" w:line="277" w:lineRule="auto"/>
        <w:tabs>
          <w:tab w:leader="none" w:pos="128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right="20" w:firstLine="656"/>
        <w:spacing w:after="0" w:line="277" w:lineRule="auto"/>
        <w:tabs>
          <w:tab w:leader="none" w:pos="13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GOVERNING LAW. THE INDENTURE, THE NOTES AND THE NOTE GUARANTEES SHALL BE GOVERNED BY AND CONSTRUED IN ACCORDANCE WITH THE LAWS OF THE STATE OF NEW YORK.</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0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5" w:name="page216"/>
    <w:bookmarkEnd w:id="215"/>
    <w:p>
      <w:pPr>
        <w:ind w:firstLine="648"/>
        <w:spacing w:after="0" w:line="277" w:lineRule="auto"/>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 the Issuer at the following address: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10011</w:t>
      </w:r>
    </w:p>
    <w:p>
      <w:pPr>
        <w:spacing w:after="0" w:line="211" w:lineRule="exact"/>
        <w:rPr>
          <w:sz w:val="20"/>
          <w:szCs w:val="20"/>
          <w:color w:val="auto"/>
        </w:rPr>
      </w:pPr>
    </w:p>
    <w:p>
      <w:pPr>
        <w:jc w:val="both"/>
        <w:ind w:firstLine="656"/>
        <w:spacing w:after="0" w:line="291" w:lineRule="auto"/>
        <w:tabs>
          <w:tab w:leader="none" w:pos="136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SECURITY. The Notes and the Note Guarantees will be secured by the Collateral on the terms and subject to the conditions set forth in the Indenture and the Security Documents. The Trustee and the Notes Collateral Agent, as the case may be, will hold the Collateral in trust for the benefit of the Holders of the Notes, in each case pursuant to the Security Documents and any Intercreditor Agreements. Each Holder, by accepting this Note, consents and agrees to the terms of the Security Documents (including the provisions providing for the foreclosure and release of Collateral) and any Intercreditor Agreements as the same may be in effect or may be amended from time to time in accordance with their terms and the Indenture and authorizes and directs the Notes Collateral Agent to enter into the Security Documents and any Intercreditor Agreements on the Issue Date and at any time after Issue Date, as applicable, and to perform its obligations and exercise its rights thereunder in accordance therewith.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23495</wp:posOffset>
            </wp:positionV>
            <wp:extent cx="517779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7779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1163320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 to transfer this Note on the books of the Issuer. The agent may substitute another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-130175</wp:posOffset>
            </wp:positionV>
            <wp:extent cx="70294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-130175</wp:posOffset>
            </wp:positionV>
            <wp:extent cx="369443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14605</wp:posOffset>
            </wp:positionV>
            <wp:extent cx="24860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guarantor acceptable to the Trustee).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you want to elect to have this Note purchased by the Issuer pursuant to Section 4.10 or 4.14 of the Indenture, check the appropriate box below:</w:t>
      </w:r>
    </w:p>
    <w:p>
      <w:pPr>
        <w:spacing w:after="0" w:line="204" w:lineRule="exact"/>
        <w:rPr>
          <w:sz w:val="20"/>
          <w:szCs w:val="20"/>
          <w:color w:val="auto"/>
        </w:rPr>
      </w:pPr>
    </w:p>
    <w:p>
      <w:pPr>
        <w:ind w:left="4180"/>
        <w:spacing w:after="0" w:line="207" w:lineRule="exact"/>
        <w:tabs>
          <w:tab w:leader="none" w:pos="59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4.14</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this Note purchased by the Issuer pursuant to Section 4.10 or Section 4.14 of the Indenture, state the amount you elect to have purchased:</w:t>
      </w:r>
    </w:p>
    <w:p>
      <w:pPr>
        <w:spacing w:after="0" w:line="1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-130175</wp:posOffset>
            </wp:positionV>
            <wp:extent cx="70294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-130175</wp:posOffset>
            </wp:positionV>
            <wp:extent cx="369443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151765</wp:posOffset>
            </wp:positionV>
            <wp:extent cx="44062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0626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14605</wp:posOffset>
            </wp:positionV>
            <wp:extent cx="24860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guarantor acceptable to the Trustee).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SCHEDULE OF EXCHANGES OF INTERESTS IN THE GLOBAL NOTE</w:t>
      </w:r>
      <w:r>
        <w:rPr>
          <w:rFonts w:ascii="Arial" w:cs="Arial" w:eastAsia="Arial" w:hAnsi="Arial"/>
          <w:sz w:val="29"/>
          <w:szCs w:val="29"/>
          <w:color w:val="auto"/>
          <w:vertAlign w:val="superscript"/>
        </w:rPr>
        <w:t>6</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initial outstanding principal amount of this Global Note is $__________. The following exchanges of a part of this Global Note for an interest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another Global Note or for a Definitive Note, or exchanges of a part of another Global or Definitive Note for an interest in this Global Note, have been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made:</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03"/>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Signature of</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Amount of</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authorized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Amount of</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Amount of increase</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this Global Note</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signatory of</w:t>
            </w:r>
          </w:p>
        </w:tc>
      </w:tr>
      <w:tr>
        <w:trPr>
          <w:trHeight w:val="216"/>
        </w:trPr>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 of</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decrease in</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in Principal Amount</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following such</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Trustee or Note</w:t>
            </w:r>
          </w:p>
        </w:tc>
      </w:tr>
      <w:tr>
        <w:trPr>
          <w:trHeight w:val="237"/>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Exchange</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Principal Amount</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this Global Note</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decrease or 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70" w:lineRule="exact"/>
        <w:rPr>
          <w:sz w:val="20"/>
          <w:szCs w:val="20"/>
          <w:color w:val="auto"/>
        </w:rPr>
      </w:pPr>
    </w:p>
    <w:p>
      <w:pPr>
        <w:ind w:left="120" w:hanging="112"/>
        <w:spacing w:after="0"/>
        <w:tabs>
          <w:tab w:leader="none" w:pos="120" w:val="left"/>
        </w:tabs>
        <w:numPr>
          <w:ilvl w:val="0"/>
          <w:numId w:val="265"/>
        </w:numPr>
        <w:rPr>
          <w:rFonts w:ascii="Arial" w:cs="Arial" w:eastAsia="Arial" w:hAnsi="Arial"/>
          <w:sz w:val="30"/>
          <w:szCs w:val="30"/>
          <w:color w:val="auto"/>
          <w:vertAlign w:val="superscript"/>
        </w:rPr>
      </w:pPr>
      <w:r>
        <w:rPr>
          <w:rFonts w:ascii="Arial" w:cs="Arial" w:eastAsia="Arial" w:hAnsi="Arial"/>
          <w:sz w:val="18"/>
          <w:szCs w:val="18"/>
          <w:color w:val="auto"/>
        </w:rPr>
        <w:t>This schedule should be included only if the Note is issued in global form.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Cameron D. MacDougall,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6.500% Senior Secured Notes due 2026</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April 12, 2021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from time to time parties thereto, the Trustee and the Notes Collateral Agent.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_______________ (the “</w:t>
      </w:r>
      <w:r>
        <w:rPr>
          <w:rFonts w:ascii="Arial" w:cs="Arial" w:eastAsia="Arial" w:hAnsi="Arial"/>
          <w:sz w:val="17"/>
          <w:szCs w:val="17"/>
          <w:u w:val="single" w:color="auto"/>
          <w:color w:val="auto"/>
        </w:rPr>
        <w:t>Transferor</w:t>
      </w:r>
      <w:r>
        <w:rPr>
          <w:rFonts w:ascii="Arial" w:cs="Arial" w:eastAsia="Arial" w:hAnsi="Arial"/>
          <w:sz w:val="17"/>
          <w:szCs w:val="17"/>
          <w:color w:val="auto"/>
        </w:rPr>
        <w:t xml:space="preserve">”) owns and proposes to transfer the Note[s] or interest in such Note[s] specified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in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$___________ in such Note[s] or interests (the “</w:t>
      </w:r>
      <w:r>
        <w:rPr>
          <w:rFonts w:ascii="Arial" w:cs="Arial" w:eastAsia="Arial" w:hAnsi="Arial"/>
          <w:sz w:val="16"/>
          <w:szCs w:val="16"/>
          <w:u w:val="single" w:color="auto"/>
          <w:color w:val="auto"/>
        </w:rPr>
        <w:t>Transfer</w:t>
      </w:r>
      <w:r>
        <w:rPr>
          <w:rFonts w:ascii="Arial" w:cs="Arial" w:eastAsia="Arial" w:hAnsi="Arial"/>
          <w:sz w:val="16"/>
          <w:szCs w:val="16"/>
          <w:color w:val="auto"/>
        </w:rPr>
        <w:t>”), to _______________ (the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as further specified in </w:t>
      </w:r>
      <w:r>
        <w:rPr>
          <w:rFonts w:ascii="Arial" w:cs="Arial" w:eastAsia="Arial" w:hAnsi="Arial"/>
          <w:sz w:val="16"/>
          <w:szCs w:val="16"/>
          <w:u w:val="single" w:color="auto"/>
          <w:color w:val="auto"/>
        </w:rPr>
        <w:t>Annex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jc w:val="both"/>
        <w:ind w:firstLine="656"/>
        <w:spacing w:after="0" w:line="223" w:lineRule="exact"/>
        <w:tabs>
          <w:tab w:leader="none" w:pos="1473" w:val="left"/>
        </w:tabs>
        <w:numPr>
          <w:ilvl w:val="0"/>
          <w:numId w:val="26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TRANSFEREE WILL TAKE DELIVERY OF A BENEFICIAL INTEREST IN A 144A GLOBAL NOTE OR A DEFINITIVE NOTE PURSUANT TO RULE 144A. The Transfer is being effected pursuant to and in accordance with Rule 144A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w:t>
      </w:r>
      <w:r>
        <w:rPr>
          <w:rFonts w:ascii="Arial" w:cs="Arial" w:eastAsia="Arial" w:hAnsi="Arial"/>
          <w:sz w:val="17"/>
          <w:szCs w:val="17"/>
          <w:u w:val="single" w:color="auto"/>
          <w:color w:val="auto"/>
        </w:rPr>
        <w:t>qualified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institutional buyer</w:t>
      </w:r>
      <w:r>
        <w:rPr>
          <w:rFonts w:ascii="Arial" w:cs="Arial" w:eastAsia="Arial" w:hAnsi="Arial"/>
          <w:sz w:val="17"/>
          <w:szCs w:val="17"/>
          <w:color w:val="auto"/>
        </w:rPr>
        <w:t>” within the meaning of Rule 144A in a transaction meeting the requirements of Rule 144A and such Transfer is in compliance with any applicable blue sky securities laws of any state of the United States.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both"/>
        <w:ind w:firstLine="656"/>
        <w:spacing w:after="0" w:line="221" w:lineRule="exact"/>
        <w:tabs>
          <w:tab w:leader="none" w:pos="1263" w:val="left"/>
        </w:tabs>
        <w:numPr>
          <w:ilvl w:val="0"/>
          <w:numId w:val="26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CHECK IF TRANSFEREE WILL TAKE DELIVERY OF A BENEFICIAL INTEREST IN A REGULATION S GLOBAL NOTE OR A DEFINITIVE NOTE PURSUANT TO REGULATION S. The Transfer is being effected pursuant to and in accordance with Rule 903 or Rule 904 of Regulation S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(iii) the transaction is not part of a plan or scheme to evade the registration requirements of the Securities Act and (iv) if the proposed transfer is being made prior to the expiration of the applicable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70" w:lineRule="exact"/>
        <w:rPr>
          <w:rFonts w:ascii="Arial" w:cs="Arial" w:eastAsia="Arial" w:hAnsi="Arial"/>
          <w:sz w:val="16"/>
          <w:szCs w:val="16"/>
          <w:color w:val="auto"/>
        </w:rPr>
      </w:pPr>
    </w:p>
    <w:p>
      <w:pPr>
        <w:jc w:val="both"/>
        <w:ind w:firstLine="656"/>
        <w:spacing w:after="0" w:line="226" w:lineRule="exact"/>
        <w:tabs>
          <w:tab w:leader="none" w:pos="1233" w:val="left"/>
        </w:tabs>
        <w:numPr>
          <w:ilvl w:val="0"/>
          <w:numId w:val="26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AND COMPLETE IF TRANSFEREE WILL TAKE DELIVERY OF A BENEFICIAL INTEREST IN A DEFINITIVE NOTE PURSUANT TO ANY PROVISION OF THE SECURITIES ACT OTHER THAN RULE 144A OR REGULATION S WHICH PROVISION MAY NOT BE RULE 144.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1" w:lineRule="exact"/>
        <w:rPr>
          <w:sz w:val="20"/>
          <w:szCs w:val="20"/>
          <w:color w:val="auto"/>
        </w:rPr>
      </w:pPr>
    </w:p>
    <w:p>
      <w:pPr>
        <w:ind w:left="1300" w:hanging="644"/>
        <w:spacing w:after="0" w:line="207" w:lineRule="exact"/>
        <w:tabs>
          <w:tab w:leader="none" w:pos="1300" w:val="left"/>
        </w:tabs>
        <w:numPr>
          <w:ilvl w:val="0"/>
          <w:numId w:val="2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Issuer or a subsidiary thereof;</w:t>
      </w:r>
    </w:p>
    <w:p>
      <w:pPr>
        <w:spacing w:after="0" w:line="2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92" w:lineRule="exact"/>
        <w:rPr>
          <w:rFonts w:ascii="Arial" w:cs="Arial" w:eastAsia="Arial" w:hAnsi="Arial"/>
          <w:sz w:val="18"/>
          <w:szCs w:val="18"/>
          <w:color w:val="auto"/>
        </w:rPr>
      </w:pPr>
    </w:p>
    <w:p>
      <w:pPr>
        <w:ind w:left="1300" w:hanging="644"/>
        <w:spacing w:after="0" w:line="239" w:lineRule="exact"/>
        <w:tabs>
          <w:tab w:leader="none" w:pos="1300" w:val="left"/>
        </w:tabs>
        <w:numPr>
          <w:ilvl w:val="0"/>
          <w:numId w:val="2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if applicable, in compliance with the prospectus delivery requirements of the Securities Act.</w:t>
      </w:r>
    </w:p>
    <w:p>
      <w:pPr>
        <w:spacing w:after="0" w:line="170" w:lineRule="exact"/>
        <w:rPr>
          <w:sz w:val="20"/>
          <w:szCs w:val="20"/>
          <w:color w:val="auto"/>
        </w:rPr>
      </w:pPr>
    </w:p>
    <w:p>
      <w:pPr>
        <w:ind w:right="20" w:firstLine="656"/>
        <w:spacing w:after="0" w:line="239" w:lineRule="exact"/>
        <w:tabs>
          <w:tab w:leader="none" w:pos="1359" w:val="left"/>
        </w:tabs>
        <w:numPr>
          <w:ilvl w:val="0"/>
          <w:numId w:val="26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AN UNRESTRICTED GLOBAL NOTE OR OF AN UNRESTRICTED DEFINITIVE NOTE.</w:t>
      </w:r>
    </w:p>
    <w:p>
      <w:pPr>
        <w:spacing w:after="0" w:line="170" w:lineRule="exact"/>
        <w:rPr>
          <w:sz w:val="20"/>
          <w:szCs w:val="20"/>
          <w:color w:val="auto"/>
        </w:rPr>
      </w:pPr>
    </w:p>
    <w:p>
      <w:pPr>
        <w:jc w:val="both"/>
        <w:ind w:left="1300" w:hanging="644"/>
        <w:spacing w:after="0" w:line="223" w:lineRule="exact"/>
        <w:tabs>
          <w:tab w:leader="none" w:pos="1300" w:val="left"/>
        </w:tabs>
        <w:numPr>
          <w:ilvl w:val="0"/>
          <w:numId w:val="27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 IS PURSUANT TO REGULATION S. (i) The Transfer is being effected pursuant to and in accordance with Rule 903 or Rule 904 of Regulation S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0" w:lineRule="exact"/>
        <w:rPr>
          <w:rFonts w:ascii="Arial" w:cs="Arial" w:eastAsia="Arial" w:hAnsi="Arial"/>
          <w:sz w:val="18"/>
          <w:szCs w:val="18"/>
          <w:color w:val="auto"/>
        </w:rPr>
      </w:pPr>
    </w:p>
    <w:p>
      <w:pPr>
        <w:jc w:val="both"/>
        <w:ind w:left="1300" w:hanging="644"/>
        <w:spacing w:after="0" w:line="232" w:lineRule="exact"/>
        <w:tabs>
          <w:tab w:leader="none" w:pos="1300" w:val="left"/>
        </w:tabs>
        <w:numPr>
          <w:ilvl w:val="0"/>
          <w:numId w:val="27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w:t>
      </w:r>
    </w:p>
    <w:p>
      <w:pPr>
        <w:jc w:val="both"/>
        <w:ind w:left="1300" w:firstLine="4"/>
        <w:spacing w:after="0" w:line="273" w:lineRule="auto"/>
        <w:tabs>
          <w:tab w:leader="none" w:pos="159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Issuer.</w:t>
      </w:r>
    </w:p>
    <w:p>
      <w:pPr>
        <w:spacing w:after="0" w:line="24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112268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2268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22" w:name="page223"/>
    <w:bookmarkEnd w:id="222"/>
    <w:p>
      <w:pPr>
        <w:jc w:val="right"/>
        <w:ind w:right="277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624" w:hanging="624"/>
        <w:spacing w:after="0"/>
        <w:tabs>
          <w:tab w:leader="none" w:pos="6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p>
      <w:pPr>
        <w:ind w:left="1304" w:hanging="656"/>
        <w:spacing w:after="0" w:line="207" w:lineRule="exact"/>
        <w:tabs>
          <w:tab w:leader="none" w:pos="1304" w:val="left"/>
        </w:tabs>
        <w:numPr>
          <w:ilvl w:val="1"/>
          <w:numId w:val="27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924" w:hanging="628"/>
        <w:spacing w:after="0" w:line="207" w:lineRule="exact"/>
        <w:tabs>
          <w:tab w:leader="none" w:pos="1924" w:val="left"/>
        </w:tabs>
        <w:numPr>
          <w:ilvl w:val="2"/>
          <w:numId w:val="27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644393 AB6), or</w:t>
      </w:r>
    </w:p>
    <w:p>
      <w:pPr>
        <w:spacing w:after="0" w:line="225" w:lineRule="exact"/>
        <w:rPr>
          <w:rFonts w:ascii="Arial" w:cs="Arial" w:eastAsia="Arial" w:hAnsi="Arial"/>
          <w:sz w:val="18"/>
          <w:szCs w:val="18"/>
          <w:color w:val="auto"/>
        </w:rPr>
      </w:pPr>
    </w:p>
    <w:p>
      <w:pPr>
        <w:ind w:left="1924" w:hanging="628"/>
        <w:spacing w:after="0" w:line="207" w:lineRule="exact"/>
        <w:tabs>
          <w:tab w:leader="none" w:pos="1924" w:val="left"/>
        </w:tabs>
        <w:numPr>
          <w:ilvl w:val="2"/>
          <w:numId w:val="27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U6422P AC2), or</w:t>
      </w:r>
    </w:p>
    <w:p>
      <w:pPr>
        <w:spacing w:after="0" w:line="225" w:lineRule="exact"/>
        <w:rPr>
          <w:rFonts w:ascii="Arial" w:cs="Arial" w:eastAsia="Arial" w:hAnsi="Arial"/>
          <w:sz w:val="18"/>
          <w:szCs w:val="18"/>
          <w:color w:val="auto"/>
        </w:rPr>
      </w:pPr>
    </w:p>
    <w:p>
      <w:pPr>
        <w:ind w:left="1304" w:hanging="656"/>
        <w:spacing w:after="0" w:line="207" w:lineRule="exact"/>
        <w:tabs>
          <w:tab w:leader="none" w:pos="1304" w:val="left"/>
        </w:tabs>
        <w:numPr>
          <w:ilvl w:val="1"/>
          <w:numId w:val="27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624" w:hanging="624"/>
        <w:spacing w:after="0"/>
        <w:tabs>
          <w:tab w:leader="none" w:pos="6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w:t>
      </w:r>
    </w:p>
    <w:p>
      <w:pPr>
        <w:spacing w:after="0" w:line="192" w:lineRule="exact"/>
        <w:rPr>
          <w:sz w:val="20"/>
          <w:szCs w:val="20"/>
          <w:color w:val="auto"/>
        </w:rPr>
      </w:pPr>
    </w:p>
    <w:p>
      <w:pPr>
        <w:ind w:left="1304" w:hanging="656"/>
        <w:spacing w:after="0" w:line="207" w:lineRule="exact"/>
        <w:tabs>
          <w:tab w:leader="none" w:pos="1304" w:val="left"/>
        </w:tabs>
        <w:numPr>
          <w:ilvl w:val="0"/>
          <w:numId w:val="27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924" w:hanging="628"/>
        <w:spacing w:after="0" w:line="207" w:lineRule="exact"/>
        <w:tabs>
          <w:tab w:leader="none" w:pos="1924" w:val="left"/>
        </w:tabs>
        <w:numPr>
          <w:ilvl w:val="1"/>
          <w:numId w:val="27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644393 AB6), or</w:t>
      </w:r>
    </w:p>
    <w:p>
      <w:pPr>
        <w:spacing w:after="0" w:line="225" w:lineRule="exact"/>
        <w:rPr>
          <w:rFonts w:ascii="Arial" w:cs="Arial" w:eastAsia="Arial" w:hAnsi="Arial"/>
          <w:sz w:val="18"/>
          <w:szCs w:val="18"/>
          <w:color w:val="auto"/>
        </w:rPr>
      </w:pPr>
    </w:p>
    <w:p>
      <w:pPr>
        <w:ind w:left="1924" w:hanging="628"/>
        <w:spacing w:after="0" w:line="207" w:lineRule="exact"/>
        <w:tabs>
          <w:tab w:leader="none" w:pos="1924" w:val="left"/>
        </w:tabs>
        <w:numPr>
          <w:ilvl w:val="1"/>
          <w:numId w:val="27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U6422P AC2), or</w:t>
      </w:r>
    </w:p>
    <w:p>
      <w:pPr>
        <w:spacing w:after="0" w:line="225" w:lineRule="exact"/>
        <w:rPr>
          <w:rFonts w:ascii="Arial" w:cs="Arial" w:eastAsia="Arial" w:hAnsi="Arial"/>
          <w:sz w:val="18"/>
          <w:szCs w:val="18"/>
          <w:color w:val="auto"/>
        </w:rPr>
      </w:pPr>
    </w:p>
    <w:p>
      <w:pPr>
        <w:ind w:left="1304" w:hanging="656"/>
        <w:spacing w:after="0" w:line="207" w:lineRule="exact"/>
        <w:tabs>
          <w:tab w:leader="none" w:pos="1304" w:val="left"/>
        </w:tabs>
        <w:numPr>
          <w:ilvl w:val="0"/>
          <w:numId w:val="27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ind w:left="1304" w:hanging="656"/>
        <w:spacing w:after="0" w:line="207" w:lineRule="exact"/>
        <w:tabs>
          <w:tab w:leader="none" w:pos="1304" w:val="left"/>
        </w:tabs>
        <w:numPr>
          <w:ilvl w:val="0"/>
          <w:numId w:val="27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57"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in accordance with the terms of the Indenture.</w:t>
      </w:r>
    </w:p>
    <w:p>
      <w:pPr>
        <w:spacing w:after="0" w:line="380" w:lineRule="exact"/>
        <w:rPr>
          <w:sz w:val="20"/>
          <w:szCs w:val="20"/>
          <w:color w:val="auto"/>
        </w:rPr>
      </w:pPr>
    </w:p>
    <w:p>
      <w:pPr>
        <w:jc w:val="center"/>
        <w:ind w:right="-444"/>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125"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Cameron D. MacDougall,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6.500% Senior Secured Notes due 2026</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April 12, 2021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from time to time parties thereto, the Trustee and the Notes Collateral Agent.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 (the “</w:t>
      </w:r>
      <w:r>
        <w:rPr>
          <w:rFonts w:ascii="Arial" w:cs="Arial" w:eastAsia="Arial" w:hAnsi="Arial"/>
          <w:sz w:val="16"/>
          <w:szCs w:val="16"/>
          <w:u w:val="single" w:color="auto"/>
          <w:color w:val="auto"/>
        </w:rPr>
        <w:t>Owner</w:t>
      </w:r>
      <w:r>
        <w:rPr>
          <w:rFonts w:ascii="Arial" w:cs="Arial" w:eastAsia="Arial" w:hAnsi="Arial"/>
          <w:sz w:val="16"/>
          <w:szCs w:val="16"/>
          <w:color w:val="auto"/>
        </w:rPr>
        <w:t>”) owns and proposes to exchange the Note[s] or interest in such Note[s] specified herein, in the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 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 hereby certifies that:</w:t>
      </w:r>
    </w:p>
    <w:p>
      <w:pPr>
        <w:spacing w:after="0" w:line="211" w:lineRule="exact"/>
        <w:rPr>
          <w:sz w:val="20"/>
          <w:szCs w:val="20"/>
          <w:color w:val="auto"/>
        </w:rPr>
      </w:pPr>
    </w:p>
    <w:p>
      <w:pPr>
        <w:ind w:firstLine="656"/>
        <w:spacing w:after="0" w:line="277" w:lineRule="auto"/>
        <w:tabs>
          <w:tab w:leader="none" w:pos="129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A RESTRICTED GLOBAL NOTE FOR UNRESTRICTED DEFINITIVE NOTES OR BENEFICIAL INTERESTS IN AN UNRESTRICTED GLOBAL NOTE</w:t>
      </w:r>
    </w:p>
    <w:p>
      <w:pPr>
        <w:spacing w:after="0" w:line="137" w:lineRule="exact"/>
        <w:rPr>
          <w:rFonts w:ascii="Arial" w:cs="Arial" w:eastAsia="Arial" w:hAnsi="Arial"/>
          <w:sz w:val="18"/>
          <w:szCs w:val="18"/>
          <w:color w:val="auto"/>
        </w:rPr>
      </w:pPr>
    </w:p>
    <w:p>
      <w:pPr>
        <w:jc w:val="both"/>
        <w:ind w:left="660" w:firstLine="644"/>
        <w:spacing w:after="0" w:line="222" w:lineRule="exact"/>
        <w:tabs>
          <w:tab w:leader="none" w:pos="2019" w:val="left"/>
        </w:tabs>
        <w:numPr>
          <w:ilvl w:val="1"/>
          <w:numId w:val="27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both"/>
        <w:ind w:left="660" w:firstLine="644"/>
        <w:spacing w:after="0" w:line="223" w:lineRule="exact"/>
        <w:tabs>
          <w:tab w:leader="none" w:pos="1907" w:val="left"/>
        </w:tabs>
        <w:numPr>
          <w:ilvl w:val="1"/>
          <w:numId w:val="27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69" w:lineRule="exact"/>
        <w:rPr>
          <w:rFonts w:ascii="Arial" w:cs="Arial" w:eastAsia="Arial" w:hAnsi="Arial"/>
          <w:sz w:val="18"/>
          <w:szCs w:val="18"/>
          <w:color w:val="auto"/>
        </w:rPr>
      </w:pPr>
    </w:p>
    <w:p>
      <w:pPr>
        <w:jc w:val="both"/>
        <w:ind w:left="660" w:firstLine="644"/>
        <w:spacing w:after="0" w:line="223" w:lineRule="exact"/>
        <w:tabs>
          <w:tab w:leader="none" w:pos="2329" w:val="left"/>
        </w:tabs>
        <w:numPr>
          <w:ilvl w:val="1"/>
          <w:numId w:val="27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0" w:lineRule="exact"/>
        <w:rPr>
          <w:rFonts w:ascii="Arial" w:cs="Arial" w:eastAsia="Arial" w:hAnsi="Arial"/>
          <w:sz w:val="18"/>
          <w:szCs w:val="18"/>
          <w:color w:val="auto"/>
        </w:rPr>
      </w:pPr>
    </w:p>
    <w:p>
      <w:pPr>
        <w:jc w:val="both"/>
        <w:ind w:left="660" w:firstLine="644"/>
        <w:spacing w:after="0" w:line="223" w:lineRule="exact"/>
        <w:tabs>
          <w:tab w:leader="none" w:pos="2042" w:val="left"/>
        </w:tabs>
        <w:numPr>
          <w:ilvl w:val="1"/>
          <w:numId w:val="27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3" w:lineRule="exact"/>
        <w:rPr>
          <w:rFonts w:ascii="Arial" w:cs="Arial" w:eastAsia="Arial" w:hAnsi="Arial"/>
          <w:sz w:val="18"/>
          <w:szCs w:val="18"/>
          <w:color w:val="auto"/>
        </w:rPr>
      </w:pPr>
    </w:p>
    <w:p>
      <w:pPr>
        <w:ind w:firstLine="656"/>
        <w:spacing w:after="0" w:line="277" w:lineRule="auto"/>
        <w:tabs>
          <w:tab w:leader="none" w:pos="12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RESTRICTED GLOBAL NOTES FOR RESTRICTED DEFINITIVE NOTES OR BENEFICIAL INTERESTS IN RESTRICTED GLOBAL NOTES</w:t>
      </w:r>
    </w:p>
    <w:p>
      <w:pPr>
        <w:spacing w:after="0" w:line="137" w:lineRule="exact"/>
        <w:rPr>
          <w:rFonts w:ascii="Arial" w:cs="Arial" w:eastAsia="Arial" w:hAnsi="Arial"/>
          <w:sz w:val="18"/>
          <w:szCs w:val="18"/>
          <w:color w:val="auto"/>
        </w:rPr>
      </w:pPr>
    </w:p>
    <w:p>
      <w:pPr>
        <w:jc w:val="both"/>
        <w:ind w:left="660" w:firstLine="644"/>
        <w:spacing w:after="0" w:line="224" w:lineRule="exact"/>
        <w:tabs>
          <w:tab w:leader="none" w:pos="2005" w:val="left"/>
        </w:tabs>
        <w:numPr>
          <w:ilvl w:val="1"/>
          <w:numId w:val="27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225" w:name="page226"/>
    <w:bookmarkEnd w:id="225"/>
    <w:p>
      <w:pPr>
        <w:jc w:val="both"/>
        <w:ind w:left="660" w:firstLine="644"/>
        <w:spacing w:after="0" w:line="222" w:lineRule="exact"/>
        <w:tabs>
          <w:tab w:leader="none" w:pos="1907" w:val="left"/>
        </w:tabs>
        <w:numPr>
          <w:ilvl w:val="0"/>
          <w:numId w:val="27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EXCHANGE IS FROM RESTRICTED DEFINITIVE NOTE TO BENEFICIAL INTEREST IN A RESTRICTED GLOBAL NOTE. In connection with the Exchange of the Owner’s Restricted Definitive Note for a beneficial interest in the [CHECK ONE] [ ] 144A Global </w:t>
      </w:r>
      <w:r>
        <w:rPr>
          <w:rFonts w:ascii="Arial" w:cs="Arial" w:eastAsia="Arial" w:hAnsi="Arial"/>
          <w:sz w:val="17"/>
          <w:szCs w:val="17"/>
          <w:u w:val="single" w:color="auto"/>
          <w:color w:val="auto"/>
        </w:rPr>
        <w:t>Note [ ]</w:t>
      </w:r>
      <w:r>
        <w:rPr>
          <w:rFonts w:ascii="Arial" w:cs="Arial" w:eastAsia="Arial" w:hAnsi="Arial"/>
          <w:sz w:val="17"/>
          <w:szCs w:val="17"/>
          <w:color w:val="auto"/>
        </w:rPr>
        <w:t xml:space="preserv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143129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Indenture (this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dated as of [__________], by [__________________] (the “</w:t>
      </w:r>
      <w:r>
        <w:rPr>
          <w:rFonts w:ascii="Arial" w:cs="Arial" w:eastAsia="Arial" w:hAnsi="Arial"/>
          <w:sz w:val="16"/>
          <w:szCs w:val="16"/>
          <w:u w:val="single" w:color="auto"/>
          <w:color w:val="auto"/>
        </w:rPr>
        <w:t>Guaranteeing Subsidiary</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subsidiary of the Issuer,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Issuer, the Guarantors party thereto, the Trustee and the Notes Collateral Agent have heretofore executed and delivered an indenture, dated as of April 12, 2021 (as amended, supplemented, waived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6.500% Senior Secured Notes due 2026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Note Guarantee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to amend or supplement the Indenture without the consent of any Holder;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70" w:lineRule="exact"/>
        <w:rPr>
          <w:sz w:val="20"/>
          <w:szCs w:val="20"/>
          <w:color w:val="auto"/>
        </w:rPr>
      </w:pPr>
    </w:p>
    <w:p>
      <w:pPr>
        <w:ind w:left="1320" w:hanging="664"/>
        <w:spacing w:after="0"/>
        <w:tabs>
          <w:tab w:leader="none" w:pos="1320"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such terms in the Indenture.</w:t>
      </w:r>
    </w:p>
    <w:p>
      <w:pPr>
        <w:spacing w:after="0" w:line="236" w:lineRule="exact"/>
        <w:rPr>
          <w:rFonts w:ascii="Arial" w:cs="Arial" w:eastAsia="Arial" w:hAnsi="Arial"/>
          <w:sz w:val="17"/>
          <w:szCs w:val="17"/>
          <w:color w:val="auto"/>
        </w:rPr>
      </w:pPr>
    </w:p>
    <w:p>
      <w:pPr>
        <w:ind w:right="20" w:firstLine="656"/>
        <w:spacing w:after="0" w:line="277" w:lineRule="auto"/>
        <w:tabs>
          <w:tab w:leader="none" w:pos="1483"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Guaranteeing Subsidiary hereby agrees to provide an unconditional Note Guarantee on the terms and subject to the conditions set forth in the Indenture, including Article 10 thereof.</w:t>
      </w:r>
    </w:p>
    <w:p>
      <w:pPr>
        <w:spacing w:after="0" w:line="170" w:lineRule="exact"/>
        <w:rPr>
          <w:rFonts w:ascii="Arial" w:cs="Arial" w:eastAsia="Arial" w:hAnsi="Arial"/>
          <w:sz w:val="18"/>
          <w:szCs w:val="18"/>
          <w:color w:val="auto"/>
        </w:rPr>
      </w:pPr>
    </w:p>
    <w:p>
      <w:pPr>
        <w:ind w:firstLine="656"/>
        <w:spacing w:after="0" w:line="277" w:lineRule="auto"/>
        <w:tabs>
          <w:tab w:leader="none" w:pos="174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Guaranteeing Subsidiary agrees that the Note Guarantee shall remain in full force and effect notwithstanding the absence of the endorsement of any notation of such Note Guarantee on the Notes.</w:t>
      </w:r>
    </w:p>
    <w:p>
      <w:pPr>
        <w:spacing w:after="0" w:line="170" w:lineRule="exact"/>
        <w:rPr>
          <w:rFonts w:ascii="Arial" w:cs="Arial" w:eastAsia="Arial" w:hAnsi="Arial"/>
          <w:sz w:val="18"/>
          <w:szCs w:val="18"/>
          <w:color w:val="auto"/>
        </w:rPr>
      </w:pPr>
    </w:p>
    <w:p>
      <w:pPr>
        <w:ind w:firstLine="656"/>
        <w:spacing w:after="0" w:line="277" w:lineRule="auto"/>
        <w:tabs>
          <w:tab w:leader="none" w:pos="1348"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both"/>
        <w:ind w:firstLine="656"/>
        <w:spacing w:after="0" w:line="257" w:lineRule="auto"/>
        <w:tabs>
          <w:tab w:leader="none" w:pos="1276"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87" w:lineRule="exact"/>
        <w:rPr>
          <w:rFonts w:ascii="Arial" w:cs="Arial" w:eastAsia="Arial" w:hAnsi="Arial"/>
          <w:sz w:val="18"/>
          <w:szCs w:val="18"/>
          <w:color w:val="auto"/>
        </w:rPr>
      </w:pPr>
    </w:p>
    <w:p>
      <w:pPr>
        <w:ind w:left="1320" w:hanging="664"/>
        <w:spacing w:after="0"/>
        <w:tabs>
          <w:tab w:leader="none" w:pos="132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262"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Ratification Of Indenture; Supplemental Indentures Part of Indenture</w:t>
      </w:r>
      <w:r>
        <w:rPr>
          <w:rFonts w:ascii="Arial" w:cs="Arial" w:eastAsia="Arial" w:hAnsi="Arial"/>
          <w:sz w:val="17"/>
          <w:szCs w:val="17"/>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33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23495</wp:posOffset>
            </wp:positionV>
            <wp:extent cx="334327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23495</wp:posOffset>
            </wp:positionV>
            <wp:extent cx="334327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64135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980" w:top="125" w:right="55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 AND SECURITY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PLEDGE AND SECURITY AGREEMENT (as it may be amended, restated, amended and restated, supplemented or otherwise modified from time to time, this “</w:t>
      </w:r>
      <w:r>
        <w:rPr>
          <w:rFonts w:ascii="Arial" w:cs="Arial" w:eastAsia="Arial" w:hAnsi="Arial"/>
          <w:sz w:val="16"/>
          <w:szCs w:val="16"/>
          <w:u w:val="single" w:color="auto"/>
          <w:color w:val="auto"/>
        </w:rPr>
        <w:t>Security Agreement</w:t>
      </w:r>
      <w:r>
        <w:rPr>
          <w:rFonts w:ascii="Arial" w:cs="Arial" w:eastAsia="Arial" w:hAnsi="Arial"/>
          <w:sz w:val="16"/>
          <w:szCs w:val="16"/>
          <w:color w:val="auto"/>
        </w:rPr>
        <w:t>”) is entered into as of April 12, 2021, by and among the Grantors (as defined below) and U.S. Bank National Association (“</w:t>
      </w:r>
      <w:r>
        <w:rPr>
          <w:rFonts w:ascii="Arial" w:cs="Arial" w:eastAsia="Arial" w:hAnsi="Arial"/>
          <w:sz w:val="16"/>
          <w:szCs w:val="16"/>
          <w:u w:val="single" w:color="auto"/>
          <w:color w:val="auto"/>
        </w:rPr>
        <w:t>U.S. Bank</w:t>
      </w:r>
      <w:r>
        <w:rPr>
          <w:rFonts w:ascii="Arial" w:cs="Arial" w:eastAsia="Arial" w:hAnsi="Arial"/>
          <w:sz w:val="16"/>
          <w:szCs w:val="16"/>
          <w:color w:val="auto"/>
        </w:rPr>
        <w:t>”), in its capacity as collateral agent for the Secured Notes Secured Parties (in such capacity, the “</w:t>
      </w:r>
      <w:r>
        <w:rPr>
          <w:rFonts w:ascii="Arial" w:cs="Arial" w:eastAsia="Arial" w:hAnsi="Arial"/>
          <w:sz w:val="16"/>
          <w:szCs w:val="16"/>
          <w:u w:val="single" w:color="auto"/>
          <w:color w:val="auto"/>
        </w:rPr>
        <w:t>Notes Collateral Agent</w:t>
      </w:r>
      <w:r>
        <w:rPr>
          <w:rFonts w:ascii="Arial" w:cs="Arial" w:eastAsia="Arial" w:hAnsi="Arial"/>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that certain Indenture dated as of April 12, 2021 (as amended, restated, amended and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subsidiary guarantors from time to time parties thereto and U.S. Bank, as trustee and Notes Collateral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Grantor will obtain benefits from the transactions contemplated by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Terms Defined in Indenture</w:t>
      </w:r>
      <w:r>
        <w:rPr>
          <w:rFonts w:ascii="Arial" w:cs="Arial" w:eastAsia="Arial" w:hAnsi="Arial"/>
          <w:sz w:val="18"/>
          <w:szCs w:val="18"/>
          <w:color w:val="auto"/>
        </w:rPr>
        <w:t>. All capitalized terms used herein and not otherwise defined shall have the meanings assigned to such terms in the Indenture.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Terms Defined in UCC</w:t>
      </w:r>
      <w:r>
        <w:rPr>
          <w:rFonts w:ascii="Arial" w:cs="Arial" w:eastAsia="Arial" w:hAnsi="Arial"/>
          <w:sz w:val="18"/>
          <w:szCs w:val="18"/>
          <w:color w:val="auto"/>
        </w:rPr>
        <w:t>. Terms defined in the UCC (as defined below) that are not otherwise defined in this Security Agreement are used herein as defined in Articles 8 or 9 of the UCC, as the context may require (including as if such terms were capitalized in Article 8 or 9 of the UCC, as the context may require, the following terms: “</w:t>
      </w:r>
      <w:r>
        <w:rPr>
          <w:rFonts w:ascii="Arial" w:cs="Arial" w:eastAsia="Arial" w:hAnsi="Arial"/>
          <w:sz w:val="18"/>
          <w:szCs w:val="18"/>
          <w:u w:val="single" w:color="auto"/>
          <w:color w:val="auto"/>
        </w:rPr>
        <w:t>Account</w:t>
      </w:r>
      <w:r>
        <w:rPr>
          <w:rFonts w:ascii="Arial" w:cs="Arial" w:eastAsia="Arial" w:hAnsi="Arial"/>
          <w:sz w:val="18"/>
          <w:szCs w:val="18"/>
          <w:color w:val="auto"/>
        </w:rPr>
        <w:t>,” “</w:t>
      </w:r>
      <w:r>
        <w:rPr>
          <w:rFonts w:ascii="Arial" w:cs="Arial" w:eastAsia="Arial" w:hAnsi="Arial"/>
          <w:sz w:val="18"/>
          <w:szCs w:val="18"/>
          <w:u w:val="single" w:color="auto"/>
          <w:color w:val="auto"/>
        </w:rPr>
        <w:t>Account Debtor</w:t>
      </w:r>
      <w:r>
        <w:rPr>
          <w:rFonts w:ascii="Arial" w:cs="Arial" w:eastAsia="Arial" w:hAnsi="Arial"/>
          <w:sz w:val="18"/>
          <w:szCs w:val="18"/>
          <w:color w:val="auto"/>
        </w:rPr>
        <w:t>,” “</w:t>
      </w:r>
      <w:r>
        <w:rPr>
          <w:rFonts w:ascii="Arial" w:cs="Arial" w:eastAsia="Arial" w:hAnsi="Arial"/>
          <w:sz w:val="18"/>
          <w:szCs w:val="18"/>
          <w:u w:val="single" w:color="auto"/>
          <w:color w:val="auto"/>
        </w:rPr>
        <w:t>Chattel Paper</w:t>
      </w:r>
      <w:r>
        <w:rPr>
          <w:rFonts w:ascii="Arial" w:cs="Arial" w:eastAsia="Arial" w:hAnsi="Arial"/>
          <w:sz w:val="18"/>
          <w:szCs w:val="18"/>
          <w:color w:val="auto"/>
        </w:rPr>
        <w:t>,” “</w:t>
      </w:r>
      <w:r>
        <w:rPr>
          <w:rFonts w:ascii="Arial" w:cs="Arial" w:eastAsia="Arial" w:hAnsi="Arial"/>
          <w:sz w:val="18"/>
          <w:szCs w:val="18"/>
          <w:u w:val="single" w:color="auto"/>
          <w:color w:val="auto"/>
        </w:rPr>
        <w:t>Clearing Corporation</w:t>
      </w:r>
      <w:r>
        <w:rPr>
          <w:rFonts w:ascii="Arial" w:cs="Arial" w:eastAsia="Arial" w:hAnsi="Arial"/>
          <w:sz w:val="18"/>
          <w:szCs w:val="18"/>
          <w:color w:val="auto"/>
        </w:rPr>
        <w:t>,” “</w:t>
      </w:r>
      <w:r>
        <w:rPr>
          <w:rFonts w:ascii="Arial" w:cs="Arial" w:eastAsia="Arial" w:hAnsi="Arial"/>
          <w:sz w:val="18"/>
          <w:szCs w:val="18"/>
          <w:u w:val="single" w:color="auto"/>
          <w:color w:val="auto"/>
        </w:rPr>
        <w:t>Commercial Tort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w:t>
      </w:r>
      <w:r>
        <w:rPr>
          <w:rFonts w:ascii="Arial" w:cs="Arial" w:eastAsia="Arial" w:hAnsi="Arial"/>
          <w:sz w:val="18"/>
          <w:szCs w:val="18"/>
          <w:color w:val="auto"/>
        </w:rPr>
        <w:t>,” “</w:t>
      </w:r>
      <w:r>
        <w:rPr>
          <w:rFonts w:ascii="Arial" w:cs="Arial" w:eastAsia="Arial" w:hAnsi="Arial"/>
          <w:sz w:val="18"/>
          <w:szCs w:val="18"/>
          <w:u w:val="single" w:color="auto"/>
          <w:color w:val="auto"/>
        </w:rPr>
        <w:t>Document</w:t>
      </w:r>
      <w:r>
        <w:rPr>
          <w:rFonts w:ascii="Arial" w:cs="Arial" w:eastAsia="Arial" w:hAnsi="Arial"/>
          <w:sz w:val="18"/>
          <w:szCs w:val="18"/>
          <w:color w:val="auto"/>
        </w:rPr>
        <w:t>,” “</w:t>
      </w:r>
      <w:r>
        <w:rPr>
          <w:rFonts w:ascii="Arial" w:cs="Arial" w:eastAsia="Arial" w:hAnsi="Arial"/>
          <w:sz w:val="18"/>
          <w:szCs w:val="18"/>
          <w:u w:val="single" w:color="auto"/>
          <w:color w:val="auto"/>
        </w:rPr>
        <w:t>Electronic Chattel Paper</w:t>
      </w:r>
      <w:r>
        <w:rPr>
          <w:rFonts w:ascii="Arial" w:cs="Arial" w:eastAsia="Arial" w:hAnsi="Arial"/>
          <w:sz w:val="18"/>
          <w:szCs w:val="18"/>
          <w:color w:val="auto"/>
        </w:rPr>
        <w:t>,” “</w:t>
      </w:r>
      <w:r>
        <w:rPr>
          <w:rFonts w:ascii="Arial" w:cs="Arial" w:eastAsia="Arial" w:hAnsi="Arial"/>
          <w:sz w:val="18"/>
          <w:szCs w:val="18"/>
          <w:u w:val="single" w:color="auto"/>
          <w:color w:val="auto"/>
        </w:rPr>
        <w:t>Equipment</w:t>
      </w:r>
      <w:r>
        <w:rPr>
          <w:rFonts w:ascii="Arial" w:cs="Arial" w:eastAsia="Arial" w:hAnsi="Arial"/>
          <w:sz w:val="18"/>
          <w:szCs w:val="18"/>
          <w:color w:val="auto"/>
        </w:rPr>
        <w:t>,” “</w:t>
      </w:r>
      <w:r>
        <w:rPr>
          <w:rFonts w:ascii="Arial" w:cs="Arial" w:eastAsia="Arial" w:hAnsi="Arial"/>
          <w:sz w:val="18"/>
          <w:szCs w:val="18"/>
          <w:u w:val="single" w:color="auto"/>
          <w:color w:val="auto"/>
        </w:rPr>
        <w:t>Fixture</w:t>
      </w:r>
      <w:r>
        <w:rPr>
          <w:rFonts w:ascii="Arial" w:cs="Arial" w:eastAsia="Arial" w:hAnsi="Arial"/>
          <w:sz w:val="18"/>
          <w:szCs w:val="18"/>
          <w:color w:val="auto"/>
        </w:rPr>
        <w:t>,” “</w:t>
      </w:r>
      <w:r>
        <w:rPr>
          <w:rFonts w:ascii="Arial" w:cs="Arial" w:eastAsia="Arial" w:hAnsi="Arial"/>
          <w:sz w:val="18"/>
          <w:szCs w:val="18"/>
          <w:u w:val="single" w:color="auto"/>
          <w:color w:val="auto"/>
        </w:rPr>
        <w:t>General Intangible</w:t>
      </w:r>
      <w:r>
        <w:rPr>
          <w:rFonts w:ascii="Arial" w:cs="Arial" w:eastAsia="Arial" w:hAnsi="Arial"/>
          <w:sz w:val="18"/>
          <w:szCs w:val="18"/>
          <w:color w:val="auto"/>
        </w:rPr>
        <w:t>,” “</w:t>
      </w:r>
      <w:r>
        <w:rPr>
          <w:rFonts w:ascii="Arial" w:cs="Arial" w:eastAsia="Arial" w:hAnsi="Arial"/>
          <w:sz w:val="18"/>
          <w:szCs w:val="18"/>
          <w:u w:val="single" w:color="auto"/>
          <w:color w:val="auto"/>
        </w:rPr>
        <w:t>Goods</w:t>
      </w:r>
      <w:r>
        <w:rPr>
          <w:rFonts w:ascii="Arial" w:cs="Arial" w:eastAsia="Arial" w:hAnsi="Arial"/>
          <w:sz w:val="18"/>
          <w:szCs w:val="18"/>
          <w:color w:val="auto"/>
        </w:rPr>
        <w:t>,” “</w:t>
      </w:r>
      <w:r>
        <w:rPr>
          <w:rFonts w:ascii="Arial" w:cs="Arial" w:eastAsia="Arial" w:hAnsi="Arial"/>
          <w:sz w:val="18"/>
          <w:szCs w:val="18"/>
          <w:u w:val="single" w:color="auto"/>
          <w:color w:val="auto"/>
        </w:rPr>
        <w:t>Instruments</w:t>
      </w:r>
      <w:r>
        <w:rPr>
          <w:rFonts w:ascii="Arial" w:cs="Arial" w:eastAsia="Arial" w:hAnsi="Arial"/>
          <w:sz w:val="18"/>
          <w:szCs w:val="18"/>
          <w:color w:val="auto"/>
        </w:rPr>
        <w:t>,” “</w:t>
      </w:r>
      <w:r>
        <w:rPr>
          <w:rFonts w:ascii="Arial" w:cs="Arial" w:eastAsia="Arial" w:hAnsi="Arial"/>
          <w:sz w:val="18"/>
          <w:szCs w:val="18"/>
          <w:u w:val="single" w:color="auto"/>
          <w:color w:val="auto"/>
        </w:rPr>
        <w:t>Inventory</w:t>
      </w:r>
      <w:r>
        <w:rPr>
          <w:rFonts w:ascii="Arial" w:cs="Arial" w:eastAsia="Arial" w:hAnsi="Arial"/>
          <w:sz w:val="18"/>
          <w:szCs w:val="18"/>
          <w:color w:val="auto"/>
        </w:rPr>
        <w:t>,” “</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w:t>
      </w:r>
      <w:r>
        <w:rPr>
          <w:rFonts w:ascii="Arial" w:cs="Arial" w:eastAsia="Arial" w:hAnsi="Arial"/>
          <w:sz w:val="18"/>
          <w:szCs w:val="18"/>
          <w:u w:val="single" w:color="auto"/>
          <w:color w:val="auto"/>
        </w:rPr>
        <w:t>Tangible Chattel Paper</w:t>
      </w:r>
      <w:r>
        <w:rPr>
          <w:rFonts w:ascii="Arial" w:cs="Arial" w:eastAsia="Arial" w:hAnsi="Arial"/>
          <w:sz w:val="18"/>
          <w:szCs w:val="18"/>
          <w:color w:val="auto"/>
        </w:rPr>
        <w:t>” and “</w:t>
      </w:r>
      <w:r>
        <w:rPr>
          <w:rFonts w:ascii="Arial" w:cs="Arial" w:eastAsia="Arial" w:hAnsi="Arial"/>
          <w:sz w:val="18"/>
          <w:szCs w:val="18"/>
          <w:u w:val="single" w:color="auto"/>
          <w:color w:val="auto"/>
        </w:rPr>
        <w:t>Transmitting Utility</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Definitions of Certain Terms Used Herein</w:t>
      </w:r>
      <w:r>
        <w:rPr>
          <w:rFonts w:ascii="Arial" w:cs="Arial" w:eastAsia="Arial" w:hAnsi="Arial"/>
          <w:sz w:val="18"/>
          <w:szCs w:val="18"/>
          <w:color w:val="auto"/>
        </w:rPr>
        <w:t>. As used in this Security Agreement, the following terms shall have the following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Parties</w:t>
      </w:r>
      <w:r>
        <w:rPr>
          <w:rFonts w:ascii="Arial" w:cs="Arial" w:eastAsia="Arial" w:hAnsi="Arial"/>
          <w:sz w:val="16"/>
          <w:szCs w:val="16"/>
          <w:color w:val="auto"/>
        </w:rPr>
        <w:t xml:space="preserve">” means any Successor Company that becomes a party hereto pursuant to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hereof and the Indenture.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Representative</w:t>
      </w:r>
      <w:r>
        <w:rPr>
          <w:rFonts w:ascii="Arial" w:cs="Arial" w:eastAsia="Arial" w:hAnsi="Arial"/>
          <w:sz w:val="18"/>
          <w:szCs w:val="18"/>
          <w:color w:val="auto"/>
        </w:rPr>
        <w:t>” has the meaning set forth in the Equal Priority Intercreditor Agreement.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Rights</w:t>
      </w:r>
      <w:r>
        <w:rPr>
          <w:rFonts w:ascii="Arial" w:cs="Arial" w:eastAsia="Arial" w:hAnsi="Arial"/>
          <w:sz w:val="18"/>
          <w:szCs w:val="18"/>
          <w:color w:val="auto"/>
        </w:rPr>
        <w:t>” means all rights of any Grantor under any Contract, including (a) any and all rights to receive and demand payments under such Contract, (b) any and all rights to receive and compel performance under such Contract and (c) any and all other rights, interests and claims now existing or in the future arising in connection with such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0" w:name="page231"/>
    <w:bookmarkEnd w:id="230"/>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all contracts between any Grantor and one or more additional parties (including any Hedge Agreement, any licensing agreement and any partnership agreement, joint venture agreement and/or limited liability company agreement).</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has the meaning set forth in Article 8 of the UCC or, if applicable, in Section 9-104, 9-105, 9-106 or 9-107 of Article 9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UCC.</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Authorized Representative</w:t>
      </w:r>
      <w:r>
        <w:rPr>
          <w:rFonts w:ascii="Arial" w:cs="Arial" w:eastAsia="Arial" w:hAnsi="Arial"/>
          <w:sz w:val="18"/>
          <w:szCs w:val="18"/>
          <w:color w:val="auto"/>
        </w:rPr>
        <w:t>” has the meaning set forth in the Equal Priority Intercreditor Agreement.</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w:t>
      </w:r>
      <w:r>
        <w:rPr>
          <w:rFonts w:ascii="Arial" w:cs="Arial" w:eastAsia="Arial" w:hAnsi="Arial"/>
          <w:sz w:val="16"/>
          <w:szCs w:val="16"/>
          <w:color w:val="auto"/>
        </w:rPr>
        <w:t>” means the following: (a) all copyrights, rights and interests in works protectable by copyright whether published or unpublished and whether registered or unregistered, including copyright registrations and copyright applications (including all copyrights embodied in Software); (b) all renewals of any of the foregoing; (c) all income, royalties, damages, and payments now or hereafter due and/or payable under any of the foregoing, including, without limitation, damages or payments for past or future infringements for any of the foregoing;</w:t>
      </w:r>
    </w:p>
    <w:p>
      <w:pPr>
        <w:spacing w:after="0" w:line="1" w:lineRule="exact"/>
        <w:rPr>
          <w:sz w:val="20"/>
          <w:szCs w:val="20"/>
          <w:color w:val="auto"/>
        </w:rPr>
      </w:pPr>
    </w:p>
    <w:p>
      <w:pPr>
        <w:ind w:left="4" w:hanging="4"/>
        <w:spacing w:after="0" w:line="260" w:lineRule="auto"/>
        <w:tabs>
          <w:tab w:leader="none" w:pos="27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right to sue for past, present, and future infringements of any of the foregoing; and (e) all rights corresponding to any of the foregoing anywhere in the world.</w:t>
      </w:r>
    </w:p>
    <w:p>
      <w:pPr>
        <w:spacing w:after="0" w:line="18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License</w:t>
      </w:r>
      <w:r>
        <w:rPr>
          <w:rFonts w:ascii="Arial" w:cs="Arial" w:eastAsia="Arial" w:hAnsi="Arial"/>
          <w:sz w:val="17"/>
          <w:szCs w:val="17"/>
          <w:color w:val="auto"/>
        </w:rPr>
        <w:t>” means any written agreement, now or hereafter in effect, granting to any Person any right to use any Copyright owned by any Grantor or that any Grantor otherwise has the right to license, or granting to any Grantor any right to use any Copyright owned by any other Person or that any other Person otherwise has the right to license, and all rights of any Grantor under any such agreement.</w:t>
      </w:r>
    </w:p>
    <w:p>
      <w:pPr>
        <w:spacing w:after="0" w:line="16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Perfection Certificate</w:t>
      </w:r>
      <w:r>
        <w:rPr>
          <w:rFonts w:ascii="Arial" w:cs="Arial" w:eastAsia="Arial" w:hAnsi="Arial"/>
          <w:sz w:val="18"/>
          <w:szCs w:val="18"/>
          <w:color w:val="auto"/>
        </w:rPr>
        <w:t>” means the perfection certificate, dated as of the date hereof, delivered by each Grantor party to the Indenture on the Issue Date, and any perfection certificate delivered pursuant to Sections 4.15 or 4.17 of the Indenture.</w:t>
      </w:r>
    </w:p>
    <w:p>
      <w:pPr>
        <w:spacing w:after="0" w:line="17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w:t>
      </w:r>
      <w:r>
        <w:rPr>
          <w:rFonts w:ascii="Arial" w:cs="Arial" w:eastAsia="Arial" w:hAnsi="Arial"/>
          <w:sz w:val="18"/>
          <w:szCs w:val="18"/>
          <w:color w:val="auto"/>
        </w:rPr>
        <w:t>” means Internet domain names and associated uniform resource locator addresses.</w:t>
      </w:r>
    </w:p>
    <w:p>
      <w:pPr>
        <w:spacing w:after="0" w:line="225" w:lineRule="exact"/>
        <w:rPr>
          <w:sz w:val="20"/>
          <w:szCs w:val="20"/>
          <w:color w:val="auto"/>
        </w:rPr>
      </w:pPr>
    </w:p>
    <w:p>
      <w:pPr>
        <w:ind w:left="4" w:right="8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Equal Priority Intercreditor Agreement</w:t>
      </w:r>
      <w:r>
        <w:rPr>
          <w:rFonts w:ascii="Arial" w:cs="Arial" w:eastAsia="Arial" w:hAnsi="Arial"/>
          <w:sz w:val="16"/>
          <w:szCs w:val="16"/>
          <w:color w:val="auto"/>
        </w:rPr>
        <w:t>” means that certain Equal Priority Intercreditor Agreement, dated as of April 12, 2021, among U.S. Bank National Association, as 2025 Notes Collateral Agent, U.S. Bank National Association, as 2026 Notes Collateral Agent, U.S. Bank National Association, as Initial Common Representative, any Credit Facility Agent from time to time party thereto, each Additional Common Representative from time to time party thereto, and each additional Authorized Representative from time to time party thereto, and acknowledged by each Grantor (as the same may be amended, restated, renewed, replaced or otherwise modified from time to time).</w:t>
      </w:r>
    </w:p>
    <w:p>
      <w:pPr>
        <w:spacing w:after="0" w:line="333"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231" w:name="page232"/>
    <w:bookmarkEnd w:id="231"/>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jc w:val="both"/>
        <w:ind w:left="4"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Priority</w:t>
      </w:r>
      <w:r>
        <w:rPr>
          <w:rFonts w:ascii="Arial" w:cs="Arial" w:eastAsia="Arial" w:hAnsi="Arial"/>
          <w:sz w:val="17"/>
          <w:szCs w:val="17"/>
          <w:color w:val="auto"/>
        </w:rPr>
        <w:t>” means, with respect to any Lien purported to be created in any Collateral pursuant to any Security Document, that, subject to the Equal Priority Intercreditor Agreement, such Lien is senior in priority to any other Lien to which such Collateral is subject, other than any Permitted Lien (excluding any Permitted Lien that is expressly subordinated or otherwise required to be junior to such Lien).</w:t>
      </w:r>
    </w:p>
    <w:p>
      <w:pPr>
        <w:spacing w:after="0" w:line="165"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territorial, municipal, national or other government, governmental department, ministry,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thereof, including any supra-national bodies (such as the European Union or the European Central Bank).</w:t>
      </w:r>
    </w:p>
    <w:p>
      <w:pPr>
        <w:spacing w:after="0" w:line="188"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means the Issuer, the Subsidiary Parties, each entity identified as a “Grantor” on the signature pages hereto and the Additional Parties from time to time party hereto.</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has the meaning set forth in the preliminary statement.</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means, collectively, all Copyrights, Patents, Trademarks, Trade Secrets, Domain Names, Licenses and Software.</w:t>
      </w:r>
    </w:p>
    <w:p>
      <w:pPr>
        <w:spacing w:after="0" w:line="170"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means an Intellectual Property Security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Security Agreement.</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has the meaning set forth in the preliminary statement.</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the application of relevant Debtor Relief Laws, general principles of equity and/or principles of good faith and fair dealing.</w:t>
      </w:r>
    </w:p>
    <w:p>
      <w:pPr>
        <w:spacing w:after="0" w:line="170" w:lineRule="exact"/>
        <w:rPr>
          <w:sz w:val="20"/>
          <w:szCs w:val="20"/>
          <w:color w:val="auto"/>
        </w:rPr>
      </w:pPr>
    </w:p>
    <w:p>
      <w:pPr>
        <w:jc w:val="both"/>
        <w:ind w:left="4"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Licenses</w:t>
      </w:r>
      <w:r>
        <w:rPr>
          <w:rFonts w:ascii="Arial" w:cs="Arial" w:eastAsia="Arial" w:hAnsi="Arial"/>
          <w:sz w:val="16"/>
          <w:szCs w:val="16"/>
          <w:color w:val="auto"/>
        </w:rPr>
        <w:t>” means, with respect to any Grantor, all of such Grantor’s right, title, and interest in and to (a) any and all written licensing agreements or similar arrangements, whether as licensor or licensee, in (i) Patents, (ii) Copyrights, (iii) Trademarks, (iv) Trade Secrets, (v) Designs or (vi) Software, (b) all income, royalties, damages, claims, and payments now or hereafter due or payable under and with respect thereto, including damages and payments for past and future breaches thereof and (c) all rights to sue for past, present, and future breaches thereof.</w:t>
      </w:r>
    </w:p>
    <w:p>
      <w:pPr>
        <w:spacing w:after="0" w:line="157"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circumstance or condition that has or would reasonably be expected to materially and adversely affect</w:t>
      </w:r>
    </w:p>
    <w:p>
      <w:pPr>
        <w:spacing w:after="0" w:line="46" w:lineRule="exact"/>
        <w:rPr>
          <w:sz w:val="20"/>
          <w:szCs w:val="20"/>
          <w:color w:val="auto"/>
        </w:rPr>
      </w:pPr>
    </w:p>
    <w:p>
      <w:pPr>
        <w:jc w:val="both"/>
        <w:ind w:left="4" w:hanging="4"/>
        <w:spacing w:after="0" w:line="255" w:lineRule="auto"/>
        <w:tabs>
          <w:tab w:leader="none" w:pos="26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business, results of operations or financial condition, in each case, of the Issuer and its Restricted Subsidiaries, taken as a whole, (b) the rights and remedies of the Notes Collateral Agent and the Holders under the applicable Notes Documents or (c) the ability of the Issuer and the other Grantors (taken as a whole) to perform their payment obligations under the Notes Documents.</w:t>
      </w:r>
    </w:p>
    <w:p>
      <w:pPr>
        <w:spacing w:after="0" w:line="190"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Grantor</w:t>
      </w:r>
      <w:r>
        <w:rPr>
          <w:rFonts w:ascii="Arial" w:cs="Arial" w:eastAsia="Arial" w:hAnsi="Arial"/>
          <w:sz w:val="18"/>
          <w:szCs w:val="18"/>
          <w:color w:val="auto"/>
        </w:rPr>
        <w:t>” means any Grantor owning Pledged Stock of any Mexican Subsidiary Parties; and “Mexican Grantors” means all such Grantors, collectively.</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Parties</w:t>
      </w:r>
      <w:r>
        <w:rPr>
          <w:rFonts w:ascii="Arial" w:cs="Arial" w:eastAsia="Arial" w:hAnsi="Arial"/>
          <w:sz w:val="18"/>
          <w:szCs w:val="18"/>
          <w:color w:val="auto"/>
        </w:rPr>
        <w:t>” means all Mexican Grantors and all Mexican Subsidiary Parties.</w:t>
      </w:r>
    </w:p>
    <w:p>
      <w:pPr>
        <w:spacing w:after="0" w:line="396"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232" w:name="page233"/>
    <w:bookmarkEnd w:id="232"/>
    <w:p>
      <w:pPr>
        <w:jc w:val="both"/>
        <w:ind w:left="4"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Security Agreements</w:t>
      </w:r>
      <w:r>
        <w:rPr>
          <w:rFonts w:ascii="Arial" w:cs="Arial" w:eastAsia="Arial" w:hAnsi="Arial"/>
          <w:sz w:val="18"/>
          <w:szCs w:val="18"/>
          <w:color w:val="auto"/>
        </w:rPr>
        <w:t>” means: (x) the Mexican Equity Interests Pledge Agreements executed from time to time to pledge the Equity Interests of the Mexican Subsidiary Parties in favor of the Notes Collateral Agent or any Common Representative, as applicable, (y) the Mexican Assets Pledge Agreement executed from time to time between the Mexican Subsidiary Parties in favor of the Notes Collateral Agent or any Common Representative, as applicable, and (z) any other security or guarantee agreements executed from time to time by the Mexican Grantors and/or the Mexican Subsidiary Parties under the laws of Mexico, together with all amendments, restatements, supplements and other modifications to any of the foregoing.</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Subsidiary Parties</w:t>
      </w:r>
      <w:r>
        <w:rPr>
          <w:rFonts w:ascii="Arial" w:cs="Arial" w:eastAsia="Arial" w:hAnsi="Arial"/>
          <w:sz w:val="18"/>
          <w:szCs w:val="18"/>
          <w:color w:val="auto"/>
        </w:rPr>
        <w:t>” means any Subsidiary Party organized or incorporated under the laws of Mexico.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w:t>
      </w:r>
      <w:r>
        <w:rPr>
          <w:rFonts w:ascii="Arial" w:cs="Arial" w:eastAsia="Arial" w:hAnsi="Arial"/>
          <w:sz w:val="18"/>
          <w:szCs w:val="18"/>
          <w:color w:val="auto"/>
        </w:rPr>
        <w:t>” has the meaning set forth in Article 1 of the UCC.</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Documents</w:t>
      </w:r>
      <w:r>
        <w:rPr>
          <w:rFonts w:ascii="Arial" w:cs="Arial" w:eastAsia="Arial" w:hAnsi="Arial"/>
          <w:sz w:val="18"/>
          <w:szCs w:val="18"/>
          <w:color w:val="auto"/>
        </w:rPr>
        <w:t>” means the Notes, the Indenture, this Security Agreement, any other Security Documents and any Intercreditor Agreements.</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w:t>
      </w:r>
      <w:r>
        <w:rPr>
          <w:rFonts w:ascii="Arial" w:cs="Arial" w:eastAsia="Arial" w:hAnsi="Arial"/>
          <w:sz w:val="16"/>
          <w:szCs w:val="16"/>
          <w:color w:val="auto"/>
        </w:rPr>
        <w:t>” means the following: (a) any and all patents and patent applications; (b) all inventions or designs described and claimed therein;</w:t>
      </w:r>
    </w:p>
    <w:p>
      <w:pPr>
        <w:spacing w:after="0" w:line="46" w:lineRule="exact"/>
        <w:rPr>
          <w:sz w:val="20"/>
          <w:szCs w:val="20"/>
          <w:color w:val="auto"/>
        </w:rPr>
      </w:pPr>
    </w:p>
    <w:p>
      <w:pPr>
        <w:jc w:val="both"/>
        <w:ind w:left="4" w:hanging="4"/>
        <w:spacing w:after="0" w:line="253" w:lineRule="auto"/>
        <w:tabs>
          <w:tab w:leader="none" w:pos="26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anywhere in the world.</w:t>
      </w:r>
    </w:p>
    <w:p>
      <w:pPr>
        <w:spacing w:after="0" w:line="193"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Requirements</w:t>
      </w:r>
      <w:r>
        <w:rPr>
          <w:rFonts w:ascii="Arial" w:cs="Arial" w:eastAsia="Arial" w:hAnsi="Arial"/>
          <w:sz w:val="17"/>
          <w:szCs w:val="17"/>
          <w:color w:val="auto"/>
        </w:rPr>
        <w:t>” means (a) the filing of appropriate financing statements with the office of the Secretary of State or other appropriate office in the state of organization or other location under Section 9-307 of the UCC of such Grantor, (b) the filing of appropriate assignments or notices with the United States Patent and Trademark Office and/or the United States Copyright Office, as applicable, with respect to registered (and applied for) Patents, Trademarks, Copyrights and exclusive Copyright Licenses (except to the extent any of the foregoing are included in the definition of Excluded Assets), (c) the proper recording or filing, as applicable, of Mortgages and fixture filings (to the extent necessary) with respect to any Material Real Estate Asset (except to the extent expressly not required to be Collateral pursuant to the terms thereof or any Excluded Asset), in each case in favor of the Notes Collateral Agent for the benefit of the Secured Notes Secured Parties, (d) subject to the Equal Priority Intercreditor Agreement, delivery to the Controlling Authorized Representative or, if no such Controlling Authorized Representative exists, then to the Notes Collateral Agent, of any stock certificate or promissory note required to be delivered pursuant to the applicable Notes Documents, together with instruments of transfer executed in blank, (e) the proper recording or filing, as applicable, of Ship Mortgages with respect to tankers or other marine vessels (to the extent required pursuant to Section 4.17 of the Indenture) in favor of the Notes Collateral Agent for the benefit of the Secured Notes Secured Parties and (f) in the case of a Grantor that is not a Domestic Subsidiary (and its Capital Stock) the other actions required by the Security Documents.</w:t>
      </w:r>
    </w:p>
    <w:p>
      <w:pPr>
        <w:spacing w:after="0" w:line="186"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Permits</w:t>
      </w:r>
      <w:r>
        <w:rPr>
          <w:rFonts w:ascii="Arial" w:cs="Arial" w:eastAsia="Arial" w:hAnsi="Arial"/>
          <w:sz w:val="16"/>
          <w:szCs w:val="16"/>
          <w:color w:val="auto"/>
        </w:rPr>
        <w:t>” means all licenses, permits, rights, orders, variances, franchises or authorizations of or from any Governmental Authority 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agency.</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233" w:name="page234"/>
    <w:bookmarkEnd w:id="233"/>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Collateral</w:t>
      </w:r>
      <w:r>
        <w:rPr>
          <w:rFonts w:ascii="Arial" w:cs="Arial" w:eastAsia="Arial" w:hAnsi="Arial"/>
          <w:sz w:val="17"/>
          <w:szCs w:val="17"/>
          <w:color w:val="auto"/>
        </w:rPr>
        <w:t>” means all Pledged Stock, including all Stock Rights, all stock (or equivalent) certificates, options or rights of any nature whatsoever in respect of the Pledged Stock that may be issued or granted to, or held by, any Grantor, and all Instruments, Securities and other Investment Property owned by any Grantor, whether or not physically delivered to the Notes Collateral Agent pursuant to this Security Agreement, in each case whether now owned or hereafter acquired by such Grantor and any and all Proceeds thereof.</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means, with respect to any Grantor, the Capital Stock owned by such Grantor, including, as of the Issue Date, the Capital Stock described in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the Cumulative Perfection Certificate as held by such Grantor, together with any other Capital Stock as are hereafter acquired by such Grantor but excluding the Excluded Assets.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the meaning assigned in Article 9 of the UCC and, in any event, shall also include but not be limited to (a) any and all proceeds of any insurance, indemnity, warranty or guaranty payable to the Notes Collateral Agent or any Grantor from time to time with respect to any of the Collateral, (b) any and all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(c) any and all Stock Rights and (d) any and all other amounts from time to time paid or payable under or in connection with any of the Collateral.</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Account, Chattel Paper, Document, Investment Property, Instrument and/or General Intangible, in each case, that is a right or claim to receive money and is included as Collateral (whether or not earned by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“Securities” shall not include any earn-out agreement or obligation or any employee bonus or other incentive compensation plan or agreement.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computer programs, object code, source code and supporting documentation, including, without limitation, “software” as such term is defined in the UCC as in effect on the date hereof in the State of New York and computer programs that may be construed as included in the definition of “goods” in the UCC as in effect on the date hereof in the State of New York.</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all dividends, cash, options, warrants,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any Capital Stock constituting Collateral and any right to receive earnings, in which such Grantor now has or hereafter acquires any right, issued by an issuer of such Capital Stock.</w:t>
      </w:r>
    </w:p>
    <w:p>
      <w:pPr>
        <w:spacing w:after="0" w:line="358"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234" w:name="page235"/>
    <w:bookmarkEnd w:id="234"/>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Parties</w:t>
      </w:r>
      <w:r>
        <w:rPr>
          <w:rFonts w:ascii="Arial" w:cs="Arial" w:eastAsia="Arial" w:hAnsi="Arial"/>
          <w:sz w:val="18"/>
          <w:szCs w:val="18"/>
          <w:color w:val="auto"/>
        </w:rPr>
        <w:t xml:space="preserve">” means (a) the subsidiaries of the Issuer party hereto on the Issue Date and (b) each Subsidiary that becomes a party to this Security Agreement after the date hereof in accordance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 and the Indenture.</w:t>
      </w:r>
    </w:p>
    <w:p>
      <w:pPr>
        <w:spacing w:after="0" w:line="170"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dilutions or violations thereof; (d) all rights to sue for past, present, and future infringements, dilutions or violations of the foregoing, including the right to settle suits involving claims and demands for royalties owing; and (e) all rights corresponding to any of the foregoing anywhere in the world.</w:t>
      </w:r>
    </w:p>
    <w:p>
      <w:pPr>
        <w:spacing w:after="0" w:line="19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in effect from time to time in the State of New York; provided, however,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enacted and in effect in such other jurisdiction solely for purposes of the provisions hereof relating to such perfection, priority or remedies.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Applicable provisions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of the Indenture, but, for the avoidance of doubt, excluding Sections 1.04(i) and (j), are incorporated by reference herein as if such Section were set forth herein in its entirety,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SECURITY INTEREST</w:t>
      </w:r>
    </w:p>
    <w:p>
      <w:pPr>
        <w:spacing w:after="0" w:line="21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Grant of Security Interest</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7" w:lineRule="auto"/>
        <w:tabs>
          <w:tab w:leader="none" w:pos="132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As security for the prompt and complete payment or performance, as the case may be, in full of the Secured Notes Obligations, each Grantor hereby pledges, collaterally assigns, mortgages, transfers and grants to the Notes Collateral Agent, its successors and permitted assigns, for the benefit of the Secured Notes Secured Parties, a continuing security interest in all of its right in, and title and interest to and under, all of the following personal property and other assets, whether now owned by or owing to, or hereafter acquired by or arising in favor of, such Grantor, and regardless of where located (all of which are collectively referred to as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960" w:hanging="656"/>
        <w:spacing w:after="0"/>
        <w:tabs>
          <w:tab w:leader="none" w:pos="19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all Chattel Paper (including all Tangible Chattel Paper and all Electronic Chattel Paper);</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all Intellectual Property Collateral;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5" w:name="page236"/>
    <w:bookmarkEnd w:id="235"/>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Investment Property, Pledged Stock and other Pledged Collateral;</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letters of credit and Letter-of-Credit Rights;</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Security Entitlements in any or all of the foregoing;</w:t>
      </w:r>
    </w:p>
    <w:p>
      <w:pPr>
        <w:spacing w:after="0" w:line="225" w:lineRule="exact"/>
        <w:rPr>
          <w:rFonts w:ascii="Arial" w:cs="Arial" w:eastAsia="Arial" w:hAnsi="Arial"/>
          <w:sz w:val="18"/>
          <w:szCs w:val="18"/>
          <w:color w:val="auto"/>
        </w:rPr>
      </w:pPr>
    </w:p>
    <w:p>
      <w:pPr>
        <w:ind w:left="660" w:firstLine="644"/>
        <w:spacing w:after="0" w:line="277" w:lineRule="auto"/>
        <w:tabs>
          <w:tab w:leader="none" w:pos="195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all Commercial Tort Claims described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to the Cumulative Perfection Certificate (including any supplements to such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delivered pursuant to </w:t>
      </w:r>
      <w:r>
        <w:rPr>
          <w:rFonts w:ascii="Arial" w:cs="Arial" w:eastAsia="Arial" w:hAnsi="Arial"/>
          <w:sz w:val="18"/>
          <w:szCs w:val="18"/>
          <w:u w:val="single" w:color="auto"/>
          <w:color w:val="auto"/>
        </w:rPr>
        <w:t>Section 4.04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Contracts, together with all Contract Rights arising thereunder;</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Supporting Obligations; and</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99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accessions to, substitutions and replacements for and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 and all collateral security and guarantees given by any Person with respect to any of the foregoing.</w:t>
      </w:r>
    </w:p>
    <w:p>
      <w:pPr>
        <w:spacing w:after="0" w:line="186" w:lineRule="exact"/>
        <w:rPr>
          <w:rFonts w:ascii="Arial" w:cs="Arial" w:eastAsia="Arial" w:hAnsi="Arial"/>
          <w:sz w:val="18"/>
          <w:szCs w:val="18"/>
          <w:color w:val="auto"/>
        </w:rPr>
      </w:pPr>
    </w:p>
    <w:p>
      <w:pPr>
        <w:jc w:val="both"/>
        <w:ind w:firstLine="656"/>
        <w:spacing w:after="0" w:line="290" w:lineRule="auto"/>
        <w:tabs>
          <w:tab w:leader="none" w:pos="130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term “Collateral” (and any component definition thereof) shall not include any Excluded Asset. Notwithstanding anything to the contrary contained herein, if any personal property or asset of a Grantor constitutes an Excluded Asset at any time and thereafter such property or asset ceases to constitute an Excluded Asset (whether as a result of the ineffectiveness, lapse or termination of any restriction or condition set forth in the definition of “Excluded Assets” in the Indenture or otherwise), then, if such property or asset would constitute Collateral under any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2.01(a)</w:t>
      </w:r>
      <w:r>
        <w:rPr>
          <w:rFonts w:ascii="Arial" w:cs="Arial" w:eastAsia="Arial" w:hAnsi="Arial"/>
          <w:sz w:val="16"/>
          <w:szCs w:val="16"/>
          <w:color w:val="auto"/>
        </w:rPr>
        <w:t>, immediately upon such cessation the Collateral shall include, and the relevant Grantor shall be deemed to have automatically granted a security interest in, all such property or asset previously constituting an Excluded Asset, as if such property or asset had never been an Excluded Asset. For the avoidance of doubt, “Excluded Assets” shall not include any proceeds, products, substitutions or replacements of Excluded Assets (unless such proceeds, products, substitutions or replacements would otherwise constitute Excluded Assets).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Grantors, jointly and severally, represent and warrant to the Notes Collateral Agent, for the benefit of the Secured Notes Secured Parties, that:</w:t>
      </w:r>
    </w:p>
    <w:p>
      <w:pPr>
        <w:spacing w:after="0" w:line="248"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i w:val="1"/>
          <w:iCs w:val="1"/>
          <w:color w:val="auto"/>
        </w:rPr>
        <w:t>Title, Perfection and Priority; Filing Collateral</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301" w:lineRule="auto"/>
        <w:tabs>
          <w:tab w:leader="none" w:pos="123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This Security Agreement creates a legal, valid and, subject to the Legal Reservations, enforceable Lien on all of the Collateral in favor of the Notes Collateral Agent for the benefit of itself and the other Secured Notes Secured Parties and, upon the satisfaction of the applicable Perfection Requirements subject, as of the Issue Date, to the terms of </w:t>
      </w:r>
      <w:r>
        <w:rPr>
          <w:rFonts w:ascii="Arial" w:cs="Arial" w:eastAsia="Arial" w:hAnsi="Arial"/>
          <w:sz w:val="16"/>
          <w:szCs w:val="16"/>
          <w:u w:val="single" w:color="auto"/>
          <w:color w:val="auto"/>
        </w:rPr>
        <w:t>Section 4.01</w:t>
      </w:r>
      <w:r>
        <w:rPr>
          <w:rFonts w:ascii="Arial" w:cs="Arial" w:eastAsia="Arial" w:hAnsi="Arial"/>
          <w:sz w:val="16"/>
          <w:szCs w:val="16"/>
          <w:color w:val="auto"/>
        </w:rPr>
        <w:t>, such Liens constitute perfected First Priority Liens on the Collateral securing the Secured Notes Obligations, to the extent perfection may be accomplished by the taking of the actions described in the Perfection Requirements.</w:t>
      </w:r>
    </w:p>
    <w:p>
      <w:pPr>
        <w:spacing w:after="0" w:line="157" w:lineRule="exact"/>
        <w:rPr>
          <w:rFonts w:ascii="Arial" w:cs="Arial" w:eastAsia="Arial" w:hAnsi="Arial"/>
          <w:sz w:val="16"/>
          <w:szCs w:val="16"/>
          <w:color w:val="auto"/>
        </w:rPr>
      </w:pPr>
    </w:p>
    <w:p>
      <w:pPr>
        <w:jc w:val="both"/>
        <w:ind w:firstLine="656"/>
        <w:spacing w:after="0" w:line="263" w:lineRule="auto"/>
        <w:tabs>
          <w:tab w:leader="none" w:pos="12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Grantor (i) is the owner of all of its Collateral free and clear from any Lien or other right, title or interest of any Person (other than a Permitted Lien and/or any such other right, title or interest that is permitted or not prohibited by the terms of the Indenture) or (ii) has the power to transfer rights in the Collateral to the Notes Collateral Agent.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Intellectual Property</w:t>
      </w:r>
      <w:r>
        <w:rPr>
          <w:rFonts w:ascii="Arial" w:cs="Arial" w:eastAsia="Arial" w:hAnsi="Arial"/>
          <w:sz w:val="18"/>
          <w:szCs w:val="18"/>
          <w:color w:val="auto"/>
        </w:rPr>
        <w:t>. Upon (i) filing of appropriate financing statements with the Secretary of State (or equivalent office) of the state of organization of such Grantor or other location under Section 9-307 of the UCC of such Grantor and the filing of the Intellectual Property Security Agreements with the United States Patent and Trademark Office and (ii) filing of the Intellectual Property Security Agreements with the United States Copyright Office, as applicable, the Notes Collateral Agent shall have a fully perfected First Priority Lien on the Collateral consisting of United States issued, registered or applied for Patents, Trademarks and Copyrights and exclusive Copyright Licenses, as applicable, under the UCC and the laws of the United States for the benefit of the Secured Notes Secured Parties, and such perfected security interests shall be enforceable as such as against any and all creditors of and purchasers from the Grantors, subject to the Legal Reservations. No Grantor shall be required to complete any filings or take any other action with respect to the perfection of the security interests created hereby in Intellectual Property Collateral in any jurisdiction outside of the United States.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Pledged Stock</w:t>
      </w:r>
      <w:r>
        <w:rPr>
          <w:rFonts w:ascii="Arial" w:cs="Arial" w:eastAsia="Arial" w:hAnsi="Arial"/>
          <w:sz w:val="18"/>
          <w:szCs w:val="18"/>
          <w:color w:val="auto"/>
        </w:rPr>
        <w:t xml:space="preserve">. (i) All Pledged Stock has been duly authorized and validly issued (to the extent such concepts are relevant with respect to such Pledged Stock) by the issuer thereof and is fully paid and non-assessable, (ii) as of the date of the most recently delivered Cumulative Perfection Certificate, each Grantor is the direct owner, beneficially and of record, of the Pledged Stock described in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such Cumulative Perfection Certificate as held by such Grantor and (iii) as of the date of the most recently delivered Cumulative Perfection Certificate, each Grantor holds the Pledged Stock described in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such Cumulative Perfection Certificate as held by such Grantor free and clear of all Liens (other than Permitted Liens).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Perfection Certificate</w:t>
      </w:r>
      <w:r>
        <w:rPr>
          <w:rFonts w:ascii="Arial" w:cs="Arial" w:eastAsia="Arial" w:hAnsi="Arial"/>
          <w:sz w:val="18"/>
          <w:szCs w:val="18"/>
          <w:color w:val="auto"/>
        </w:rPr>
        <w:t>. The Cumulative Perfection Certificate has been duly prepared, completed and executed and the certifications set forth therein are true and correct in all material respects as of the date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date hereof, and thereafter until the Secured Notes Obligations (other than contingent indemnification obligations for which no claim or demand has been made) shall have been paid in full: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7" w:name="page238"/>
    <w:bookmarkEnd w:id="237"/>
    <w:p>
      <w:pPr>
        <w:ind w:left="660"/>
        <w:spacing w:after="0"/>
        <w:tabs>
          <w:tab w:leader="none" w:pos="25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General</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7" w:lineRule="auto"/>
        <w:tabs>
          <w:tab w:leader="none" w:pos="1297"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Authorization to File Financing Statements; Ratification</w:t>
      </w:r>
      <w:r>
        <w:rPr>
          <w:rFonts w:ascii="Arial" w:cs="Arial" w:eastAsia="Arial" w:hAnsi="Arial"/>
          <w:sz w:val="17"/>
          <w:szCs w:val="17"/>
          <w:color w:val="auto"/>
        </w:rPr>
        <w:t>. Each Grantor hereby (i) authorizes the Notes Collateral Agent to file (A)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financing statements (including Transmitting Utility filings) and amendments thereto with respect to the Collateral naming such Grantor as debtor and the Notes Collateral Agent as secured party, in form appropriate for filing under the UCC of the relevant jurisdiction and (B) filings with the United States Patent and Trademark Office and the United States Copyright Office (including any Intellectual Property Security Agreement executed by the relevant Grantor) as may be necessary or advisable for the purpose of perfecting, enforcing, maintaining or protecting the Lien of the Notes Collateral Agent in United States issued, registered and applied for Patents, Trademarks and Copyrights and exclusive Copyright Licenses contained in the Collateral and naming such Grantor as debtor and the Notes Collateral Agent as secured party and, (ii) subject to the terms of the Notes Documents (including the limitations set forth in </w:t>
      </w:r>
      <w:r>
        <w:rPr>
          <w:rFonts w:ascii="Arial" w:cs="Arial" w:eastAsia="Arial" w:hAnsi="Arial"/>
          <w:sz w:val="17"/>
          <w:szCs w:val="17"/>
          <w:u w:val="single" w:color="auto"/>
          <w:color w:val="auto"/>
        </w:rPr>
        <w:t>Section 12.07</w:t>
      </w:r>
      <w:r>
        <w:rPr>
          <w:rFonts w:ascii="Arial" w:cs="Arial" w:eastAsia="Arial" w:hAnsi="Arial"/>
          <w:sz w:val="17"/>
          <w:szCs w:val="17"/>
          <w:color w:val="auto"/>
        </w:rPr>
        <w:t xml:space="preserve"> of the Indenture) agrees to take such other actions, in each case described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as may from time to time be necessary and/or reasonably requested by the Notes Collateral Agent (and authorizes the Notes Collateral Agent to take any such other actions, consistent with and limited to the Perfection Requirements, which it has no obligation to take) in order to establish and maintain a First Priority, valid, enforceable (subject to the Legal Reservations) and perfected security interest in and subject, in the case of Pledged Collateral, to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hereof and </w:t>
      </w:r>
      <w:r>
        <w:rPr>
          <w:rFonts w:ascii="Arial" w:cs="Arial" w:eastAsia="Arial" w:hAnsi="Arial"/>
          <w:sz w:val="17"/>
          <w:szCs w:val="17"/>
          <w:u w:val="single" w:color="auto"/>
          <w:color w:val="auto"/>
        </w:rPr>
        <w:t>Section 12.07</w:t>
      </w:r>
      <w:r>
        <w:rPr>
          <w:rFonts w:ascii="Arial" w:cs="Arial" w:eastAsia="Arial" w:hAnsi="Arial"/>
          <w:sz w:val="17"/>
          <w:szCs w:val="17"/>
          <w:color w:val="auto"/>
        </w:rPr>
        <w:t xml:space="preserve"> of the Indenture, Control of, the Collateral, including filing, with written notice to the Notes Collateral Agent, all UCC continuation statements or amendments as may be required by Article 9 of the UCC of each applicable jurisdiction to continue the perfection of the security interest created, or intended to be created, by this Agreement in the Collateral as a perfected security interest. Each Grantor shall pay any applicable filing fees, recordation fees and related reasonable expenses relating to its Collateral in accordance with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of the Indenture. Any financing statement (including Transmitting Utility filings) filed by the Grantors may be filed in any filing office in any applicable UCC jurisdiction and may (i) indicate the Collateral (A) as all assets of the applicable Grantor now existing or hereafter acquired or words of similar effect, regardless of whether any particular asset comprised in the Collateral falls within the scope of Article 9 of the UCC of such jurisdiction, or (B) by any other description which reasonably approximates the description contained in this Security Agreement and (ii) contain any other information required by part 5 of Article 9 of the UCC for the sufficiency or filing office acceptance of any financing statement or amendment. Each Grantor agrees to furnish any such information to the Notes Collateral Agent promptly upon request.</w:t>
      </w:r>
    </w:p>
    <w:p>
      <w:pPr>
        <w:spacing w:after="0" w:line="185" w:lineRule="exact"/>
        <w:rPr>
          <w:rFonts w:ascii="Arial" w:cs="Arial" w:eastAsia="Arial" w:hAnsi="Arial"/>
          <w:sz w:val="17"/>
          <w:szCs w:val="17"/>
          <w:color w:val="auto"/>
        </w:rPr>
      </w:pPr>
    </w:p>
    <w:p>
      <w:pPr>
        <w:jc w:val="both"/>
        <w:ind w:firstLine="656"/>
        <w:spacing w:after="0" w:line="270" w:lineRule="auto"/>
        <w:tabs>
          <w:tab w:leader="none" w:pos="1316"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Subject to the Equal Priority Intercreditor Agreement, each Grantor agrees, at its own expense, to take any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reasonably necessary to defend title to the Collateral against all Persons (other than Persons holding Permitted Liens on such Collateral that have priority over the Notes Collateral Agent’s Lien) and to defend the security interest of the Notes Collateral Agent in the Collateral and the priority thereof against any Lien that is not a Permitted Lien. Notwithstanding the foregoing, each Grantor may to the extent permitted by the Indenture, as part of its ordinary course of business substantially consistent with past practice, grant licenses to third parties to use Intellectual Property Collateral owned, licensed or developed by a Grantor; for the purposes of this Security Agreement, such licensing activity shall not constitute a Lien on such Intellectual Property Collateral. The Notes Collateral Agent and each other Secured Notes Secured Party understands that any such license may be exclusive to the applicable licensees, and such exclusivity provisions may limit the ability of the Notes Collateral Agent to utilize, sell, lease or transfer the related Intellectual Property or otherwise realize value from such Intellectual Property pursuant hereto.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8" w:name="page239"/>
    <w:bookmarkEnd w:id="238"/>
    <w:p>
      <w:pPr>
        <w:ind w:left="660"/>
        <w:spacing w:after="0"/>
        <w:tabs>
          <w:tab w:leader="none" w:pos="25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Pledged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383" w:val="left"/>
        </w:tabs>
        <w:numPr>
          <w:ilvl w:val="0"/>
          <w:numId w:val="289"/>
        </w:numPr>
        <w:rPr>
          <w:rFonts w:ascii="Arial" w:cs="Arial" w:eastAsia="Arial" w:hAnsi="Arial"/>
          <w:sz w:val="16"/>
          <w:szCs w:val="16"/>
          <w:color w:val="auto"/>
        </w:rPr>
      </w:pPr>
      <w:r>
        <w:rPr>
          <w:rFonts w:ascii="Arial" w:cs="Arial" w:eastAsia="Arial" w:hAnsi="Arial"/>
          <w:sz w:val="16"/>
          <w:szCs w:val="16"/>
          <w:i w:val="1"/>
          <w:iCs w:val="1"/>
          <w:color w:val="auto"/>
        </w:rPr>
        <w:t>Delivery of Certificated Securities, Tangible Chattel Paper, Instruments and Documents</w:t>
      </w:r>
      <w:r>
        <w:rPr>
          <w:rFonts w:ascii="Arial" w:cs="Arial" w:eastAsia="Arial" w:hAnsi="Arial"/>
          <w:sz w:val="16"/>
          <w:szCs w:val="16"/>
          <w:color w:val="auto"/>
        </w:rPr>
        <w:t>. Subject to the terms of the Equal Priority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Intercreditor Agreement, each Grantor will (i) with respect to any certificated Securities (other than Securities issued by Foreign Subsidiaries) representing or evidencing Pledged Collateral and Tangible Chattel Paper and Instruments described in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below, held by the Grantors on the Issue Date, subject to the Equal Priority Intercreditor Agreement and </w:t>
      </w:r>
      <w:r>
        <w:rPr>
          <w:rFonts w:ascii="Arial" w:cs="Arial" w:eastAsia="Arial" w:hAnsi="Arial"/>
          <w:sz w:val="16"/>
          <w:szCs w:val="16"/>
          <w:u w:val="single" w:color="auto"/>
          <w:color w:val="auto"/>
        </w:rPr>
        <w:t>Sections 12.01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12.07</w:t>
      </w:r>
      <w:r>
        <w:rPr>
          <w:rFonts w:ascii="Arial" w:cs="Arial" w:eastAsia="Arial" w:hAnsi="Arial"/>
          <w:sz w:val="16"/>
          <w:szCs w:val="16"/>
          <w:color w:val="auto"/>
        </w:rPr>
        <w:t xml:space="preserve"> of the Indenture, deliver to the Controlling Authorized Representative or, if no such Controlling Authorized Representative exists, then to Notes Collateral Agent, for the benefit of the Secured Notes Secured Parties such certificated Securities, Tangible Chattel Paper and Instruments on the Issue Date (or such longer period as the Notes Collateral Agent may reasonably agree), accompanied by undated instruments of transfer or assignment duly executed in blank and (ii) after the Issue Date, hold in trust for the Notes Collateral Agent upon receipt and (x) if the event giving rise to the obligation under this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occurs during the first three fiscal quarters of any fiscal year of the Issuer, on or before the date on which financial statements are required to be delivered pursuant to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of the Indenture for the fiscal quarter in which the relevant event occurred or (y) if the event giving rise to the obligation under this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occurs during the fourth fiscal quarter of any fiscal year of the Issuer, on or before the date that is 60 days after the end of such fiscal quarter (or, in each of the cases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such longer period as the Notes Collateral Agent may reasonably agree), subject to the Equal Priority Intercreditor Agreement, deliver to the Controlling Authorized Representative or, if no such Controlling Authorized Representative exists, then to the Notes Collateral Agent, for the benefit of the Secured Notes Secured Parties any (1) certificated Securities representing or evidencing Pledged Collateral and (2) Tangible Chattel Paper and Instruments, (A) in each case under this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having an outstanding balance in excess of $40,000,000, and (B) in each case under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constituting Collateral received after the date hereof, accompanied by undated instruments of transfer or assignment duly executed in blank.</w:t>
      </w:r>
    </w:p>
    <w:p>
      <w:pPr>
        <w:spacing w:after="0" w:line="176" w:lineRule="exact"/>
        <w:rPr>
          <w:rFonts w:ascii="Arial" w:cs="Arial" w:eastAsia="Arial" w:hAnsi="Arial"/>
          <w:sz w:val="16"/>
          <w:szCs w:val="16"/>
          <w:color w:val="auto"/>
        </w:rPr>
      </w:pPr>
    </w:p>
    <w:p>
      <w:pPr>
        <w:jc w:val="both"/>
        <w:ind w:firstLine="656"/>
        <w:spacing w:after="0" w:line="270" w:lineRule="auto"/>
        <w:tabs>
          <w:tab w:leader="none" w:pos="1172" w:val="left"/>
        </w:tabs>
        <w:numPr>
          <w:ilvl w:val="0"/>
          <w:numId w:val="289"/>
        </w:numPr>
        <w:rPr>
          <w:rFonts w:ascii="Arial" w:cs="Arial" w:eastAsia="Arial" w:hAnsi="Arial"/>
          <w:sz w:val="17"/>
          <w:szCs w:val="17"/>
          <w:color w:val="auto"/>
        </w:rPr>
      </w:pPr>
      <w:r>
        <w:rPr>
          <w:rFonts w:ascii="Arial" w:cs="Arial" w:eastAsia="Arial" w:hAnsi="Arial"/>
          <w:sz w:val="17"/>
          <w:szCs w:val="17"/>
          <w:i w:val="1"/>
          <w:iCs w:val="1"/>
          <w:color w:val="auto"/>
        </w:rPr>
        <w:t>Uncertificated Securities and Pledged Collateral</w:t>
      </w:r>
      <w:r>
        <w:rPr>
          <w:rFonts w:ascii="Arial" w:cs="Arial" w:eastAsia="Arial" w:hAnsi="Arial"/>
          <w:sz w:val="17"/>
          <w:szCs w:val="17"/>
          <w:color w:val="auto"/>
        </w:rPr>
        <w:t>. With respect to any partnership interest or limited liability company interest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Capital Stock owned by any Grantor which is required to be pledged to the Notes Collateral Agent pursuant to the terms hereof (other than a partnership interest or limited liability company interest held by a Clearing Corporation, Securities Intermediary or other financial intermediary of any kind) or any other Capital Stock which is not represented by a certificate, such Grantor shall not permit any issuer of such partnership interest, limited liability company interest or any other Capital Stock to (i) enter into any agreement with any Person, other than the Notes Collateral Agent or any holder of a Permitted Lien to the extent such Permitted Lien has priority over the Notes Collateral Agent’s Lien, whereby such issuer effectively delivers “control” of such partnership interest, limited liability company interest or other Capital Stock (as applicable) under the UCC to such Person or (ii) allow such partnership interest, limited liability company interest or any other Capital Stock that is not already a Security to become a Security unless such Grantor complies with the procedures set forth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within the time period prescribed therein.</w:t>
      </w:r>
    </w:p>
    <w:p>
      <w:pPr>
        <w:spacing w:after="0" w:line="180" w:lineRule="exact"/>
        <w:rPr>
          <w:rFonts w:ascii="Arial" w:cs="Arial" w:eastAsia="Arial" w:hAnsi="Arial"/>
          <w:sz w:val="17"/>
          <w:szCs w:val="17"/>
          <w:color w:val="auto"/>
        </w:rPr>
      </w:pPr>
    </w:p>
    <w:p>
      <w:pPr>
        <w:jc w:val="both"/>
        <w:ind w:firstLine="656"/>
        <w:spacing w:after="0" w:line="291" w:lineRule="auto"/>
        <w:tabs>
          <w:tab w:leader="none" w:pos="1378" w:val="left"/>
        </w:tabs>
        <w:numPr>
          <w:ilvl w:val="0"/>
          <w:numId w:val="289"/>
        </w:numPr>
        <w:rPr>
          <w:rFonts w:ascii="Arial" w:cs="Arial" w:eastAsia="Arial" w:hAnsi="Arial"/>
          <w:sz w:val="16"/>
          <w:szCs w:val="16"/>
          <w:color w:val="auto"/>
        </w:rPr>
      </w:pPr>
      <w:r>
        <w:rPr>
          <w:rFonts w:ascii="Arial" w:cs="Arial" w:eastAsia="Arial" w:hAnsi="Arial"/>
          <w:sz w:val="16"/>
          <w:szCs w:val="16"/>
          <w:i w:val="1"/>
          <w:iCs w:val="1"/>
          <w:color w:val="auto"/>
        </w:rPr>
        <w:t>Registration in Nominee Name; Denominations</w:t>
      </w:r>
      <w:r>
        <w:rPr>
          <w:rFonts w:ascii="Arial" w:cs="Arial" w:eastAsia="Arial" w:hAnsi="Arial"/>
          <w:sz w:val="16"/>
          <w:szCs w:val="16"/>
          <w:color w:val="auto"/>
        </w:rPr>
        <w:t>. Subject to the Equal Priority Intercreditor Agreement, the Notes Collateral Agent,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behalf of the Secured Notes Secured Parties, shall hold certificated Pledged Collateral required to be delivered to the Notes Collateral Agent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in the name of the applicable Grantor, endorsed or assigned in blank or in favor of the Notes Collateral Agent, but at any time when an Event of Default exists and is continuing and upon at least three (3) Business Days’ prior written notice to the Issuer, the Notes Collateral Agent shall have the right (in its sole and absolute discretion) to hold the Pledged Collateral in its own name as pledgee, or in the name of its nominee (as pledgee or as sub-agent). At any time when an Event of Default exists, the Notes Collateral Agent shall have the right to exchange the certificates representing Pledged Collateral for certificates of smaller or larger denominations for any purpose consistent with this Security Agreement.</w:t>
      </w:r>
    </w:p>
    <w:p>
      <w:pPr>
        <w:spacing w:after="0" w:line="166" w:lineRule="exact"/>
        <w:rPr>
          <w:rFonts w:ascii="Arial" w:cs="Arial" w:eastAsia="Arial" w:hAnsi="Arial"/>
          <w:sz w:val="16"/>
          <w:szCs w:val="16"/>
          <w:color w:val="auto"/>
        </w:rPr>
      </w:pPr>
    </w:p>
    <w:p>
      <w:pPr>
        <w:ind w:left="1280" w:hanging="624"/>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i w:val="1"/>
          <w:iCs w:val="1"/>
          <w:color w:val="auto"/>
        </w:rPr>
        <w:t>Exercise of Rights in Pledged Collateral</w:t>
      </w:r>
      <w:r>
        <w:rPr>
          <w:rFonts w:ascii="Arial" w:cs="Arial" w:eastAsia="Arial" w:hAnsi="Arial"/>
          <w:sz w:val="18"/>
          <w:szCs w:val="18"/>
          <w:color w:val="auto"/>
        </w:rPr>
        <w:t>. It is agreed that: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92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without in any way limiting the foregoing and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each Grantor shall have the right to exercise all voting rights or other rights relating to the Pledged Collateral for any purpose that does not violate this Security Agreement, the Indenture or any other Notes Document;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9" w:name="page240"/>
    <w:bookmarkEnd w:id="239"/>
    <w:p>
      <w:pPr>
        <w:jc w:val="both"/>
        <w:ind w:left="640" w:firstLine="644"/>
        <w:spacing w:after="0" w:line="263" w:lineRule="auto"/>
        <w:tabs>
          <w:tab w:leader="none" w:pos="188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each Grantor will permit the Notes Collateral Agent or its nominee at any time when an Event of Default exists and is continuing to exercise the rights and remedies provided under </w:t>
      </w:r>
      <w:r>
        <w:rPr>
          <w:rFonts w:ascii="Arial" w:cs="Arial" w:eastAsia="Arial" w:hAnsi="Arial"/>
          <w:sz w:val="18"/>
          <w:szCs w:val="18"/>
          <w:u w:val="single" w:color="auto"/>
          <w:color w:val="auto"/>
        </w:rPr>
        <w:t>Section 5.01(a)(iv)</w:t>
      </w:r>
      <w:r>
        <w:rPr>
          <w:rFonts w:ascii="Arial" w:cs="Arial" w:eastAsia="Arial" w:hAnsi="Arial"/>
          <w:sz w:val="18"/>
          <w:szCs w:val="18"/>
          <w:color w:val="auto"/>
        </w:rPr>
        <w:t xml:space="preserve"> (subject to the notice requirements set forth therein and applicable Requirements of Law); and</w:t>
      </w:r>
    </w:p>
    <w:p>
      <w:pPr>
        <w:spacing w:after="0" w:line="183" w:lineRule="exact"/>
        <w:rPr>
          <w:rFonts w:ascii="Arial" w:cs="Arial" w:eastAsia="Arial" w:hAnsi="Arial"/>
          <w:sz w:val="18"/>
          <w:szCs w:val="18"/>
          <w:color w:val="auto"/>
        </w:rPr>
      </w:pPr>
    </w:p>
    <w:p>
      <w:pPr>
        <w:jc w:val="both"/>
        <w:ind w:left="640" w:firstLine="644"/>
        <w:spacing w:after="0" w:line="271" w:lineRule="auto"/>
        <w:tabs>
          <w:tab w:leader="none" w:pos="195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5.01(a)(iv)</w:t>
      </w:r>
      <w:r>
        <w:rPr>
          <w:rFonts w:ascii="Arial" w:cs="Arial" w:eastAsia="Arial" w:hAnsi="Arial"/>
          <w:sz w:val="17"/>
          <w:szCs w:val="17"/>
          <w:color w:val="auto"/>
        </w:rPr>
        <w:t xml:space="preserve">, each Grantor shall be entitled to receive and retain any and all dividends, interest, principal and other distributions paid on or distributed in respect of the Pledged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non-cash dividends or other distributions that would constitute Pledged Collateral, whether resulting from a subdivision, combination or reclassification of the outstanding Capital Stock of the issuer of any Pledged Collateral or received in exchange for Pledged Collateral or any part thereof, or in redemption thereof, or as a result of any merger, consolidation, acquisition or other exchange of assets to which such issuer may be a party or otherwise, shall, to the extent constituting Collateral, be and become part of the Pledged Collateral, and, if received by any Grantor, subject to the Equal Priority Intercreditor Agreement, shall be delivered to the Controlling Authorized Representative or, if no such Controlling Authorized Representative exists, then to the Notes Collateral Agent, as and to the extent required by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178" w:lineRule="exact"/>
        <w:rPr>
          <w:sz w:val="20"/>
          <w:szCs w:val="20"/>
          <w:color w:val="auto"/>
        </w:rPr>
      </w:pPr>
    </w:p>
    <w:p>
      <w:pPr>
        <w:ind w:left="-20" w:right="100" w:firstLine="656"/>
        <w:spacing w:after="0" w:line="279" w:lineRule="auto"/>
        <w:tabs>
          <w:tab w:leader="none" w:pos="1277" w:val="left"/>
        </w:tabs>
        <w:numPr>
          <w:ilvl w:val="0"/>
          <w:numId w:val="291"/>
        </w:numPr>
        <w:rPr>
          <w:rFonts w:ascii="Arial" w:cs="Arial" w:eastAsia="Arial" w:hAnsi="Arial"/>
          <w:sz w:val="17"/>
          <w:szCs w:val="17"/>
          <w:color w:val="auto"/>
        </w:rPr>
      </w:pPr>
      <w:r>
        <w:rPr>
          <w:rFonts w:ascii="Arial" w:cs="Arial" w:eastAsia="Arial" w:hAnsi="Arial"/>
          <w:sz w:val="17"/>
          <w:szCs w:val="17"/>
          <w:i w:val="1"/>
          <w:iCs w:val="1"/>
          <w:color w:val="auto"/>
        </w:rPr>
        <w:t>Return of Pledged Collateral</w:t>
      </w:r>
      <w:r>
        <w:rPr>
          <w:rFonts w:ascii="Arial" w:cs="Arial" w:eastAsia="Arial" w:hAnsi="Arial"/>
          <w:sz w:val="17"/>
          <w:szCs w:val="17"/>
          <w:color w:val="auto"/>
        </w:rPr>
        <w:t>. Subject to the terms of the Equal Priority Intercreditor Agreement, so long as no Event of Default then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exists, the Notes Collateral Agent shall promptly deliver to the applicable Grantor (without recourse and without any representation or warranty) any Pledged Collateral in its possession if requested to be delivered to the issuer or holder thereof in connection with any action or transaction that is permitted or not restricted by the Indenture in accordance with </w:t>
      </w:r>
      <w:r>
        <w:rPr>
          <w:rFonts w:ascii="Arial" w:cs="Arial" w:eastAsia="Arial" w:hAnsi="Arial"/>
          <w:sz w:val="17"/>
          <w:szCs w:val="17"/>
          <w:u w:val="single" w:color="auto"/>
          <w:color w:val="auto"/>
        </w:rPr>
        <w:t>Sections 12.02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12.08</w:t>
      </w:r>
      <w:r>
        <w:rPr>
          <w:rFonts w:ascii="Arial" w:cs="Arial" w:eastAsia="Arial" w:hAnsi="Arial"/>
          <w:sz w:val="17"/>
          <w:szCs w:val="17"/>
          <w:color w:val="auto"/>
        </w:rPr>
        <w:t xml:space="preserve"> of the Indenture.</w:t>
      </w:r>
    </w:p>
    <w:p>
      <w:pPr>
        <w:spacing w:after="0" w:line="171"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20" w:firstLine="656"/>
        <w:spacing w:after="0" w:line="273" w:lineRule="auto"/>
        <w:tabs>
          <w:tab w:leader="none" w:pos="131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At any time when an Event of Default exists and is continuing and upon the written request of the Notes Collateral Agent, each Grantor will (i) use its commercially reasonable efforts to obtain all consents and approvals necessary or appropriate for the assignment to or for the benefit of the Notes Collateral Agent of any License held by such Grantor in the U.S. to enable the Notes Collateral Agent to enforce the security interests granted hereunder and (ii) to the extent required pursuant to any material License in the U.S. under which such Grantor is the licensee, deliver to the licensor thereunder any notice of the grant of security interest hereunder or such other notices required to be delivered thereunder in order to permit the security interest created or permitted to be created hereunder pursuant to the terms of such License.</w:t>
      </w:r>
    </w:p>
    <w:p>
      <w:pPr>
        <w:spacing w:after="0" w:line="177" w:lineRule="exact"/>
        <w:rPr>
          <w:rFonts w:ascii="Arial" w:cs="Arial" w:eastAsia="Arial" w:hAnsi="Arial"/>
          <w:sz w:val="17"/>
          <w:szCs w:val="17"/>
          <w:color w:val="auto"/>
        </w:rPr>
      </w:pPr>
    </w:p>
    <w:p>
      <w:pPr>
        <w:jc w:val="both"/>
        <w:ind w:left="-20" w:firstLine="656"/>
        <w:spacing w:after="0" w:line="254" w:lineRule="auto"/>
        <w:tabs>
          <w:tab w:leader="none" w:pos="122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Grantor shall notify the Notes Collateral Agent promptly if it knows or reasonably expects that any application for or registration of any Patent, Trademark, Domain Name, or Copyright (now or hereafter existing) may become abandoned or dedicated to the public, or of any determination or development (including the institution of, or any such determination or development in, any proceeding in the United States Patent and Trademark Office, the United States Copyright Office or any court, except for routine office actions issued in the normal course of prosecution) abandoning such Grantor’s ownership of any such Patent, Trademark or Copyright, its right to register the same, or to keep and maintain the same, except, in each case, to the extent the same is permitted or not restricted by the Indenture or where the same, individually or in the aggregate, could not reasonably be expected to result in a Material Adverse Effect.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240" w:name="page241"/>
    <w:bookmarkEnd w:id="240"/>
    <w:p>
      <w:pPr>
        <w:jc w:val="both"/>
        <w:ind w:firstLine="656"/>
        <w:spacing w:after="0" w:line="287" w:lineRule="auto"/>
        <w:tabs>
          <w:tab w:leader="none" w:pos="127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In the event that any Grantor files an application for the registration of any Patent, Trademark (for the avoidance of doubt, excluding any “intent to use” trademark applications) or Copyright with the United States Patent and Trademark Office or the United States Copyright Office, acquires any such application or registration by purchase or assignment or acquires an exclusive Copyright License, in each case, after the Issue Date (and other than as a result of an application that is then subject to an Intellectual Property Security Agreement becoming registered), it shall (x) if the event giving rise to the obligation under this </w:t>
      </w:r>
      <w:r>
        <w:rPr>
          <w:rFonts w:ascii="Arial" w:cs="Arial" w:eastAsia="Arial" w:hAnsi="Arial"/>
          <w:sz w:val="16"/>
          <w:szCs w:val="16"/>
          <w:u w:val="single" w:color="auto"/>
          <w:color w:val="auto"/>
        </w:rPr>
        <w:t>Section 4.03(c)</w:t>
      </w:r>
      <w:r>
        <w:rPr>
          <w:rFonts w:ascii="Arial" w:cs="Arial" w:eastAsia="Arial" w:hAnsi="Arial"/>
          <w:sz w:val="16"/>
          <w:szCs w:val="16"/>
          <w:color w:val="auto"/>
        </w:rPr>
        <w:t xml:space="preserve"> occurs during the first three fiscal quarters of any fiscal year of the Issuer, on or before the date on which financial statements are required to be delivered pursuant to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of the Indenture for the fiscal quarter in which the relevant event occurred or (y) if the event giving rise to the obligation under this </w:t>
      </w:r>
      <w:r>
        <w:rPr>
          <w:rFonts w:ascii="Arial" w:cs="Arial" w:eastAsia="Arial" w:hAnsi="Arial"/>
          <w:sz w:val="16"/>
          <w:szCs w:val="16"/>
          <w:u w:val="single" w:color="auto"/>
          <w:color w:val="auto"/>
        </w:rPr>
        <w:t>Section 4.03(c)</w:t>
      </w:r>
      <w:r>
        <w:rPr>
          <w:rFonts w:ascii="Arial" w:cs="Arial" w:eastAsia="Arial" w:hAnsi="Arial"/>
          <w:sz w:val="16"/>
          <w:szCs w:val="16"/>
          <w:color w:val="auto"/>
        </w:rPr>
        <w:t xml:space="preserve"> occurs during the fourth fiscal quarter of any fiscal year of the Issuer, on or before the date that is 60 days after the end of such fiscal quarter (or, in each of the cases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above, such longer period as the Notes Collateral Agent may reasonably agree) notify the Notes Collateral Agent and, promptly execute and deliver to the Notes Collateral Agent, at such Grantor’s sole cost and expense, any Intellectual Property Security Agreement, as applicable, or other instrument as may be required by applicable law or as the Notes Collateral Agent may reasonably request and require to evidence the Notes Collateral Agent’s security interest in such applied for or registered Patent, Trademark or Copyright (or application therefor) or exclusive Copyright License, and the General Intangibles of such Grantor relating thereto or represented thereby.</w:t>
      </w:r>
    </w:p>
    <w:p>
      <w:pPr>
        <w:spacing w:after="0" w:line="167" w:lineRule="exact"/>
        <w:rPr>
          <w:rFonts w:ascii="Arial" w:cs="Arial" w:eastAsia="Arial" w:hAnsi="Arial"/>
          <w:sz w:val="16"/>
          <w:szCs w:val="16"/>
          <w:color w:val="auto"/>
        </w:rPr>
      </w:pPr>
    </w:p>
    <w:p>
      <w:pPr>
        <w:jc w:val="both"/>
        <w:ind w:firstLine="656"/>
        <w:spacing w:after="0" w:line="254" w:lineRule="auto"/>
        <w:tabs>
          <w:tab w:leader="none" w:pos="1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Grantor shall take all actions necessary or reasonably requested by the Notes Collateral Agent to (i) maintain and pursue each application and to obtain and maintain the registration of each Patent, Trademark, Domain Name and Copyright included in the Collateral (now or hereafter existing), including by filing applications for renewal, affidavits of use, affidavits of incontestability and, if consistent with good business judgment, by initiating opposition, interference and cancellation proceedings against third parties, (ii) maintain and protect the secrecy or confidentiality of its material Trade Secrets and (iii) otherwise protect and preserve such Grantor’s rights in, and the validity or enforceability of, its Intellectual Property Collateral, in each case except where failure to do so (A) could not reasonably be expected to result in a Material Adverse Effect, or (B) is otherwise permitted under the Indenture.</w:t>
      </w:r>
    </w:p>
    <w:p>
      <w:pPr>
        <w:spacing w:after="0" w:line="194" w:lineRule="exact"/>
        <w:rPr>
          <w:rFonts w:ascii="Arial" w:cs="Arial" w:eastAsia="Arial" w:hAnsi="Arial"/>
          <w:sz w:val="18"/>
          <w:szCs w:val="18"/>
          <w:color w:val="auto"/>
        </w:rPr>
      </w:pPr>
    </w:p>
    <w:p>
      <w:pPr>
        <w:jc w:val="both"/>
        <w:ind w:firstLine="656"/>
        <w:spacing w:after="0" w:line="259" w:lineRule="auto"/>
        <w:tabs>
          <w:tab w:leader="none" w:pos="117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Grantor shall promptly notify the Notes Collateral Agent of any material infringement or misappropriation of such Grantor’s Patents, Trademarks, Copyrights or Trade Secrets of which it becomes aware and shall take such actions as are commercially reasonable and appropriate under the circumstances to protect such Patent, Trademark, Copyright or Trade Secret, except where such infringement, misappropriation or dilution could not reasonably be expected to cause a Material Adverse Effect.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Commercial Tort Claims</w:t>
      </w:r>
      <w:r>
        <w:rPr>
          <w:rFonts w:ascii="Arial" w:cs="Arial" w:eastAsia="Arial" w:hAnsi="Arial"/>
          <w:sz w:val="16"/>
          <w:szCs w:val="16"/>
          <w:color w:val="auto"/>
        </w:rPr>
        <w:t xml:space="preserve">. After the Issue Date, (x) if the event giving rise to the obligation under this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occurs during the first three fiscal quarters of any fiscal year of the Issuer, on or before the date on which financial statements are required to be delivered pursuant to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of the Indenture for the fiscal quarter in which the relevant event occurred or (y) if the event giving rise to the obligation under this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occurs during the fourth fiscal quarter of any fiscal year of the Issuer, on or before the date that is 60 days after the end of such fiscal quarter (or, in each of the cases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such longer period as the Notes Collateral Agent may reasonably agree) each relevant Grantor shall notify the Notes Collateral Agent of any Commercial Tort Claim with an individual value (as reasonably estimated by the Issuer) in excess of $40,000,000 acquired by it, together with an update to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to the Cumulative Perfection Certificate containing a summary description thereof, and such Commercial Tort Claim (and the Proceeds thereof) shall automatically constitute Collateral, all upon the terms of this Security Agreement.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Except to the extent otherwise permitted to be retained by any Grantor or applied by any Grantor pursuant to the terms of the Notes Documents, the Notes Collateral Agent shall, at the time when an Event of Default exists and is continuing and any proceeds of any insurance are distributed to the Secured Notes Secured Parties, apply such proceeds in accordance with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1" w:name="page242"/>
    <w:bookmarkEnd w:id="241"/>
    <w:p>
      <w:pPr>
        <w:ind w:left="660"/>
        <w:spacing w:after="0"/>
        <w:tabs>
          <w:tab w:leader="none" w:pos="252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Grantors Remain Liable.</w:t>
      </w:r>
    </w:p>
    <w:p>
      <w:pPr>
        <w:spacing w:after="0" w:line="225" w:lineRule="exact"/>
        <w:rPr>
          <w:sz w:val="20"/>
          <w:szCs w:val="20"/>
          <w:color w:val="auto"/>
        </w:rPr>
      </w:pPr>
    </w:p>
    <w:p>
      <w:pPr>
        <w:jc w:val="both"/>
        <w:ind w:firstLine="656"/>
        <w:spacing w:after="0" w:line="271" w:lineRule="auto"/>
        <w:tabs>
          <w:tab w:leader="none" w:pos="130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Each Grantor (rather than the Notes Collateral Agent or any Secured Notes Secured Party) shall remain liable (as between itself and any relevant counterparty) to observe and perform all the conditions and obligations to be observed and performed by it under any Contract relating to the Collateral, all in accordance with the terms and conditions thereof. Neither the Notes Collateral Agent nor any other Secured Notes Secured Party shall have any obligation or liability under any Contract by reason of or arising out of this Security Agreement or the receipt by the Notes Collateral Agent or any other Secured Notes Secured Party of any payment relating to such Contract pursuant hereto, nor shall the Notes Collateral Agent or any other Secured Notes Secured Party be obligated in any manner to perform any of the obligations of any Grantor under or pursuant to any Contract, to make any payment, to make any inquiry as to the nature or sufficiency of any performance or to collect the payment of any amounts which may have been assigned to them or to which they may be entitled at any time or times.</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31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Grantor assumes all liability and responsibility in connection with the Collateral acquired by it, and the liability of such Grantor to pay the Secured Notes Obligations shall in no way be affected or diminished by reason of the fact that such Collateral may be lost, destroyed, stolen, damaged or for any reason whatsoever unavailable to such Grantor.</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38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Notwithstanding anything herein to the contrary, each Grantor (rather than the Notes Collateral Agent or any Secured Notes Secured Party) shall remain liable under each of the Accounts to observe and perform all of the conditions and obligations to be observed and performed by it thereunder, all in accordance with the terms of any agreement giving rise to such Accounts. Neither the Notes Collateral Agent nor any other Secured Notes Secured Party shall have any obligation or liability under any Account (or any agreement giving rise thereto) by reason of or arising out of this Security Agreement or the receipt by the Notes Collateral Agent or any other Secured Notes Secured Party of any payment relating to such Account pursuant hereto, nor shall the Notes Collateral Agent or any other Secured Notes Secured Party be obligated in any manner to perform any of the obligations of any Grantor under or pursuant to any Account (or any agreement giving rise thereto), to make any payment, to make any inquiry as to the nature or the sufficiency of any payment received by them or as to the sufficiency of any performance by any party under any Account (or any agreement giving rise thereto), to present or file any claim, to take any action to enforce any performance or to collect the payment of any amounts which may have been assigned to them or to which they may be entitled at any time or times.</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i w:val="1"/>
          <w:iCs w:val="1"/>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86" w:lineRule="auto"/>
        <w:tabs>
          <w:tab w:leader="none" w:pos="132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Each Grantor agrees that, at any time when an Event of Default exists and is continuing (and upon at least three (3) Business Days’ prior written notice to the Issuer in the case of any exercise of rights and remedies with respect to Collateral), the Notes Collateral Agent may exercise any or all of the following rights and remedies (in addition to the rights and remedies existing under applicable Requirements of Law):</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98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the rights and remedies provided in this Security Agreement, the Indenture, or any other Notes Document (for the avoidance of doubt, this </w:t>
      </w:r>
      <w:r>
        <w:rPr>
          <w:rFonts w:ascii="Arial" w:cs="Arial" w:eastAsia="Arial" w:hAnsi="Arial"/>
          <w:sz w:val="18"/>
          <w:szCs w:val="18"/>
          <w:u w:val="single" w:color="auto"/>
          <w:color w:val="auto"/>
        </w:rPr>
        <w:t>Section 5.01(a)(i)</w:t>
      </w:r>
      <w:r>
        <w:rPr>
          <w:rFonts w:ascii="Arial" w:cs="Arial" w:eastAsia="Arial" w:hAnsi="Arial"/>
          <w:sz w:val="18"/>
          <w:szCs w:val="18"/>
          <w:color w:val="auto"/>
        </w:rPr>
        <w:t xml:space="preserve"> shall not limit or impair the exercise of any such rights and remedies with respect to matters not involving Collateral that are available under the Notes Documents whether or not an Event of Default has occurred);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2" w:name="page243"/>
    <w:bookmarkEnd w:id="242"/>
    <w:p>
      <w:pPr>
        <w:jc w:val="both"/>
        <w:ind w:left="660" w:firstLine="644"/>
        <w:spacing w:after="0" w:line="263" w:lineRule="auto"/>
        <w:tabs>
          <w:tab w:leader="none" w:pos="2117"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rights and remedies available to a secured party under the UCC or under any other applicable Requirements of Law (including, without limitation, any law governing the exercise of a bank’s right of setoff or bankers’ Lien) when a debtor is in default under a security agreement;</w:t>
      </w:r>
    </w:p>
    <w:p>
      <w:pPr>
        <w:spacing w:after="0" w:line="183" w:lineRule="exact"/>
        <w:rPr>
          <w:rFonts w:ascii="Arial" w:cs="Arial" w:eastAsia="Arial" w:hAnsi="Arial"/>
          <w:sz w:val="18"/>
          <w:szCs w:val="18"/>
          <w:color w:val="auto"/>
        </w:rPr>
      </w:pPr>
    </w:p>
    <w:p>
      <w:pPr>
        <w:jc w:val="both"/>
        <w:ind w:left="660" w:firstLine="644"/>
        <w:spacing w:after="0" w:line="290" w:lineRule="auto"/>
        <w:tabs>
          <w:tab w:leader="none" w:pos="1965" w:val="left"/>
        </w:tabs>
        <w:numPr>
          <w:ilvl w:val="1"/>
          <w:numId w:val="296"/>
        </w:numPr>
        <w:rPr>
          <w:rFonts w:ascii="Arial" w:cs="Arial" w:eastAsia="Arial" w:hAnsi="Arial"/>
          <w:sz w:val="16"/>
          <w:szCs w:val="16"/>
          <w:color w:val="auto"/>
        </w:rPr>
      </w:pPr>
      <w:r>
        <w:rPr>
          <w:rFonts w:ascii="Arial" w:cs="Arial" w:eastAsia="Arial" w:hAnsi="Arial"/>
          <w:sz w:val="16"/>
          <w:szCs w:val="16"/>
          <w:color w:val="auto"/>
        </w:rPr>
        <w:t>enter the premises of any Grantor where any Collateral is located (through self-help and without judicial process) and to collect, receive, assemble, process, appropriate, sell, lease, assign, grant an option or options to purchase or otherwise dispose of, deliver, or realize upon, the Collateral or any part thereof in one or more parcels at one or more public or private sales (which sales may be adjourned or continued from time to time with or without notice and may take place at such Grantor’s premises or elsewhere), for cash, on credit or for future delivery without assumption of any credit risk, and upon such other terms as the Notes Collateral Agent may deem commercially reasonable and each purchaser, assignee, licensee or recipient at any such sale shall acquire the property sold, assigned or licensed absolutely free from any claim or right on the part of any Grantor, and each Grantor hereby waives, to the fullest extent permitted by law, all rights of redemption, stay and/or appraisal which it now has or may at any time in the future have under any rule of law or statute now existing or hereafter enacted;</w:t>
      </w:r>
    </w:p>
    <w:p>
      <w:pPr>
        <w:spacing w:after="0" w:line="165" w:lineRule="exact"/>
        <w:rPr>
          <w:rFonts w:ascii="Arial" w:cs="Arial" w:eastAsia="Arial" w:hAnsi="Arial"/>
          <w:sz w:val="16"/>
          <w:szCs w:val="16"/>
          <w:color w:val="auto"/>
        </w:rPr>
      </w:pPr>
    </w:p>
    <w:p>
      <w:pPr>
        <w:jc w:val="both"/>
        <w:ind w:left="660" w:firstLine="644"/>
        <w:spacing w:after="0" w:line="254" w:lineRule="auto"/>
        <w:tabs>
          <w:tab w:leader="none" w:pos="205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transfer and register in its name or in the name of its nominee the whole or any part of the Pledged Collateral, to exercise the voting and all other rights as a holder with respect thereto (whereupon the voting and other rights of such Grantor described in </w:t>
      </w:r>
      <w:r>
        <w:rPr>
          <w:rFonts w:ascii="Arial" w:cs="Arial" w:eastAsia="Arial" w:hAnsi="Arial"/>
          <w:sz w:val="18"/>
          <w:szCs w:val="18"/>
          <w:u w:val="single" w:color="auto"/>
          <w:color w:val="auto"/>
        </w:rPr>
        <w:t>Section 4.02(d)(i)</w:t>
      </w:r>
      <w:r>
        <w:rPr>
          <w:rFonts w:ascii="Arial" w:cs="Arial" w:eastAsia="Arial" w:hAnsi="Arial"/>
          <w:sz w:val="18"/>
          <w:szCs w:val="18"/>
          <w:color w:val="auto"/>
        </w:rPr>
        <w:t xml:space="preserve"> above shall immediately cease such that the Notes Collateral Agent shall have the sole right to exercise such voting and other rights while the relevant Event of Default exists and is continuing), to collect and receive all cash dividends, interest, principal and other distributions made thereon (it being understood that all Stock Rights received by any Grantor while the relevant Event of Default exists and is continuing shall be received in trust for the benefit of the Notes Collateral Agent and forthwith paid over to the Notes Collateral Agent in the same form as so received (with any necessary endorsements)) and to otherwise act with respect to the Pledged Collateral as though the Notes Collateral Agent was the outright owner thereof; and</w:t>
      </w:r>
    </w:p>
    <w:p>
      <w:pPr>
        <w:spacing w:after="0" w:line="191" w:lineRule="exact"/>
        <w:rPr>
          <w:rFonts w:ascii="Arial" w:cs="Arial" w:eastAsia="Arial" w:hAnsi="Arial"/>
          <w:sz w:val="18"/>
          <w:szCs w:val="18"/>
          <w:color w:val="auto"/>
        </w:rPr>
      </w:pPr>
    </w:p>
    <w:p>
      <w:pPr>
        <w:jc w:val="both"/>
        <w:ind w:left="660" w:firstLine="644"/>
        <w:spacing w:after="0" w:line="342" w:lineRule="auto"/>
        <w:tabs>
          <w:tab w:leader="none" w:pos="2053"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take possession of the Collateral or any part thereof, by directing such Grantor in writing to deliver the same to the Notes Collateral Agent at any reasonable place or places designated by the Notes Collateral Agent, in which event such Grantor shall at its own expense:</w:t>
      </w:r>
    </w:p>
    <w:p>
      <w:pPr>
        <w:spacing w:after="0" w:line="123" w:lineRule="exact"/>
        <w:rPr>
          <w:rFonts w:ascii="Arial" w:cs="Arial" w:eastAsia="Arial" w:hAnsi="Arial"/>
          <w:sz w:val="16"/>
          <w:szCs w:val="16"/>
          <w:color w:val="auto"/>
        </w:rPr>
      </w:pPr>
    </w:p>
    <w:p>
      <w:pPr>
        <w:ind w:left="1300" w:firstLine="652"/>
        <w:spacing w:after="0" w:line="277" w:lineRule="auto"/>
        <w:tabs>
          <w:tab w:leader="none" w:pos="2653" w:val="left"/>
        </w:tabs>
        <w:numPr>
          <w:ilvl w:val="2"/>
          <w:numId w:val="296"/>
        </w:numPr>
        <w:rPr>
          <w:rFonts w:ascii="Arial" w:cs="Arial" w:eastAsia="Arial" w:hAnsi="Arial"/>
          <w:sz w:val="18"/>
          <w:szCs w:val="18"/>
          <w:color w:val="auto"/>
        </w:rPr>
      </w:pPr>
      <w:r>
        <w:rPr>
          <w:rFonts w:ascii="Arial" w:cs="Arial" w:eastAsia="Arial" w:hAnsi="Arial"/>
          <w:sz w:val="18"/>
          <w:szCs w:val="18"/>
          <w:color w:val="auto"/>
        </w:rPr>
        <w:t>forthwith cause the same to be moved to the place or places so designated by the Notes Collateral Agent and there delivered to the Notes Collateral Agent;</w:t>
      </w:r>
    </w:p>
    <w:p>
      <w:pPr>
        <w:spacing w:after="0" w:line="170" w:lineRule="exact"/>
        <w:rPr>
          <w:rFonts w:ascii="Arial" w:cs="Arial" w:eastAsia="Arial" w:hAnsi="Arial"/>
          <w:sz w:val="18"/>
          <w:szCs w:val="18"/>
          <w:color w:val="auto"/>
        </w:rPr>
      </w:pPr>
    </w:p>
    <w:p>
      <w:pPr>
        <w:ind w:left="1300" w:firstLine="652"/>
        <w:spacing w:after="0" w:line="277" w:lineRule="auto"/>
        <w:tabs>
          <w:tab w:leader="none" w:pos="2518" w:val="left"/>
        </w:tabs>
        <w:numPr>
          <w:ilvl w:val="2"/>
          <w:numId w:val="296"/>
        </w:numPr>
        <w:rPr>
          <w:rFonts w:ascii="Arial" w:cs="Arial" w:eastAsia="Arial" w:hAnsi="Arial"/>
          <w:sz w:val="18"/>
          <w:szCs w:val="18"/>
          <w:color w:val="auto"/>
        </w:rPr>
      </w:pPr>
      <w:r>
        <w:rPr>
          <w:rFonts w:ascii="Arial" w:cs="Arial" w:eastAsia="Arial" w:hAnsi="Arial"/>
          <w:sz w:val="18"/>
          <w:szCs w:val="18"/>
          <w:color w:val="auto"/>
        </w:rPr>
        <w:t>store and keep any Collateral so delivered to the Notes Collateral Agent at such place or places pending further action by the Notes Collateral Agent; and</w:t>
      </w:r>
    </w:p>
    <w:p>
      <w:pPr>
        <w:spacing w:after="0" w:line="170" w:lineRule="exact"/>
        <w:rPr>
          <w:rFonts w:ascii="Arial" w:cs="Arial" w:eastAsia="Arial" w:hAnsi="Arial"/>
          <w:sz w:val="18"/>
          <w:szCs w:val="18"/>
          <w:color w:val="auto"/>
        </w:rPr>
      </w:pPr>
    </w:p>
    <w:p>
      <w:pPr>
        <w:ind w:left="1300" w:firstLine="652"/>
        <w:spacing w:after="0" w:line="277" w:lineRule="auto"/>
        <w:tabs>
          <w:tab w:leader="none" w:pos="2585" w:val="left"/>
        </w:tabs>
        <w:numPr>
          <w:ilvl w:val="2"/>
          <w:numId w:val="296"/>
        </w:numPr>
        <w:rPr>
          <w:rFonts w:ascii="Arial" w:cs="Arial" w:eastAsia="Arial" w:hAnsi="Arial"/>
          <w:sz w:val="18"/>
          <w:szCs w:val="18"/>
          <w:color w:val="auto"/>
        </w:rPr>
      </w:pPr>
      <w:r>
        <w:rPr>
          <w:rFonts w:ascii="Arial" w:cs="Arial" w:eastAsia="Arial" w:hAnsi="Arial"/>
          <w:sz w:val="18"/>
          <w:szCs w:val="18"/>
          <w:color w:val="auto"/>
        </w:rPr>
        <w:t>while the Collateral shall be so stored and kept, provide such security and maintenance services as shall be reasonably necessary to protect the same and to preserve and maintain it in good condition.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Grantor acknowledges and agrees that compliance by the Notes Collateral Agent, on behalf of the Secured Notes Secured Parties, with any applicable state or federal Requirements of Law and the Notes Documents in connection with a disposition of the Collateral will not be considered to adversely affect the commercial reasonableness of any sale of the Collateral.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3" w:name="page244"/>
    <w:bookmarkEnd w:id="243"/>
    <w:p>
      <w:pPr>
        <w:jc w:val="both"/>
        <w:ind w:firstLine="656"/>
        <w:spacing w:after="0" w:line="263" w:lineRule="auto"/>
        <w:tabs>
          <w:tab w:leader="none" w:pos="127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Notes Collateral Agent shall have the right in any public sale and, to the extent permitted by applicable Requirements of Law, in any private sale, to purchase for the benefit of the Notes Collateral Agent and the Secured Notes Secured Parties, all or any part of the Collateral so sold, free of any right of equity redemption, which equity redemption each Grantor hereby expressly releases.</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31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Until the Notes Collateral Agent is able to effect a sale, lease, transfer or other disposition of any Collateral under this </w:t>
      </w:r>
      <w:r>
        <w:rPr>
          <w:rFonts w:ascii="Arial" w:cs="Arial" w:eastAsia="Arial" w:hAnsi="Arial"/>
          <w:sz w:val="17"/>
          <w:szCs w:val="17"/>
          <w:u w:val="single" w:color="auto"/>
          <w:color w:val="auto"/>
        </w:rPr>
        <w:t>Section 5.01</w:t>
      </w:r>
      <w:r>
        <w:rPr>
          <w:rFonts w:ascii="Arial" w:cs="Arial" w:eastAsia="Arial" w:hAnsi="Arial"/>
          <w:sz w:val="17"/>
          <w:szCs w:val="17"/>
          <w:color w:val="auto"/>
        </w:rPr>
        <w:t>, the Notes Collateral Agent shall have the right to hold or use such Collateral, or any part thereof, to the extent that it deems appropriate for the purpose of preserving such Collateral or the value of such Collateral, or for any other purpose deemed reasonably appropriate by the Notes Collateral Agent. At any time when an Event of Default exists and is continuing, the Notes Collateral Agent may, if it so elects, seek the appointment of a receiver or keeper to take possession of any Collateral and to enforce any of the Notes Collateral Agent’s remedies (for the benefit of the Notes Collateral Agent and Secured Notes Secured Parties), with respect to such appointment without prior notice or hearing as to such appointment.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25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Notwithstanding the foregoing, the Notes Collateral Agent shall not be required to (i) make any demand upon, or pursue or exhaust any of their rights or remedies against, the Grantors, any other obligor, guarantor, pledgor or any other Person with respect to the payment of the Secured Notes Obligations or to pursue or exhaust any of their rights or remedies with respect to any Collateral therefor or any direct or indirect guarantee thereof, (ii) marshal the Collateral or any guarantee of the Secured Notes Obligations or to resort to the Collateral or any such guarantee in any particular order, or (iii) effect a public sale of any Collateral.</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23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Grantor recognizes that the Notes Collateral Agent may be unable to effect a public sale of any or all the Pledged Collateral and may be compelled to resort to one or more private sales thereof. Each Grantor also acknowledges that any private sale may result in prices and other terms less favorable to the seller than if such sale were a public sale and, notwithstanding such circumstances, agrees that no such private sale shall be deemed to have been made in a commercially unreasonable manner solely by virtue of such sale being private. The Notes Collateral Agent shall be under no obligation to delay a sale of any of the Pledged Collateral for the period of time necessary to permit any Grantor or the issuer of any Pledged Collateral to register such securities for public sale under the Securities Act, as amended, or under applicable state securities Requirements of Law, even if any Grantor and the issuer would agree to do so.</w:t>
      </w:r>
    </w:p>
    <w:p>
      <w:pPr>
        <w:spacing w:after="0" w:line="194" w:lineRule="exact"/>
        <w:rPr>
          <w:rFonts w:ascii="Arial" w:cs="Arial" w:eastAsia="Arial" w:hAnsi="Arial"/>
          <w:sz w:val="18"/>
          <w:szCs w:val="18"/>
          <w:color w:val="auto"/>
        </w:rPr>
      </w:pPr>
    </w:p>
    <w:p>
      <w:pPr>
        <w:ind w:firstLine="656"/>
        <w:spacing w:after="0" w:line="277" w:lineRule="auto"/>
        <w:tabs>
          <w:tab w:leader="none" w:pos="125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Notwithstanding the foregoing, any rights and remedies provided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subject to the terms of the Equal Priority Intercreditor Agreement and any Junior Priority Intercreditor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Grantors’ Obligations Upon Default</w:t>
      </w:r>
      <w:r>
        <w:rPr>
          <w:rFonts w:ascii="Arial" w:cs="Arial" w:eastAsia="Arial" w:hAnsi="Arial"/>
          <w:sz w:val="18"/>
          <w:szCs w:val="18"/>
          <w:color w:val="auto"/>
        </w:rPr>
        <w:t>. Upon three (3) Business Days’ prior written notice to the Grantor from the Notes Collateral Agent, at any time when an Event of Default exists and is continuing, each Grantor will:</w:t>
      </w:r>
    </w:p>
    <w:p>
      <w:pPr>
        <w:spacing w:after="0" w:line="170" w:lineRule="exact"/>
        <w:rPr>
          <w:sz w:val="20"/>
          <w:szCs w:val="20"/>
          <w:color w:val="auto"/>
        </w:rPr>
      </w:pPr>
    </w:p>
    <w:p>
      <w:pPr>
        <w:jc w:val="both"/>
        <w:ind w:firstLine="656"/>
        <w:spacing w:after="0" w:line="254" w:lineRule="auto"/>
        <w:tabs>
          <w:tab w:leader="none" w:pos="141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at its own cost and expense (i) assemble and make available to the Notes Collateral Agent, the Collateral and all books and records relating thereto at any place or places reasonably specified by the Notes Collateral Agent, whether at such Grantor’s premises or elsewhere, (ii) deliver all tangible evidence of its Accounts and Contract Rights (including, without limitation, all documents evidencing the Accounts and all Contracts) and such books and records to the Notes Collateral Agent or to its representatives (copies of which evidence and books and records may be retained by such Grantor) and (iii) if the Notes Collateral Agent so directs, legend in a form and manner reasonably satisfactory to the Notes Collateral Agent, the Accounts and the Contracts, as well as books, records and documents (if any) of such Grantor evidencing or pertaining to such Accounts and Contracts with an appropriate reference to the fact that such Accounts and Contracts have been assigned to the Notes Collateral Agent and that the Notes Collateral Agent has a security interest therein;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4" w:name="page245"/>
    <w:bookmarkEnd w:id="244"/>
    <w:p>
      <w:pPr>
        <w:jc w:val="both"/>
        <w:ind w:firstLine="656"/>
        <w:spacing w:after="0" w:line="259" w:lineRule="auto"/>
        <w:tabs>
          <w:tab w:leader="none" w:pos="12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permit the Notes Collateral Agent and/or its representatives and/or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any Grantor for such use and occupancy.</w:t>
      </w:r>
    </w:p>
    <w:p>
      <w:pPr>
        <w:spacing w:after="0" w:line="187"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i w:val="1"/>
          <w:iCs w:val="1"/>
          <w:color w:val="auto"/>
        </w:rPr>
        <w:t>Intellectual Property Remedies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4" w:lineRule="auto"/>
        <w:tabs>
          <w:tab w:leader="none" w:pos="1234"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For the purpose of enabling the Notes Collateral Agent to exercise the rights and remedies under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at any time when an Event of Default exists and is continuing and at such time as the Notes Collateral Agent shall be lawfully entitled to exercise such rights and remedies, each Grantor hereby grants to the Notes Collateral Agent a power of attorney to sign any document which may be required by the United States Patent and Trademark Office, the United States Copyright Office, domain name registrar or similar registrar in order to effect an absolute assignment of all right, title and interest in each registered Patent, Trademark, Domain Name and Copyright and exclusive Copyright License included in the Collateral and each application for any such registration, and record the same. At any time when an Event of Default exists and is continuing, the Notes Collateral Agent may</w:t>
      </w:r>
    </w:p>
    <w:p>
      <w:pPr>
        <w:spacing w:after="0" w:line="4" w:lineRule="exact"/>
        <w:rPr>
          <w:rFonts w:ascii="Arial" w:cs="Arial" w:eastAsia="Arial" w:hAnsi="Arial"/>
          <w:sz w:val="16"/>
          <w:szCs w:val="16"/>
          <w:color w:val="auto"/>
        </w:rPr>
      </w:pPr>
    </w:p>
    <w:p>
      <w:pPr>
        <w:jc w:val="both"/>
        <w:ind w:firstLine="8"/>
        <w:spacing w:after="0" w:line="267" w:lineRule="auto"/>
        <w:tabs>
          <w:tab w:leader="none" w:pos="21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declare the entire right, title and interest of such Grantor in and to each item of Intellectual Property Collateral to be vested in the Notes Collateral Agent for the benefit of the Secured Notes Secured Parties, in which event such right, title and interest shall immediately vest in the Notes Collateral Agent for the benefit of the Secured Notes Secured Parties, and the Notes Collateral Agent shall be entitled to exercise the power of attorney referred to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5.03</w:t>
      </w:r>
      <w:r>
        <w:rPr>
          <w:rFonts w:ascii="Arial" w:cs="Arial" w:eastAsia="Arial" w:hAnsi="Arial"/>
          <w:sz w:val="17"/>
          <w:szCs w:val="17"/>
          <w:color w:val="auto"/>
        </w:rPr>
        <w:t xml:space="preserve"> to execute, cause to be acknowledged and notarized and record such absolute assignment with the applicable agency or registrar; (ii) sell any Grantor’s Inventory directly to any Person, including, without limitation, Persons who have previously purchased any Grantor’s Inventory from such Grantor and in connection with any such sale or other enforcement of the Notes Collateral Agent’s rights under this Security Agreement and subject to any restrictions contained in applicable third-party licenses entered into by such Grantor, sell Inventory which bears any Trademark or Copyright owned by or licensed to any Grantor and any Inventory that is covered by any Intellectual Property Collateral owned by or licensed to any Grantor, and the Notes Collateral Agent may finish any work in process and affix any relevant Trademark owned by or licensed to such Grantor and sell such Inventory as provided herein; (iii) direct such Grantor to refrain, in which event such Grantor shall refrain, from using any Intellectual Property Collateral in any manner whatsoever, directly or indirectly; and (iv) assign or sell any Patent, Trademark, Copyright, Domain Name, and/or Trade Secret included in the Collateral, as well as the goodwill of such Grantor’s business symbolized by any such Trademark and the right to carry on the business and use the assets of such Grantor in connection with which any such Trademark or Domain Name has been used.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5" w:name="page246"/>
    <w:bookmarkEnd w:id="245"/>
    <w:p>
      <w:pPr>
        <w:jc w:val="both"/>
        <w:ind w:firstLine="656"/>
        <w:spacing w:after="0" w:line="283" w:lineRule="auto"/>
        <w:tabs>
          <w:tab w:leader="none" w:pos="1262"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Each Grantor hereby grants to the Notes Collateral Agent an irrevocable (until the Secured Notes Obligations (other than contingent indemnification obligations for which no claim or demand has been made) are paid in full), nonexclusive, royalty-free (or any other payment obligation), worldwide license to its right to use, license or sublicense any Intellectual Property Collateral now owned or hereafter acquired by such Grantor, wherever the same may be located, and including in such license reasonable access to all media in which any of the licensed items may be recorded or stored and (to the extent not prohibited by any applicable license and subject to any Grantor’s security policies and obligations of confidentiality) to all computer software and programs used for compilation or printout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shall require a Grantor to grant any license that (i) is prohibited by any rule of law, statute or regulation or (ii) is prohibited by, or constitutes a breach or default under or results in the termination of or gives rise to any right of acceleration, modification or cancellation under, any license or similar agreement giving rise to a right to use or theretofore granted with respect to such property, which,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 exists on the Issue Date, (x) if such agreement was entered into by a Grantor acquired after the Issue Date, exists at the time such Grantor is acquired and which agreement was not entered into in contemplation of such acquisition or</w:t>
      </w:r>
    </w:p>
    <w:p>
      <w:pPr>
        <w:spacing w:after="0" w:line="4" w:lineRule="exact"/>
        <w:rPr>
          <w:rFonts w:ascii="Arial" w:cs="Arial" w:eastAsia="Arial" w:hAnsi="Arial"/>
          <w:sz w:val="16"/>
          <w:szCs w:val="16"/>
          <w:color w:val="auto"/>
        </w:rPr>
      </w:pPr>
    </w:p>
    <w:p>
      <w:pPr>
        <w:jc w:val="both"/>
        <w:ind w:firstLine="8"/>
        <w:spacing w:after="0" w:line="269" w:lineRule="auto"/>
        <w:tabs>
          <w:tab w:leader="none" w:pos="259"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if such agreement was entered into by any Grantor after the Issue Date, is entered into as part of the Grantor’s ordinary course of business substantially consistent with past practice, and natural evolutions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licenses to be granted hereunder with respect to Trademarks shall be subject to the maintenance of quality standards with respect to the goods and services on which such Trademarks are used sufficient to preserve the validity of such Trademarks. The use of the license granted to the Notes Collateral Agent pursuant to the preceding sentence may be exercised, at the option of the Notes Collateral Agent, only when an Event of Default exists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license, sublicense or other transaction entered into by the Notes Collateral Agent in accordance with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shall be binding upon each Grantor notwithstanding any subsequent cure of the relevant Event of Default.</w:t>
      </w:r>
    </w:p>
    <w:p>
      <w:pPr>
        <w:spacing w:after="0" w:line="180"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8" w:lineRule="auto"/>
        <w:tabs>
          <w:tab w:leader="none" w:pos="149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Subject to the terms of any Intercreditor Agreement, the Notes Collateral Agent shall apply the proceeds of any collection, sale, foreclosure or other realization of any Collateral, as well as any Collateral consisting of Cash, as set forth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of the Indenture.</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30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Except as otherwise provided herein or in any other Notes Document, the Notes Collateral Agent shall have absolute discretion as to the time of application of any such proceeds, money or balance in accordance with this Security Agreement. Upon any sale of Collateral by the Notes Collateral Agent (including pursuant to a power of sale granted by statute or under a judicial proceeding), a receipt by the Notes Collateral Agent or of the officer making the sale of such proceeds, moneys or balances shall be a sufficient discharge to the purchaser or purchasers of the Collateral so sold and such purchaser or purchasers shall not be obligated to see to the application of any part of the purchase money paid over to the Notes Collateral Agent or such officer or be answerable in any way for the misapplication thereof. It is understood that the Grantors shall remain jointly and severally liable to the extent of any deficiency between the amount of the proceeds of the Collateral and the aggregate amount of the Secured Notes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 VERIFICATION; ATTORNEY IN FACT; PROXY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Account Verification</w:t>
      </w:r>
      <w:r>
        <w:rPr>
          <w:rFonts w:ascii="Arial" w:cs="Arial" w:eastAsia="Arial" w:hAnsi="Arial"/>
          <w:sz w:val="18"/>
          <w:szCs w:val="18"/>
          <w:color w:val="auto"/>
        </w:rPr>
        <w:t>. The Notes Collateral Agent may at any time and from time to time when an Event of Default exists and is continuing and, upon at least three (3) Business Days’ prior written notice to the Issuer, in the Notes Collateral Agent’s own name, in the name of a nominee of the Notes Collateral Agent, or in the name of any Grantor, communicate (by mail, telephone, facsimile or otherwise) with the Account Debtors of such Grantor, parties to Contracts with such Grantor and obligors in respect of Instruments of such Grantor to verify with such Persons, to the Notes Collateral Agent’s reasonable satisfaction, the existence, amount, terms of, and any other matter relating to, Accounts, Contracts, Instruments, Chattel Paper, payment intangibles and/or other Receivables that constitute Collateral.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6" w:name="page247"/>
    <w:bookmarkEnd w:id="246"/>
    <w:p>
      <w:pPr>
        <w:ind w:left="660"/>
        <w:spacing w:after="0"/>
        <w:tabs>
          <w:tab w:leader="none" w:pos="25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Authorization for the Notes Collateral Agent to Take Certain Action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3" w:lineRule="auto"/>
        <w:tabs>
          <w:tab w:leader="none" w:pos="1495" w:val="left"/>
        </w:tabs>
        <w:numPr>
          <w:ilvl w:val="1"/>
          <w:numId w:val="306"/>
        </w:numPr>
        <w:rPr>
          <w:rFonts w:ascii="Arial" w:cs="Arial" w:eastAsia="Arial" w:hAnsi="Arial"/>
          <w:sz w:val="16"/>
          <w:szCs w:val="16"/>
          <w:color w:val="auto"/>
        </w:rPr>
      </w:pPr>
      <w:r>
        <w:rPr>
          <w:rFonts w:ascii="Arial" w:cs="Arial" w:eastAsia="Arial" w:hAnsi="Arial"/>
          <w:sz w:val="16"/>
          <w:szCs w:val="16"/>
          <w:color w:val="auto"/>
        </w:rPr>
        <w:t>Each Grantor hereby irrevocably authorizes the Notes Collateral Agent and appoints the Notes Collateral Agent (and all officers, employees or agents designated by the Notes Collateral Agent) as its true and lawful attorney in fact (i) at any time and from time to time in its sole discretion to execute (to the extent necessary under the Requirements of Law of the applicable jurisdiction) on behalf of such Grantor as debtor and to file financing statements (including Transmitting Utility filings) and Intellectual Property Security Agreements necessary or desirable in the Notes Collateral Agent’s reasonable discretion to perfect and to maintain the perfection and priority of the Notes Collateral Agent’s security interest in the Collateral; (ii) at any time when an Event of Default exists and is continuing in the sole discretion of the Notes Collateral Agent (in the name of such Grantor or otherwise) and upon at least three (3) Business Days’ prior written notice to the Issuer (A) to endorse and collect any cash proceeds of the Collateral and to apply the proceeds of any Collateral received by the Notes Collateral Agent to the Secured Notes Obligations as provided herein or in the Indenture or any other Notes Document, subject to the terms of any Intercreditor Agreement, (B) to demand payment or enforce payment of any Receivable constituting Collateral in the name of the Notes Collateral Agent or such Grantor and to endorse any check, draft and/or any other instrument for the payment of money relating to any such Receivable, (C) to sign such Grantor’s name on any invoice or bill of lading relating to any Receivable constituting Collateral, any draft against any Account Debtor of such Grantor, and/or any assignment and/or verification of any such Receivable, (D) to exercise all of any Grantor’s rights and remedies with respect to the collection of any Receivable constituting Collateral and any other Collateral, (E) to settle, adjust, compromise, extend or renew any Receivable constituting Collateral, (F) to settle, adjust or compromise any legal proceedings brought to collect any Receivable constituting Collateral,</w:t>
      </w:r>
    </w:p>
    <w:p>
      <w:pPr>
        <w:spacing w:after="0" w:line="1" w:lineRule="exact"/>
        <w:rPr>
          <w:rFonts w:ascii="Arial" w:cs="Arial" w:eastAsia="Arial" w:hAnsi="Arial"/>
          <w:sz w:val="16"/>
          <w:szCs w:val="16"/>
          <w:color w:val="auto"/>
        </w:rPr>
      </w:pPr>
    </w:p>
    <w:p>
      <w:pPr>
        <w:jc w:val="both"/>
        <w:ind w:firstLine="8"/>
        <w:spacing w:after="0" w:line="285" w:lineRule="auto"/>
        <w:tabs>
          <w:tab w:leader="none" w:pos="30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to prepare, file and sign such Grantor’s name on a proof of claim in bankruptcy or similar document against any Account Debtor of such Grantor, (H) to prepare, file and sign such Grantor’s name on any notice of Lien, assignment or satisfaction of Lien or similar document in connection with any Receivable constituting Collateral, (I) to discharge past due taxes, assessments, charges, fees or Liens on the Collateral (except for Permitted Liens), (J) to make, settle and adjust claims in respect of Collateral under policies of insurance and endorse the name of such Grantor on any check, draft, instrument or other item of payment for the proceeds of such policies of insurance, and (K) to obtain or maintain the policies of insurance covering the Collateral with respect to such risks and in such amounts as are customarily obtained by similar businesses or to pay any premium in whole or in part relating thereto; and (iii) to do all other acts and things or institute any proceedings which the Notes Collateral Agent may reasonably deem to be necessary or advisable (pursuant to this Security Agreement and the other Notes Documents and in accordance with applicable law) to carry out the terms of this Security Agreement and to protect the interests of the Secured Notes Secured Parties; and, when and to the extent required pursuant to </w:t>
      </w:r>
      <w:r>
        <w:rPr>
          <w:rFonts w:ascii="Arial" w:cs="Arial" w:eastAsia="Arial" w:hAnsi="Arial"/>
          <w:sz w:val="16"/>
          <w:szCs w:val="16"/>
          <w:u w:val="single" w:color="auto"/>
          <w:color w:val="auto"/>
        </w:rPr>
        <w:t>Section 12.08(bb)</w:t>
      </w:r>
      <w:r>
        <w:rPr>
          <w:rFonts w:ascii="Arial" w:cs="Arial" w:eastAsia="Arial" w:hAnsi="Arial"/>
          <w:sz w:val="16"/>
          <w:szCs w:val="16"/>
          <w:color w:val="auto"/>
        </w:rPr>
        <w:t xml:space="preserve"> of the Indenture, such Grantor agrees to reimburse the Notes Collateral Agent for any payment made in connection with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or any expense (including attorneys’ fees, court costs and expenses) and other changes related thereto incurred by the Notes Collateral Agent in connection with any of the foregoing (it being understood that any such sums shall constitute additional Secured Notes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authorization shall not relieve such Grantor of any of its obligations under this Security Agreement or under the Indenture.</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38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All acts of such attorney or designee are hereby ratified and approved by each Grantor. The powers conferred on the Notes Collateral Agent, for the benefit of the Notes Collateral Agent and Secured Notes Secured Parties,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are solely to protect the Notes Collateral Agent’s interests in the Collateral and shall not impose any duty upon the Notes Collateral Agent or any Secured Notes Secured Party to exercise any such powers.</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PROXY</w:t>
      </w:r>
      <w:r>
        <w:rPr>
          <w:rFonts w:ascii="Arial" w:cs="Arial" w:eastAsia="Arial" w:hAnsi="Arial"/>
          <w:sz w:val="18"/>
          <w:szCs w:val="18"/>
          <w:color w:val="auto"/>
        </w:rPr>
        <w:t xml:space="preserve">. EACH GRANTOR HEREBY IRREVOCABLY (UNTIL THE SECURED NOTES OBLIGATIONS (OTHER THAN CONTINGENT INDEMNIFICATION OBLIGATIONS FOR WHICH NO CLAIM OR DEMAND HAS BEEN MADE) ARE PAID IN FULL) CONSTITUTES AND APPOINTS THE NOTES COLLATERAL AGENT AS ITS PROXY AND ATTORNEY-IN-FACT (SUBJECT TO AND AS SET FORTH IN </w:t>
      </w:r>
      <w:r>
        <w:rPr>
          <w:rFonts w:ascii="Arial" w:cs="Arial" w:eastAsia="Arial" w:hAnsi="Arial"/>
          <w:sz w:val="18"/>
          <w:szCs w:val="18"/>
          <w:u w:val="single" w:color="auto"/>
          <w:color w:val="auto"/>
        </w:rPr>
        <w:t>SECTION 6.02</w:t>
      </w:r>
      <w:r>
        <w:rPr>
          <w:rFonts w:ascii="Arial" w:cs="Arial" w:eastAsia="Arial" w:hAnsi="Arial"/>
          <w:sz w:val="18"/>
          <w:szCs w:val="18"/>
          <w:color w:val="auto"/>
        </w:rPr>
        <w:t>) WITH RESPECT TO THE PLEDGED COLLATERAL, INCLUDING THE RIGHT TO VOTE SUCH PLEDGED COLLATERAL, WITH FULL POWER OF SUBSTITUTION TO DO SO. IN ADDITION TO THE RIGHT TO VOTE ANY SUCH PLEDGED COLLATERAL, THE APPOINTMENT OF THE NOTES COLLATERAL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IMMEDIATELY AND EXERCISABLE AUTOMATICALLY AND WITHOUT THE NECESSITY OF ANY ACTION (INCLUDING ANY TRANSFER OF ANY SUCH PLEDGED COLLATERAL ON THE RECORD BOOKS OF THE ISSUER THEREOF) BY ANY PERSON (INCLUDING THE ISSUER OF SUCH PLEDGED COLLATERAL OR ANY OFFICER OR AGENT THEREOF), IN EACH CASE ONLY WHEN AN EVENT OF DEFAULT EXISTS AND IS CONTINUING AND UPON AT LEAST THREE (3) BUSINESS DAYS’ PRIOR WRITTEN NOTICE TO THE ISSUER.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7" w:name="page248"/>
    <w:bookmarkEnd w:id="247"/>
    <w:p>
      <w:pPr>
        <w:jc w:val="both"/>
        <w:ind w:firstLine="648"/>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NATURE OF APPOINTMENT; LIMITATION OF DUTY</w:t>
      </w:r>
      <w:r>
        <w:rPr>
          <w:rFonts w:ascii="Arial" w:cs="Arial" w:eastAsia="Arial" w:hAnsi="Arial"/>
          <w:sz w:val="17"/>
          <w:szCs w:val="17"/>
          <w:color w:val="auto"/>
        </w:rPr>
        <w:t xml:space="preserve">. THE APPOINTMENT OF THE NOTES COLLATERAL AGENT AS PROXY AND ATTORNEY-IN-FACT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IS COUPLED WITH AN INTEREST AND SHALL BE IRREVOCABLE UNTIL THE SECURED NOTES OBLIGATIONS (OTHER THAN CONTINGENT INDEMNIFICATION OBLIGATIONS FOR WHICH NO CLAIM OR DEMAND HAS BEEN MADE) ARE PAID IN FULL. NOTWITHSTANDING ANYTHING CONTAINED HEREIN, NEITHER THE NOTES COLLATERAL AGENT, NOR ANY SECURED PARTY, NOR ANY OF THEIR RESPECTIVE AFFILIATES, OFFICERS, DIRECTORS, EMPLOYEES, AGENTS OR REPRESENTATIVES SHALL HAVE ANY DUTY TO EXERCISE ANY RIGHT OR POWER GRANTED HEREUNDER OR OTHERWISE OR TO PRESERVE THE SAME AND SHALL NOT BE LIABLE FOR ANY FAILURE TO DO SO OR FOR ANY DELAY IN DOING SO, EXCEPT TO THE EXTENT SUCH DAMAGES ARE ATTRIBUTABLE TO THE GROSS NEGLIGENCE OR WILLFUL MISCONDUCT OF SUCH PERSON AS FINALLY DETERMINED BY A COURT OF COMPETENT JURISDICTION IN A FINAL AND NON-APPEALABLE DECISION SUBJECT TO </w:t>
      </w:r>
      <w:r>
        <w:rPr>
          <w:rFonts w:ascii="Arial" w:cs="Arial" w:eastAsia="Arial" w:hAnsi="Arial"/>
          <w:sz w:val="17"/>
          <w:szCs w:val="17"/>
          <w:u w:val="single" w:color="auto"/>
          <w:color w:val="auto"/>
        </w:rPr>
        <w:t>SECTION 7.20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EXCEPTION SHALL NOT BE CONSTRUED TO OBLIGATE THE NOTES COLLATERAL AGENT TO TAKE OR REFRAIN FROM TAKING ANY ACTION WITH RESPECT TO THE COLLATERAL.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Waivers</w:t>
      </w:r>
      <w:r>
        <w:rPr>
          <w:rFonts w:ascii="Arial" w:cs="Arial" w:eastAsia="Arial" w:hAnsi="Arial"/>
          <w:sz w:val="16"/>
          <w:szCs w:val="16"/>
          <w:color w:val="auto"/>
        </w:rPr>
        <w:t xml:space="preserve">. To the maximum extent permitted by applicable Requirements of Law, each Grantor hereby waives notice of the time and place of any judicial hearing in connection with the Notes Collateral Agent’s taking possession of the Collateral or of any public sale or the time after which any private sale or other disposition of all or any part of the Collateral may be made, including, without limitation, any and all prior notice and hearing for any prejudgment remedy or remedies. To the extent such notice may not be waived under applicable Requirements of Law, any notice made shall be deemed reasonable if sent to any Grantor, addressed as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at least 10 days prior to (a) the date of any such public sale or</w:t>
      </w:r>
    </w:p>
    <w:p>
      <w:pPr>
        <w:spacing w:after="0" w:line="2" w:lineRule="exact"/>
        <w:rPr>
          <w:sz w:val="20"/>
          <w:szCs w:val="20"/>
          <w:color w:val="auto"/>
        </w:rPr>
      </w:pPr>
    </w:p>
    <w:p>
      <w:pPr>
        <w:jc w:val="both"/>
        <w:ind w:firstLine="8"/>
        <w:spacing w:after="0" w:line="286" w:lineRule="auto"/>
        <w:tabs>
          <w:tab w:leader="none" w:pos="26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time after which any such private disposition may be made. To the maximum extent permitted by applicable Requirements of Law, each Grantor waives all claims, damages, and demands against the Notes Collateral Agent arising out of the repossession, retention or sale of the Collateral, except those arising out of the gross negligence or willful misconduct of the Notes Collateral Agent as determined by a court of competent jurisdiction in a final and non-appealable judgment. To the extent it may lawfully do so, each Grantor absolutely and irrevocably waives and relinquishes the benefit and advantage of, and covenants not to assert against the Notes Collateral Agent, any valuation, stay (other than an automatic stay under any applicable Debtor Relief Law), appraisal, extension, moratorium, redemption or similar law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any notice (to the maximum extent permitted by applicable Requirements of Law) of any kind or all other requirements as to the time, place and terms of sale in connection with this Security Agreement or any Collateral.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8" w:name="page249"/>
    <w:bookmarkEnd w:id="248"/>
    <w:p>
      <w:pPr>
        <w:jc w:val="both"/>
        <w:ind w:firstLine="648"/>
        <w:spacing w:after="0" w:line="28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Limitation on Notes Collateral Agent’s Duty with Respect to the Collateral</w:t>
      </w:r>
      <w:r>
        <w:rPr>
          <w:rFonts w:ascii="Arial" w:cs="Arial" w:eastAsia="Arial" w:hAnsi="Arial"/>
          <w:sz w:val="16"/>
          <w:szCs w:val="16"/>
          <w:color w:val="auto"/>
        </w:rPr>
        <w:t xml:space="preserve">. The Notes Collateral Agent shall not have any obligation to clean or otherwise prepare the Collateral for sale. The Notes Collateral Agent shall use reasonable care with respect to the Collateral in its possession;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Notes Collateral Agent shall be deemed to have exercised reasonable care in the custody and preservation of any Collateral in its possession if such Collateral is accorded treatment substantially equal to which it accords its own property. The Notes Collateral Agent shall not have any other duty as to any Collateral in its possession or control or in the possession or control of any agent or nominee of the Notes Collateral Agent, or any income thereon or as to the preservation of rights against prior parties or any other rights pertaining thereto. To the extent that applicable Requirements of Law impose duties on the Notes Collateral Agent to exercise remedies in a commercially reasonable manner, each Grantor acknowledges and agrees that it would be commercially reasonable for the Notes Collateral Agent (a) to elect not to incur expenses to prepare Collateral for disposition or otherwise to transform raw material or work in process into finished goods or other finished products for disposition, (b) to elect not to obtain third-party consents for access to Collateral to be disposed of, or to obtain or, if not required by other law, to fail to obtain governmental or third-party consents for the collection or disposition of Collateral to be collected or disposed of, (c) to elect not to exercise collection remedies against Account Debtors or other Persons obligated on Collateral or to remove Liens on or any adverse claims against Collateral, (d) to exercise collection remedies against Account Debtors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any Grantor, for expressions of interest in acquiring all or any portion of such Collateral, (g) to hire one or more professional auctioneers to assist in the disposition of Collateral, whether or not the Collateral is of a specialized nature, (h) to dispose of Collateral by utilizing internet sites that provide for the auction of assets of the types included in the Collateral or that have the reasonable capacity of doing so, or that match buyers and sellers of assets, (i) to dispose of assets in wholesale rather than retail markets, (j) to disclaim disposition warranties, such as title, possession or quiet enjoyment, (k) to purchase insurance or credit enhancements to insure the Notes Collateral Agent against risks of loss in connection with any collection or disposition of Collateral or to provide to the Notes Collateral Agent a guaranteed return from the collection or disposition of Collateral or (l) to the extent deemed appropriate by the Notes Collateral Agent, to obtain the services of other brokers, investment bankers, consultants and other professionals to assist the Notes Collateral Agent in the collection or disposition of any of the Collateral. Each Grantor acknowledges that the purpose of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is to provide non-exhaustive indications of what actions or omissions by the Notes Collateral Agent would be commercially reasonable in the Notes Collateral Agent’s exercise of remedies with respect to the Collateral and that other actions or omissions by the Notes Collateral Agent shall not be deemed commercially unreasonable solely on account of not being indicated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Without limitation upon the foregoing, nothing contained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be construed to grant any rights to any Grantor or to impose any duties on the Notes Collateral Agent that would not have been granted or imposed by this Security Agreement or by applicable law in the absence of this </w:t>
      </w:r>
      <w:r>
        <w:rPr>
          <w:rFonts w:ascii="Arial" w:cs="Arial" w:eastAsia="Arial" w:hAnsi="Arial"/>
          <w:sz w:val="16"/>
          <w:szCs w:val="16"/>
          <w:u w:val="single" w:color="auto"/>
          <w:color w:val="auto"/>
        </w:rPr>
        <w:t>Section 7.02</w:t>
      </w:r>
      <w:r>
        <w:rPr>
          <w:rFonts w:ascii="Arial" w:cs="Arial" w:eastAsia="Arial" w:hAnsi="Arial"/>
          <w:sz w:val="16"/>
          <w:szCs w:val="16"/>
          <w:color w:val="auto"/>
        </w:rPr>
        <w:t>.</w:t>
      </w:r>
    </w:p>
    <w:p>
      <w:pPr>
        <w:spacing w:after="0" w:line="387"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Notes Collateral Agent Performance of Debtor Obligations</w:t>
      </w:r>
      <w:r>
        <w:rPr>
          <w:rFonts w:ascii="Arial" w:cs="Arial" w:eastAsia="Arial" w:hAnsi="Arial"/>
          <w:sz w:val="17"/>
          <w:szCs w:val="17"/>
          <w:color w:val="auto"/>
        </w:rPr>
        <w:t xml:space="preserve">. Without having any obligation to do so, the Notes Collateral Agent may, at any time when an Event of Default exists and is continuing and upon prior written notice to the Issuer, perform or pay any obligation which any Grantor has agreed to perform or pay under this Security Agreement and which obligation is due and unpaid and not being contested by such Grantor in good faith, and such Grantor shall reimburse the Notes Collateral Agent for any amounts paid by the Notes Collateral Agent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as a Secured Notes Obligation payable in accordance with </w:t>
      </w:r>
      <w:r>
        <w:rPr>
          <w:rFonts w:ascii="Arial" w:cs="Arial" w:eastAsia="Arial" w:hAnsi="Arial"/>
          <w:sz w:val="17"/>
          <w:szCs w:val="17"/>
          <w:u w:val="single" w:color="auto"/>
          <w:color w:val="auto"/>
        </w:rPr>
        <w:t>Section 12.08(bb)</w:t>
      </w:r>
      <w:r>
        <w:rPr>
          <w:rFonts w:ascii="Arial" w:cs="Arial" w:eastAsia="Arial" w:hAnsi="Arial"/>
          <w:sz w:val="17"/>
          <w:szCs w:val="17"/>
          <w:color w:val="auto"/>
        </w:rPr>
        <w:t xml:space="preserve"> of the Indenture.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9" w:name="page250"/>
    <w:bookmarkEnd w:id="249"/>
    <w:p>
      <w:pPr>
        <w:jc w:val="both"/>
        <w:ind w:firstLine="648"/>
        <w:spacing w:after="0" w:line="271"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 Waiver; Amendments; Cumulative Remedies</w:t>
      </w:r>
      <w:r>
        <w:rPr>
          <w:rFonts w:ascii="Arial" w:cs="Arial" w:eastAsia="Arial" w:hAnsi="Arial"/>
          <w:sz w:val="17"/>
          <w:szCs w:val="17"/>
          <w:color w:val="auto"/>
        </w:rPr>
        <w:t xml:space="preserve">. No delay or omission of the Notes Collateral Agent to exercise any right or remedy granted under this Security Agreement shall impair such right or remedy or be construed to be a waiver of any Default or an acquiescence therein, and no single or partial exercise of any such right or remedy shall preclude any other or further exercise thereof or the exercise of any other right or remedy. No waiver, amendment or other variation of the terms, conditions or provisions of this Security Agreement whatsoever shall be valid unless in writing signed by the Grantors and the Notes Collateral Agent with the concurrence or at the direction of the Holders to the extent required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of the Indenture and then only to the extent in such writing specifically set forth. All rights and remedies contained in this Security Agreement or afforded by law shall be cumulative and all shall be available to the Notes Collateral Agent until the Secured Notes Obligations (other than contingent indemnification obligations for which no claim or demand has been made) are paid in full.</w:t>
      </w: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Limitation by Law; Severability of Provisions</w:t>
      </w:r>
      <w:r>
        <w:rPr>
          <w:rFonts w:ascii="Arial" w:cs="Arial" w:eastAsia="Arial" w:hAnsi="Arial"/>
          <w:sz w:val="18"/>
          <w:szCs w:val="18"/>
          <w:color w:val="auto"/>
        </w:rPr>
        <w:t>. All rights, remedies and powers provided in this Security Agreement may be exercised only to the extent that the exercise thereof does not violate any applicable Requirements of Law, and all of the provisions of this Security Agreement are intended to be subject to all applicable mandatory Requirements of Law that may be controlling and to be limited to the extent necessary so that such provisions do not render this Security Agreement invalid, unenforceable or not entitled to be recorded or registered, in whole or in part. To the extent permitted by applicable Requirements of Law, any provision of this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of this Security Agreement; and the invalidity of a particular provision in a particular jurisdiction shall not invalidate such provision in any other jurisdiction.</w:t>
      </w:r>
    </w:p>
    <w:p>
      <w:pPr>
        <w:spacing w:after="0" w:line="2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Security Interest Absolute</w:t>
      </w:r>
      <w:r>
        <w:rPr>
          <w:rFonts w:ascii="Arial" w:cs="Arial" w:eastAsia="Arial" w:hAnsi="Arial"/>
          <w:sz w:val="17"/>
          <w:szCs w:val="17"/>
          <w:color w:val="auto"/>
        </w:rPr>
        <w:t xml:space="preserve">. All rights of the Notes Collateral Agent hereunder, the security interests granted hereunder and all obligations of each Grantor hereunder shall be absolute and unconditional irrespective of (a) any lack of validity or enforceability of the Indenture, any other Notes Document, any agreement with respect to any of the Secured Notes Obligations or any other agreement or instrument relating to any of the foregoing, (b) any change in the time, manner or place of payment of, or in any other term of, all or any of the Secured Notes Obligations, or any other amendment or waiver of or any consent to any departure from the Indenture, any other Notes Document or any other agreement or instrument relating to the foregoing, (c) any exchange, release or nonperfection of any Lien on any Collateral, or any release or amendment or waiver of or consent under or departure from any guaranty, securing or guaranteeing all or any of the Secured Notes Obligations, (d) any bankruptcy, insolvency, reorganization, arrangement, readjustment, composition, liquidation or the like of any Grantor, (e) any exercise or non-exercise, or any waiver of, any right, remedy, power or privilege under or in respect of this Security Agreement or any other Notes Document or (f) any other circumstance that might otherwise constitute a defense available to, or a discharge of, any Grantor in respect of the Secured Notes Obligations or this Security Agreement (other than a termination of any Lien contemplated by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or the repayment of the Secured Notes Obligations in full).</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Benefit of Security Agreement</w:t>
      </w:r>
      <w:r>
        <w:rPr>
          <w:rFonts w:ascii="Arial" w:cs="Arial" w:eastAsia="Arial" w:hAnsi="Arial"/>
          <w:sz w:val="17"/>
          <w:szCs w:val="17"/>
          <w:color w:val="auto"/>
        </w:rPr>
        <w:t>. The terms and provisions of this Security Agreement shall be binding upon and inure to the benefit of each Grantor, the Notes Collateral Agent and the Secured Notes Secured Parties and their respective successors and permitted assigns (including all Persons who become bound as a debtor to this Security Agreement). No sale of participations, assignments, transfers, or other dispositions of any agreement governing the Secured Notes Obligations or any portion thereof or interest therein shall in any manner impair the Lien granted to the Notes Collateral Agent hereunder for the benefit of the Notes Collateral Agent and the Secured Notes Secured Parties.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0" w:name="page251"/>
    <w:bookmarkEnd w:id="250"/>
    <w:p>
      <w:pPr>
        <w:jc w:val="both"/>
        <w:ind w:firstLine="648"/>
        <w:spacing w:after="0" w:line="263"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Survival of Representations</w:t>
      </w:r>
      <w:r>
        <w:rPr>
          <w:rFonts w:ascii="Arial" w:cs="Arial" w:eastAsia="Arial" w:hAnsi="Arial"/>
          <w:sz w:val="18"/>
          <w:szCs w:val="18"/>
          <w:color w:val="auto"/>
        </w:rPr>
        <w:t>. All representations and warranties of each Grantor contained in this Security Agreement shall survive the execution and delivery of this Security Agreement until the Secured Notes Obligations (other than contingent indemnification obligations for which no claim or demand has been made) are paid in full.</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Additional Grantors</w:t>
      </w:r>
      <w:r>
        <w:rPr>
          <w:rFonts w:ascii="Arial" w:cs="Arial" w:eastAsia="Arial" w:hAnsi="Arial"/>
          <w:sz w:val="18"/>
          <w:szCs w:val="18"/>
          <w:color w:val="auto"/>
        </w:rPr>
        <w:t xml:space="preserve">. Upon the execution and delivery by any Subsidiary or Successor Company of an instrument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accordance with the Indenture, such Person shall become a Subsidiary Party or Additional Party, as applicable, hereunder with the same force and effect as if such Person was originally named as a Grantor herein. The execution and delivery of any such instrument shall not require the consent of any other Grantor or any other Person. The rights and obligations of each Grantor hereunder shall remain in full force and effect notwithstanding the addition of any new Grantor as a party to this Security Agreement.</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Headings</w:t>
      </w:r>
      <w:r>
        <w:rPr>
          <w:rFonts w:ascii="Arial" w:cs="Arial" w:eastAsia="Arial" w:hAnsi="Arial"/>
          <w:sz w:val="18"/>
          <w:szCs w:val="18"/>
          <w:color w:val="auto"/>
        </w:rPr>
        <w:t>. The titles of and section headings in this Security Agreement are for convenience of reference only, and shall not govern the interpretation of any of the terms and provisions of this Security Agreement.</w:t>
      </w:r>
    </w:p>
    <w:p>
      <w:pPr>
        <w:spacing w:after="0" w:line="224"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Termination or Release</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3" w:lineRule="auto"/>
        <w:tabs>
          <w:tab w:leader="none" w:pos="137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This Security Agreement shall continue in effect until the Secured Notes Obligations (other than contingent indemnification obligations for which no claim or demand has been made) are paid in full, and the Liens granted hereunder shall automatically be released in the circumstances and to the extent described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of the Indenture.</w:t>
      </w:r>
    </w:p>
    <w:p>
      <w:pPr>
        <w:spacing w:after="0" w:line="237" w:lineRule="exact"/>
        <w:rPr>
          <w:rFonts w:ascii="Arial" w:cs="Arial" w:eastAsia="Arial" w:hAnsi="Arial"/>
          <w:sz w:val="18"/>
          <w:szCs w:val="18"/>
          <w:color w:val="auto"/>
        </w:rPr>
      </w:pPr>
    </w:p>
    <w:p>
      <w:pPr>
        <w:jc w:val="both"/>
        <w:ind w:firstLine="656"/>
        <w:spacing w:after="0" w:line="273" w:lineRule="auto"/>
        <w:tabs>
          <w:tab w:leader="none" w:pos="157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In connection with any termination or release pursuant to </w:t>
      </w:r>
      <w:r>
        <w:rPr>
          <w:rFonts w:ascii="Arial" w:cs="Arial" w:eastAsia="Arial" w:hAnsi="Arial"/>
          <w:sz w:val="17"/>
          <w:szCs w:val="17"/>
          <w:u w:val="single" w:color="auto"/>
          <w:color w:val="auto"/>
        </w:rPr>
        <w:t>Section 7.12(a)</w:t>
      </w:r>
      <w:r>
        <w:rPr>
          <w:rFonts w:ascii="Arial" w:cs="Arial" w:eastAsia="Arial" w:hAnsi="Arial"/>
          <w:sz w:val="17"/>
          <w:szCs w:val="17"/>
          <w:color w:val="auto"/>
        </w:rPr>
        <w:t xml:space="preserve">, the Notes Collateral Agent shall promptly execute (if applicable) and deliver to any Grantor, at such Grantor’s expense, all UCC termination statements and similar documents that such Grantor shall reasonably request to evidence and/or effectuate such termination or release. Any execution and delivery of documents pursuant to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shall be without recourse to or representation or warranty by the Notes Collateral Agent or any Secured Notes Secured Party. The Issuer shall reimburse the Notes Collateral Agent for all costs and expenses, including any fees and expenses of counsel, incurred by it in connection with any action contemplated by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pursuant to and to the extent required by </w:t>
      </w:r>
      <w:r>
        <w:rPr>
          <w:rFonts w:ascii="Arial" w:cs="Arial" w:eastAsia="Arial" w:hAnsi="Arial"/>
          <w:sz w:val="17"/>
          <w:szCs w:val="17"/>
          <w:u w:val="single" w:color="auto"/>
          <w:color w:val="auto"/>
        </w:rPr>
        <w:t>Section 12.08(bb)</w:t>
      </w:r>
      <w:r>
        <w:rPr>
          <w:rFonts w:ascii="Arial" w:cs="Arial" w:eastAsia="Arial" w:hAnsi="Arial"/>
          <w:sz w:val="17"/>
          <w:szCs w:val="17"/>
          <w:color w:val="auto"/>
        </w:rPr>
        <w:t xml:space="preserve"> of the Indenture.</w:t>
      </w:r>
    </w:p>
    <w:p>
      <w:pPr>
        <w:spacing w:after="0" w:line="231" w:lineRule="exact"/>
        <w:rPr>
          <w:rFonts w:ascii="Arial" w:cs="Arial" w:eastAsia="Arial" w:hAnsi="Arial"/>
          <w:sz w:val="17"/>
          <w:szCs w:val="17"/>
          <w:color w:val="auto"/>
        </w:rPr>
      </w:pPr>
    </w:p>
    <w:p>
      <w:pPr>
        <w:ind w:firstLine="656"/>
        <w:spacing w:after="0" w:line="342" w:lineRule="auto"/>
        <w:tabs>
          <w:tab w:leader="none" w:pos="140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The Notes Collateral Agent shall have no liability whatsoever to any other Secured Notes Secured Party as the result of any release of Collateral by it in accordance with (or which the Notes Collateral Agent in good faith believes to be in accordance with) the terms of this </w:t>
      </w:r>
      <w:r>
        <w:rPr>
          <w:rFonts w:ascii="Arial" w:cs="Arial" w:eastAsia="Arial" w:hAnsi="Arial"/>
          <w:sz w:val="16"/>
          <w:szCs w:val="16"/>
          <w:u w:val="single" w:color="auto"/>
          <w:color w:val="auto"/>
        </w:rPr>
        <w:t>Section 7.12</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firstLine="656"/>
        <w:spacing w:after="0" w:line="254" w:lineRule="auto"/>
        <w:tabs>
          <w:tab w:leader="none" w:pos="15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At any time that a Grantor desires that the Notes Collateral Agent take any action to acknowledge or give effect to any release of Collateral pursuant to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upon request by the Notes Collateral Agent, such Grantor shall deliver to the Notes Collateral Agent a certificate signed by a Responsible Officer of such Grantor (or the Issuer on behalf of such Grantor) stating that the release of the respective Collateral is permitted pursuant to such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and the terms of the Indenture. At any time that any Grantor desires that a Restricted Subsidiary of such Grantor be released hereunder, it shall deliver to the Notes Collateral Agent a certificate signed by a Responsible Officer of such Grantor (or the Issuer on behalf of such Grantor) stating that the release of the respective Grantor (and its Collateral) is permitted pursuant to such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and the terms of the Indenture.</w:t>
      </w:r>
    </w:p>
    <w:p>
      <w:pPr>
        <w:spacing w:after="0" w:line="2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i w:val="1"/>
          <w:iCs w:val="1"/>
          <w:color w:val="auto"/>
        </w:rPr>
        <w:t>Entire Agreement</w:t>
      </w:r>
      <w:r>
        <w:rPr>
          <w:rFonts w:ascii="Arial" w:cs="Arial" w:eastAsia="Arial" w:hAnsi="Arial"/>
          <w:sz w:val="17"/>
          <w:szCs w:val="17"/>
          <w:color w:val="auto"/>
        </w:rPr>
        <w:t>. This Security Agreement, together with the other Notes Documents (including any Intercreditor Agreements), embodies the entire agreement and understanding between each Grantor and the Notes Collateral Agent relating to the Collateral and supersedes all prior agreements and understandings between any Grantor and the Notes Collateral Agent relating to the Collateral.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1" w:name="page252"/>
    <w:bookmarkEnd w:id="251"/>
    <w:p>
      <w:pPr>
        <w:jc w:val="both"/>
        <w:ind w:firstLine="648"/>
        <w:spacing w:after="0" w:line="286"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i w:val="1"/>
          <w:iCs w:val="1"/>
          <w:color w:val="auto"/>
        </w:rPr>
        <w:t>CHOICE OF LAW</w:t>
      </w:r>
      <w:r>
        <w:rPr>
          <w:rFonts w:ascii="Arial" w:cs="Arial" w:eastAsia="Arial" w:hAnsi="Arial"/>
          <w:sz w:val="17"/>
          <w:szCs w:val="17"/>
          <w:color w:val="auto"/>
        </w:rPr>
        <w:t>. THIS SECURITY AGREEMENT AND ANY CLAIM, CONTROVERSY OR DISPUTE ARISING UNDER OR RELATED TO THIS SECURITY AGREEMENT, WHETHER IN TORT, CONTRACT (AT LAW OR IN EQUITY) OR OTHERWISE, SHALL BE GOVERNED BY, AND CONSTRUED AND INTERPRETED IN ACCORDANCE WITH, THE LAWS OF THE STATE OF NEW YORK.</w:t>
      </w:r>
    </w:p>
    <w:p>
      <w:pPr>
        <w:spacing w:after="0" w:line="21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i w:val="1"/>
          <w:iCs w:val="1"/>
          <w:color w:val="auto"/>
        </w:rPr>
        <w:t>CONSENT TO JURISDICTION; CONSENT TO SERVICE OF PROCESS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7" w:lineRule="auto"/>
        <w:tabs>
          <w:tab w:leader="none" w:pos="138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THIS SECURITY AGREEMENT AND AGREES THAT ALL CLAIMS, CONTROVERSIES OR DISPUTES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NOTHING IN THIS SECURITY AGREEMENT SHALL AFFECT ANY RIGHT THAT THE NOTES COLLATERAL AGENT OR ANY SECURED NOTES SECURED PARTY MAY OTHERWISE HAVE TO BRING ANY ENFORCEMENT ACTION OR PROCEEDING RELATING TO THIS SECURITY AGREEMENT, INCLUDING ANY SUCH ACTION OR PROCEEDING IN CONNECTION WITH THE EXERCISE OF REMEDIES WITH RESPECT TO COLLATERAL, AGAINST THE GRANTORS OR THEIR PROPERTY IN THE COURTS OF ANY JURISDICTION. EACH PARTY HERETO HEREBY IRREVOCABLY AND UNCONDITIONALLY WAIVES, TO THE FULLEST EXTENT IT MAY LEGALLY AND EFFECTIVELY DO SO, ANY OBJECTION WHICH IT MAY NOW OR HEREAFTER HAVE TO THE LAYING OF VENUE OF ANY SUIT, ACTION OR PROCEEDING ARISING OUT OF OR RELATING TO THIS SECURITY AGREEMENT IN ANY SUCH COURT. EACH PARTY HERETO HEREBY IRREVOCABLY WAIVES, TO THE FULLEST EXTENT PERMITTED BY APPLICABLE REQUIREMENTS OF LAW, ANY CLAIM OR DEFENSE OF AN INCONVENIENT FORUM TO THE MAINTENANCE OF SUCH ACTION, SUIT OR PROCEEDING IN ANY SUCH COURT.</w:t>
      </w:r>
    </w:p>
    <w:p>
      <w:pPr>
        <w:spacing w:after="0" w:line="242" w:lineRule="exact"/>
        <w:rPr>
          <w:rFonts w:ascii="Arial" w:cs="Arial" w:eastAsia="Arial" w:hAnsi="Arial"/>
          <w:sz w:val="17"/>
          <w:szCs w:val="17"/>
          <w:color w:val="auto"/>
        </w:rPr>
      </w:pPr>
    </w:p>
    <w:p>
      <w:pPr>
        <w:jc w:val="both"/>
        <w:ind w:firstLine="656"/>
        <w:spacing w:after="0" w:line="271" w:lineRule="auto"/>
        <w:tabs>
          <w:tab w:leader="none" w:pos="123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REQUIREMENTS OF LAW, EACH PARTY TO THIS SECURITY AGREEMENT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OF THE INDENTURE. EACH PARTY TO THIS SECURITY AGREEMENT HEREBY WAIVES ANY OBJECTION TO SUCH SERVICE OF PROCESS AND FURTHER IRREVOCABLY WAIVES AND AGREES NOT TO PLEAD OR CLAIM IN ANY ACTION OR PROCEEDING COMMENCED HEREUNDER THAT SERVICE OF PROCESS WAS INVALID AND INEFFECTIVE. NOTHING IN THIS SECURITY AGREEMENT WILL AFFECT THE RIGHT OF ANY PARTY TO THIS SECURITY AGREEMENT TO SERVE PROCESS IN ANY OTHER MANNER PERMITTED BY APPLICABLE REQUIREMENTS OF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2" w:name="page253"/>
    <w:bookmarkEnd w:id="252"/>
    <w:p>
      <w:pPr>
        <w:ind w:left="660"/>
        <w:spacing w:after="0"/>
        <w:tabs>
          <w:tab w:leader="none" w:pos="2400" w:val="left"/>
        </w:tabs>
        <w:rPr>
          <w:sz w:val="20"/>
          <w:szCs w:val="20"/>
          <w:color w:val="auto"/>
        </w:rPr>
      </w:pPr>
      <w:r>
        <w:rPr>
          <w:rFonts w:ascii="Arial" w:cs="Arial" w:eastAsia="Arial" w:hAnsi="Arial"/>
          <w:sz w:val="18"/>
          <w:szCs w:val="18"/>
          <w:color w:val="auto"/>
        </w:rPr>
        <w:t>SECTION 7.16.</w:t>
      </w:r>
      <w:r>
        <w:rPr>
          <w:sz w:val="20"/>
          <w:szCs w:val="20"/>
          <w:color w:val="auto"/>
        </w:rPr>
        <w:tab/>
      </w: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 EACH PARTY HERETO HEREBY IRREVOCABLY WAIVES, TO THE FULLEST</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EXTENT PERMITTED BY APPLICABLE REQUIREMENTS OF LAW, ANY RIGHT IT MAY HAVE TO A TRIAL BY JURY IN ANY SUIT, ACTION, PROCEEDING OR COUNTERCLAIM (WHETHER BASED ON CONTRACT, TORT OR ANY OTHER THEORY) DIRECTLY OR INDIRECTLY ARISING OUT OF OR RELATING TO THIS SECURITY AGREEMENT OR THE TRANSACTIONS CONTEMPLATED 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SECURITY AGREEMENT BY, AMONG OTHER THINGS, THE MUTUAL WAIVERS AND CERTIFICATIONS IN THIS </w:t>
      </w:r>
      <w:r>
        <w:rPr>
          <w:rFonts w:ascii="Arial" w:cs="Arial" w:eastAsia="Arial" w:hAnsi="Arial"/>
          <w:sz w:val="18"/>
          <w:szCs w:val="18"/>
          <w:b w:val="1"/>
          <w:bCs w:val="1"/>
          <w:u w:val="single" w:color="auto"/>
          <w:color w:val="auto"/>
        </w:rPr>
        <w:t>SECTION 7.16</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7.17. </w:t>
      </w:r>
      <w:r>
        <w:rPr>
          <w:rFonts w:ascii="Arial" w:cs="Arial" w:eastAsia="Arial" w:hAnsi="Arial"/>
          <w:sz w:val="17"/>
          <w:szCs w:val="17"/>
          <w:i w:val="1"/>
          <w:iCs w:val="1"/>
          <w:color w:val="auto"/>
        </w:rPr>
        <w:t>Indemnity</w:t>
      </w:r>
      <w:r>
        <w:rPr>
          <w:rFonts w:ascii="Arial" w:cs="Arial" w:eastAsia="Arial" w:hAnsi="Arial"/>
          <w:sz w:val="17"/>
          <w:szCs w:val="17"/>
          <w:color w:val="auto"/>
        </w:rPr>
        <w:t xml:space="preserve">. Each Grantor hereby agrees to indemnify each of the Notes Collateral Agent or any predecessor Notes Collateral Agent and their respective officers, agents, directors and employees, as, and to the extent, set forth in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of the Indenture.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Counterparts</w:t>
      </w:r>
      <w:r>
        <w:rPr>
          <w:rFonts w:ascii="Arial" w:cs="Arial" w:eastAsia="Arial" w:hAnsi="Arial"/>
          <w:sz w:val="18"/>
          <w:szCs w:val="18"/>
          <w:color w:val="auto"/>
        </w:rPr>
        <w:t>. This Security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Security Agreement by facsimile or by email as a “.pdf” or “.tif” attachment or other electronic transmission shall be effective as delivery of a manually executed counterpart of this Security Agreement.</w:t>
      </w: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INTERCREDITOR AGREEMENTS GOVERN</w:t>
      </w:r>
      <w:r>
        <w:rPr>
          <w:rFonts w:ascii="Arial" w:cs="Arial" w:eastAsia="Arial" w:hAnsi="Arial"/>
          <w:sz w:val="18"/>
          <w:szCs w:val="18"/>
          <w:color w:val="auto"/>
        </w:rPr>
        <w:t>. NOTWITHSTANDING ANYTHING HEREIN TO THE CONTRARY, THE PRIORITY OF THE LIENS AND SECURITY INTERESTS GRANTED TO THE NOTES COLLATERAL AGENT FOR THE BENEFIT OF THE SECURED NOTES SECURED PARTIES PURSUANT TO THIS SECURITY AGREEMENT AND THE EXERCISE OF ANY RIGHT OR REMEDY BY THE NOTES COLLATERAL AGENT WITH RESPECT TO ANY COLLATERAL HEREUNDER ARE SUBJECT TO THE PROVISIONS OF ANY INTERCREDITOR AGREEMENTS. IN THE EVENT OF ANY CONFLICT BETWEEN THE PROVISIONS OF ANY INTERCREDITOR AGREEMENT (INCLUDING THE EQUAL PRIORITY INTERCREDITOR AGREEMENT) AND THIS SECURITY AGREEMENT WITH RESPECT TO THE PRIORITY OF THE LIENS AND SECURITY INTERESTS GRANTED HEREUNDER AND THE EXERCISE OF ANY RIGHTS OR REMEDIES WITH RESPECT TO THE COLLATERAL, THE PROVISIONS OF SUCH INTERCREDITOR AGREEMENT SHALL GOVERN AND CONTROL.</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obligation of any Grantor in this Agreement that requires (or any representation or warranty hereunder to the extent that it would have the effect of requiring) delivery of Collateral to, or the possession or Control of Collateral with the Notes Collateral Agent shall be deemed complied with and satisfied (or, in the case of any representation or warranty hereunder, shall be deemed to be true) if such delivery of Collateral is made to, or such possession or Control of Collateral is with, the Controlling Authorized Representative (as such term is defined in the Equal Priority Intercreditor Agreement) acting as bailee for perfection on behalf of the Notes Collateral Agent in accordance with the Equal Priority Intercreditor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53" w:name="page254"/>
    <w:bookmarkEnd w:id="253"/>
    <w:p>
      <w:pPr>
        <w:jc w:val="both"/>
        <w:ind w:firstLine="648"/>
        <w:spacing w:after="0" w:line="255" w:lineRule="auto"/>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i w:val="1"/>
          <w:iCs w:val="1"/>
          <w:color w:val="auto"/>
        </w:rPr>
        <w:t>Waiver of Consequential Damages, Etc</w:t>
      </w:r>
      <w:r>
        <w:rPr>
          <w:rFonts w:ascii="Arial" w:cs="Arial" w:eastAsia="Arial" w:hAnsi="Arial"/>
          <w:sz w:val="18"/>
          <w:szCs w:val="18"/>
          <w:color w:val="auto"/>
        </w:rPr>
        <w:t xml:space="preserve">. To the extent permitted by applicable law, none of the Grantors or Secured Notes Secured Parties shall assert, and each hereby waives, any claim against each other or any Related Person thereof, on any theory of liability, for special, indirect, consequential or punitive damages (as opposed to direct or actual damages) arising out of, in connection with, or as a result of, this Security Agreement or any agreement or instrument contemplated hereby, except, in the case of any claim by any of the Notes Collateral Agent or any predecessor Notes Collateral Agent and their respective officers, agents, directors and employees against any of the Grantors, to the extent such damages would otherwise be subject to indemnification pursuant to the terms of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2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7.21. </w:t>
      </w:r>
      <w:r>
        <w:rPr>
          <w:rFonts w:ascii="Arial" w:cs="Arial" w:eastAsia="Arial" w:hAnsi="Arial"/>
          <w:sz w:val="17"/>
          <w:szCs w:val="17"/>
          <w:i w:val="1"/>
          <w:iCs w:val="1"/>
          <w:color w:val="auto"/>
        </w:rPr>
        <w:t>Mortgages and Ship Mortgages</w:t>
      </w:r>
      <w:r>
        <w:rPr>
          <w:rFonts w:ascii="Arial" w:cs="Arial" w:eastAsia="Arial" w:hAnsi="Arial"/>
          <w:sz w:val="17"/>
          <w:szCs w:val="17"/>
          <w:color w:val="auto"/>
        </w:rPr>
        <w:t>. In the case of (i) a conflict between this Security Agreement and any Mortgage with respect to any Material Real Estate Asset that is also subject to a valid and enforceable Lien under the terms of such Mortgage (including Fixtures), the terms of such Mortgage shall govern, and (ii) a conflict between this Security Agreement and any Ship Mortgage with respect to any tanker or other marine vessel that is also subject to a valid and enforceable Lien under the terms of such Ship Mortgage, the terms of such Ship Mortgage shall govern.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7.22.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Whenever in this Security Agreement any party hereto is referred to, such reference shall be deemed to include the successors and permitted assigns of such party; and all covenants, promises and agreements by or on behalf of any Grantor or the Notes Collateral Agent in this Security Agreement shall bind and inure to the benefit of their respective successors and permitted assigns. Except in a transaction expressly permitted under the Indenture, no Grantor may assign any of its rights or obligations hereunder without the written consent of the Notes Collateral Agent.</w:t>
      </w:r>
    </w:p>
    <w:p>
      <w:pPr>
        <w:spacing w:after="0" w:line="2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7.23. </w:t>
      </w:r>
      <w:r>
        <w:rPr>
          <w:rFonts w:ascii="Arial" w:cs="Arial" w:eastAsia="Arial" w:hAnsi="Arial"/>
          <w:sz w:val="17"/>
          <w:szCs w:val="17"/>
          <w:i w:val="1"/>
          <w:iCs w:val="1"/>
          <w:color w:val="auto"/>
        </w:rPr>
        <w:t>Survival of Agreement.</w:t>
      </w:r>
      <w:r>
        <w:rPr>
          <w:rFonts w:ascii="Arial" w:cs="Arial" w:eastAsia="Arial" w:hAnsi="Arial"/>
          <w:sz w:val="17"/>
          <w:szCs w:val="17"/>
          <w:color w:val="auto"/>
        </w:rPr>
        <w:t xml:space="preserve"> Without limiting any provision of the Indenture or </w:t>
      </w:r>
      <w:r>
        <w:rPr>
          <w:rFonts w:ascii="Arial" w:cs="Arial" w:eastAsia="Arial" w:hAnsi="Arial"/>
          <w:sz w:val="17"/>
          <w:szCs w:val="17"/>
          <w:u w:val="single" w:color="auto"/>
          <w:color w:val="auto"/>
        </w:rPr>
        <w:t>Section 7.17</w:t>
      </w:r>
      <w:r>
        <w:rPr>
          <w:rFonts w:ascii="Arial" w:cs="Arial" w:eastAsia="Arial" w:hAnsi="Arial"/>
          <w:sz w:val="17"/>
          <w:szCs w:val="17"/>
          <w:color w:val="auto"/>
        </w:rPr>
        <w:t xml:space="preserve"> hereof, all covenants, agreements, indemnities, representations and warranties made by the Grantors in the Notes Documents and in the certificates or other instruments delivered in connection with or pursuant to this Security Agreement or any other Notes Document shall be considered to have been relied upon by the Secured Notes Secured Parties and shall survive the execution and delivery of the Notes Documents and the issuance of any Notes, regardless of any investigation made by any such Secured Notes Secured Party or on its behalf and notwithstanding that the Notes Collateral Agent or any Secured Notes Secured Party may have had notice or knowledge of any Default or Event of Default or incorrect representation or warranty at the time any credit is extended under the Indenture, and shall continue in full force and effect until the Secured Notes Obligations (other than contingent indemnification obligations for which no claim or demand has been made) are paid in full, or with respect to any individual Grantor until such Grantor is otherwise released from its obligations under this Security Agreement in accordance with the terms hereof.</w:t>
      </w:r>
    </w:p>
    <w:p>
      <w:pPr>
        <w:spacing w:after="0" w:line="23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i w:val="1"/>
          <w:iCs w:val="1"/>
          <w:color w:val="auto"/>
        </w:rPr>
        <w:t>Mexican Security Agreements</w:t>
      </w:r>
      <w:r>
        <w:rPr>
          <w:rFonts w:ascii="Arial" w:cs="Arial" w:eastAsia="Arial" w:hAnsi="Arial"/>
          <w:sz w:val="18"/>
          <w:szCs w:val="18"/>
          <w:color w:val="auto"/>
        </w:rPr>
        <w:t>. Notwithstanding anything to the contrary contained herein, the Mexican Parties will grant to the Notes Collateral Agent and/or the applicable Common Representative, as the case may be, and their respective successors and permitted assigns, for the benefit of the Secured Notes Secured Parties, on the terms of and pursuant to the Mexican Security Agreements, a continuing security interest in all of its right in, and title and interest to and under all of the Pledged Assets and/or Pledged Equity Interests (to be defined in the Mexican Security Agreements). Any such Collateral owned by the Mexican Parties and secured under the Mexican Security Agreements, shall be secured exclusively under such Mexican Security Agreements.</w:t>
      </w:r>
    </w:p>
    <w:p>
      <w:pPr>
        <w:spacing w:after="0" w:line="2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NOTICES</w:t>
      </w:r>
    </w:p>
    <w:p>
      <w:pPr>
        <w:spacing w:after="0" w:line="2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Sending Notices</w:t>
      </w:r>
      <w:r>
        <w:rPr>
          <w:rFonts w:ascii="Arial" w:cs="Arial" w:eastAsia="Arial" w:hAnsi="Arial"/>
          <w:sz w:val="18"/>
          <w:szCs w:val="18"/>
          <w:color w:val="auto"/>
        </w:rPr>
        <w:t xml:space="preserve">. Any notice required or permitted to be given under this Security Agreement shall be delivered in accordance with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of the Indenture (it being understood and agreed that references in such Section to “herein,” “hereunder” and other similar terms shall be deemed to be references to this Security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4" w:name="page255"/>
    <w:bookmarkEnd w:id="254"/>
    <w:p>
      <w:pPr>
        <w:jc w:val="both"/>
        <w:ind w:firstLine="648"/>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Change in Address for Notices</w:t>
      </w:r>
      <w:r>
        <w:rPr>
          <w:rFonts w:ascii="Arial" w:cs="Arial" w:eastAsia="Arial" w:hAnsi="Arial"/>
          <w:sz w:val="18"/>
          <w:szCs w:val="18"/>
          <w:color w:val="auto"/>
        </w:rPr>
        <w:t>. Each of the Grantors, the Notes Collateral Agent and the Secured Notes Secured Parties may change the address or facsimile number for service of notice upon it by a notice in writing to the other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COLLATERAL AGENT</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U.S. Bank has been appointed Notes Collateral Agent for the Holders hereunder pursuant to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of the Indenture. It is expressly understood and agreed by the parties to this Security Agreement that any authority conferred upon the Notes Collateral Agent hereunder is subject to the terms of the delegation of authority made by the Holders to the Notes Collateral Agent pursuant to the Indenture, and that the Notes Collateral Agent has agreed to act (and any successor Notes Collateral Agent shall act) as such hereunder only on the express conditions contained in such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Any successor Notes Collateral Agent appointed pursuant to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of the Indenture shall be entitled to all the rights, interests and benefits of the Notes Collateral Agent hereunder. All of the rights, protections and immunities granted to the Notes Collateral Agent under the Indenture shall be applicable to the Notes Collateral Agent under this Security Agreement as if fully set forth herein.</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By accepting the benefits of this Security Agreement and any other Notes Document, each Secured Notes Secured Party expressly acknowledges and agrees that this Security Agreement and each other Notes Document may be enforced only by the action of the Notes Collateral Agent, and that such Secured Notes Secured Party shall not have any right individually to seek to enforce or to enforce this Security Agreement or to realize upon the security to be granted hereby, it being understood and agreed that such rights and remedies may be exercised by the Notes Collateral Agent for the benefit of the Secured Notes Secured Parties upon the terms of this Security Agreement and the other Notes Documents.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5" w:name="page256"/>
    <w:bookmarkEnd w:id="255"/>
    <w:p>
      <w:pPr>
        <w:ind w:left="660"/>
        <w:spacing w:after="0"/>
        <w:rPr>
          <w:sz w:val="20"/>
          <w:szCs w:val="20"/>
          <w:color w:val="auto"/>
        </w:rPr>
      </w:pPr>
      <w:r>
        <w:rPr>
          <w:rFonts w:ascii="Arial" w:cs="Arial" w:eastAsia="Arial" w:hAnsi="Arial"/>
          <w:sz w:val="16"/>
          <w:szCs w:val="16"/>
          <w:color w:val="auto"/>
        </w:rPr>
        <w:t>IN WITNESS WHEREOF, each Grantor and the Notes Collateral Agent have executed this Security Agreement as of the date first above written.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GRANTORS:</w:t>
            </w: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NEW FORTRESS ENERGY INC.</w:t>
            </w:r>
          </w:p>
        </w:tc>
      </w:tr>
      <w:tr>
        <w:trPr>
          <w:trHeight w:val="453"/>
        </w:trPr>
        <w:tc>
          <w:tcPr>
            <w:tcW w:w="334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Christopher S. Guinta</w:t>
            </w:r>
          </w:p>
        </w:tc>
      </w:tr>
      <w:tr>
        <w:trPr>
          <w:trHeight w:val="230"/>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32"/>
        </w:trPr>
        <w:tc>
          <w:tcPr>
            <w:tcW w:w="3340" w:type="dxa"/>
            <w:vAlign w:val="bottom"/>
          </w:tcPr>
          <w:p>
            <w:pPr>
              <w:spacing w:after="0"/>
              <w:rPr>
                <w:sz w:val="24"/>
                <w:szCs w:val="24"/>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NEW FORTRESS INTERMEDIATE LLC</w:t>
            </w:r>
          </w:p>
        </w:tc>
      </w:tr>
      <w:tr>
        <w:trPr>
          <w:trHeight w:val="453"/>
        </w:trPr>
        <w:tc>
          <w:tcPr>
            <w:tcW w:w="334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Christopher S. Guinta</w:t>
            </w:r>
          </w:p>
        </w:tc>
      </w:tr>
      <w:tr>
        <w:trPr>
          <w:trHeight w:val="230"/>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32"/>
        </w:trPr>
        <w:tc>
          <w:tcPr>
            <w:tcW w:w="3340" w:type="dxa"/>
            <w:vAlign w:val="bottom"/>
          </w:tcPr>
          <w:p>
            <w:pPr>
              <w:spacing w:after="0"/>
              <w:rPr>
                <w:sz w:val="24"/>
                <w:szCs w:val="24"/>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NFE ATLANTIC HOLDINGS LLC</w:t>
            </w:r>
          </w:p>
        </w:tc>
      </w:tr>
      <w:tr>
        <w:trPr>
          <w:trHeight w:val="453"/>
        </w:trPr>
        <w:tc>
          <w:tcPr>
            <w:tcW w:w="3340" w:type="dxa"/>
            <w:vAlign w:val="bottom"/>
          </w:tcPr>
          <w:p>
            <w:pPr>
              <w:spacing w:after="0"/>
              <w:rPr>
                <w:sz w:val="24"/>
                <w:szCs w:val="24"/>
                <w:color w:val="auto"/>
              </w:rPr>
            </w:pPr>
          </w:p>
        </w:tc>
        <w:tc>
          <w:tcPr>
            <w:tcW w:w="2860" w:type="dxa"/>
            <w:vAlign w:val="bottom"/>
          </w:tcPr>
          <w:p>
            <w:pPr>
              <w:ind w:left="23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Christopher S. Guinta</w:t>
            </w:r>
          </w:p>
        </w:tc>
      </w:tr>
      <w:tr>
        <w:trPr>
          <w:trHeight w:val="230"/>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6" w:name="page257"/>
    <w:bookmarkEnd w:id="256"/>
    <w:p>
      <w:pPr>
        <w:ind w:left="4500"/>
        <w:spacing w:after="0"/>
        <w:rPr>
          <w:sz w:val="20"/>
          <w:szCs w:val="20"/>
          <w:color w:val="auto"/>
        </w:rPr>
      </w:pPr>
      <w:r>
        <w:rPr>
          <w:rFonts w:ascii="Arial" w:cs="Arial" w:eastAsia="Arial" w:hAnsi="Arial"/>
          <w:sz w:val="18"/>
          <w:szCs w:val="18"/>
          <w:color w:val="auto"/>
        </w:rPr>
        <w:t>AMERICAN ENERGY LOGISTICS SOLUTIONS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LNG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BRADFORD COUNTY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ISLAND LNG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(FLORIDA)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ANGOLA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HONDURAS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INTERNATIONAL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JAMAICA GP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LOGISTICS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MANAGEMENT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NICARAGUA DEVELOPMENT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NICARAGUA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PLANT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SUB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TICO DEVELOPMENT PARTNERS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TICO DEVELOPMENT PARTNERS LLC</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7" w:name="page258"/>
    <w:bookmarkEnd w:id="257"/>
    <w:p>
      <w:pPr>
        <w:ind w:left="4500"/>
        <w:spacing w:after="0"/>
        <w:rPr>
          <w:sz w:val="20"/>
          <w:szCs w:val="20"/>
          <w:color w:val="auto"/>
        </w:rPr>
      </w:pPr>
      <w:r>
        <w:rPr>
          <w:rFonts w:ascii="Arial" w:cs="Arial" w:eastAsia="Arial" w:hAnsi="Arial"/>
          <w:sz w:val="18"/>
          <w:szCs w:val="18"/>
          <w:color w:val="auto"/>
        </w:rPr>
        <w:t>ATLANTIC DISTRIBUTION HOLDINGS SRL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ENERGY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TERMINAL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POWER HOLDINGS SRL</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ENERGY INFRASTRUCTURE HOLDINGS SRL</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PIPELINE HOLDINGS SRL</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ATLANTIC TERMINAL INFRASTRUCTURE HOLDINGS SRL</w:t>
      </w:r>
    </w:p>
    <w:p>
      <w:pPr>
        <w:spacing w:after="0" w:line="24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POWER HOLDINGS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INFRASTRUCTURE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TRADING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POWER TRADING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TRADING LIMITED</w:t>
      </w: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SHANNON HOLDINGS LIMITED</w:t>
      </w:r>
    </w:p>
    <w:p>
      <w:pPr>
        <w:spacing w:after="0" w:line="25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DISTRIBUTION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TRANSPORT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POWER TRADING LIMITED</w:t>
      </w: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AMAUNET, S. DE R.L. DE C.V.</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NFENERGIA MEXICO, S. DE R.L. DE C.V.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NFENERGIA GN DE BCS, S. DE R.L. DE C.V.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PACIFICO LAP, S. DE R.L. DE C.V.</w:t>
      </w: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125" w:right="1119" w:bottom="1440" w:gutter="0" w:footer="0" w:header="0"/>
        </w:sectPr>
      </w:pPr>
    </w:p>
    <w:bookmarkStart w:id="258" w:name="page259"/>
    <w:bookmarkEnd w:id="258"/>
    <w:p>
      <w:pPr>
        <w:ind w:left="4500"/>
        <w:spacing w:after="0"/>
        <w:rPr>
          <w:sz w:val="20"/>
          <w:szCs w:val="20"/>
          <w:color w:val="auto"/>
        </w:rPr>
      </w:pPr>
      <w:r>
        <w:rPr>
          <w:rFonts w:ascii="Arial" w:cs="Arial" w:eastAsia="Arial" w:hAnsi="Arial"/>
          <w:sz w:val="18"/>
          <w:szCs w:val="18"/>
          <w:color w:val="auto"/>
        </w:rPr>
        <w:t>NFENERGÍA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SOLUCIONES DE ENERGIA LIMPIA PR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POWER PR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EAST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WEST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POWER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POWER WEST LLC</w:t>
      </w: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B.V.</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PARENT B.V.</w:t>
      </w: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line="277" w:lineRule="auto"/>
        <w:rPr>
          <w:sz w:val="20"/>
          <w:szCs w:val="20"/>
          <w:color w:val="auto"/>
        </w:rPr>
      </w:pPr>
      <w:r>
        <w:rPr>
          <w:rFonts w:ascii="Arial" w:cs="Arial" w:eastAsia="Arial" w:hAnsi="Arial"/>
          <w:sz w:val="18"/>
          <w:szCs w:val="18"/>
          <w:color w:val="auto"/>
        </w:rPr>
        <w:t>NFE NICARAGUA DEVELOPMENT PARTNERS LLC SUCURSAL NICARAGUA</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INTERNATIONAL HOLDINGS LIMITED</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Guinta</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-130175</wp:posOffset>
            </wp:positionV>
            <wp:extent cx="341185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60"/>
          </w:cols>
          <w:pgMar w:left="1440" w:top="125" w:right="7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COLLATERAL AGENT:</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U.S. Bank National Association,</w:t>
            </w:r>
          </w:p>
        </w:tc>
      </w:t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as the Notes Collateral Agent</w:t>
            </w:r>
          </w:p>
        </w:tc>
      </w:tr>
      <w:tr>
        <w:trPr>
          <w:trHeight w:val="453"/>
        </w:trPr>
        <w:tc>
          <w:tcPr>
            <w:tcW w:w="3760" w:type="dxa"/>
            <w:vAlign w:val="bottom"/>
          </w:tcPr>
          <w:p>
            <w:pPr>
              <w:spacing w:after="0"/>
              <w:rPr>
                <w:sz w:val="24"/>
                <w:szCs w:val="24"/>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Joshua A. Hahn</w:t>
            </w:r>
          </w:p>
        </w:tc>
      </w:tr>
      <w:tr>
        <w:trPr>
          <w:trHeight w:val="202"/>
        </w:trPr>
        <w:tc>
          <w:tcPr>
            <w:tcW w:w="37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Joshua A. Hahn</w:t>
            </w: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26"/>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SECURITY AGREEMENT SUPPLEMENT</w:t>
      </w:r>
    </w:p>
    <w:p>
      <w:pPr>
        <w:spacing w:after="0" w:line="283" w:lineRule="exact"/>
        <w:rPr>
          <w:sz w:val="20"/>
          <w:szCs w:val="20"/>
          <w:color w:val="auto"/>
        </w:rPr>
      </w:pPr>
    </w:p>
    <w:p>
      <w:pPr>
        <w:jc w:val="both"/>
        <w:ind w:firstLine="656"/>
        <w:spacing w:after="0" w:line="257" w:lineRule="auto"/>
        <w:tabs>
          <w:tab w:leader="none" w:pos="143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SUPPLEMENT NO. [●] dated as of [●] (this “</w:t>
      </w:r>
      <w:r>
        <w:rPr>
          <w:rFonts w:ascii="Arial" w:cs="Arial" w:eastAsia="Arial" w:hAnsi="Arial"/>
          <w:sz w:val="18"/>
          <w:szCs w:val="18"/>
          <w:u w:val="single" w:color="auto"/>
          <w:color w:val="auto"/>
        </w:rPr>
        <w:t>Supplement</w:t>
      </w:r>
      <w:r>
        <w:rPr>
          <w:rFonts w:ascii="Arial" w:cs="Arial" w:eastAsia="Arial" w:hAnsi="Arial"/>
          <w:sz w:val="18"/>
          <w:szCs w:val="18"/>
          <w:color w:val="auto"/>
        </w:rPr>
        <w:t>”), to the Pledge and Security Agreement, dated as of April 12, 2021 (as amended, restated, amended and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by and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Subsidiary Parties from time to time party thereto, the Additional Parties from time to time party thereto (the foregoing,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and U.S. Bank National Association (“</w:t>
      </w:r>
      <w:r>
        <w:rPr>
          <w:rFonts w:ascii="Arial" w:cs="Arial" w:eastAsia="Arial" w:hAnsi="Arial"/>
          <w:sz w:val="18"/>
          <w:szCs w:val="18"/>
          <w:u w:val="single" w:color="auto"/>
          <w:color w:val="auto"/>
        </w:rPr>
        <w:t>U.S. Bank</w:t>
      </w:r>
      <w:r>
        <w:rPr>
          <w:rFonts w:ascii="Arial" w:cs="Arial" w:eastAsia="Arial" w:hAnsi="Arial"/>
          <w:sz w:val="18"/>
          <w:szCs w:val="18"/>
          <w:color w:val="auto"/>
        </w:rPr>
        <w:t>”), in its capacity as collateral agent for the Secured Notes Secured Parties (in such capacity, the “</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firstLine="656"/>
        <w:spacing w:after="0" w:line="263" w:lineRule="auto"/>
        <w:tabs>
          <w:tab w:leader="none" w:pos="140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Reference is made to that certain Indenture dated as of April 12, 2021 (as amended, restated, amended and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subsidiary guarantors from time to time parties thereto and U.S. Bank, as trustee and Notes Collateral Agent.</w:t>
      </w:r>
    </w:p>
    <w:p>
      <w:pPr>
        <w:spacing w:after="0" w:line="237" w:lineRule="exact"/>
        <w:rPr>
          <w:rFonts w:ascii="Arial" w:cs="Arial" w:eastAsia="Arial" w:hAnsi="Arial"/>
          <w:sz w:val="18"/>
          <w:szCs w:val="18"/>
          <w:color w:val="auto"/>
        </w:rPr>
      </w:pPr>
    </w:p>
    <w:p>
      <w:pPr>
        <w:ind w:firstLine="656"/>
        <w:spacing w:after="0" w:line="277" w:lineRule="auto"/>
        <w:tabs>
          <w:tab w:leader="none" w:pos="13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herein shall have the meanings assigned to such terms in the Indenture or the Security Agreement, as applicable.</w:t>
      </w:r>
    </w:p>
    <w:p>
      <w:pPr>
        <w:spacing w:after="0" w:line="224" w:lineRule="exact"/>
        <w:rPr>
          <w:rFonts w:ascii="Arial" w:cs="Arial" w:eastAsia="Arial" w:hAnsi="Arial"/>
          <w:sz w:val="18"/>
          <w:szCs w:val="18"/>
          <w:color w:val="auto"/>
        </w:rPr>
      </w:pPr>
    </w:p>
    <w:p>
      <w:pPr>
        <w:jc w:val="both"/>
        <w:ind w:firstLine="656"/>
        <w:spacing w:after="0" w:line="301" w:lineRule="auto"/>
        <w:tabs>
          <w:tab w:leader="none" w:pos="129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of the Security Agreement and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of the Indenture provide that additional parties may become Subsidiary Parties or Additional Parties under the Security Agreement by executing and delivering an instrument in the form of this Supplement. </w:t>
      </w:r>
      <w:r>
        <w:rPr>
          <w:rFonts w:ascii="Arial" w:cs="Arial" w:eastAsia="Arial" w:hAnsi="Arial"/>
          <w:sz w:val="16"/>
          <w:szCs w:val="16"/>
          <w:b w:val="1"/>
          <w:bCs w:val="1"/>
          <w:color w:val="auto"/>
        </w:rPr>
        <w:t>[The] [Each of the]</w:t>
      </w:r>
      <w:r>
        <w:rPr>
          <w:rFonts w:ascii="Arial" w:cs="Arial" w:eastAsia="Arial" w:hAnsi="Arial"/>
          <w:sz w:val="16"/>
          <w:szCs w:val="16"/>
          <w:color w:val="auto"/>
        </w:rPr>
        <w:t xml:space="preserve"> undersigned (</w:t>
      </w:r>
      <w:r>
        <w:rPr>
          <w:rFonts w:ascii="Arial" w:cs="Arial" w:eastAsia="Arial" w:hAnsi="Arial"/>
          <w:sz w:val="16"/>
          <w:szCs w:val="16"/>
          <w:b w:val="1"/>
          <w:bCs w:val="1"/>
          <w:color w:val="auto"/>
        </w:rPr>
        <w:t>[each a]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 Grantor</w:t>
      </w:r>
      <w:r>
        <w:rPr>
          <w:rFonts w:ascii="Arial" w:cs="Arial" w:eastAsia="Arial" w:hAnsi="Arial"/>
          <w:sz w:val="16"/>
          <w:szCs w:val="16"/>
          <w:color w:val="auto"/>
        </w:rPr>
        <w:t xml:space="preserve">”) is executing this Supplement in accordance with the requirements of the Indenture to become a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Party] [Additional Party] </w:t>
      </w:r>
      <w:r>
        <w:rPr>
          <w:rFonts w:ascii="Arial" w:cs="Arial" w:eastAsia="Arial" w:hAnsi="Arial"/>
          <w:sz w:val="16"/>
          <w:szCs w:val="16"/>
          <w:color w:val="auto"/>
        </w:rPr>
        <w:t>under the Security Agreement to secure the Secured Notes Obligations, including its obligations under the Note Guarantees.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Accordingly, the Notes Collateral Agent and </w:t>
      </w:r>
      <w:r>
        <w:rPr>
          <w:rFonts w:ascii="Arial" w:cs="Arial" w:eastAsia="Arial" w:hAnsi="Arial"/>
          <w:sz w:val="18"/>
          <w:szCs w:val="18"/>
          <w:b w:val="1"/>
          <w:bCs w:val="1"/>
          <w:color w:val="auto"/>
        </w:rPr>
        <w:t>[the] [each]</w:t>
      </w:r>
      <w:r>
        <w:rPr>
          <w:rFonts w:ascii="Arial" w:cs="Arial" w:eastAsia="Arial" w:hAnsi="Arial"/>
          <w:sz w:val="18"/>
          <w:szCs w:val="18"/>
          <w:color w:val="auto"/>
        </w:rPr>
        <w:t xml:space="preserve"> New Grantor agree as follows:</w:t>
      </w:r>
    </w:p>
    <w:p>
      <w:pPr>
        <w:spacing w:after="0" w:line="279"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6"/>
          <w:szCs w:val="16"/>
          <w:color w:val="auto"/>
        </w:rPr>
        <w:t xml:space="preserve">SECTION 1. In accordance with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of the Security Agreement,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New Grantor by its signature below becomes a </w:t>
      </w:r>
      <w:r>
        <w:rPr>
          <w:rFonts w:ascii="Arial" w:cs="Arial" w:eastAsia="Arial" w:hAnsi="Arial"/>
          <w:sz w:val="16"/>
          <w:szCs w:val="16"/>
          <w:b w:val="1"/>
          <w:bCs w:val="1"/>
          <w:color w:val="auto"/>
        </w:rPr>
        <w:t xml:space="preserve">[Subsidiary Party] [Additional Party] </w:t>
      </w:r>
      <w:r>
        <w:rPr>
          <w:rFonts w:ascii="Arial" w:cs="Arial" w:eastAsia="Arial" w:hAnsi="Arial"/>
          <w:sz w:val="16"/>
          <w:szCs w:val="16"/>
          <w:color w:val="auto"/>
        </w:rPr>
        <w:t>and a Grantor under the Security Agreement with the same force and effect as if originally named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 Grantor, and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New Grantor hereby (a) agrees to all the terms and provisions of the Security Agreement applicable to it as a </w:t>
      </w:r>
      <w:r>
        <w:rPr>
          <w:rFonts w:ascii="Arial" w:cs="Arial" w:eastAsia="Arial" w:hAnsi="Arial"/>
          <w:sz w:val="16"/>
          <w:szCs w:val="16"/>
          <w:b w:val="1"/>
          <w:bCs w:val="1"/>
          <w:color w:val="auto"/>
        </w:rPr>
        <w:t xml:space="preserve">[Subsidiary Party] [Additional Party] </w:t>
      </w:r>
      <w:r>
        <w:rPr>
          <w:rFonts w:ascii="Arial" w:cs="Arial" w:eastAsia="Arial" w:hAnsi="Arial"/>
          <w:sz w:val="16"/>
          <w:szCs w:val="16"/>
          <w:color w:val="auto"/>
        </w:rPr>
        <w:t>and Grantor thereunder and (b) makes the representations and warranties applicable to it as a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Security Agreement</w:t>
      </w:r>
      <w:r>
        <w:rPr>
          <w:rFonts w:ascii="Arial" w:cs="Arial" w:eastAsia="Arial" w:hAnsi="Arial"/>
          <w:sz w:val="16"/>
          <w:szCs w:val="16"/>
          <w:b w:val="1"/>
          <w:bCs w:val="1"/>
          <w:color w:val="auto"/>
        </w:rPr>
        <w:t>[, subject to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Schedule A</w:t>
      </w:r>
      <w:r>
        <w:rPr>
          <w:rFonts w:ascii="Arial" w:cs="Arial" w:eastAsia="Arial" w:hAnsi="Arial"/>
          <w:sz w:val="16"/>
          <w:szCs w:val="16"/>
          <w:color w:val="auto"/>
        </w:rPr>
        <w:t xml:space="preserve"> </w:t>
      </w:r>
      <w:r>
        <w:rPr>
          <w:rFonts w:ascii="Arial" w:cs="Arial" w:eastAsia="Arial" w:hAnsi="Arial"/>
          <w:sz w:val="16"/>
          <w:szCs w:val="16"/>
          <w:b w:val="1"/>
          <w:bCs w:val="1"/>
          <w:color w:val="auto"/>
        </w:rPr>
        <w:t>hereto,]</w:t>
      </w:r>
      <w:r>
        <w:rPr>
          <w:rFonts w:ascii="Arial" w:cs="Arial" w:eastAsia="Arial" w:hAnsi="Arial"/>
          <w:sz w:val="16"/>
          <w:szCs w:val="16"/>
          <w:color w:val="auto"/>
        </w:rPr>
        <w:t xml:space="preserve"> on and as of the date hereof. In furtherance of the foregoing,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New Grantor, as security for the payment and performance in full of the Secured Notes Obligations, does hereby create and grant to the Notes Collateral Agent, its successors and permitted assigns, for the benefit of the Secured Notes Secured Parties, their successors and permitted assigns, a security interest in and Lien on all of such New Grantor’s right, title and interest in and to the Collateral (as defined in the Security Agreement) of such New Grantor. Each reference to a “Grantor” and </w:t>
      </w:r>
      <w:r>
        <w:rPr>
          <w:rFonts w:ascii="Arial" w:cs="Arial" w:eastAsia="Arial" w:hAnsi="Arial"/>
          <w:sz w:val="16"/>
          <w:szCs w:val="16"/>
          <w:b w:val="1"/>
          <w:bCs w:val="1"/>
          <w:color w:val="auto"/>
        </w:rPr>
        <w:t>[“Subsidiary Party”] [“Additional Party”]</w:t>
      </w:r>
      <w:r>
        <w:rPr>
          <w:rFonts w:ascii="Arial" w:cs="Arial" w:eastAsia="Arial" w:hAnsi="Arial"/>
          <w:sz w:val="16"/>
          <w:szCs w:val="16"/>
          <w:color w:val="auto"/>
        </w:rPr>
        <w:t xml:space="preserve"> in the Security Agreement shall be deemed to include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New Grantor. The Security Agreement is hereby incorporated herein by reference. Without limiting the generality of the foregoing, any financing statement filed by [the] [each] New Grantor may be filed in any filing office in any applicable UCC jurisdiction and may</w:t>
      </w:r>
    </w:p>
    <w:p>
      <w:pPr>
        <w:spacing w:after="0" w:line="8" w:lineRule="exact"/>
        <w:rPr>
          <w:sz w:val="20"/>
          <w:szCs w:val="20"/>
          <w:color w:val="auto"/>
        </w:rPr>
      </w:pPr>
    </w:p>
    <w:p>
      <w:pPr>
        <w:jc w:val="both"/>
        <w:ind w:left="660" w:hanging="4"/>
        <w:spacing w:after="0" w:line="273" w:lineRule="auto"/>
        <w:tabs>
          <w:tab w:leader="none" w:pos="88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indicate the Collateral (A) as all assets of the applicable New Grantor now existing or hereafter acquired or words of similar effect, regardless of whether any particular asset comprised in the Collateral falls within the scope of Article 9 of the UCC of such jurisdiction, or (B) by any other description which reasonably approximates the description contained in the Security Agreement and (ii) contain any other information required by part 5 of Article 9 of the UCC for the sufficiency or filing office acceptance of any financing statement or amendment.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1" w:name="page262"/>
    <w:bookmarkEnd w:id="261"/>
    <w:p>
      <w:pPr>
        <w:jc w:val="both"/>
        <w:ind w:firstLine="648"/>
        <w:spacing w:after="0" w:line="26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[The] [Each]</w:t>
      </w:r>
      <w:r>
        <w:rPr>
          <w:rFonts w:ascii="Arial" w:cs="Arial" w:eastAsia="Arial" w:hAnsi="Arial"/>
          <w:sz w:val="18"/>
          <w:szCs w:val="18"/>
          <w:color w:val="auto"/>
        </w:rPr>
        <w:t xml:space="preserve"> New Grantor represents and warrants to the Notes Collateral Agent and the other Secured Notes Secured Parties that this Supplement has been duly authorized, executed and delivered by it and constitutes its legal, valid and binding obligation, enforceable against it in accordance with its terms, subject to the Legal Reservations.</w:t>
      </w:r>
    </w:p>
    <w:p>
      <w:pPr>
        <w:spacing w:after="0" w:line="2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3. This Supplement may be executed in counterparts (and by different parties hereto on different counterparts), each of which shall constitute an original, but all of which when taken together shall constitute a single contract. This Supplement shall become effective when the Notes Collateral Agent shall have received a counterpart of this Supplement that bears the signature of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New Grantor and the Notes Collateral Agent has executed a counterpart hereof. Delivery of an executed signature page to this Supplement by facsimile transmission or by email as a “.pdf” or “.tif” attachment shall be as effective as delivery of a manually signed counterpart of this Supplement.</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4.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is a duly prepared, completed and executed perfection certificate with respect to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[each] </w:t>
      </w:r>
      <w:r>
        <w:rPr>
          <w:rFonts w:ascii="Arial" w:cs="Arial" w:eastAsia="Arial" w:hAnsi="Arial"/>
          <w:sz w:val="18"/>
          <w:szCs w:val="18"/>
          <w:color w:val="auto"/>
        </w:rPr>
        <w:t>New Grantor, and</w:t>
      </w:r>
      <w:r>
        <w:rPr>
          <w:rFonts w:ascii="Arial" w:cs="Arial" w:eastAsia="Arial" w:hAnsi="Arial"/>
          <w:sz w:val="18"/>
          <w:szCs w:val="18"/>
          <w:b w:val="1"/>
          <w:bCs w:val="1"/>
          <w:color w:val="auto"/>
        </w:rPr>
        <w:t xml:space="preserve"> [the] [each] </w:t>
      </w:r>
      <w:r>
        <w:rPr>
          <w:rFonts w:ascii="Arial" w:cs="Arial" w:eastAsia="Arial" w:hAnsi="Arial"/>
          <w:sz w:val="18"/>
          <w:szCs w:val="18"/>
          <w:color w:val="auto"/>
        </w:rPr>
        <w:t>New Grantor hereby represents and warrants that the information set forth therein is correct and complete in</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respects as of the date hereof.</w:t>
      </w:r>
    </w:p>
    <w:p>
      <w:pPr>
        <w:spacing w:after="0" w:line="23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Except as expressly supplemented hereby, the Security Agreement shall remain in full force and effect.</w:t>
      </w:r>
    </w:p>
    <w:p>
      <w:pPr>
        <w:spacing w:after="0" w:line="2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6. THIS SUPPLEMENT AND ANY CLAIM, CONTROVERSY OR DISPUTE ARISING UNDER OR RELATED TO THIS AGREEMENT, WHETHER IN TORT, CONTRACT (AT LAW OR IN EQUITY) OR OTHERWISE, SHALL BE GOVERNED BY, AND CONSTRUED AND INTERPRETED IN ACCORDANCE WITH, THE LAWS OF THE STATE OF NEW YORK.</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7. WAIVER OF JURY TRIAL.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SUPPLEMENT OR THE TRANSACTIONS CONTEMPLATED 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SUPPLEMENT BY, AMONG OTHER THINGS, THE MUTUAL WAIVERS AND CERTIFICATIONS IN THIS SECTION 7.</w:t>
      </w:r>
    </w:p>
    <w:p>
      <w:pPr>
        <w:spacing w:after="0" w:line="2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8. In case any one or more of the provisions contained in this Supplement is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Each of the Issuer and the Notes Collateral Agent shall endeavor in good-faith negotiations to replace the invalid, illegal or unenforceable provisions with valid provisions the economic effect of which comes as close as possible to that of the invalid, illegal or unenforceable provisions.</w:t>
      </w:r>
    </w:p>
    <w:p>
      <w:pPr>
        <w:spacing w:after="0" w:line="391"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8" w:right="339" w:bottom="1440" w:gutter="0" w:footer="0" w:header="0"/>
        </w:sectPr>
      </w:pPr>
    </w:p>
    <w:bookmarkStart w:id="262" w:name="page263"/>
    <w:bookmarkEnd w:id="262"/>
    <w:p>
      <w:pPr>
        <w:ind w:firstLine="648"/>
        <w:spacing w:after="0" w:line="277" w:lineRule="auto"/>
        <w:rPr>
          <w:sz w:val="20"/>
          <w:szCs w:val="20"/>
          <w:color w:val="auto"/>
        </w:rPr>
      </w:pPr>
      <w:r>
        <w:rPr>
          <w:rFonts w:ascii="Arial" w:cs="Arial" w:eastAsia="Arial" w:hAnsi="Arial"/>
          <w:sz w:val="18"/>
          <w:szCs w:val="18"/>
          <w:color w:val="auto"/>
        </w:rPr>
        <w:t xml:space="preserve">SECTION 9. All communications and notices hereunder shall be in writing and given as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of the Security Agreement.</w:t>
      </w:r>
    </w:p>
    <w:p>
      <w:pPr>
        <w:spacing w:after="0" w:line="220"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b w:val="1"/>
          <w:bCs w:val="1"/>
          <w:color w:val="auto"/>
        </w:rPr>
        <w:t>[The] [Each]</w:t>
      </w:r>
      <w:r>
        <w:rPr>
          <w:rFonts w:ascii="Arial" w:cs="Arial" w:eastAsia="Arial" w:hAnsi="Arial"/>
          <w:sz w:val="17"/>
          <w:szCs w:val="17"/>
          <w:color w:val="auto"/>
        </w:rPr>
        <w:t xml:space="preserve"> New Grantor agrees to reimburse the Notes Collateral Agent for its expenses in connection with this Supplement, including the fees, other charges and disbursements of counsel in accordance with </w:t>
      </w:r>
      <w:r>
        <w:rPr>
          <w:rFonts w:ascii="Arial" w:cs="Arial" w:eastAsia="Arial" w:hAnsi="Arial"/>
          <w:sz w:val="17"/>
          <w:szCs w:val="17"/>
          <w:u w:val="single" w:color="auto"/>
          <w:color w:val="auto"/>
        </w:rPr>
        <w:t>Section 12.08(bb)</w:t>
      </w:r>
      <w:r>
        <w:rPr>
          <w:rFonts w:ascii="Arial" w:cs="Arial" w:eastAsia="Arial" w:hAnsi="Arial"/>
          <w:sz w:val="17"/>
          <w:szCs w:val="17"/>
          <w:color w:val="auto"/>
        </w:rPr>
        <w:t xml:space="preserve"> of the Indenture.</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pages follow]</w:t>
      </w:r>
    </w:p>
    <w:p>
      <w:pPr>
        <w:spacing w:after="0" w:line="396"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52" w:right="339" w:bottom="1440" w:gutter="0" w:footer="0" w:header="0"/>
        </w:sectPr>
      </w:pPr>
    </w:p>
    <w:bookmarkStart w:id="263" w:name="page264"/>
    <w:bookmarkEnd w:id="263"/>
    <w:p>
      <w:pPr>
        <w:spacing w:after="0" w:line="282" w:lineRule="auto"/>
        <w:rPr>
          <w:sz w:val="20"/>
          <w:szCs w:val="20"/>
          <w:color w:val="auto"/>
        </w:rPr>
      </w:pPr>
      <w:r>
        <w:rPr>
          <w:rFonts w:ascii="Arial" w:cs="Arial" w:eastAsia="Arial" w:hAnsi="Arial"/>
          <w:sz w:val="18"/>
          <w:szCs w:val="18"/>
          <w:color w:val="auto"/>
        </w:rPr>
        <w:t>IN WITNESS WHEREOF,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[the]</w:t>
      </w:r>
      <w:r>
        <w:rPr>
          <w:rFonts w:ascii="Arial" w:cs="Arial" w:eastAsia="Arial" w:hAnsi="Arial"/>
          <w:sz w:val="18"/>
          <w:szCs w:val="18"/>
          <w:color w:val="auto"/>
        </w:rPr>
        <w:t xml:space="preserve"> New Grantor and the Notes Collateral Agent have duly executed this Supplement to the Security Agreement as of the day and year first above written.</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OF NEW GRANTOR]</w:t>
      </w: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4" w:name="page265"/>
    <w:bookmarkEnd w:id="264"/>
    <w:p>
      <w:pPr>
        <w:ind w:left="3220"/>
        <w:spacing w:after="0"/>
        <w:rPr>
          <w:sz w:val="20"/>
          <w:szCs w:val="20"/>
          <w:color w:val="auto"/>
        </w:rPr>
      </w:pPr>
      <w:r>
        <w:rPr>
          <w:rFonts w:ascii="Arial" w:cs="Arial" w:eastAsia="Arial" w:hAnsi="Arial"/>
          <w:sz w:val="16"/>
          <w:szCs w:val="16"/>
          <w:color w:val="auto"/>
        </w:rPr>
        <w:t>U.S. Bank National Association, as the Notes Collateral Agent</w:t>
      </w:r>
    </w:p>
    <w:p>
      <w:pPr>
        <w:spacing w:after="0" w:line="27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ANNEX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PERFECTION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attached.]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EXCEPTIONS]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EXHIBIT B</w:t>
      </w:r>
      <w:r>
        <w:rPr>
          <w:rFonts w:ascii="Arial" w:cs="Arial" w:eastAsia="Arial" w:hAnsi="Arial"/>
          <w:sz w:val="29"/>
          <w:szCs w:val="29"/>
          <w:color w:val="auto"/>
          <w:vertAlign w:val="superscript"/>
        </w:rPr>
        <w:t>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INTELLECTUAL PROPERTY SECURITY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[PATENT/TRADEMARK/COPYRIGHT] SECURITY AGREEMENT,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 (</w:t>
      </w:r>
      <w:r>
        <w:rPr>
          <w:rFonts w:ascii="Arial" w:cs="Arial" w:eastAsia="Arial" w:hAnsi="Arial"/>
          <w:sz w:val="18"/>
          <w:szCs w:val="18"/>
          <w:b w:val="1"/>
          <w:bCs w:val="1"/>
          <w:color w:val="auto"/>
        </w:rPr>
        <w:t>[each a]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Grantor</w:t>
      </w:r>
      <w:r>
        <w:rPr>
          <w:rFonts w:ascii="Arial" w:cs="Arial" w:eastAsia="Arial" w:hAnsi="Arial"/>
          <w:sz w:val="18"/>
          <w:szCs w:val="18"/>
          <w:color w:val="auto"/>
        </w:rPr>
        <w:t>”) and U.S. Bank National Association (“</w:t>
      </w:r>
      <w:r>
        <w:rPr>
          <w:rFonts w:ascii="Arial" w:cs="Arial" w:eastAsia="Arial" w:hAnsi="Arial"/>
          <w:sz w:val="18"/>
          <w:szCs w:val="18"/>
          <w:u w:val="single" w:color="auto"/>
          <w:color w:val="auto"/>
        </w:rPr>
        <w:t>U.S. Bank</w:t>
      </w:r>
      <w:r>
        <w:rPr>
          <w:rFonts w:ascii="Arial" w:cs="Arial" w:eastAsia="Arial" w:hAnsi="Arial"/>
          <w:sz w:val="18"/>
          <w:szCs w:val="18"/>
          <w:color w:val="auto"/>
        </w:rPr>
        <w:t>”) in its capacity as collateral agent for the Secured Notes Secured Parties as defined in the Indenture referred to below (in such capacity, the “</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reference is made to that certain (a) Indenture dated as of April [●], 2021 (as amended, restated, amended and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subsidiary guarantors from time to time parties thereto and U.S. Bank, in its capacities as trustee and Notes Collateral Agent and (b) the Pledge and Security Agreement, dated as of April [●], 2021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by and among the Issuer, the Subsidiary Parties from time to time party thereto, the Additional Parties from time to time party thereto and the Notes Collateral Agent;</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Secured Notes Secured Parties have agreed to extend credit to the Issuer subject to the terms and conditions set forth in the Indenture; and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b w:val="1"/>
          <w:bCs w:val="1"/>
          <w:color w:val="auto"/>
        </w:rPr>
        <w:t>[each] [the]</w:t>
      </w:r>
      <w:r>
        <w:rPr>
          <w:rFonts w:ascii="Arial" w:cs="Arial" w:eastAsia="Arial" w:hAnsi="Arial"/>
          <w:sz w:val="18"/>
          <w:szCs w:val="18"/>
          <w:color w:val="auto"/>
        </w:rPr>
        <w:t xml:space="preserve"> Grantor is willing to execute and deliver this Agreement as consideration for such extensions of credit.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sufficiency of which is hereby acknowledged, the parties hereto agree as follows:</w:t>
      </w:r>
    </w:p>
    <w:p>
      <w:pPr>
        <w:spacing w:after="0" w:line="302"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Terms</w:t>
      </w:r>
      <w:r>
        <w:rPr>
          <w:rFonts w:ascii="Arial" w:cs="Arial" w:eastAsia="Arial" w:hAnsi="Arial"/>
          <w:sz w:val="18"/>
          <w:szCs w:val="18"/>
          <w:color w:val="auto"/>
        </w:rPr>
        <w:t>. Capitalized terms used in this Agreement and not otherwise defined herein have the meanings specified in the Security Agreement or the Indenture, as applicable.</w:t>
      </w:r>
    </w:p>
    <w:p>
      <w:pPr>
        <w:spacing w:after="0" w:line="224"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As security for the payment or performance, as the case may be, in full of the Secured Notes Obligations, </w:t>
      </w:r>
      <w:r>
        <w:rPr>
          <w:rFonts w:ascii="Arial" w:cs="Arial" w:eastAsia="Arial" w:hAnsi="Arial"/>
          <w:sz w:val="18"/>
          <w:szCs w:val="18"/>
          <w:b w:val="1"/>
          <w:bCs w:val="1"/>
          <w:color w:val="auto"/>
        </w:rPr>
        <w:t>[each] [the]</w:t>
      </w:r>
      <w:r>
        <w:rPr>
          <w:rFonts w:ascii="Arial" w:cs="Arial" w:eastAsia="Arial" w:hAnsi="Arial"/>
          <w:sz w:val="18"/>
          <w:szCs w:val="18"/>
          <w:color w:val="auto"/>
        </w:rPr>
        <w:t xml:space="preserve"> Grantor hereby grants to the Notes Collateral Agent, its successors and assigns, for the benefit of the Secured Notes Secured Parties, a security interest (the “</w:t>
      </w:r>
      <w:r>
        <w:rPr>
          <w:rFonts w:ascii="Arial" w:cs="Arial" w:eastAsia="Arial" w:hAnsi="Arial"/>
          <w:sz w:val="18"/>
          <w:szCs w:val="18"/>
          <w:u w:val="single" w:color="auto"/>
          <w:color w:val="auto"/>
        </w:rPr>
        <w:t>Security Interest</w:t>
      </w:r>
      <w:r>
        <w:rPr>
          <w:rFonts w:ascii="Arial" w:cs="Arial" w:eastAsia="Arial" w:hAnsi="Arial"/>
          <w:sz w:val="18"/>
          <w:szCs w:val="18"/>
          <w:color w:val="auto"/>
        </w:rPr>
        <w:t xml:space="preserve">”) in all of such Grantor’s right, title and interest in, to and under any [Patents] [Trademarks][Copyrights and exclusive Copyright Licenses] now owned or at any time hereafter acquired by such Grantor, including those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242"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Security Agreement</w:t>
      </w:r>
      <w:r>
        <w:rPr>
          <w:rFonts w:ascii="Arial" w:cs="Arial" w:eastAsia="Arial" w:hAnsi="Arial"/>
          <w:sz w:val="17"/>
          <w:szCs w:val="17"/>
          <w:color w:val="auto"/>
        </w:rPr>
        <w:t>. The Security Interest granted to the Notes Collateral Agent herein is granted in furtherance, and not in limitation, of the security interests granted to the Notes Collateral Agent pursuant to the Security Agreement. Each Grantor hereby acknowledges and affirms that the rights and remedies of the Notes Collateral Agent with respect to the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right="700" w:hanging="652"/>
        <w:spacing w:after="0" w:line="194" w:lineRule="auto"/>
        <w:tabs>
          <w:tab w:leader="none" w:pos="660" w:val="left"/>
        </w:tabs>
        <w:numPr>
          <w:ilvl w:val="0"/>
          <w:numId w:val="313"/>
        </w:numPr>
        <w:rPr>
          <w:rFonts w:ascii="Arial" w:cs="Arial" w:eastAsia="Arial" w:hAnsi="Arial"/>
          <w:sz w:val="30"/>
          <w:szCs w:val="30"/>
          <w:color w:val="auto"/>
          <w:vertAlign w:val="superscript"/>
        </w:rPr>
      </w:pPr>
      <w:r>
        <w:rPr>
          <w:rFonts w:ascii="Arial" w:cs="Arial" w:eastAsia="Arial" w:hAnsi="Arial"/>
          <w:sz w:val="18"/>
          <w:szCs w:val="18"/>
          <w:color w:val="auto"/>
        </w:rPr>
        <w:t>Note: A separate Intellectual Property Security Agreement must be drafted for each of any Patents, Trademarks, or Copyrights/exclusive Copyright Licenses.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8" w:name="page269"/>
    <w:bookmarkEnd w:id="268"/>
    <w:p>
      <w:pPr>
        <w:jc w:val="both"/>
        <w:ind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CHOICE OF LAW</w:t>
      </w:r>
      <w:r>
        <w:rPr>
          <w:rFonts w:ascii="Arial" w:cs="Arial" w:eastAsia="Arial" w:hAnsi="Arial"/>
          <w:sz w:val="17"/>
          <w:szCs w:val="17"/>
          <w:color w:val="auto"/>
        </w:rPr>
        <w:t>. THIS SECURITY AGREEMENT AND ANY CLAIM, CONTROVERSY OR DISPUTE ARISING UNDER OR RELATED TO THIS AGREEMENT, WHETHER IN TORT, CONTRACT (AT LAW OR IN EQUITY) OR OTHERWISE, SHALL BE GOVERNED BY, AND CONSTRUED AND INTERPRETED IN ACCORDANCE WITH, THE LAWS OF THE STATE OF NEW YORK.</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OR THE TRANSACTIONS CONTEMPLATED 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6.</w:t>
      </w:r>
    </w:p>
    <w:p>
      <w:pPr>
        <w:spacing w:after="0" w:line="2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u w:val="single" w:color="auto"/>
          <w:color w:val="auto"/>
        </w:rPr>
        <w:t>INTERCREDITOR AGREEMENTS GOVERN</w:t>
      </w:r>
      <w:r>
        <w:rPr>
          <w:rFonts w:ascii="Arial" w:cs="Arial" w:eastAsia="Arial" w:hAnsi="Arial"/>
          <w:sz w:val="18"/>
          <w:szCs w:val="18"/>
          <w:color w:val="auto"/>
        </w:rPr>
        <w:t>. NOTWITHSTANDING ANYTHING HEREIN TO THE CONTRARY, THE PRIORITY OF THE LIENS AND SECURITY INTERESTS GRANTED TO THE NOTES COLLATERAL AGENT FOR THE BENEFIT OF THE SECURED NOTES SECURED PARTIES PURSUANT TO THIS SECURITY AGREEMENT AND THE EXERCISE OF ANY RIGHT OR REMEDY BY THE NOTES COLLATERAL AGENT WITH RESPECT TO ANY COLLATERAL HEREUNDER ARE SUBJECT TO THE PROVISIONS OF ANY INTERCREDITOR AGREEMENTS. IN THE EVENT OF ANY CONFLICT BETWEEN THE PROVISIONS OF ANY INTERCREDITOR AGREEMENT (INCLUDING THE EQUAL PRIORITY INTERCREDITOR AGREEMENT) AND THIS SECURITY AGREEMENT WITH RESPECT TO THE PRIORITY OF SUCH LIENS AND SECURITY INTERESTS GRANTED HEREUNDER AND THE EXERCISE OF ANY RIGHTS OR REMEDIES WITH RESPECT TO THE COLLATERAL, THE PROVISIONS OF SUCH INTERCREDITOR AGREEMENT SHALL GOVERN AND CONTROL.</w:t>
      </w:r>
    </w:p>
    <w:p>
      <w:pPr>
        <w:spacing w:after="0" w:line="2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52" w:right="339" w:bottom="1440" w:gutter="0" w:footer="0" w:header="0"/>
        </w:sectPr>
      </w:pPr>
    </w:p>
    <w:bookmarkStart w:id="269" w:name="page270"/>
    <w:bookmarkEnd w:id="269"/>
    <w:p>
      <w:pPr>
        <w:ind w:left="180"/>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as Grantor</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40"/>
          </w:cols>
          <w:pgMar w:left="1440" w:top="125" w:right="141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6"/>
          <w:szCs w:val="16"/>
          <w:color w:val="auto"/>
        </w:rPr>
        <w:t>U.S. Bank National Association, as the Notes Collateral Agent</w:t>
      </w:r>
    </w:p>
    <w:p>
      <w:pPr>
        <w:spacing w:after="0" w:line="27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413BEC"/>
    <w:multiLevelType w:val="hybridMultilevel"/>
    <w:lvl w:ilvl="0">
      <w:lvlJc w:val="left"/>
      <w:lvlText w:val="☐"/>
      <w:numFmt w:val="bullet"/>
      <w:start w:val="1"/>
    </w:lvl>
  </w:abstractNum>
  <w:abstractNum w:abstractNumId="1">
    <w:nsid w:val="17180B0B"/>
    <w:multiLevelType w:val="hybridMultilevel"/>
    <w:lvl w:ilvl="0">
      <w:lvlJc w:val="left"/>
      <w:lvlText w:val="(%1)"/>
      <w:numFmt w:val="decimal"/>
      <w:start w:val="1"/>
    </w:lvl>
  </w:abstractNum>
  <w:abstractNum w:abstractNumId="2">
    <w:nsid w:val="579328B9"/>
    <w:multiLevelType w:val="hybridMultilevel"/>
    <w:lvl w:ilvl="0">
      <w:lvlJc w:val="left"/>
      <w:lvlText w:val="(%1)"/>
      <w:numFmt w:val="decimal"/>
      <w:start w:val="1"/>
    </w:lvl>
  </w:abstractNum>
  <w:abstractNum w:abstractNumId="3">
    <w:nsid w:val="5D205E20"/>
    <w:multiLevelType w:val="hybridMultilevel"/>
    <w:lvl w:ilvl="0">
      <w:lvlJc w:val="left"/>
      <w:lvlText w:val="(%1)"/>
      <w:numFmt w:val="decimal"/>
      <w:start w:val="1"/>
    </w:lvl>
  </w:abstractNum>
  <w:abstractNum w:abstractNumId="4">
    <w:nsid w:val="11CCA8BA"/>
    <w:multiLevelType w:val="hybridMultilevel"/>
    <w:lvl w:ilvl="0">
      <w:lvlJc w:val="left"/>
      <w:lvlText w:val="%1"/>
      <w:numFmt w:val="lowerLetter"/>
      <w:start w:val="1"/>
    </w:lvl>
    <w:lvl w:ilvl="1">
      <w:lvlJc w:val="left"/>
      <w:lvlText w:val="(%2)"/>
      <w:numFmt w:val="lowerLetter"/>
      <w:start w:val="1"/>
    </w:lvl>
  </w:abstractNum>
  <w:abstractNum w:abstractNumId="5">
    <w:nsid w:val="4D32AB86"/>
    <w:multiLevelType w:val="hybridMultilevel"/>
    <w:lvl w:ilvl="0">
      <w:lvlJc w:val="left"/>
      <w:lvlText w:val="(%1)"/>
      <w:numFmt w:val="lowerLetter"/>
      <w:start w:val="61"/>
    </w:lvl>
    <w:lvl w:ilvl="1">
      <w:lvlJc w:val="left"/>
      <w:lvlText w:val="%2"/>
      <w:numFmt w:val="lowerLetter"/>
      <w:start w:val="1"/>
    </w:lvl>
  </w:abstractNum>
  <w:abstractNum w:abstractNumId="6">
    <w:nsid w:val="3F07ACC3"/>
    <w:multiLevelType w:val="hybridMultilevel"/>
    <w:lvl w:ilvl="0">
      <w:lvlJc w:val="left"/>
      <w:lvlText w:val="%1"/>
      <w:numFmt w:val="lowerLetter"/>
      <w:start w:val="1"/>
    </w:lvl>
    <w:lvl w:ilvl="1">
      <w:lvlJc w:val="left"/>
      <w:lvlText w:val="(%2)"/>
      <w:numFmt w:val="lowerLetter"/>
      <w:start w:val="5"/>
    </w:lvl>
  </w:abstractNum>
  <w:abstractNum w:abstractNumId="7">
    <w:nsid w:val="6B47F63E"/>
    <w:multiLevelType w:val="hybridMultilevel"/>
    <w:lvl w:ilvl="0">
      <w:lvlJc w:val="left"/>
      <w:lvlText w:val="(%1)"/>
      <w:numFmt w:val="lowerLetter"/>
      <w:start w:val="61"/>
    </w:lvl>
    <w:lvl w:ilvl="1">
      <w:lvlJc w:val="left"/>
      <w:lvlText w:val="(%2)"/>
      <w:numFmt w:val="lowerLetter"/>
      <w:start w:val="8"/>
    </w:lvl>
  </w:abstractNum>
  <w:abstractNum w:abstractNumId="8">
    <w:nsid w:val="5CB44A05"/>
    <w:multiLevelType w:val="hybridMultilevel"/>
    <w:lvl w:ilvl="0">
      <w:lvlJc w:val="left"/>
      <w:lvlText w:val="(%1)"/>
      <w:numFmt w:val="lowerLetter"/>
      <w:start w:val="14"/>
    </w:lvl>
  </w:abstractNum>
  <w:abstractNum w:abstractNumId="9">
    <w:nsid w:val="16CF80F1"/>
    <w:multiLevelType w:val="hybridMultilevel"/>
    <w:lvl w:ilvl="0">
      <w:lvlJc w:val="left"/>
      <w:lvlText w:val="(%1)"/>
      <w:numFmt w:val="lowerLetter"/>
      <w:start w:val="23"/>
    </w:lvl>
  </w:abstractNum>
  <w:abstractNum w:abstractNumId="10">
    <w:nsid w:val="1C695DEC"/>
    <w:multiLevelType w:val="hybridMultilevel"/>
    <w:lvl w:ilvl="0">
      <w:lvlJc w:val="left"/>
      <w:lvlText w:val="(%1)"/>
      <w:numFmt w:val="lowerLetter"/>
      <w:start w:val="27"/>
    </w:lvl>
  </w:abstractNum>
  <w:abstractNum w:abstractNumId="11">
    <w:nsid w:val="3FCFAED9"/>
    <w:multiLevelType w:val="hybridMultilevel"/>
    <w:lvl w:ilvl="0">
      <w:lvlJc w:val="left"/>
      <w:lvlText w:val="(%1)"/>
      <w:numFmt w:val="lowerLetter"/>
      <w:start w:val="35"/>
    </w:lvl>
  </w:abstractNum>
  <w:abstractNum w:abstractNumId="12">
    <w:nsid w:val="F856867"/>
    <w:multiLevelType w:val="hybridMultilevel"/>
    <w:lvl w:ilvl="0">
      <w:lvlJc w:val="left"/>
      <w:lvlText w:val="(%1)"/>
      <w:numFmt w:val="decimal"/>
      <w:start w:val="1"/>
    </w:lvl>
  </w:abstractNum>
  <w:abstractNum w:abstractNumId="13">
    <w:nsid w:val="11B1CC33"/>
    <w:multiLevelType w:val="hybridMultilevel"/>
    <w:lvl w:ilvl="0">
      <w:lvlJc w:val="left"/>
      <w:lvlText w:val="(%1)"/>
      <w:numFmt w:val="lowerLetter"/>
      <w:start w:val="1"/>
    </w:lvl>
  </w:abstractNum>
  <w:abstractNum w:abstractNumId="14">
    <w:nsid w:val="2E22FBB7"/>
    <w:multiLevelType w:val="hybridMultilevel"/>
    <w:lvl w:ilvl="0">
      <w:lvlJc w:val="left"/>
      <w:lvlText w:val="(%1)"/>
      <w:numFmt w:val="lowerLetter"/>
      <w:start w:val="3"/>
    </w:lvl>
  </w:abstractNum>
  <w:abstractNum w:abstractNumId="15">
    <w:nsid w:val="29934699"/>
    <w:multiLevelType w:val="hybridMultilevel"/>
    <w:lvl w:ilvl="0">
      <w:lvlJc w:val="left"/>
      <w:lvlText w:val="%1"/>
      <w:numFmt w:val="lowerLetter"/>
      <w:start w:val="1"/>
    </w:lvl>
    <w:lvl w:ilvl="1">
      <w:lvlJc w:val="left"/>
      <w:lvlText w:val="(%2)"/>
      <w:numFmt w:val="lowerLetter"/>
      <w:start w:val="11"/>
    </w:lvl>
  </w:abstractNum>
  <w:abstractNum w:abstractNumId="16">
    <w:nsid w:val="77485850"/>
    <w:multiLevelType w:val="hybridMultilevel"/>
    <w:lvl w:ilvl="0">
      <w:lvlJc w:val="left"/>
      <w:lvlText w:val="(%1)"/>
      <w:numFmt w:val="lowerLetter"/>
      <w:start w:val="1"/>
    </w:lvl>
    <w:lvl w:ilvl="1">
      <w:lvlJc w:val="left"/>
      <w:lvlText w:val="(%2)"/>
      <w:numFmt w:val="lowerLetter"/>
      <w:start w:val="14"/>
    </w:lvl>
  </w:abstractNum>
  <w:abstractNum w:abstractNumId="17">
    <w:nsid w:val="744939A3"/>
    <w:multiLevelType w:val="hybridMultilevel"/>
    <w:lvl w:ilvl="0">
      <w:lvlJc w:val="left"/>
      <w:lvlText w:val="(%1)"/>
      <w:numFmt w:val="decimal"/>
      <w:start w:val="1"/>
    </w:lvl>
  </w:abstractNum>
  <w:abstractNum w:abstractNumId="18">
    <w:nsid w:val="4FA0D2E3"/>
    <w:multiLevelType w:val="hybridMultilevel"/>
    <w:lvl w:ilvl="0">
      <w:lvlJc w:val="left"/>
      <w:lvlText w:val="(%1)"/>
      <w:numFmt w:val="decimal"/>
      <w:start w:val="2"/>
    </w:lvl>
  </w:abstractNum>
  <w:abstractNum w:abstractNumId="19">
    <w:nsid w:val="6B1D2C14"/>
    <w:multiLevelType w:val="hybridMultilevel"/>
    <w:lvl w:ilvl="0">
      <w:lvlJc w:val="left"/>
      <w:lvlText w:val="(%1)"/>
      <w:numFmt w:val="lowerLetter"/>
      <w:start w:val="1"/>
    </w:lvl>
  </w:abstractNum>
  <w:abstractNum w:abstractNumId="20">
    <w:nsid w:val="68B867D3"/>
    <w:multiLevelType w:val="hybridMultilevel"/>
    <w:lvl w:ilvl="0">
      <w:lvlJc w:val="left"/>
      <w:lvlText w:val="(%1)"/>
      <w:numFmt w:val="lowerLetter"/>
      <w:start w:val="2"/>
    </w:lvl>
    <w:lvl w:ilvl="1">
      <w:lvlJc w:val="left"/>
      <w:lvlText w:val="(%2)"/>
      <w:numFmt w:val="lowerRoman"/>
      <w:start w:val="1"/>
    </w:lvl>
  </w:abstractNum>
  <w:abstractNum w:abstractNumId="21">
    <w:nsid w:val="3F7F5DD9"/>
    <w:multiLevelType w:val="hybridMultilevel"/>
    <w:lvl w:ilvl="0">
      <w:lvlJc w:val="left"/>
      <w:lvlText w:val="(%1)"/>
      <w:numFmt w:val="lowerRoman"/>
      <w:start w:val="5"/>
    </w:lvl>
  </w:abstractNum>
  <w:abstractNum w:abstractNumId="22">
    <w:nsid w:val="2AE05A34"/>
    <w:multiLevelType w:val="hybridMultilevel"/>
    <w:lvl w:ilvl="0">
      <w:lvlJc w:val="left"/>
      <w:lvlText w:val="%1"/>
      <w:numFmt w:val="lowerLetter"/>
      <w:start w:val="1"/>
    </w:lvl>
    <w:lvl w:ilvl="1">
      <w:lvlJc w:val="left"/>
      <w:lvlText w:val="(%2)"/>
      <w:numFmt w:val="lowerRoman"/>
      <w:start w:val="14"/>
    </w:lvl>
  </w:abstractNum>
  <w:abstractNum w:abstractNumId="23">
    <w:nsid w:val="32794FF7"/>
    <w:multiLevelType w:val="hybridMultilevel"/>
    <w:lvl w:ilvl="0">
      <w:lvlJc w:val="left"/>
      <w:lvlText w:val="(%1)"/>
      <w:numFmt w:val="lowerLetter"/>
      <w:start w:val="3"/>
    </w:lvl>
    <w:lvl w:ilvl="1">
      <w:lvlJc w:val="left"/>
      <w:lvlText w:val="%2"/>
      <w:numFmt w:val="lowerRoman"/>
      <w:start w:val="1"/>
    </w:lvl>
  </w:abstractNum>
  <w:abstractNum w:abstractNumId="24">
    <w:nsid w:val="5454945E"/>
    <w:multiLevelType w:val="hybridMultilevel"/>
    <w:lvl w:ilvl="0">
      <w:lvlJc w:val="left"/>
      <w:lvlText w:val="(%1)"/>
      <w:numFmt w:val="lowerLetter"/>
      <w:start w:val="5"/>
    </w:lvl>
  </w:abstractNum>
  <w:abstractNum w:abstractNumId="25">
    <w:nsid w:val="4DEFDFA0"/>
    <w:multiLevelType w:val="hybridMultilevel"/>
    <w:lvl w:ilvl="0">
      <w:lvlJc w:val="left"/>
      <w:lvlText w:val="(%1)"/>
      <w:numFmt w:val="lowerLetter"/>
      <w:start w:val="1"/>
    </w:lvl>
  </w:abstractNum>
  <w:abstractNum w:abstractNumId="26">
    <w:nsid w:val="2123D5F2"/>
    <w:multiLevelType w:val="hybridMultilevel"/>
    <w:lvl w:ilvl="0">
      <w:lvlJc w:val="left"/>
      <w:lvlText w:val="(%1)"/>
      <w:numFmt w:val="lowerLetter"/>
      <w:start w:val="2"/>
    </w:lvl>
  </w:abstractNum>
  <w:abstractNum w:abstractNumId="27">
    <w:nsid w:val="135B8110"/>
    <w:multiLevelType w:val="hybridMultilevel"/>
    <w:lvl w:ilvl="0">
      <w:lvlJc w:val="left"/>
      <w:lvlText w:val="(%1)"/>
      <w:numFmt w:val="lowerLetter"/>
      <w:start w:val="7"/>
    </w:lvl>
  </w:abstractNum>
  <w:abstractNum w:abstractNumId="28">
    <w:nsid w:val="94927A8"/>
    <w:multiLevelType w:val="hybridMultilevel"/>
    <w:lvl w:ilvl="0">
      <w:lvlJc w:val="left"/>
      <w:lvlText w:val="(%1)"/>
      <w:numFmt w:val="lowerLetter"/>
      <w:start w:val="12"/>
    </w:lvl>
  </w:abstractNum>
  <w:abstractNum w:abstractNumId="29">
    <w:nsid w:val="DCDF8F6"/>
    <w:multiLevelType w:val="hybridMultilevel"/>
    <w:lvl w:ilvl="0">
      <w:lvlJc w:val="left"/>
      <w:lvlText w:val="(%1)"/>
      <w:numFmt w:val="lowerLetter"/>
      <w:start w:val="16"/>
    </w:lvl>
  </w:abstractNum>
  <w:abstractNum w:abstractNumId="30">
    <w:nsid w:val="52D7B105"/>
    <w:multiLevelType w:val="hybridMultilevel"/>
    <w:lvl w:ilvl="0">
      <w:lvlJc w:val="left"/>
      <w:lvlText w:val="(%1)"/>
      <w:numFmt w:val="lowerLetter"/>
      <w:start w:val="1"/>
    </w:lvl>
    <w:lvl w:ilvl="1">
      <w:lvlJc w:val="left"/>
      <w:lvlText w:val="(%2)"/>
      <w:numFmt w:val="lowerRoman"/>
      <w:start w:val="1"/>
    </w:lvl>
  </w:abstractNum>
  <w:abstractNum w:abstractNumId="31">
    <w:nsid w:val="2E8A6394"/>
    <w:multiLevelType w:val="hybridMultilevel"/>
    <w:lvl w:ilvl="0">
      <w:lvlJc w:val="left"/>
      <w:lvlText w:val="(%1)"/>
      <w:numFmt w:val="decimal"/>
      <w:start w:val="1"/>
    </w:lvl>
  </w:abstractNum>
  <w:abstractNum w:abstractNumId="32">
    <w:nsid w:val="24E60401"/>
    <w:multiLevelType w:val="hybridMultilevel"/>
    <w:lvl w:ilvl="0">
      <w:lvlJc w:val="left"/>
      <w:lvlText w:val="(%1)"/>
      <w:numFmt w:val="decimal"/>
      <w:start w:val="1"/>
    </w:lvl>
  </w:abstractNum>
  <w:abstractNum w:abstractNumId="33">
    <w:nsid w:val="2A6AD9BE"/>
    <w:multiLevelType w:val="hybridMultilevel"/>
    <w:lvl w:ilvl="0">
      <w:lvlJc w:val="left"/>
      <w:lvlText w:val="%1"/>
      <w:numFmt w:val="lowerRoman"/>
      <w:start w:val="1"/>
    </w:lvl>
    <w:lvl w:ilvl="1">
      <w:lvlJc w:val="left"/>
      <w:lvlText w:val="(%2)"/>
      <w:numFmt w:val="decimal"/>
      <w:start w:val="3"/>
    </w:lvl>
  </w:abstractNum>
  <w:abstractNum w:abstractNumId="34">
    <w:nsid w:val="BAAC1B4"/>
    <w:multiLevelType w:val="hybridMultilevel"/>
    <w:lvl w:ilvl="0">
      <w:lvlJc w:val="left"/>
      <w:lvlText w:val="(%1)"/>
      <w:numFmt w:val="lowerRoman"/>
      <w:start w:val="2"/>
    </w:lvl>
    <w:lvl w:ilvl="1">
      <w:lvlJc w:val="left"/>
      <w:lvlText w:val="(%2)"/>
      <w:numFmt w:val="decimal"/>
      <w:start w:val="5"/>
    </w:lvl>
  </w:abstractNum>
  <w:abstractNum w:abstractNumId="35">
    <w:nsid w:val="36B2ACBC"/>
    <w:multiLevelType w:val="hybridMultilevel"/>
    <w:lvl w:ilvl="0">
      <w:lvlJc w:val="left"/>
      <w:lvlText w:val="(%1)"/>
      <w:numFmt w:val="decimal"/>
      <w:start w:val="8"/>
    </w:lvl>
  </w:abstractNum>
  <w:abstractNum w:abstractNumId="36">
    <w:nsid w:val="779D8544"/>
    <w:multiLevelType w:val="hybridMultilevel"/>
    <w:lvl w:ilvl="0">
      <w:lvlJc w:val="left"/>
      <w:lvlText w:val="%1"/>
      <w:numFmt w:val="lowerRoman"/>
      <w:start w:val="1"/>
    </w:lvl>
    <w:lvl w:ilvl="1">
      <w:lvlJc w:val="left"/>
      <w:lvlText w:val="(%2)"/>
      <w:numFmt w:val="lowerLetter"/>
      <w:start w:val="1"/>
    </w:lvl>
  </w:abstractNum>
  <w:abstractNum w:abstractNumId="37">
    <w:nsid w:val="4AB26E78"/>
    <w:multiLevelType w:val="hybridMultilevel"/>
    <w:lvl w:ilvl="0">
      <w:lvlJc w:val="left"/>
      <w:lvlText w:val="(%1)"/>
      <w:numFmt w:val="lowerRoman"/>
      <w:start w:val="2"/>
    </w:lvl>
    <w:lvl w:ilvl="1">
      <w:lvlJc w:val="left"/>
      <w:lvlText w:val="%2"/>
      <w:numFmt w:val="lowerLetter"/>
      <w:start w:val="1"/>
    </w:lvl>
  </w:abstractNum>
  <w:abstractNum w:abstractNumId="38">
    <w:nsid w:val="21FAA2FA"/>
    <w:multiLevelType w:val="hybridMultilevel"/>
    <w:lvl w:ilvl="0">
      <w:lvlJc w:val="left"/>
      <w:lvlText w:val="(%1)"/>
      <w:numFmt w:val="lowerRoman"/>
      <w:start w:val="4"/>
    </w:lvl>
    <w:lvl w:ilvl="1">
      <w:lvlJc w:val="left"/>
      <w:lvlText w:val="(%2)"/>
      <w:numFmt w:val="lowerLetter"/>
      <w:start w:val="3"/>
    </w:lvl>
  </w:abstractNum>
  <w:abstractNum w:abstractNumId="39">
    <w:nsid w:val="5451CF49"/>
    <w:multiLevelType w:val="hybridMultilevel"/>
    <w:lvl w:ilvl="0">
      <w:lvlJc w:val="left"/>
      <w:lvlText w:val="(%1)"/>
      <w:numFmt w:val="decimal"/>
      <w:start w:val="1"/>
    </w:lvl>
  </w:abstractNum>
  <w:abstractNum w:abstractNumId="40">
    <w:nsid w:val="6181EF69"/>
    <w:multiLevelType w:val="hybridMultilevel"/>
    <w:lvl w:ilvl="0">
      <w:lvlJc w:val="left"/>
      <w:lvlText w:val="(%1)"/>
      <w:numFmt w:val="lowerLetter"/>
      <w:start w:val="1"/>
    </w:lvl>
  </w:abstractNum>
  <w:abstractNum w:abstractNumId="41">
    <w:nsid w:val="3E6400E6"/>
    <w:multiLevelType w:val="hybridMultilevel"/>
    <w:lvl w:ilvl="0">
      <w:lvlJc w:val="left"/>
      <w:lvlText w:val="(%1)"/>
      <w:numFmt w:val="lowerLetter"/>
      <w:start w:val="7"/>
    </w:lvl>
  </w:abstractNum>
  <w:abstractNum w:abstractNumId="42">
    <w:nsid w:val="14217E23"/>
    <w:multiLevelType w:val="hybridMultilevel"/>
    <w:lvl w:ilvl="0">
      <w:lvlJc w:val="left"/>
      <w:lvlText w:val="(%1)"/>
      <w:numFmt w:val="lowerRoman"/>
      <w:start w:val="10"/>
    </w:lvl>
  </w:abstractNum>
  <w:abstractNum w:abstractNumId="43">
    <w:nsid w:val="710757D0"/>
    <w:multiLevelType w:val="hybridMultilevel"/>
    <w:lvl w:ilvl="0">
      <w:lvlJc w:val="left"/>
      <w:lvlText w:val="(%1)"/>
      <w:numFmt w:val="lowerLetter"/>
      <w:start w:val="1"/>
    </w:lvl>
  </w:abstractNum>
  <w:abstractNum w:abstractNumId="44">
    <w:nsid w:val="5015CD1A"/>
    <w:multiLevelType w:val="hybridMultilevel"/>
    <w:lvl w:ilvl="0">
      <w:lvlJc w:val="left"/>
      <w:lvlText w:val="(%1)"/>
      <w:numFmt w:val="lowerLetter"/>
      <w:start w:val="1"/>
    </w:lvl>
  </w:abstractNum>
  <w:abstractNum w:abstractNumId="45">
    <w:nsid w:val="424479D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6">
    <w:nsid w:val="1A9A9E69"/>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abstractNum>
  <w:abstractNum w:abstractNumId="47">
    <w:nsid w:val="475E256A"/>
    <w:multiLevelType w:val="hybridMultilevel"/>
    <w:lvl w:ilvl="0">
      <w:lvlJc w:val="left"/>
      <w:lvlText w:val="(%1)"/>
      <w:numFmt w:val="lowerLetter"/>
      <w:start w:val="6"/>
    </w:lvl>
  </w:abstractNum>
  <w:abstractNum w:abstractNumId="48">
    <w:nsid w:val="368DB37E"/>
    <w:multiLevelType w:val="hybridMultilevel"/>
    <w:lvl w:ilvl="0">
      <w:lvlJc w:val="left"/>
      <w:lvlText w:val="(%1)"/>
      <w:numFmt w:val="lowerLetter"/>
      <w:start w:val="7"/>
    </w:lvl>
  </w:abstractNum>
  <w:abstractNum w:abstractNumId="49">
    <w:nsid w:val="6A3B714C"/>
    <w:multiLevelType w:val="hybridMultilevel"/>
    <w:lvl w:ilvl="0">
      <w:lvlJc w:val="left"/>
      <w:lvlText w:val="(%1)"/>
      <w:numFmt w:val="lowerLetter"/>
      <w:start w:val="13"/>
    </w:lvl>
    <w:lvl w:ilvl="1">
      <w:lvlJc w:val="left"/>
      <w:lvlText w:val="(%2)"/>
      <w:numFmt w:val="lowerRoman"/>
      <w:start w:val="1"/>
    </w:lvl>
  </w:abstractNum>
  <w:abstractNum w:abstractNumId="50">
    <w:nsid w:val="327B517E"/>
    <w:multiLevelType w:val="hybridMultilevel"/>
    <w:lvl w:ilvl="0">
      <w:lvlJc w:val="left"/>
      <w:lvlText w:val="(%1)"/>
      <w:numFmt w:val="lowerLetter"/>
      <w:start w:val="19"/>
    </w:lvl>
  </w:abstractNum>
  <w:abstractNum w:abstractNumId="51">
    <w:nsid w:val="1F461B51"/>
    <w:multiLevelType w:val="hybridMultilevel"/>
    <w:lvl w:ilvl="0">
      <w:lvlJc w:val="left"/>
      <w:lvlText w:val="(%1)"/>
      <w:numFmt w:val="lowerLetter"/>
      <w:start w:val="27"/>
    </w:lvl>
  </w:abstractNum>
  <w:abstractNum w:abstractNumId="52">
    <w:nsid w:val="29BACF25"/>
    <w:multiLevelType w:val="hybridMultilevel"/>
    <w:lvl w:ilvl="0">
      <w:lvlJc w:val="left"/>
      <w:lvlText w:val="(%1)"/>
      <w:numFmt w:val="lowerLetter"/>
      <w:start w:val="32"/>
    </w:lvl>
  </w:abstractNum>
  <w:abstractNum w:abstractNumId="53">
    <w:nsid w:val="5D5BABB3"/>
    <w:multiLevelType w:val="hybridMultilevel"/>
    <w:lvl w:ilvl="0">
      <w:lvlJc w:val="left"/>
      <w:lvlText w:val="(%1)"/>
      <w:numFmt w:val="lowerLetter"/>
      <w:start w:val="1"/>
    </w:lvl>
  </w:abstractNum>
  <w:abstractNum w:abstractNumId="54">
    <w:nsid w:val="51BF6B48"/>
    <w:multiLevelType w:val="hybridMultilevel"/>
    <w:lvl w:ilvl="0">
      <w:lvlJc w:val="left"/>
      <w:lvlText w:val="%1"/>
      <w:numFmt w:val="lowerLetter"/>
      <w:start w:val="1"/>
    </w:lvl>
    <w:lvl w:ilvl="1">
      <w:lvlJc w:val="left"/>
      <w:lvlText w:val="(%2)"/>
      <w:numFmt w:val="lowerLetter"/>
      <w:start w:val="3"/>
    </w:lvl>
  </w:abstractNum>
  <w:abstractNum w:abstractNumId="55">
    <w:nsid w:val="7E0F6384"/>
    <w:multiLevelType w:val="hybridMultilevel"/>
    <w:lvl w:ilvl="0">
      <w:lvlJc w:val="left"/>
      <w:lvlText w:val="(%1)"/>
      <w:numFmt w:val="lowerLetter"/>
      <w:start w:val="35"/>
    </w:lvl>
    <w:lvl w:ilvl="1">
      <w:lvlJc w:val="left"/>
      <w:lvlText w:val="%2"/>
      <w:numFmt w:val="lowerLetter"/>
      <w:start w:val="1"/>
    </w:lvl>
  </w:abstractNum>
  <w:abstractNum w:abstractNumId="56">
    <w:nsid w:val="2B4B8B53"/>
    <w:multiLevelType w:val="hybridMultilevel"/>
    <w:lvl w:ilvl="0">
      <w:lvlJc w:val="left"/>
      <w:lvlText w:val="(%1)"/>
      <w:numFmt w:val="lowerLetter"/>
      <w:start w:val="9"/>
    </w:lvl>
    <w:lvl w:ilvl="1">
      <w:lvlJc w:val="left"/>
      <w:lvlText w:val="(%2)"/>
      <w:numFmt w:val="lowerLetter"/>
      <w:start w:val="5"/>
    </w:lvl>
  </w:abstractNum>
  <w:abstractNum w:abstractNumId="57">
    <w:nsid w:val="72E3413A"/>
    <w:multiLevelType w:val="hybridMultilevel"/>
    <w:lvl w:ilvl="0">
      <w:lvlJc w:val="left"/>
      <w:lvlText w:val="(%1)"/>
      <w:numFmt w:val="lowerLetter"/>
      <w:start w:val="6"/>
    </w:lvl>
  </w:abstractNum>
  <w:abstractNum w:abstractNumId="58">
    <w:nsid w:val="116AE494"/>
    <w:multiLevelType w:val="hybridMultilevel"/>
    <w:lvl w:ilvl="0">
      <w:lvlJc w:val="left"/>
      <w:lvlText w:val="(%1)"/>
      <w:numFmt w:val="lowerLetter"/>
      <w:start w:val="11"/>
    </w:lvl>
  </w:abstractNum>
  <w:abstractNum w:abstractNumId="59">
    <w:nsid w:val="3494B2FB"/>
    <w:multiLevelType w:val="hybridMultilevel"/>
    <w:lvl w:ilvl="0">
      <w:lvlJc w:val="left"/>
      <w:lvlText w:val="(%1)"/>
      <w:numFmt w:val="lowerLetter"/>
      <w:start w:val="15"/>
    </w:lvl>
  </w:abstractNum>
  <w:abstractNum w:abstractNumId="60">
    <w:nsid w:val="B13A31"/>
    <w:multiLevelType w:val="hybridMultilevel"/>
    <w:lvl w:ilvl="0">
      <w:lvlJc w:val="left"/>
      <w:lvlText w:val="(%1)"/>
      <w:numFmt w:val="lowerLetter"/>
      <w:start w:val="19"/>
    </w:lvl>
  </w:abstractNum>
  <w:abstractNum w:abstractNumId="61">
    <w:nsid w:val="64429599"/>
    <w:multiLevelType w:val="hybridMultilevel"/>
    <w:lvl w:ilvl="0">
      <w:lvlJc w:val="left"/>
      <w:lvlText w:val="%1"/>
      <w:numFmt w:val="lowerLetter"/>
      <w:start w:val="1"/>
    </w:lvl>
    <w:lvl w:ilvl="1">
      <w:lvlJc w:val="left"/>
      <w:lvlText w:val="(%2)"/>
      <w:numFmt w:val="lowerLetter"/>
      <w:start w:val="25"/>
    </w:lvl>
  </w:abstractNum>
  <w:abstractNum w:abstractNumId="62">
    <w:nsid w:val="631F1690"/>
    <w:multiLevelType w:val="hybridMultilevel"/>
    <w:lvl w:ilvl="0">
      <w:lvlJc w:val="left"/>
      <w:lvlText w:val="(%1)"/>
      <w:numFmt w:val="lowerLetter"/>
      <w:start w:val="35"/>
    </w:lvl>
    <w:lvl w:ilvl="1">
      <w:lvlJc w:val="left"/>
      <w:lvlText w:val="(%2)"/>
      <w:numFmt w:val="lowerLetter"/>
      <w:start w:val="27"/>
    </w:lvl>
  </w:abstractNum>
  <w:abstractNum w:abstractNumId="63">
    <w:nsid w:val="25973E32"/>
    <w:multiLevelType w:val="hybridMultilevel"/>
    <w:lvl w:ilvl="0">
      <w:lvlJc w:val="left"/>
      <w:lvlText w:val="(%1)"/>
      <w:numFmt w:val="lowerLetter"/>
      <w:start w:val="34"/>
    </w:lvl>
  </w:abstractNum>
  <w:abstractNum w:abstractNumId="64">
    <w:nsid w:val="EAD6F57"/>
    <w:multiLevelType w:val="hybridMultilevel"/>
    <w:lvl w:ilvl="0">
      <w:lvlJc w:val="left"/>
      <w:lvlText w:val="(%1)"/>
      <w:numFmt w:val="lowerLetter"/>
      <w:start w:val="40"/>
    </w:lvl>
  </w:abstractNum>
  <w:abstractNum w:abstractNumId="65">
    <w:nsid w:val="6EC9D844"/>
    <w:multiLevelType w:val="hybridMultilevel"/>
    <w:lvl w:ilvl="0">
      <w:lvlJc w:val="left"/>
      <w:lvlText w:val="(%1)"/>
      <w:numFmt w:val="lowerLetter"/>
      <w:start w:val="1"/>
    </w:lvl>
  </w:abstractNum>
  <w:abstractNum w:abstractNumId="66">
    <w:nsid w:val="5C49EAEE"/>
    <w:multiLevelType w:val="hybridMultilevel"/>
    <w:lvl w:ilvl="0">
      <w:lvlJc w:val="left"/>
      <w:lvlText w:val="(%1)"/>
      <w:numFmt w:val="lowerLetter"/>
      <w:start w:val="1"/>
    </w:lvl>
  </w:abstractNum>
  <w:abstractNum w:abstractNumId="67">
    <w:nsid w:val="64AF49B"/>
    <w:multiLevelType w:val="hybridMultilevel"/>
    <w:lvl w:ilvl="0">
      <w:lvlJc w:val="left"/>
      <w:lvlText w:val="(%1)"/>
      <w:numFmt w:val="decimal"/>
      <w:start w:val="1"/>
    </w:lvl>
  </w:abstractNum>
  <w:abstractNum w:abstractNumId="68">
    <w:nsid w:val="397C46BC"/>
    <w:multiLevelType w:val="hybridMultilevel"/>
    <w:lvl w:ilvl="0">
      <w:lvlJc w:val="left"/>
      <w:lvlText w:val="(%1)"/>
      <w:numFmt w:val="lowerLetter"/>
      <w:start w:val="1"/>
    </w:lvl>
  </w:abstractNum>
  <w:abstractNum w:abstractNumId="69">
    <w:nsid w:val="7E448DE9"/>
    <w:multiLevelType w:val="hybridMultilevel"/>
    <w:lvl w:ilvl="0">
      <w:lvlJc w:val="left"/>
      <w:lvlText w:val="(%1)"/>
      <w:numFmt w:val="lowerRoman"/>
      <w:start w:val="2"/>
    </w:lvl>
  </w:abstractNum>
  <w:abstractNum w:abstractNumId="70">
    <w:nsid w:val="5A9CC3E5"/>
    <w:multiLevelType w:val="hybridMultilevel"/>
    <w:lvl w:ilvl="0">
      <w:lvlJc w:val="left"/>
      <w:lvlText w:val="(%1)"/>
      <w:numFmt w:val="lowerLetter"/>
      <w:start w:val="10"/>
    </w:lvl>
  </w:abstractNum>
  <w:abstractNum w:abstractNumId="71">
    <w:nsid w:val="1AFE3625"/>
    <w:multiLevelType w:val="hybridMultilevel"/>
    <w:lvl w:ilvl="0">
      <w:lvlJc w:val="left"/>
      <w:lvlText w:val="(%1)"/>
      <w:numFmt w:val="decimal"/>
      <w:start w:val="1"/>
    </w:lvl>
  </w:abstractNum>
  <w:abstractNum w:abstractNumId="72">
    <w:nsid w:val="3CA88ECF"/>
    <w:multiLevelType w:val="hybridMultilevel"/>
    <w:lvl w:ilvl="0">
      <w:lvlJc w:val="left"/>
      <w:lvlText w:val="(%1)"/>
      <w:numFmt w:val="decimal"/>
      <w:start w:val="1"/>
    </w:lvl>
  </w:abstractNum>
  <w:abstractNum w:abstractNumId="73">
    <w:nsid w:val="6EBE4208"/>
    <w:multiLevelType w:val="hybridMultilevel"/>
    <w:lvl w:ilvl="0">
      <w:lvlJc w:val="left"/>
      <w:lvlText w:val="(%1)"/>
      <w:numFmt w:val="lowerLetter"/>
      <w:start w:val="1"/>
    </w:lvl>
  </w:abstractNum>
  <w:abstractNum w:abstractNumId="74">
    <w:nsid w:val="C058DF5"/>
    <w:multiLevelType w:val="hybridMultilevel"/>
    <w:lvl w:ilvl="0">
      <w:lvlJc w:val="left"/>
      <w:lvlText w:val="(%1)"/>
      <w:numFmt w:val="decimal"/>
      <w:start w:val="1"/>
    </w:lvl>
  </w:abstractNum>
  <w:abstractNum w:abstractNumId="75">
    <w:nsid w:val="CBE5BE9"/>
    <w:multiLevelType w:val="hybridMultilevel"/>
    <w:lvl w:ilvl="0">
      <w:lvlJc w:val="left"/>
      <w:lvlText w:val="(%1)"/>
      <w:numFmt w:val="decimal"/>
      <w:start w:val="1"/>
    </w:lvl>
  </w:abstractNum>
  <w:abstractNum w:abstractNumId="76">
    <w:nsid w:val="3102BBE2"/>
    <w:multiLevelType w:val="hybridMultilevel"/>
    <w:lvl w:ilvl="0">
      <w:lvlJc w:val="left"/>
      <w:lvlText w:val="(%1)"/>
      <w:numFmt w:val="lowerLetter"/>
      <w:start w:val="1"/>
    </w:lvl>
  </w:abstractNum>
  <w:abstractNum w:abstractNumId="77">
    <w:nsid w:val="26A02C5E"/>
    <w:multiLevelType w:val="hybridMultilevel"/>
    <w:lvl w:ilvl="0">
      <w:lvlJc w:val="left"/>
      <w:lvlText w:val="(%1)"/>
      <w:numFmt w:val="lowerLetter"/>
      <w:start w:val="11"/>
    </w:lvl>
  </w:abstractNum>
  <w:abstractNum w:abstractNumId="78">
    <w:nsid w:val="541C8153"/>
    <w:multiLevelType w:val="hybridMultilevel"/>
    <w:lvl w:ilvl="0">
      <w:lvlJc w:val="left"/>
      <w:lvlText w:val="(%1)"/>
      <w:numFmt w:val="lowerLetter"/>
      <w:start w:val="1"/>
    </w:lvl>
    <w:lvl w:ilvl="1">
      <w:lvlJc w:val="left"/>
      <w:lvlText w:val="(%2)"/>
      <w:numFmt w:val="decimal"/>
      <w:start w:val="1"/>
    </w:lvl>
  </w:abstractNum>
  <w:abstractNum w:abstractNumId="79">
    <w:nsid w:val="67906F60"/>
    <w:multiLevelType w:val="hybridMultilevel"/>
    <w:lvl w:ilvl="0">
      <w:lvlJc w:val="left"/>
      <w:lvlText w:val="(%1)"/>
      <w:numFmt w:val="lowerLetter"/>
      <w:start w:val="2"/>
    </w:lvl>
  </w:abstractNum>
  <w:abstractNum w:abstractNumId="80">
    <w:nsid w:val="10DB9DAA"/>
    <w:multiLevelType w:val="hybridMultilevel"/>
    <w:lvl w:ilvl="0">
      <w:lvlJc w:val="left"/>
      <w:lvlText w:val="(%1)"/>
      <w:numFmt w:val="lowerLetter"/>
      <w:start w:val="1"/>
    </w:lvl>
  </w:abstractNum>
  <w:abstractNum w:abstractNumId="81">
    <w:nsid w:val="697D2D2"/>
    <w:multiLevelType w:val="hybridMultilevel"/>
    <w:lvl w:ilvl="0">
      <w:lvlJc w:val="left"/>
      <w:lvlText w:val="(%1)"/>
      <w:numFmt w:val="lowerLetter"/>
      <w:start w:val="4"/>
    </w:lvl>
  </w:abstractNum>
  <w:abstractNum w:abstractNumId="82">
    <w:nsid w:val="6D68AB2"/>
    <w:multiLevelType w:val="hybridMultilevel"/>
    <w:lvl w:ilvl="0">
      <w:lvlJc w:val="left"/>
      <w:lvlText w:val="(%1)"/>
      <w:numFmt w:val="lowerLetter"/>
      <w:start w:val="7"/>
    </w:lvl>
  </w:abstractNum>
  <w:abstractNum w:abstractNumId="83">
    <w:nsid w:val="3A966CD0"/>
    <w:multiLevelType w:val="hybridMultilevel"/>
    <w:lvl w:ilvl="0">
      <w:lvlJc w:val="left"/>
      <w:lvlText w:val="(%1)"/>
      <w:numFmt w:val="lowerLetter"/>
      <w:start w:val="1"/>
    </w:lvl>
  </w:abstractNum>
  <w:abstractNum w:abstractNumId="84">
    <w:nsid w:val="63F37E85"/>
    <w:multiLevelType w:val="hybridMultilevel"/>
    <w:lvl w:ilvl="0">
      <w:lvlJc w:val="left"/>
      <w:lvlText w:val="(%1)"/>
      <w:numFmt w:val="lowerLetter"/>
      <w:start w:val="8"/>
    </w:lvl>
  </w:abstractNum>
  <w:abstractNum w:abstractNumId="85">
    <w:nsid w:val="5895F5FA"/>
    <w:multiLevelType w:val="hybridMultilevel"/>
    <w:lvl w:ilvl="0">
      <w:lvlJc w:val="left"/>
      <w:lvlText w:val="(%1)"/>
      <w:numFmt w:val="lowerLetter"/>
      <w:start w:val="1"/>
    </w:lvl>
  </w:abstractNum>
  <w:abstractNum w:abstractNumId="86">
    <w:nsid w:val="38A5D054"/>
    <w:multiLevelType w:val="hybridMultilevel"/>
    <w:lvl w:ilvl="0">
      <w:lvlJc w:val="left"/>
      <w:lvlText w:val="(%1)"/>
      <w:numFmt w:val="lowerLetter"/>
      <w:start w:val="4"/>
    </w:lvl>
  </w:abstractNum>
  <w:abstractNum w:abstractNumId="87">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8">
    <w:nsid w:val="4B793735"/>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89">
    <w:nsid w:val="4A10B4E8"/>
    <w:multiLevelType w:val="hybridMultilevel"/>
    <w:lvl w:ilvl="0">
      <w:lvlJc w:val="left"/>
      <w:lvlText w:val="(%1)"/>
      <w:numFmt w:val="lowerRoman"/>
      <w:start w:val="2"/>
    </w:lvl>
    <w:lvl w:ilvl="1">
      <w:lvlJc w:val="left"/>
      <w:lvlText w:val="(%2)"/>
      <w:numFmt w:val="upperLetter"/>
      <w:start w:val="1"/>
    </w:lvl>
  </w:abstractNum>
  <w:abstractNum w:abstractNumId="90">
    <w:nsid w:val="43D3BCD4"/>
    <w:multiLevelType w:val="hybridMultilevel"/>
    <w:lvl w:ilvl="0">
      <w:lvlJc w:val="left"/>
      <w:lvlText w:val="(%1)"/>
      <w:numFmt w:val="decimal"/>
      <w:start w:val="1"/>
    </w:lvl>
  </w:abstractNum>
  <w:abstractNum w:abstractNumId="91">
    <w:nsid w:val="4C2A716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92">
    <w:nsid w:val="2E534A8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3">
    <w:nsid w:val="26F2D364"/>
    <w:multiLevelType w:val="hybridMultilevel"/>
    <w:lvl w:ilvl="0">
      <w:lvlJc w:val="left"/>
      <w:lvlText w:val="(%1)"/>
      <w:numFmt w:val="upperLetter"/>
      <w:start w:val="4"/>
    </w:lvl>
  </w:abstractNum>
  <w:abstractNum w:abstractNumId="94">
    <w:nsid w:val="71C1AF98"/>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95">
    <w:nsid w:val="3D00B9D9"/>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96">
    <w:nsid w:val="15BCABA8"/>
    <w:multiLevelType w:val="hybridMultilevel"/>
    <w:lvl w:ilvl="0">
      <w:lvlJc w:val="left"/>
      <w:lvlText w:val="(%1)"/>
      <w:numFmt w:val="decimal"/>
      <w:start w:val="1"/>
    </w:lvl>
  </w:abstractNum>
  <w:abstractNum w:abstractNumId="97">
    <w:nsid w:val="4E0B9A87"/>
    <w:multiLevelType w:val="hybridMultilevel"/>
    <w:lvl w:ilvl="0">
      <w:lvlJc w:val="left"/>
      <w:lvlText w:val="(%1)"/>
      <w:numFmt w:val="decimal"/>
      <w:start w:val="2"/>
    </w:lvl>
  </w:abstractNum>
  <w:abstractNum w:abstractNumId="98">
    <w:nsid w:val="434BAE75"/>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99">
    <w:nsid w:val="4F38F265"/>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00">
    <w:nsid w:val="4C502870"/>
    <w:multiLevelType w:val="hybridMultilevel"/>
    <w:lvl w:ilvl="0">
      <w:lvlJc w:val="left"/>
      <w:lvlText w:val="(%1)"/>
      <w:numFmt w:val="upperLetter"/>
      <w:start w:val="3"/>
    </w:lvl>
  </w:abstractNum>
  <w:abstractNum w:abstractNumId="101">
    <w:nsid w:val="1DE8725A"/>
    <w:multiLevelType w:val="hybridMultilevel"/>
    <w:lvl w:ilvl="0">
      <w:lvlJc w:val="left"/>
      <w:lvlText w:val="(%1)"/>
      <w:numFmt w:val="lowerRoman"/>
      <w:start w:val="2"/>
    </w:lvl>
    <w:lvl w:ilvl="1">
      <w:lvlJc w:val="left"/>
      <w:lvlText w:val="(%2)"/>
      <w:numFmt w:val="upperLetter"/>
      <w:start w:val="1"/>
    </w:lvl>
  </w:abstractNum>
  <w:abstractNum w:abstractNumId="102">
    <w:nsid w:val="6A37288A"/>
    <w:multiLevelType w:val="hybridMultilevel"/>
    <w:lvl w:ilvl="0">
      <w:lvlJc w:val="left"/>
      <w:lvlText w:val="(%1)"/>
      <w:numFmt w:val="decimal"/>
      <w:start w:val="1"/>
    </w:lvl>
  </w:abstractNum>
  <w:abstractNum w:abstractNumId="103">
    <w:nsid w:val="8F8B73F"/>
    <w:multiLevelType w:val="hybridMultilevel"/>
    <w:lvl w:ilvl="0">
      <w:lvlJc w:val="left"/>
      <w:lvlText w:val="(%1)"/>
      <w:numFmt w:val="lowerRoman"/>
      <w:start w:val="3"/>
    </w:lvl>
  </w:abstractNum>
  <w:abstractNum w:abstractNumId="104">
    <w:nsid w:val="CA6B462"/>
    <w:multiLevelType w:val="hybridMultilevel"/>
    <w:lvl w:ilvl="0">
      <w:lvlJc w:val="left"/>
      <w:lvlText w:val="(%1)"/>
      <w:numFmt w:val="lowerLetter"/>
      <w:start w:val="5"/>
    </w:lvl>
    <w:lvl w:ilvl="1">
      <w:lvlJc w:val="left"/>
      <w:lvlText w:val="(%2)"/>
      <w:numFmt w:val="lowerLetter"/>
      <w:start w:val="9"/>
    </w:lvl>
  </w:abstractNum>
  <w:abstractNum w:abstractNumId="105">
    <w:nsid w:val="763CB680"/>
    <w:multiLevelType w:val="hybridMultilevel"/>
    <w:lvl w:ilvl="0">
      <w:lvlJc w:val="left"/>
      <w:lvlText w:val="(%1)"/>
      <w:numFmt w:val="upperLetter"/>
      <w:start w:val="2"/>
    </w:lvl>
  </w:abstractNum>
  <w:abstractNum w:abstractNumId="106">
    <w:nsid w:val="15B71329"/>
    <w:multiLevelType w:val="hybridMultilevel"/>
    <w:lvl w:ilvl="0">
      <w:lvlJc w:val="left"/>
      <w:lvlText w:val="(%1)"/>
      <w:numFmt w:val="lowerRoman"/>
      <w:start w:val="2"/>
    </w:lvl>
    <w:lvl w:ilvl="1">
      <w:lvlJc w:val="left"/>
      <w:lvlText w:val="(%2)"/>
      <w:numFmt w:val="upperLetter"/>
      <w:start w:val="1"/>
    </w:lvl>
  </w:abstractNum>
  <w:abstractNum w:abstractNumId="107">
    <w:nsid w:val="3DA97044"/>
    <w:multiLevelType w:val="hybridMultilevel"/>
    <w:lvl w:ilvl="0">
      <w:lvlJc w:val="left"/>
      <w:lvlText w:val="(%1)"/>
      <w:numFmt w:val="decimal"/>
      <w:start w:val="1"/>
    </w:lvl>
  </w:abstractNum>
  <w:abstractNum w:abstractNumId="108">
    <w:nsid w:val="1CDCE2D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9">
    <w:nsid w:val="69D3947C"/>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10">
    <w:nsid w:val="2539DFA5"/>
    <w:multiLevelType w:val="hybridMultilevel"/>
    <w:lvl w:ilvl="0">
      <w:lvlJc w:val="left"/>
      <w:lvlText w:val="(%1)"/>
      <w:numFmt w:val="upperLetter"/>
      <w:start w:val="2"/>
    </w:lvl>
  </w:abstractNum>
  <w:abstractNum w:abstractNumId="111">
    <w:nsid w:val="2DB88089"/>
    <w:multiLevelType w:val="hybridMultilevel"/>
    <w:lvl w:ilvl="0">
      <w:lvlJc w:val="left"/>
      <w:lvlText w:val="(%1)"/>
      <w:numFmt w:val="lowerRoman"/>
      <w:start w:val="2"/>
    </w:lvl>
  </w:abstractNum>
  <w:abstractNum w:abstractNumId="112">
    <w:nsid w:val="706B674E"/>
    <w:multiLevelType w:val="hybridMultilevel"/>
    <w:lvl w:ilvl="0">
      <w:lvlJc w:val="left"/>
      <w:lvlText w:val="(%1)"/>
      <w:numFmt w:val="lowerRoman"/>
      <w:start w:val="3"/>
    </w:lvl>
  </w:abstractNum>
  <w:abstractNum w:abstractNumId="113">
    <w:nsid w:val="2C106A57"/>
    <w:multiLevelType w:val="hybridMultilevel"/>
    <w:lvl w:ilvl="0">
      <w:lvlJc w:val="left"/>
      <w:lvlText w:val="(%1)"/>
      <w:numFmt w:val="lowerLetter"/>
      <w:start w:val="8"/>
    </w:lvl>
  </w:abstractNum>
  <w:abstractNum w:abstractNumId="114">
    <w:nsid w:val="684EED59"/>
    <w:multiLevelType w:val="hybridMultilevel"/>
    <w:lvl w:ilvl="0">
      <w:lvlJc w:val="left"/>
      <w:lvlText w:val="(%1)"/>
      <w:numFmt w:val="lowerRoman"/>
      <w:start w:val="1"/>
    </w:lvl>
    <w:lvl w:ilvl="1">
      <w:lvlJc w:val="left"/>
      <w:lvlText w:val="(%2)"/>
      <w:numFmt w:val="lowerRoman"/>
      <w:start w:val="1"/>
    </w:lvl>
  </w:abstractNum>
  <w:abstractNum w:abstractNumId="115">
    <w:nsid w:val="545EE5D3"/>
    <w:multiLevelType w:val="hybridMultilevel"/>
    <w:lvl w:ilvl="0">
      <w:lvlJc w:val="left"/>
      <w:lvlText w:val="(%1)"/>
      <w:numFmt w:val="lowerRoman"/>
      <w:start w:val="7"/>
    </w:lvl>
  </w:abstractNum>
  <w:abstractNum w:abstractNumId="116">
    <w:nsid w:val="4A66051"/>
    <w:multiLevelType w:val="hybridMultilevel"/>
    <w:lvl w:ilvl="0">
      <w:lvlJc w:val="left"/>
      <w:lvlText w:val="(%1)"/>
      <w:numFmt w:val="lowerRoman"/>
      <w:start w:val="11"/>
    </w:lvl>
  </w:abstractNum>
  <w:abstractNum w:abstractNumId="117">
    <w:nsid w:val="20F4BDAD"/>
    <w:multiLevelType w:val="hybridMultilevel"/>
    <w:lvl w:ilvl="0">
      <w:lvlJc w:val="left"/>
      <w:lvlText w:val="(%1)"/>
      <w:numFmt w:val="lowerLetter"/>
      <w:start w:val="1"/>
    </w:lvl>
    <w:lvl w:ilvl="1">
      <w:lvlJc w:val="left"/>
      <w:lvlText w:val="(%2)"/>
      <w:numFmt w:val="lowerRoman"/>
      <w:start w:val="1"/>
    </w:lvl>
  </w:abstractNum>
  <w:abstractNum w:abstractNumId="118">
    <w:nsid w:val="639DEFAC"/>
    <w:multiLevelType w:val="hybridMultilevel"/>
    <w:lvl w:ilvl="0">
      <w:lvlJc w:val="left"/>
      <w:lvlText w:val="(%1)"/>
      <w:numFmt w:val="lowerRoman"/>
      <w:start w:val="8"/>
    </w:lvl>
  </w:abstractNum>
  <w:abstractNum w:abstractNumId="119">
    <w:nsid w:val="501F9786"/>
    <w:multiLevelType w:val="hybridMultilevel"/>
    <w:lvl w:ilvl="0">
      <w:lvlJc w:val="left"/>
      <w:lvlText w:val="(%1)"/>
      <w:numFmt w:val="lowerLetter"/>
      <w:start w:val="3"/>
    </w:lvl>
  </w:abstractNum>
  <w:abstractNum w:abstractNumId="120">
    <w:nsid w:val="6B057295"/>
    <w:multiLevelType w:val="hybridMultilevel"/>
    <w:lvl w:ilvl="0">
      <w:lvlJc w:val="left"/>
      <w:lvlText w:val="(%1)"/>
      <w:numFmt w:val="lowerLetter"/>
      <w:start w:val="1"/>
    </w:lvl>
  </w:abstractNum>
  <w:abstractNum w:abstractNumId="121">
    <w:nsid w:val="2771AC80"/>
    <w:multiLevelType w:val="hybridMultilevel"/>
    <w:lvl w:ilvl="0">
      <w:lvlJc w:val="left"/>
      <w:lvlText w:val="(%1)"/>
      <w:numFmt w:val="lowerLetter"/>
      <w:start w:val="2"/>
    </w:lvl>
  </w:abstractNum>
  <w:abstractNum w:abstractNumId="122">
    <w:nsid w:val="1C4A08EC"/>
    <w:multiLevelType w:val="hybridMultilevel"/>
    <w:lvl w:ilvl="0">
      <w:lvlJc w:val="left"/>
      <w:lvlText w:val="(%1)"/>
      <w:numFmt w:val="lowerLetter"/>
      <w:start w:val="3"/>
    </w:lvl>
  </w:abstractNum>
  <w:abstractNum w:abstractNumId="123">
    <w:nsid w:val="1958BD17"/>
    <w:multiLevelType w:val="hybridMultilevel"/>
    <w:lvl w:ilvl="0">
      <w:lvlJc w:val="left"/>
      <w:lvlText w:val="(%1)"/>
      <w:numFmt w:val="lowerLetter"/>
      <w:start w:val="5"/>
    </w:lvl>
  </w:abstractNum>
  <w:abstractNum w:abstractNumId="124">
    <w:nsid w:val="4E647FE4"/>
    <w:multiLevelType w:val="hybridMultilevel"/>
    <w:lvl w:ilvl="0">
      <w:lvlJc w:val="left"/>
      <w:lvlText w:val="(%1)"/>
      <w:numFmt w:val="lowerLetter"/>
      <w:start w:val="1"/>
    </w:lvl>
  </w:abstractNum>
  <w:abstractNum w:abstractNumId="125">
    <w:nsid w:val="E0BB885"/>
    <w:multiLevelType w:val="hybridMultilevel"/>
    <w:lvl w:ilvl="0">
      <w:lvlJc w:val="left"/>
      <w:lvlText w:val="(%1)"/>
      <w:numFmt w:val="lowerLetter"/>
      <w:start w:val="4"/>
    </w:lvl>
    <w:lvl w:ilvl="1">
      <w:lvlJc w:val="left"/>
      <w:lvlText w:val="(%2)"/>
      <w:numFmt w:val="lowerRoman"/>
      <w:start w:val="1"/>
    </w:lvl>
  </w:abstractNum>
  <w:abstractNum w:abstractNumId="126">
    <w:nsid w:val="565976F1"/>
    <w:multiLevelType w:val="hybridMultilevel"/>
    <w:lvl w:ilvl="0">
      <w:lvlJc w:val="left"/>
      <w:lvlText w:val="%1"/>
      <w:numFmt w:val="lowerLetter"/>
      <w:start w:val="1"/>
    </w:lvl>
    <w:lvl w:ilvl="1">
      <w:lvlJc w:val="left"/>
      <w:lvlText w:val="(%2)"/>
      <w:numFmt w:val="lowerRoman"/>
      <w:start w:val="8"/>
    </w:lvl>
  </w:abstractNum>
  <w:abstractNum w:abstractNumId="127">
    <w:nsid w:val="64212B8C"/>
    <w:multiLevelType w:val="hybridMultilevel"/>
    <w:lvl w:ilvl="0">
      <w:lvlJc w:val="left"/>
      <w:lvlText w:val="(%1)"/>
      <w:numFmt w:val="lowerLetter"/>
      <w:start w:val="5"/>
    </w:lvl>
    <w:lvl w:ilvl="1">
      <w:lvlJc w:val="left"/>
      <w:lvlText w:val="%2"/>
      <w:numFmt w:val="lowerRoman"/>
      <w:start w:val="1"/>
    </w:lvl>
  </w:abstractNum>
  <w:abstractNum w:abstractNumId="128">
    <w:nsid w:val="5C17530C"/>
    <w:multiLevelType w:val="hybridMultilevel"/>
    <w:lvl w:ilvl="0">
      <w:lvlJc w:val="left"/>
      <w:lvlText w:val="(%1)"/>
      <w:numFmt w:val="lowerRoman"/>
      <w:start w:val="2"/>
    </w:lvl>
  </w:abstractNum>
  <w:abstractNum w:abstractNumId="129">
    <w:nsid w:val="19A52566"/>
    <w:multiLevelType w:val="hybridMultilevel"/>
    <w:lvl w:ilvl="0">
      <w:lvlJc w:val="left"/>
      <w:lvlText w:val="(%1)"/>
      <w:numFmt w:val="lowerLetter"/>
      <w:start w:val="1"/>
    </w:lvl>
    <w:lvl w:ilvl="1">
      <w:lvlJc w:val="left"/>
      <w:lvlText w:val="(%2)"/>
      <w:numFmt w:val="decimal"/>
      <w:start w:val="1"/>
    </w:lvl>
  </w:abstractNum>
  <w:abstractNum w:abstractNumId="130">
    <w:nsid w:val="335A1DF1"/>
    <w:multiLevelType w:val="hybridMultilevel"/>
    <w:lvl w:ilvl="0">
      <w:lvlJc w:val="left"/>
      <w:lvlText w:val="(%1)"/>
      <w:numFmt w:val="lowerLetter"/>
      <w:start w:val="2"/>
    </w:lvl>
  </w:abstractNum>
  <w:abstractNum w:abstractNumId="131">
    <w:nsid w:val="28677B7C"/>
    <w:multiLevelType w:val="hybridMultilevel"/>
    <w:lvl w:ilvl="0">
      <w:lvlJc w:val="left"/>
      <w:lvlText w:val="(%1)"/>
      <w:numFmt w:val="lowerLetter"/>
      <w:start w:val="6"/>
    </w:lvl>
  </w:abstractNum>
  <w:abstractNum w:abstractNumId="132">
    <w:nsid w:val="378D97C0"/>
    <w:multiLevelType w:val="hybridMultilevel"/>
    <w:lvl w:ilvl="0">
      <w:lvlJc w:val="left"/>
      <w:lvlText w:val="(%1)"/>
      <w:numFmt w:val="lowerLetter"/>
      <w:start w:val="1"/>
    </w:lvl>
  </w:abstractNum>
  <w:abstractNum w:abstractNumId="133">
    <w:nsid w:val="1D91467C"/>
    <w:multiLevelType w:val="hybridMultilevel"/>
    <w:lvl w:ilvl="0">
      <w:lvlJc w:val="left"/>
      <w:lvlText w:val="(%1)"/>
      <w:numFmt w:val="lowerLetter"/>
      <w:start w:val="1"/>
    </w:lvl>
    <w:lvl w:ilvl="1">
      <w:lvlJc w:val="left"/>
      <w:lvlText w:val="(%2)"/>
      <w:numFmt w:val="upperLetter"/>
      <w:start w:val="9"/>
    </w:lvl>
    <w:lvl w:ilvl="2">
      <w:lvlJc w:val="left"/>
      <w:lvlText w:val="(%3)"/>
      <w:numFmt w:val="lowerLetter"/>
      <w:start w:val="1"/>
    </w:lvl>
  </w:abstractNum>
  <w:abstractNum w:abstractNumId="134">
    <w:nsid w:val="316032BB"/>
    <w:multiLevelType w:val="hybridMultilevel"/>
    <w:lvl w:ilvl="0">
      <w:lvlJc w:val="left"/>
      <w:lvlText w:val="(%1)"/>
      <w:numFmt w:val="upperLetter"/>
      <w:start w:val="35"/>
    </w:lvl>
  </w:abstractNum>
  <w:abstractNum w:abstractNumId="135">
    <w:nsid w:val="44344C22"/>
    <w:multiLevelType w:val="hybridMultilevel"/>
    <w:lvl w:ilvl="0">
      <w:lvlJc w:val="left"/>
      <w:lvlText w:val="(%1)"/>
      <w:numFmt w:val="upperLetter"/>
      <w:start w:val="61"/>
    </w:lvl>
    <w:lvl w:ilvl="1">
      <w:lvlJc w:val="left"/>
      <w:lvlText w:val="(%2)"/>
      <w:numFmt w:val="lowerLetter"/>
      <w:start w:val="1"/>
    </w:lvl>
  </w:abstractNum>
  <w:abstractNum w:abstractNumId="136">
    <w:nsid w:val="13CDFCFC"/>
    <w:multiLevelType w:val="hybridMultilevel"/>
    <w:lvl w:ilvl="0">
      <w:lvlJc w:val="left"/>
      <w:lvlText w:val="%1"/>
      <w:numFmt w:val="lowerLetter"/>
      <w:start w:val="1"/>
    </w:lvl>
    <w:lvl w:ilvl="1">
      <w:lvlJc w:val="left"/>
      <w:lvlText w:val="(%2)"/>
      <w:numFmt w:val="decimal"/>
      <w:start w:val="1"/>
    </w:lvl>
  </w:abstractNum>
  <w:abstractNum w:abstractNumId="137">
    <w:nsid w:val="471745E4"/>
    <w:multiLevelType w:val="hybridMultilevel"/>
    <w:lvl w:ilvl="0">
      <w:lvlJc w:val="left"/>
      <w:lvlText w:val="(%1)"/>
      <w:numFmt w:val="lowerLetter"/>
      <w:start w:val="1"/>
    </w:lvl>
    <w:lvl w:ilvl="1">
      <w:lvlJc w:val="left"/>
      <w:lvlText w:val="%2"/>
      <w:numFmt w:val="decimal"/>
      <w:start w:val="1"/>
    </w:lvl>
  </w:abstractNum>
  <w:abstractNum w:abstractNumId="138">
    <w:nsid w:val="1DDBC66"/>
    <w:multiLevelType w:val="hybridMultilevel"/>
    <w:lvl w:ilvl="0">
      <w:lvlJc w:val="left"/>
      <w:lvlText w:val="(%1)"/>
      <w:numFmt w:val="lowerRoman"/>
      <w:start w:val="1"/>
    </w:lvl>
  </w:abstractNum>
  <w:abstractNum w:abstractNumId="139">
    <w:nsid w:val="30AADFDA"/>
    <w:multiLevelType w:val="hybridMultilevel"/>
    <w:lvl w:ilvl="0">
      <w:lvlJc w:val="left"/>
      <w:lvlText w:val="(%1)"/>
      <w:numFmt w:val="lowerRoman"/>
      <w:start w:val="5"/>
    </w:lvl>
  </w:abstractNum>
  <w:abstractNum w:abstractNumId="140">
    <w:nsid w:val="30EADA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27179C0B"/>
    <w:multiLevelType w:val="hybridMultilevel"/>
    <w:lvl w:ilvl="0">
      <w:lvlJc w:val="left"/>
      <w:lvlText w:val="(%1)"/>
      <w:numFmt w:val="lowerRoman"/>
      <w:start w:val="3"/>
    </w:lvl>
  </w:abstractNum>
  <w:abstractNum w:abstractNumId="142">
    <w:nsid w:val="5E636063"/>
    <w:multiLevelType w:val="hybridMultilevel"/>
    <w:lvl w:ilvl="0">
      <w:lvlJc w:val="left"/>
      <w:lvlText w:val="(%1)"/>
      <w:numFmt w:val="lowerRoman"/>
      <w:start w:val="8"/>
    </w:lvl>
  </w:abstractNum>
  <w:abstractNum w:abstractNumId="143">
    <w:nsid w:val="215641AF"/>
    <w:multiLevelType w:val="hybridMultilevel"/>
    <w:lvl w:ilvl="0">
      <w:lvlJc w:val="left"/>
      <w:lvlText w:val="(%1)"/>
      <w:numFmt w:val="lowerRoman"/>
      <w:start w:val="14"/>
    </w:lvl>
  </w:abstractNum>
  <w:abstractNum w:abstractNumId="144">
    <w:nsid w:val="53280662"/>
    <w:multiLevelType w:val="hybridMultilevel"/>
    <w:lvl w:ilvl="0">
      <w:lvlJc w:val="left"/>
      <w:lvlText w:val="(%1)"/>
      <w:numFmt w:val="lowerRoman"/>
      <w:start w:val="23"/>
    </w:lvl>
  </w:abstractNum>
  <w:abstractNum w:abstractNumId="145">
    <w:nsid w:val="46B24DBC"/>
    <w:multiLevelType w:val="hybridMultilevel"/>
    <w:lvl w:ilvl="0">
      <w:lvlJc w:val="left"/>
      <w:lvlText w:val="(%1)"/>
      <w:numFmt w:val="lowerRoman"/>
      <w:start w:val="32"/>
    </w:lvl>
  </w:abstractNum>
  <w:abstractNum w:abstractNumId="146">
    <w:nsid w:val="75B52783"/>
    <w:multiLevelType w:val="hybridMultilevel"/>
    <w:lvl w:ilvl="0">
      <w:lvlJc w:val="left"/>
      <w:lvlText w:val="(%1)"/>
      <w:numFmt w:val="lowerLetter"/>
      <w:start w:val="3"/>
    </w:lvl>
  </w:abstractNum>
  <w:abstractNum w:abstractNumId="147">
    <w:nsid w:val="57CE66B4"/>
    <w:multiLevelType w:val="hybridMultilevel"/>
    <w:lvl w:ilvl="0">
      <w:lvlJc w:val="left"/>
      <w:lvlText w:val="(%1)"/>
      <w:numFmt w:val="decimal"/>
      <w:start w:val="1"/>
    </w:lvl>
  </w:abstractNum>
  <w:abstractNum w:abstractNumId="148">
    <w:nsid w:val="67A70B69"/>
    <w:multiLevelType w:val="hybridMultilevel"/>
    <w:lvl w:ilvl="0">
      <w:lvlJc w:val="left"/>
      <w:lvlText w:val="%1"/>
      <w:numFmt w:val="lowerLetter"/>
      <w:start w:val="1"/>
    </w:lvl>
    <w:lvl w:ilvl="1">
      <w:lvlJc w:val="left"/>
      <w:lvlText w:val="(%2)"/>
      <w:numFmt w:val="lowerLetter"/>
      <w:start w:val="1"/>
    </w:lvl>
  </w:abstractNum>
  <w:abstractNum w:abstractNumId="149">
    <w:nsid w:val="5953172F"/>
    <w:multiLevelType w:val="hybridMultilevel"/>
    <w:lvl w:ilvl="0">
      <w:lvlJc w:val="left"/>
      <w:lvlText w:val="(%1)"/>
      <w:numFmt w:val="lowerLetter"/>
      <w:start w:val="41"/>
    </w:lvl>
    <w:lvl w:ilvl="1">
      <w:lvlJc w:val="left"/>
      <w:lvlText w:val="(%2)"/>
      <w:numFmt w:val="lowerLetter"/>
      <w:start w:val="2"/>
    </w:lvl>
  </w:abstractNum>
  <w:abstractNum w:abstractNumId="150">
    <w:nsid w:val="27EDFE3A"/>
    <w:multiLevelType w:val="hybridMultilevel"/>
    <w:lvl w:ilvl="0">
      <w:lvlJc w:val="left"/>
      <w:lvlText w:val="%1"/>
      <w:numFmt w:val="lowerLetter"/>
      <w:start w:val="1"/>
    </w:lvl>
    <w:lvl w:ilvl="1">
      <w:lvlJc w:val="left"/>
      <w:lvlText w:val="(%2)"/>
      <w:numFmt w:val="lowerLetter"/>
      <w:start w:val="9"/>
    </w:lvl>
  </w:abstractNum>
  <w:abstractNum w:abstractNumId="151">
    <w:nsid w:val="52AC7DFF"/>
    <w:multiLevelType w:val="hybridMultilevel"/>
    <w:lvl w:ilvl="0">
      <w:lvlJc w:val="left"/>
      <w:lvlText w:val="(%1)"/>
      <w:numFmt w:val="lowerLetter"/>
      <w:start w:val="35"/>
    </w:lvl>
    <w:lvl w:ilvl="1">
      <w:lvlJc w:val="left"/>
      <w:lvlText w:val="(%2)"/>
      <w:numFmt w:val="lowerLetter"/>
      <w:start w:val="11"/>
    </w:lvl>
  </w:abstractNum>
  <w:abstractNum w:abstractNumId="152">
    <w:nsid w:val="C4C3AF"/>
    <w:multiLevelType w:val="hybridMultilevel"/>
    <w:lvl w:ilvl="0">
      <w:lvlJc w:val="left"/>
      <w:lvlText w:val="(%1)"/>
      <w:numFmt w:val="lowerLetter"/>
      <w:start w:val="17"/>
    </w:lvl>
  </w:abstractNum>
  <w:abstractNum w:abstractNumId="153">
    <w:nsid w:val="44380727"/>
    <w:multiLevelType w:val="hybridMultilevel"/>
    <w:lvl w:ilvl="0">
      <w:lvlJc w:val="left"/>
      <w:lvlText w:val="(%1)"/>
      <w:numFmt w:val="lowerLetter"/>
      <w:start w:val="1"/>
    </w:lvl>
  </w:abstractNum>
  <w:abstractNum w:abstractNumId="154">
    <w:nsid w:val="6C053B16"/>
    <w:multiLevelType w:val="hybridMultilevel"/>
    <w:lvl w:ilvl="0">
      <w:lvlJc w:val="left"/>
      <w:lvlText w:val="(%1)"/>
      <w:numFmt w:val="lowerLetter"/>
      <w:start w:val="2"/>
    </w:lvl>
  </w:abstractNum>
  <w:abstractNum w:abstractNumId="155">
    <w:nsid w:val="4F294393"/>
    <w:multiLevelType w:val="hybridMultilevel"/>
    <w:lvl w:ilvl="0">
      <w:lvlJc w:val="left"/>
      <w:lvlText w:val="(%1)"/>
      <w:numFmt w:val="lowerLetter"/>
      <w:start w:val="9"/>
    </w:lvl>
  </w:abstractNum>
  <w:abstractNum w:abstractNumId="156">
    <w:nsid w:val="5243BFAC"/>
    <w:multiLevelType w:val="hybridMultilevel"/>
    <w:lvl w:ilvl="0">
      <w:lvlJc w:val="left"/>
      <w:lvlText w:val="(%1)"/>
      <w:numFmt w:val="lowerLetter"/>
      <w:start w:val="16"/>
    </w:lvl>
    <w:lvl w:ilvl="1">
      <w:lvlJc w:val="left"/>
      <w:lvlText w:val="(%2)"/>
      <w:numFmt w:val="lowerLetter"/>
      <w:start w:val="9"/>
    </w:lvl>
  </w:abstractNum>
  <w:abstractNum w:abstractNumId="157">
    <w:nsid w:val="425EB207"/>
    <w:multiLevelType w:val="hybridMultilevel"/>
    <w:lvl w:ilvl="0">
      <w:lvlJc w:val="left"/>
      <w:lvlText w:val="(%1)"/>
      <w:numFmt w:val="lowerRoman"/>
      <w:start w:val="2"/>
    </w:lvl>
    <w:lvl w:ilvl="1">
      <w:lvlJc w:val="left"/>
      <w:lvlText w:val="(%2)"/>
      <w:numFmt w:val="upperLetter"/>
      <w:start w:val="1"/>
    </w:lvl>
  </w:abstractNum>
  <w:abstractNum w:abstractNumId="158">
    <w:nsid w:val="334A6F1F"/>
    <w:multiLevelType w:val="hybridMultilevel"/>
    <w:lvl w:ilvl="0">
      <w:lvlJc w:val="left"/>
      <w:lvlText w:val="(%1)"/>
      <w:numFmt w:val="lowerLetter"/>
      <w:start w:val="18"/>
    </w:lvl>
  </w:abstractNum>
  <w:abstractNum w:abstractNumId="159">
    <w:nsid w:val="2E5B12B8"/>
    <w:multiLevelType w:val="hybridMultilevel"/>
    <w:lvl w:ilvl="0">
      <w:lvlJc w:val="left"/>
      <w:lvlText w:val="(%1)"/>
      <w:numFmt w:val="lowerLetter"/>
      <w:start w:val="24"/>
    </w:lvl>
  </w:abstractNum>
  <w:abstractNum w:abstractNumId="160">
    <w:nsid w:val="5C03D76D"/>
    <w:multiLevelType w:val="hybridMultilevel"/>
    <w:lvl w:ilvl="0">
      <w:lvlJc w:val="left"/>
      <w:lvlText w:val="(%1)"/>
      <w:numFmt w:val="lowerLetter"/>
      <w:start w:val="27"/>
    </w:lvl>
  </w:abstractNum>
  <w:abstractNum w:abstractNumId="161">
    <w:nsid w:val="66A48D11"/>
    <w:multiLevelType w:val="hybridMultilevel"/>
    <w:lvl w:ilvl="0">
      <w:lvlJc w:val="left"/>
      <w:lvlText w:val="(%1)"/>
      <w:numFmt w:val="lowerLetter"/>
      <w:start w:val="34"/>
    </w:lvl>
  </w:abstractNum>
  <w:abstractNum w:abstractNumId="162">
    <w:nsid w:val="56C28E34"/>
    <w:multiLevelType w:val="hybridMultilevel"/>
    <w:lvl w:ilvl="0">
      <w:lvlJc w:val="left"/>
      <w:lvlText w:val="(%1)"/>
      <w:numFmt w:val="lowerLetter"/>
      <w:start w:val="1"/>
    </w:lvl>
  </w:abstractNum>
  <w:abstractNum w:abstractNumId="163">
    <w:nsid w:val="13916F2D"/>
    <w:multiLevelType w:val="hybridMultilevel"/>
    <w:lvl w:ilvl="0">
      <w:lvlJc w:val="left"/>
      <w:lvlText w:val="%1"/>
      <w:numFmt w:val="lowerLetter"/>
      <w:start w:val="1"/>
    </w:lvl>
    <w:lvl w:ilvl="1">
      <w:lvlJc w:val="left"/>
      <w:lvlText w:val="(%2)"/>
      <w:numFmt w:val="decimal"/>
      <w:start w:val="1"/>
    </w:lvl>
  </w:abstractNum>
  <w:abstractNum w:abstractNumId="164">
    <w:nsid w:val="435D38D"/>
    <w:multiLevelType w:val="hybridMultilevel"/>
    <w:lvl w:ilvl="0">
      <w:lvlJc w:val="left"/>
      <w:lvlText w:val="(%1)"/>
      <w:numFmt w:val="lowerLetter"/>
      <w:start w:val="2"/>
    </w:lvl>
    <w:lvl w:ilvl="1">
      <w:lvlJc w:val="left"/>
      <w:lvlText w:val="%2"/>
      <w:numFmt w:val="decimal"/>
      <w:start w:val="1"/>
    </w:lvl>
  </w:abstractNum>
  <w:abstractNum w:abstractNumId="165">
    <w:nsid w:val="822C0EF"/>
    <w:multiLevelType w:val="hybridMultilevel"/>
    <w:lvl w:ilvl="0">
      <w:lvlJc w:val="left"/>
      <w:lvlText w:val="(%1)"/>
      <w:numFmt w:val="decimal"/>
      <w:start w:val="1"/>
    </w:lvl>
  </w:abstractNum>
  <w:abstractNum w:abstractNumId="166">
    <w:nsid w:val="57C5BB4F"/>
    <w:multiLevelType w:val="hybridMultilevel"/>
    <w:lvl w:ilvl="0">
      <w:lvlJc w:val="left"/>
      <w:lvlText w:val="(%1)"/>
      <w:numFmt w:val="lowerRoman"/>
      <w:start w:val="1"/>
    </w:lvl>
  </w:abstractNum>
  <w:abstractNum w:abstractNumId="167">
    <w:nsid w:val="1803D089"/>
    <w:multiLevelType w:val="hybridMultilevel"/>
    <w:lvl w:ilvl="0">
      <w:lvlJc w:val="left"/>
      <w:lvlText w:val="(%1)"/>
      <w:numFmt w:val="decimal"/>
      <w:start w:val="3"/>
    </w:lvl>
  </w:abstractNum>
  <w:abstractNum w:abstractNumId="168">
    <w:nsid w:val="4F3A06D4"/>
    <w:multiLevelType w:val="hybridMultilevel"/>
    <w:lvl w:ilvl="0">
      <w:lvlJc w:val="left"/>
      <w:lvlText w:val="(%1)"/>
      <w:numFmt w:val="lowerLetter"/>
      <w:start w:val="3"/>
    </w:lvl>
  </w:abstractNum>
  <w:abstractNum w:abstractNumId="169">
    <w:nsid w:val="59A377B6"/>
    <w:multiLevelType w:val="hybridMultilevel"/>
    <w:lvl w:ilvl="0">
      <w:lvlJc w:val="left"/>
      <w:lvlText w:val="(%1)"/>
      <w:numFmt w:val="lowerLetter"/>
      <w:start w:val="5"/>
    </w:lvl>
    <w:lvl w:ilvl="1">
      <w:lvlJc w:val="left"/>
      <w:lvlText w:val="(%2)"/>
      <w:numFmt w:val="decimal"/>
      <w:start w:val="1"/>
    </w:lvl>
  </w:abstractNum>
  <w:abstractNum w:abstractNumId="170">
    <w:nsid w:val="48AEB063"/>
    <w:multiLevelType w:val="hybridMultilevel"/>
    <w:lvl w:ilvl="0">
      <w:lvlJc w:val="left"/>
      <w:lvlText w:val="(%1)"/>
      <w:numFmt w:val="lowerLetter"/>
      <w:start w:val="7"/>
    </w:lvl>
  </w:abstractNum>
  <w:abstractNum w:abstractNumId="171">
    <w:nsid w:val="24E135"/>
    <w:multiLevelType w:val="hybridMultilevel"/>
    <w:lvl w:ilvl="0">
      <w:lvlJc w:val="left"/>
      <w:lvlText w:val="(%1)"/>
      <w:numFmt w:val="decimal"/>
      <w:start w:val="1"/>
    </w:lvl>
  </w:abstractNum>
  <w:abstractNum w:abstractNumId="172">
    <w:nsid w:val="BB13C1"/>
    <w:multiLevelType w:val="hybridMultilevel"/>
    <w:lvl w:ilvl="0">
      <w:lvlJc w:val="left"/>
      <w:lvlText w:val="(%1)"/>
      <w:numFmt w:val="lowerLetter"/>
      <w:start w:val="1"/>
    </w:lvl>
  </w:abstractNum>
  <w:abstractNum w:abstractNumId="173">
    <w:nsid w:val="271210C7"/>
    <w:multiLevelType w:val="hybridMultilevel"/>
    <w:lvl w:ilvl="0">
      <w:lvlJc w:val="left"/>
      <w:lvlText w:val="(%1)"/>
      <w:numFmt w:val="lowerLetter"/>
      <w:start w:val="8"/>
    </w:lvl>
  </w:abstractNum>
  <w:abstractNum w:abstractNumId="174">
    <w:nsid w:val="217B22E4"/>
    <w:multiLevelType w:val="hybridMultilevel"/>
    <w:lvl w:ilvl="0">
      <w:lvlJc w:val="left"/>
      <w:lvlText w:val="(%1)"/>
      <w:numFmt w:val="lowerLetter"/>
      <w:start w:val="16"/>
    </w:lvl>
  </w:abstractNum>
  <w:abstractNum w:abstractNumId="175">
    <w:nsid w:val="53E31A24"/>
    <w:multiLevelType w:val="hybridMultilevel"/>
    <w:lvl w:ilvl="0">
      <w:lvlJc w:val="left"/>
      <w:lvlText w:val="(%1)"/>
      <w:numFmt w:val="lowerLetter"/>
      <w:start w:val="26"/>
    </w:lvl>
  </w:abstractNum>
  <w:abstractNum w:abstractNumId="176">
    <w:nsid w:val="6DC45E83"/>
    <w:multiLevelType w:val="hybridMultilevel"/>
    <w:lvl w:ilvl="0">
      <w:lvlJc w:val="left"/>
      <w:lvlText w:val="(%1)"/>
      <w:numFmt w:val="lowerLetter"/>
      <w:start w:val="27"/>
    </w:lvl>
  </w:abstractNum>
  <w:abstractNum w:abstractNumId="177">
    <w:nsid w:val="17304A67"/>
    <w:multiLevelType w:val="hybridMultilevel"/>
    <w:lvl w:ilvl="0">
      <w:lvlJc w:val="left"/>
      <w:lvlText w:val="(%1)"/>
      <w:numFmt w:val="lowerLetter"/>
      <w:start w:val="1"/>
    </w:lvl>
    <w:lvl w:ilvl="1">
      <w:lvlJc w:val="left"/>
      <w:lvlText w:val="(%2)"/>
      <w:numFmt w:val="decimal"/>
      <w:start w:val="1"/>
    </w:lvl>
  </w:abstractNum>
  <w:abstractNum w:abstractNumId="178">
    <w:nsid w:val="2BB180D8"/>
    <w:multiLevelType w:val="hybridMultilevel"/>
    <w:lvl w:ilvl="0">
      <w:lvlJc w:val="left"/>
      <w:lvlText w:val="(%1)"/>
      <w:numFmt w:val="lowerLetter"/>
      <w:start w:val="3"/>
    </w:lvl>
  </w:abstractNum>
  <w:abstractNum w:abstractNumId="179">
    <w:nsid w:val="556B69ED"/>
    <w:multiLevelType w:val="hybridMultilevel"/>
    <w:lvl w:ilvl="0">
      <w:lvlJc w:val="left"/>
      <w:lvlText w:val="(%1)"/>
      <w:numFmt w:val="lowerLetter"/>
      <w:start w:val="1"/>
    </w:lvl>
    <w:lvl w:ilvl="1">
      <w:lvlJc w:val="left"/>
      <w:lvlText w:val="(%2)"/>
      <w:numFmt w:val="decimal"/>
      <w:start w:val="1"/>
    </w:lvl>
  </w:abstractNum>
  <w:abstractNum w:abstractNumId="180">
    <w:nsid w:val="70836196"/>
    <w:multiLevelType w:val="hybridMultilevel"/>
    <w:lvl w:ilvl="0">
      <w:lvlJc w:val="left"/>
      <w:lvlText w:val="(%1)"/>
      <w:numFmt w:val="decimal"/>
      <w:start w:val="5"/>
    </w:lvl>
  </w:abstractNum>
  <w:abstractNum w:abstractNumId="181">
    <w:nsid w:val="539F7F12"/>
    <w:multiLevelType w:val="hybridMultilevel"/>
    <w:lvl w:ilvl="0">
      <w:lvlJc w:val="left"/>
      <w:lvlText w:val="(%1)"/>
      <w:numFmt w:val="lowerLetter"/>
      <w:start w:val="2"/>
    </w:lvl>
    <w:lvl w:ilvl="1">
      <w:lvlJc w:val="left"/>
      <w:lvlText w:val="(%2)"/>
      <w:numFmt w:val="decimal"/>
      <w:start w:val="1"/>
    </w:lvl>
  </w:abstractNum>
  <w:abstractNum w:abstractNumId="182">
    <w:nsid w:val="2817E7EC"/>
    <w:multiLevelType w:val="hybridMultilevel"/>
    <w:lvl w:ilvl="0">
      <w:lvlJc w:val="left"/>
      <w:lvlText w:val="(%1)"/>
      <w:numFmt w:val="lowerLetter"/>
      <w:start w:val="4"/>
    </w:lvl>
  </w:abstractNum>
  <w:abstractNum w:abstractNumId="183">
    <w:nsid w:val="71482545"/>
    <w:multiLevelType w:val="hybridMultilevel"/>
    <w:lvl w:ilvl="0">
      <w:lvlJc w:val="left"/>
      <w:lvlText w:val="(%1)"/>
      <w:numFmt w:val="lowerLetter"/>
      <w:start w:val="1"/>
    </w:lvl>
  </w:abstractNum>
  <w:abstractNum w:abstractNumId="184">
    <w:nsid w:val="17D78639"/>
    <w:multiLevelType w:val="hybridMultilevel"/>
    <w:lvl w:ilvl="0">
      <w:lvlJc w:val="left"/>
      <w:lvlText w:val="(%1)"/>
      <w:numFmt w:val="lowerLetter"/>
      <w:start w:val="4"/>
    </w:lvl>
  </w:abstractNum>
  <w:abstractNum w:abstractNumId="185">
    <w:nsid w:val="141D2302"/>
    <w:multiLevelType w:val="hybridMultilevel"/>
    <w:lvl w:ilvl="0">
      <w:lvlJc w:val="left"/>
      <w:lvlText w:val="(%1)"/>
      <w:numFmt w:val="lowerLetter"/>
      <w:start w:val="1"/>
    </w:lvl>
  </w:abstractNum>
  <w:abstractNum w:abstractNumId="186">
    <w:nsid w:val="407168D8"/>
    <w:multiLevelType w:val="hybridMultilevel"/>
    <w:lvl w:ilvl="0">
      <w:lvlJc w:val="left"/>
      <w:lvlText w:val="(%1)"/>
      <w:numFmt w:val="lowerLetter"/>
      <w:start w:val="2"/>
    </w:lvl>
  </w:abstractNum>
  <w:abstractNum w:abstractNumId="187">
    <w:nsid w:val="6A1B45E5"/>
    <w:multiLevelType w:val="hybridMultilevel"/>
    <w:lvl w:ilvl="0">
      <w:lvlJc w:val="left"/>
      <w:lvlText w:val="(%1)"/>
      <w:numFmt w:val="lowerLetter"/>
      <w:start w:val="1"/>
    </w:lvl>
    <w:lvl w:ilvl="1">
      <w:lvlJc w:val="left"/>
      <w:lvlText w:val="(%2)"/>
      <w:numFmt w:val="lowerLetter"/>
      <w:start w:val="9"/>
    </w:lvl>
  </w:abstractNum>
  <w:abstractNum w:abstractNumId="188">
    <w:nsid w:val="567BD50A"/>
    <w:multiLevelType w:val="hybridMultilevel"/>
    <w:lvl w:ilvl="0">
      <w:lvlJc w:val="left"/>
      <w:lvlText w:val="(%1)"/>
      <w:numFmt w:val="lowerRoman"/>
      <w:start w:val="2"/>
    </w:lvl>
  </w:abstractNum>
  <w:abstractNum w:abstractNumId="189">
    <w:nsid w:val="73BBD7F8"/>
    <w:multiLevelType w:val="hybridMultilevel"/>
    <w:lvl w:ilvl="0">
      <w:lvlJc w:val="left"/>
      <w:lvlText w:val="(%1)"/>
      <w:numFmt w:val="decimal"/>
      <w:start w:val="1"/>
    </w:lvl>
  </w:abstractNum>
  <w:abstractNum w:abstractNumId="190">
    <w:nsid w:val="1876589D"/>
    <w:multiLevelType w:val="hybridMultilevel"/>
    <w:lvl w:ilvl="0">
      <w:lvlJc w:val="left"/>
      <w:lvlText w:val="%1"/>
      <w:numFmt w:val="lowerLetter"/>
      <w:start w:val="1"/>
    </w:lvl>
    <w:lvl w:ilvl="1">
      <w:lvlJc w:val="left"/>
      <w:lvlText w:val="(%2)"/>
      <w:numFmt w:val="lowerRoman"/>
      <w:start w:val="5"/>
    </w:lvl>
  </w:abstractNum>
  <w:abstractNum w:abstractNumId="191">
    <w:nsid w:val="327FAC77"/>
    <w:multiLevelType w:val="hybridMultilevel"/>
    <w:lvl w:ilvl="0">
      <w:lvlJc w:val="left"/>
      <w:lvlText w:val="(%1)"/>
      <w:numFmt w:val="lowerLetter"/>
      <w:start w:val="2"/>
    </w:lvl>
    <w:lvl w:ilvl="1">
      <w:lvlJc w:val="left"/>
      <w:lvlText w:val="%2"/>
      <w:numFmt w:val="lowerRoman"/>
      <w:start w:val="1"/>
    </w:lvl>
  </w:abstractNum>
  <w:abstractNum w:abstractNumId="192">
    <w:nsid w:val="5A60650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3">
    <w:nsid w:val="6F38E6D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2"/>
    </w:lvl>
  </w:abstractNum>
  <w:abstractNum w:abstractNumId="194">
    <w:nsid w:val="46111BA5"/>
    <w:multiLevelType w:val="hybridMultilevel"/>
    <w:lvl w:ilvl="0">
      <w:lvlJc w:val="left"/>
      <w:lvlText w:val="%1"/>
      <w:numFmt w:val="lowerLetter"/>
      <w:start w:val="1"/>
    </w:lvl>
    <w:lvl w:ilvl="1">
      <w:lvlJc w:val="left"/>
      <w:lvlText w:val="(%2)"/>
      <w:numFmt w:val="decimal"/>
      <w:start w:val="2"/>
    </w:lvl>
  </w:abstractNum>
  <w:abstractNum w:abstractNumId="195">
    <w:nsid w:val="5E963896"/>
    <w:multiLevelType w:val="hybridMultilevel"/>
    <w:lvl w:ilvl="0">
      <w:lvlJc w:val="left"/>
      <w:lvlText w:val="(%1)"/>
      <w:numFmt w:val="lowerLetter"/>
      <w:start w:val="4"/>
    </w:lvl>
    <w:lvl w:ilvl="1">
      <w:lvlJc w:val="left"/>
      <w:lvlText w:val="%2"/>
      <w:numFmt w:val="decimal"/>
      <w:start w:val="1"/>
    </w:lvl>
  </w:abstractNum>
  <w:abstractNum w:abstractNumId="196">
    <w:nsid w:val="775BA7C1"/>
    <w:multiLevelType w:val="hybridMultilevel"/>
    <w:lvl w:ilvl="0">
      <w:lvlJc w:val="left"/>
      <w:lvlText w:val="(%1)"/>
      <w:numFmt w:val="lowerLetter"/>
      <w:start w:val="1"/>
    </w:lvl>
    <w:lvl w:ilvl="1">
      <w:lvlJc w:val="left"/>
      <w:lvlText w:val="(%2)"/>
      <w:numFmt w:val="decimal"/>
      <w:start w:val="1"/>
    </w:lvl>
  </w:abstractNum>
  <w:abstractNum w:abstractNumId="197">
    <w:nsid w:val="1DD6D6F4"/>
    <w:multiLevelType w:val="hybridMultilevel"/>
    <w:lvl w:ilvl="0">
      <w:lvlJc w:val="left"/>
      <w:lvlText w:val="(%1)"/>
      <w:numFmt w:val="decimal"/>
      <w:start w:val="4"/>
    </w:lvl>
  </w:abstractNum>
  <w:abstractNum w:abstractNumId="198">
    <w:nsid w:val="769A091F"/>
    <w:multiLevelType w:val="hybridMultilevel"/>
    <w:lvl w:ilvl="0">
      <w:lvlJc w:val="left"/>
      <w:lvlText w:val="(%1)"/>
      <w:numFmt w:val="lowerRoman"/>
      <w:start w:val="1"/>
    </w:lvl>
  </w:abstractNum>
  <w:abstractNum w:abstractNumId="199">
    <w:nsid w:val="4695AE95"/>
    <w:multiLevelType w:val="hybridMultilevel"/>
    <w:lvl w:ilvl="0">
      <w:lvlJc w:val="left"/>
      <w:lvlText w:val="(%1)"/>
      <w:numFmt w:val="decimal"/>
      <w:start w:val="5"/>
    </w:lvl>
  </w:abstractNum>
  <w:abstractNum w:abstractNumId="200">
    <w:nsid w:val="777A4EAA"/>
    <w:multiLevelType w:val="hybridMultilevel"/>
    <w:lvl w:ilvl="0">
      <w:lvlJc w:val="left"/>
      <w:lvlText w:val="(%1)"/>
      <w:numFmt w:val="decimal"/>
      <w:start w:val="6"/>
    </w:lvl>
  </w:abstractNum>
  <w:abstractNum w:abstractNumId="201">
    <w:nsid w:val="3F48B982"/>
    <w:multiLevelType w:val="hybridMultilevel"/>
    <w:lvl w:ilvl="0">
      <w:lvlJc w:val="left"/>
      <w:lvlText w:val="(%1)"/>
      <w:numFmt w:val="lowerRoman"/>
      <w:start w:val="1"/>
    </w:lvl>
    <w:lvl w:ilvl="1">
      <w:lvlJc w:val="left"/>
      <w:lvlText w:val="(%2)"/>
      <w:numFmt w:val="upperLetter"/>
      <w:start w:val="2"/>
    </w:lvl>
  </w:abstractNum>
  <w:abstractNum w:abstractNumId="202">
    <w:nsid w:val="46BA8FCA"/>
    <w:multiLevelType w:val="hybridMultilevel"/>
    <w:lvl w:ilvl="0">
      <w:lvlJc w:val="left"/>
      <w:lvlText w:val="(%1)"/>
      <w:numFmt w:val="lowerRoman"/>
      <w:start w:val="1"/>
    </w:lvl>
  </w:abstractNum>
  <w:abstractNum w:abstractNumId="203">
    <w:nsid w:val="7835626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7"/>
    </w:lvl>
  </w:abstractNum>
  <w:abstractNum w:abstractNumId="204">
    <w:nsid w:val="665ACA4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05">
    <w:nsid w:val="6835B2AE"/>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10"/>
    </w:lvl>
  </w:abstractNum>
  <w:abstractNum w:abstractNumId="206">
    <w:nsid w:val="4C187C90"/>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07">
    <w:nsid w:val="541F28CD"/>
    <w:multiLevelType w:val="hybridMultilevel"/>
    <w:lvl w:ilvl="0">
      <w:lvlJc w:val="left"/>
      <w:lvlText w:val="(%1)"/>
      <w:numFmt w:val="lowerLetter"/>
      <w:start w:val="1"/>
    </w:lvl>
  </w:abstractNum>
  <w:abstractNum w:abstractNumId="208">
    <w:nsid w:val="7F65FD16"/>
    <w:multiLevelType w:val="hybridMultilevel"/>
    <w:lvl w:ilvl="0">
      <w:lvlJc w:val="left"/>
      <w:lvlText w:val="(%1)"/>
      <w:numFmt w:val="lowerLetter"/>
      <w:start w:val="3"/>
    </w:lvl>
  </w:abstractNum>
  <w:abstractNum w:abstractNumId="209">
    <w:nsid w:val="77C9FD68"/>
    <w:multiLevelType w:val="hybridMultilevel"/>
    <w:lvl w:ilvl="0">
      <w:lvlJc w:val="left"/>
      <w:lvlText w:val="(%1)"/>
      <w:numFmt w:val="decimal"/>
      <w:start w:val="1"/>
    </w:lvl>
  </w:abstractNum>
  <w:abstractNum w:abstractNumId="210">
    <w:nsid w:val="298A92BA"/>
    <w:multiLevelType w:val="hybridMultilevel"/>
    <w:lvl w:ilvl="0">
      <w:lvlJc w:val="left"/>
      <w:lvlText w:val="(%1)"/>
      <w:numFmt w:val="decimal"/>
      <w:start w:val="4"/>
    </w:lvl>
  </w:abstractNum>
  <w:abstractNum w:abstractNumId="211">
    <w:nsid w:val="6FE95EAC"/>
    <w:multiLevelType w:val="hybridMultilevel"/>
    <w:lvl w:ilvl="0">
      <w:lvlJc w:val="left"/>
      <w:lvlText w:val="(%1)"/>
      <w:numFmt w:val="decimal"/>
      <w:start w:val="5"/>
    </w:lvl>
  </w:abstractNum>
  <w:abstractNum w:abstractNumId="212">
    <w:nsid w:val="4B697C7A"/>
    <w:multiLevelType w:val="hybridMultilevel"/>
    <w:lvl w:ilvl="0">
      <w:lvlJc w:val="left"/>
      <w:lvlText w:val="(%1)"/>
      <w:numFmt w:val="lowerRoman"/>
      <w:start w:val="1"/>
    </w:lvl>
  </w:abstractNum>
  <w:abstractNum w:abstractNumId="213">
    <w:nsid w:val="51A27AA6"/>
    <w:multiLevelType w:val="hybridMultilevel"/>
    <w:lvl w:ilvl="0">
      <w:lvlJc w:val="left"/>
      <w:lvlText w:val="(%1)"/>
      <w:numFmt w:val="lowerRoman"/>
      <w:start w:val="2"/>
    </w:lvl>
  </w:abstractNum>
  <w:abstractNum w:abstractNumId="214">
    <w:nsid w:val="613183F2"/>
    <w:multiLevelType w:val="hybridMultilevel"/>
    <w:lvl w:ilvl="0">
      <w:lvlJc w:val="left"/>
      <w:lvlText w:val="(%1)"/>
      <w:numFmt w:val="lowerLetter"/>
      <w:start w:val="1"/>
    </w:lvl>
    <w:lvl w:ilvl="1">
      <w:lvlJc w:val="left"/>
      <w:lvlText w:val="(%2)"/>
      <w:numFmt w:val="lowerRoman"/>
      <w:start w:val="1"/>
    </w:lvl>
  </w:abstractNum>
  <w:abstractNum w:abstractNumId="215">
    <w:nsid w:val="634102B4"/>
    <w:multiLevelType w:val="hybridMultilevel"/>
    <w:lvl w:ilvl="0">
      <w:lvlJc w:val="left"/>
      <w:lvlText w:val="(%1)"/>
      <w:numFmt w:val="lowerLetter"/>
      <w:start w:val="3"/>
    </w:lvl>
    <w:lvl w:ilvl="1">
      <w:lvlJc w:val="left"/>
      <w:lvlText w:val="(%2)"/>
      <w:numFmt w:val="lowerRoman"/>
      <w:start w:val="1"/>
    </w:lvl>
  </w:abstractNum>
  <w:abstractNum w:abstractNumId="216">
    <w:nsid w:val="65BF9DA8"/>
    <w:multiLevelType w:val="hybridMultilevel"/>
    <w:lvl w:ilvl="0">
      <w:lvlJc w:val="left"/>
      <w:lvlText w:val="(%1)"/>
      <w:numFmt w:val="lowerLetter"/>
      <w:start w:val="1"/>
    </w:lvl>
  </w:abstractNum>
  <w:abstractNum w:abstractNumId="217">
    <w:nsid w:val="21A2ECCA"/>
    <w:multiLevelType w:val="hybridMultilevel"/>
    <w:lvl w:ilvl="0">
      <w:lvlJc w:val="left"/>
      <w:lvlText w:val="(%1)"/>
      <w:numFmt w:val="lowerLetter"/>
      <w:start w:val="2"/>
    </w:lvl>
  </w:abstractNum>
  <w:abstractNum w:abstractNumId="218">
    <w:nsid w:val="4D5C4899"/>
    <w:multiLevelType w:val="hybridMultilevel"/>
    <w:lvl w:ilvl="0">
      <w:lvlJc w:val="left"/>
      <w:lvlText w:val="(%1)"/>
      <w:numFmt w:val="lowerLetter"/>
      <w:start w:val="1"/>
    </w:lvl>
  </w:abstractNum>
  <w:abstractNum w:abstractNumId="219">
    <w:nsid w:val="3C3B72B2"/>
    <w:multiLevelType w:val="hybridMultilevel"/>
    <w:lvl w:ilvl="0">
      <w:lvlJc w:val="left"/>
      <w:lvlText w:val="(%1)"/>
      <w:numFmt w:val="lowerLetter"/>
      <w:start w:val="3"/>
    </w:lvl>
  </w:abstractNum>
  <w:abstractNum w:abstractNumId="220">
    <w:nsid w:val="155EC4C2"/>
    <w:multiLevelType w:val="hybridMultilevel"/>
    <w:lvl w:ilvl="0">
      <w:lvlJc w:val="left"/>
      <w:lvlText w:val="(%1)"/>
      <w:numFmt w:val="lowerLetter"/>
      <w:start w:val="1"/>
    </w:lvl>
  </w:abstractNum>
  <w:abstractNum w:abstractNumId="221">
    <w:nsid w:val="65D2A137"/>
    <w:multiLevelType w:val="hybridMultilevel"/>
    <w:lvl w:ilvl="0">
      <w:lvlJc w:val="left"/>
      <w:lvlText w:val="%1"/>
      <w:numFmt w:val="lowerLetter"/>
      <w:start w:val="1"/>
    </w:lvl>
    <w:lvl w:ilvl="1">
      <w:lvlJc w:val="left"/>
      <w:lvlText w:val="(%2)"/>
      <w:numFmt w:val="decimal"/>
      <w:start w:val="1"/>
    </w:lvl>
  </w:abstractNum>
  <w:abstractNum w:abstractNumId="222">
    <w:nsid w:val="6EBB1F2A"/>
    <w:multiLevelType w:val="hybridMultilevel"/>
    <w:lvl w:ilvl="0">
      <w:lvlJc w:val="left"/>
      <w:lvlText w:val="(%1)"/>
      <w:numFmt w:val="lowerLetter"/>
      <w:start w:val="1"/>
    </w:lvl>
    <w:lvl w:ilvl="1">
      <w:lvlJc w:val="left"/>
      <w:lvlText w:val="%2"/>
      <w:numFmt w:val="decimal"/>
      <w:start w:val="1"/>
    </w:lvl>
  </w:abstractNum>
  <w:abstractNum w:abstractNumId="223">
    <w:nsid w:val="6FBF29CB"/>
    <w:multiLevelType w:val="hybridMultilevel"/>
    <w:lvl w:ilvl="0">
      <w:lvlJc w:val="left"/>
      <w:lvlText w:val="(%1)"/>
      <w:numFmt w:val="decimal"/>
      <w:start w:val="3"/>
    </w:lvl>
  </w:abstractNum>
  <w:abstractNum w:abstractNumId="224">
    <w:nsid w:val="550B8808"/>
    <w:multiLevelType w:val="hybridMultilevel"/>
    <w:lvl w:ilvl="0">
      <w:lvlJc w:val="left"/>
      <w:lvlText w:val="(%1)"/>
      <w:numFmt w:val="decimal"/>
      <w:start w:val="5"/>
    </w:lvl>
  </w:abstractNum>
  <w:abstractNum w:abstractNumId="225">
    <w:nsid w:val="34CC3ACF"/>
    <w:multiLevelType w:val="hybridMultilevel"/>
    <w:lvl w:ilvl="0">
      <w:lvlJc w:val="left"/>
      <w:lvlText w:val="(%1)"/>
      <w:numFmt w:val="decimal"/>
      <w:start w:val="1"/>
    </w:lvl>
  </w:abstractNum>
  <w:abstractNum w:abstractNumId="226">
    <w:nsid w:val="4E556261"/>
    <w:multiLevelType w:val="hybridMultilevel"/>
    <w:lvl w:ilvl="0">
      <w:lvlJc w:val="left"/>
      <w:lvlText w:val="(%1)"/>
      <w:numFmt w:val="decimal"/>
      <w:start w:val="5"/>
    </w:lvl>
  </w:abstractNum>
  <w:abstractNum w:abstractNumId="227">
    <w:nsid w:val="4C672FC9"/>
    <w:multiLevelType w:val="hybridMultilevel"/>
    <w:lvl w:ilvl="0">
      <w:lvlJc w:val="left"/>
      <w:lvlText w:val="(%1)"/>
      <w:numFmt w:val="decimal"/>
      <w:start w:val="17"/>
    </w:lvl>
  </w:abstractNum>
  <w:abstractNum w:abstractNumId="228">
    <w:nsid w:val="52A311C3"/>
    <w:multiLevelType w:val="hybridMultilevel"/>
    <w:lvl w:ilvl="0">
      <w:lvlJc w:val="left"/>
      <w:lvlText w:val="(%1)"/>
      <w:numFmt w:val="decimal"/>
      <w:start w:val="1"/>
    </w:lvl>
  </w:abstractNum>
  <w:abstractNum w:abstractNumId="229">
    <w:nsid w:val="44EF6B80"/>
    <w:multiLevelType w:val="hybridMultilevel"/>
    <w:lvl w:ilvl="0">
      <w:lvlJc w:val="left"/>
      <w:lvlText w:val="(%1)"/>
      <w:numFmt w:val="decimal"/>
      <w:start w:val="5"/>
    </w:lvl>
  </w:abstractNum>
  <w:abstractNum w:abstractNumId="230">
    <w:nsid w:val="12FCDE5E"/>
    <w:multiLevelType w:val="hybridMultilevel"/>
    <w:lvl w:ilvl="0">
      <w:lvlJc w:val="left"/>
      <w:lvlText w:val="(%1)"/>
      <w:numFmt w:val="lowerLetter"/>
      <w:start w:val="1"/>
    </w:lvl>
  </w:abstractNum>
  <w:abstractNum w:abstractNumId="231">
    <w:nsid w:val="4A1D606E"/>
    <w:multiLevelType w:val="hybridMultilevel"/>
    <w:lvl w:ilvl="0">
      <w:lvlJc w:val="left"/>
      <w:lvlText w:val="(%1)"/>
      <w:numFmt w:val="lowerLetter"/>
      <w:start w:val="2"/>
    </w:lvl>
  </w:abstractNum>
  <w:abstractNum w:abstractNumId="232">
    <w:nsid w:val="4382503"/>
    <w:multiLevelType w:val="hybridMultilevel"/>
    <w:lvl w:ilvl="0">
      <w:lvlJc w:val="left"/>
      <w:lvlText w:val="(%1)"/>
      <w:numFmt w:val="decimal"/>
      <w:start w:val="1"/>
    </w:lvl>
  </w:abstractNum>
  <w:abstractNum w:abstractNumId="233">
    <w:nsid w:val="59B76E28"/>
    <w:multiLevelType w:val="hybridMultilevel"/>
    <w:lvl w:ilvl="0">
      <w:lvlJc w:val="left"/>
      <w:lvlText w:val="(%1)"/>
      <w:numFmt w:val="lowerRoman"/>
      <w:start w:val="1"/>
    </w:lvl>
  </w:abstractNum>
  <w:abstractNum w:abstractNumId="234">
    <w:nsid w:val="4252C2DA"/>
    <w:multiLevelType w:val="hybridMultilevel"/>
    <w:lvl w:ilvl="0">
      <w:lvlJc w:val="left"/>
      <w:lvlText w:val="%1"/>
      <w:numFmt w:val="decimal"/>
      <w:start w:val="1"/>
    </w:lvl>
    <w:lvl w:ilvl="1">
      <w:lvlJc w:val="left"/>
      <w:lvlText w:val="(%2)"/>
      <w:numFmt w:val="upperLetter"/>
      <w:start w:val="2"/>
    </w:lvl>
  </w:abstractNum>
  <w:abstractNum w:abstractNumId="235">
    <w:nsid w:val="6A92EF4C"/>
    <w:multiLevelType w:val="hybridMultilevel"/>
    <w:lvl w:ilvl="0">
      <w:lvlJc w:val="left"/>
      <w:lvlText w:val="(%1)"/>
      <w:numFmt w:val="decimal"/>
      <w:start w:val="2"/>
    </w:lvl>
    <w:lvl w:ilvl="1">
      <w:lvlJc w:val="left"/>
      <w:lvlText w:val="%2"/>
      <w:numFmt w:val="upperLetter"/>
      <w:start w:val="1"/>
    </w:lvl>
  </w:abstractNum>
  <w:abstractNum w:abstractNumId="236">
    <w:nsid w:val="41ED20D7"/>
    <w:multiLevelType w:val="hybridMultilevel"/>
    <w:lvl w:ilvl="0">
      <w:lvlJc w:val="left"/>
      <w:lvlText w:val="(%1)"/>
      <w:numFmt w:val="lowerLetter"/>
      <w:start w:val="1"/>
    </w:lvl>
  </w:abstractNum>
  <w:abstractNum w:abstractNumId="237">
    <w:nsid w:val="E6B3F6A"/>
    <w:multiLevelType w:val="hybridMultilevel"/>
    <w:lvl w:ilvl="0">
      <w:lvlJc w:val="left"/>
      <w:lvlText w:val="(%1)"/>
      <w:numFmt w:val="lowerLetter"/>
      <w:start w:val="1"/>
    </w:lvl>
    <w:lvl w:ilvl="1">
      <w:lvlJc w:val="left"/>
      <w:lvlText w:val="(%2)"/>
      <w:numFmt w:val="lowerRoman"/>
      <w:start w:val="1"/>
    </w:lvl>
  </w:abstractNum>
  <w:abstractNum w:abstractNumId="238">
    <w:nsid w:val="3EB21819"/>
    <w:multiLevelType w:val="hybridMultilevel"/>
    <w:lvl w:ilvl="0">
      <w:lvlJc w:val="left"/>
      <w:lvlText w:val="%1"/>
      <w:numFmt w:val="lowerLetter"/>
      <w:start w:val="1"/>
    </w:lvl>
    <w:lvl w:ilvl="1">
      <w:lvlJc w:val="left"/>
      <w:lvlText w:val="(%2)"/>
      <w:numFmt w:val="lowerRoman"/>
      <w:start w:val="7"/>
    </w:lvl>
  </w:abstractNum>
  <w:abstractNum w:abstractNumId="239">
    <w:nsid w:val="41531DED"/>
    <w:multiLevelType w:val="hybridMultilevel"/>
    <w:lvl w:ilvl="0">
      <w:lvlJc w:val="left"/>
      <w:lvlText w:val="(%1)"/>
      <w:numFmt w:val="lowerLetter"/>
      <w:start w:val="2"/>
    </w:lvl>
    <w:lvl w:ilvl="1">
      <w:lvlJc w:val="left"/>
      <w:lvlText w:val="(%2)"/>
      <w:numFmt w:val="lowerRoman"/>
      <w:start w:val="1"/>
    </w:lvl>
  </w:abstractNum>
  <w:abstractNum w:abstractNumId="240">
    <w:nsid w:val="6353CD2"/>
    <w:multiLevelType w:val="hybridMultilevel"/>
    <w:lvl w:ilvl="0">
      <w:lvlJc w:val="left"/>
      <w:lvlText w:val="%1"/>
      <w:numFmt w:val="lowerLetter"/>
      <w:start w:val="1"/>
    </w:lvl>
    <w:lvl w:ilvl="1">
      <w:lvlJc w:val="left"/>
      <w:lvlText w:val="(%2)"/>
      <w:numFmt w:val="lowerLetter"/>
      <w:start w:val="3"/>
    </w:lvl>
  </w:abstractNum>
  <w:abstractNum w:abstractNumId="241">
    <w:nsid w:val="683CAAD3"/>
    <w:multiLevelType w:val="hybridMultilevel"/>
    <w:lvl w:ilvl="0">
      <w:lvlJc w:val="left"/>
      <w:lvlText w:val="(%1)"/>
      <w:numFmt w:val="lowerLetter"/>
      <w:start w:val="30"/>
    </w:lvl>
    <w:lvl w:ilvl="1">
      <w:lvlJc w:val="left"/>
      <w:lvlText w:val="%2"/>
      <w:numFmt w:val="lowerLetter"/>
      <w:start w:val="1"/>
    </w:lvl>
  </w:abstractNum>
  <w:abstractNum w:abstractNumId="242">
    <w:nsid w:val="313C7C99"/>
    <w:multiLevelType w:val="hybridMultilevel"/>
    <w:lvl w:ilvl="0">
      <w:lvlJc w:val="left"/>
      <w:lvlText w:val="(%1)"/>
      <w:numFmt w:val="lowerLetter"/>
      <w:start w:val="4"/>
    </w:lvl>
  </w:abstractNum>
  <w:abstractNum w:abstractNumId="243">
    <w:nsid w:val="519EB94C"/>
    <w:multiLevelType w:val="hybridMultilevel"/>
    <w:lvl w:ilvl="0">
      <w:lvlJc w:val="left"/>
      <w:lvlText w:val="(%1)"/>
      <w:numFmt w:val="lowerLetter"/>
      <w:start w:val="1"/>
    </w:lvl>
  </w:abstractNum>
  <w:abstractNum w:abstractNumId="244">
    <w:nsid w:val="39DF2579"/>
    <w:multiLevelType w:val="hybridMultilevel"/>
    <w:lvl w:ilvl="0">
      <w:lvlJc w:val="left"/>
      <w:lvlText w:val="(%1)"/>
      <w:numFmt w:val="lowerLetter"/>
      <w:start w:val="1"/>
    </w:lvl>
    <w:lvl w:ilvl="1">
      <w:lvlJc w:val="left"/>
      <w:lvlText w:val="(%2)"/>
      <w:numFmt w:val="lowerLetter"/>
      <w:start w:val="9"/>
    </w:lvl>
  </w:abstractNum>
  <w:abstractNum w:abstractNumId="245">
    <w:nsid w:val="126E008B"/>
    <w:multiLevelType w:val="hybridMultilevel"/>
    <w:lvl w:ilvl="0">
      <w:lvlJc w:val="left"/>
      <w:lvlText w:val="(%1)"/>
      <w:numFmt w:val="lowerRoman"/>
      <w:start w:val="2"/>
    </w:lvl>
  </w:abstractNum>
  <w:abstractNum w:abstractNumId="246">
    <w:nsid w:val="34DFBC00"/>
    <w:multiLevelType w:val="hybridMultilevel"/>
    <w:lvl w:ilvl="0">
      <w:lvlJc w:val="left"/>
      <w:lvlText w:val="(%1)"/>
      <w:numFmt w:val="lowerLetter"/>
      <w:start w:val="4"/>
    </w:lvl>
  </w:abstractNum>
  <w:abstractNum w:abstractNumId="247">
    <w:nsid w:val="1F9EC322"/>
    <w:multiLevelType w:val="hybridMultilevel"/>
    <w:lvl w:ilvl="0">
      <w:lvlJc w:val="left"/>
      <w:lvlText w:val="(%1)"/>
      <w:numFmt w:val="lowerLetter"/>
      <w:start w:val="1"/>
    </w:lvl>
  </w:abstractNum>
  <w:abstractNum w:abstractNumId="248">
    <w:nsid w:val="3410ED56"/>
    <w:multiLevelType w:val="hybridMultilevel"/>
    <w:lvl w:ilvl="0">
      <w:lvlJc w:val="left"/>
      <w:lvlText w:val="(%1)"/>
      <w:numFmt w:val="lowerLetter"/>
      <w:start w:val="2"/>
    </w:lvl>
  </w:abstractNum>
  <w:abstractNum w:abstractNumId="249">
    <w:nsid w:val="23C049A"/>
    <w:multiLevelType w:val="hybridMultilevel"/>
    <w:lvl w:ilvl="0">
      <w:lvlJc w:val="left"/>
      <w:lvlText w:val="(%1)"/>
      <w:numFmt w:val="lowerLetter"/>
      <w:start w:val="5"/>
    </w:lvl>
  </w:abstractNum>
  <w:abstractNum w:abstractNumId="250">
    <w:nsid w:val="5BDA35D4"/>
    <w:multiLevelType w:val="hybridMultilevel"/>
    <w:lvl w:ilvl="0">
      <w:lvlJc w:val="left"/>
      <w:lvlText w:val="(%1)"/>
      <w:numFmt w:val="lowerLetter"/>
      <w:start w:val="8"/>
    </w:lvl>
  </w:abstractNum>
  <w:abstractNum w:abstractNumId="251">
    <w:nsid w:val="496FB218"/>
    <w:multiLevelType w:val="hybridMultilevel"/>
    <w:lvl w:ilvl="0">
      <w:lvlJc w:val="left"/>
      <w:lvlText w:val="(%1)"/>
      <w:numFmt w:val="lowerLetter"/>
      <w:start w:val="12"/>
    </w:lvl>
  </w:abstractNum>
  <w:abstractNum w:abstractNumId="252">
    <w:nsid w:val="680EA5D1"/>
    <w:multiLevelType w:val="hybridMultilevel"/>
    <w:lvl w:ilvl="0">
      <w:lvlJc w:val="left"/>
      <w:lvlText w:val="(%1)"/>
      <w:numFmt w:val="lowerLetter"/>
      <w:start w:val="16"/>
    </w:lvl>
  </w:abstractNum>
  <w:abstractNum w:abstractNumId="253">
    <w:nsid w:val="4A9554FE"/>
    <w:multiLevelType w:val="hybridMultilevel"/>
    <w:lvl w:ilvl="0">
      <w:lvlJc w:val="left"/>
      <w:lvlText w:val="(%1)"/>
      <w:numFmt w:val="lowerLetter"/>
      <w:start w:val="18"/>
    </w:lvl>
  </w:abstractNum>
  <w:abstractNum w:abstractNumId="254">
    <w:nsid w:val="392EDBE4"/>
    <w:multiLevelType w:val="hybridMultilevel"/>
    <w:lvl w:ilvl="0">
      <w:lvlJc w:val="left"/>
      <w:lvlText w:val="(%1)"/>
      <w:numFmt w:val="lowerLetter"/>
      <w:start w:val="22"/>
    </w:lvl>
  </w:abstractNum>
  <w:abstractNum w:abstractNumId="255">
    <w:nsid w:val="3D1A2DD9"/>
    <w:multiLevelType w:val="hybridMultilevel"/>
    <w:lvl w:ilvl="0">
      <w:lvlJc w:val="left"/>
      <w:lvlText w:val="%1"/>
      <w:numFmt w:val="lowerLetter"/>
      <w:start w:val="1"/>
    </w:lvl>
    <w:lvl w:ilvl="1">
      <w:lvlJc w:val="left"/>
      <w:lvlText w:val="(%2)"/>
      <w:numFmt w:val="lowerLetter"/>
      <w:start w:val="27"/>
    </w:lvl>
  </w:abstractNum>
  <w:abstractNum w:abstractNumId="256">
    <w:nsid w:val="7F618FCD"/>
    <w:multiLevelType w:val="hybridMultilevel"/>
    <w:lvl w:ilvl="0">
      <w:lvlJc w:val="left"/>
      <w:lvlText w:val="(%1)"/>
      <w:numFmt w:val="lowerLetter"/>
      <w:start w:val="35"/>
    </w:lvl>
    <w:lvl w:ilvl="1">
      <w:lvlJc w:val="left"/>
      <w:lvlText w:val="(%2)"/>
      <w:numFmt w:val="lowerLetter"/>
      <w:start w:val="28"/>
    </w:lvl>
  </w:abstractNum>
  <w:abstractNum w:abstractNumId="257">
    <w:nsid w:val="7843E45"/>
    <w:multiLevelType w:val="hybridMultilevel"/>
    <w:lvl w:ilvl="0">
      <w:lvlJc w:val="left"/>
      <w:lvlText w:val="(%1)"/>
      <w:numFmt w:val="lowerLetter"/>
      <w:start w:val="1"/>
    </w:lvl>
  </w:abstractNum>
  <w:abstractNum w:abstractNumId="258">
    <w:nsid w:val="9815DA3"/>
    <w:multiLevelType w:val="hybridMultilevel"/>
    <w:lvl w:ilvl="0">
      <w:lvlJc w:val="left"/>
      <w:lvlText w:val="(%1)"/>
      <w:numFmt w:val="lowerLetter"/>
      <w:start w:val="1"/>
    </w:lvl>
  </w:abstractNum>
  <w:abstractNum w:abstractNumId="259">
    <w:nsid w:val="5204A191"/>
    <w:multiLevelType w:val="hybridMultilevel"/>
    <w:lvl w:ilvl="0">
      <w:lvlJc w:val="left"/>
      <w:lvlText w:val="1"/>
      <w:numFmt w:val="bullet"/>
      <w:start w:val="1"/>
    </w:lvl>
  </w:abstractNum>
  <w:abstractNum w:abstractNumId="260">
    <w:nsid w:val="4C73A9C6"/>
    <w:multiLevelType w:val="hybridMultilevel"/>
    <w:lvl w:ilvl="0">
      <w:lvlJc w:val="left"/>
      <w:lvlText w:val="%1."/>
      <w:numFmt w:val="decimal"/>
      <w:start w:val="1"/>
    </w:lvl>
  </w:abstractNum>
  <w:abstractNum w:abstractNumId="261">
    <w:nsid w:val="1C7E3C01"/>
    <w:multiLevelType w:val="hybridMultilevel"/>
    <w:lvl w:ilvl="0">
      <w:lvlJc w:val="left"/>
      <w:lvlText w:val="5"/>
      <w:numFmt w:val="bullet"/>
      <w:start w:val="1"/>
    </w:lvl>
  </w:abstractNum>
  <w:abstractNum w:abstractNumId="262">
    <w:nsid w:val="1C2201FF"/>
    <w:multiLevelType w:val="hybridMultilevel"/>
    <w:lvl w:ilvl="0">
      <w:lvlJc w:val="left"/>
      <w:lvlText w:val="%1."/>
      <w:numFmt w:val="decimal"/>
      <w:start w:val="5"/>
    </w:lvl>
  </w:abstractNum>
  <w:abstractNum w:abstractNumId="263">
    <w:nsid w:val="50ABCEC9"/>
    <w:multiLevelType w:val="hybridMultilevel"/>
    <w:lvl w:ilvl="0">
      <w:lvlJc w:val="left"/>
      <w:lvlText w:val="%1."/>
      <w:numFmt w:val="decimal"/>
      <w:start w:val="13"/>
    </w:lvl>
  </w:abstractNum>
  <w:abstractNum w:abstractNumId="264">
    <w:nsid w:val="7635AA2A"/>
    <w:multiLevelType w:val="hybridMultilevel"/>
    <w:lvl w:ilvl="0">
      <w:lvlJc w:val="left"/>
      <w:lvlText w:val="6"/>
      <w:numFmt w:val="bullet"/>
      <w:start w:val="1"/>
    </w:lvl>
  </w:abstractNum>
  <w:abstractNum w:abstractNumId="265">
    <w:nsid w:val="5E74C4D9"/>
    <w:multiLevelType w:val="hybridMultilevel"/>
    <w:lvl w:ilvl="0">
      <w:lvlJc w:val="left"/>
      <w:lvlText w:val="%1."/>
      <w:numFmt w:val="decimal"/>
      <w:start w:val="1"/>
    </w:lvl>
  </w:abstractNum>
  <w:abstractNum w:abstractNumId="266">
    <w:nsid w:val="3B3EBE15"/>
    <w:multiLevelType w:val="hybridMultilevel"/>
    <w:lvl w:ilvl="0">
      <w:lvlJc w:val="left"/>
      <w:lvlText w:val="%1."/>
      <w:numFmt w:val="decimal"/>
      <w:start w:val="2"/>
    </w:lvl>
  </w:abstractNum>
  <w:abstractNum w:abstractNumId="267">
    <w:nsid w:val="3822CB01"/>
    <w:multiLevelType w:val="hybridMultilevel"/>
    <w:lvl w:ilvl="0">
      <w:lvlJc w:val="left"/>
      <w:lvlText w:val="(%1)"/>
      <w:numFmt w:val="lowerLetter"/>
      <w:start w:val="1"/>
    </w:lvl>
  </w:abstractNum>
  <w:abstractNum w:abstractNumId="268">
    <w:nsid w:val="6CE00443"/>
    <w:multiLevelType w:val="hybridMultilevel"/>
    <w:lvl w:ilvl="0">
      <w:lvlJc w:val="left"/>
      <w:lvlText w:val="%1."/>
      <w:numFmt w:val="decimal"/>
      <w:start w:val="4"/>
    </w:lvl>
  </w:abstractNum>
  <w:abstractNum w:abstractNumId="269">
    <w:nsid w:val="79F0D62F"/>
    <w:multiLevelType w:val="hybridMultilevel"/>
    <w:lvl w:ilvl="0">
      <w:lvlJc w:val="left"/>
      <w:lvlText w:val="(%1)"/>
      <w:numFmt w:val="lowerLetter"/>
      <w:start w:val="1"/>
    </w:lvl>
    <w:lvl w:ilvl="1">
      <w:lvlJc w:val="left"/>
      <w:lvlText w:val="(%2)"/>
      <w:numFmt w:val="lowerLetter"/>
      <w:start w:val="35"/>
    </w:lvl>
  </w:abstractNum>
  <w:abstractNum w:abstractNumId="270">
    <w:nsid w:val="7975E8EE"/>
    <w:multiLevelType w:val="hybridMultilevel"/>
    <w:lvl w:ilvl="0">
      <w:lvlJc w:val="left"/>
      <w:lvlText w:val="%1."/>
      <w:numFmt w:val="decimal"/>
      <w:start w:val="1"/>
    </w:lvl>
  </w:abstractNum>
  <w:abstractNum w:abstractNumId="271">
    <w:nsid w:val="731541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2">
    <w:nsid w:val="622D81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3">
    <w:nsid w:val="2AB26587"/>
    <w:multiLevelType w:val="hybridMultilevel"/>
    <w:lvl w:ilvl="0">
      <w:lvlJc w:val="left"/>
      <w:lvlText w:val="(%1)"/>
      <w:numFmt w:val="lowerLetter"/>
      <w:start w:val="1"/>
    </w:lvl>
    <w:lvl w:ilvl="1">
      <w:lvlJc w:val="left"/>
      <w:lvlText w:val="(%2)"/>
      <w:numFmt w:val="lowerRoman"/>
      <w:start w:val="1"/>
    </w:lvl>
  </w:abstractNum>
  <w:abstractNum w:abstractNumId="274">
    <w:nsid w:val="44B3FA61"/>
    <w:multiLevelType w:val="hybridMultilevel"/>
    <w:lvl w:ilvl="0">
      <w:lvlJc w:val="left"/>
      <w:lvlText w:val="%1)"/>
      <w:numFmt w:val="decimal"/>
      <w:start w:val="1"/>
    </w:lvl>
    <w:lvl w:ilvl="1">
      <w:lvlJc w:val="left"/>
      <w:lvlText w:val="%2)"/>
      <w:numFmt w:val="lowerLetter"/>
      <w:start w:val="1"/>
    </w:lvl>
  </w:abstractNum>
  <w:abstractNum w:abstractNumId="275">
    <w:nsid w:val="1C0CA67C"/>
    <w:multiLevelType w:val="hybridMultilevel"/>
    <w:lvl w:ilvl="0">
      <w:lvlJc w:val="left"/>
      <w:lvlText w:val="%1"/>
      <w:numFmt w:val="decimal"/>
      <w:start w:val="1"/>
    </w:lvl>
    <w:lvl w:ilvl="1">
      <w:lvlJc w:val="left"/>
      <w:lvlText w:val="%2)"/>
      <w:numFmt w:val="lowerLetter"/>
      <w:start w:val="2"/>
    </w:lvl>
  </w:abstractNum>
  <w:abstractNum w:abstractNumId="276">
    <w:nsid w:val="3D206613"/>
    <w:multiLevelType w:val="hybridMultilevel"/>
    <w:lvl w:ilvl="0">
      <w:lvlJc w:val="left"/>
      <w:lvlText w:val="%1)"/>
      <w:numFmt w:val="decimal"/>
      <w:start w:val="2"/>
    </w:lvl>
    <w:lvl w:ilvl="1">
      <w:lvlJc w:val="left"/>
      <w:lvlText w:val="%2)"/>
      <w:numFmt w:val="lowerLetter"/>
      <w:start w:val="1"/>
    </w:lvl>
  </w:abstractNum>
  <w:abstractNum w:abstractNumId="277">
    <w:nsid w:val="7993B662"/>
    <w:multiLevelType w:val="hybridMultilevel"/>
    <w:lvl w:ilvl="0">
      <w:lvlJc w:val="left"/>
      <w:lvlText w:val="%1)"/>
      <w:numFmt w:val="lowerLetter"/>
      <w:start w:val="2"/>
    </w:lvl>
  </w:abstractNum>
  <w:abstractNum w:abstractNumId="278">
    <w:nsid w:val="3BAB699E"/>
    <w:multiLevelType w:val="hybridMultilevel"/>
    <w:lvl w:ilvl="0">
      <w:lvlJc w:val="left"/>
      <w:lvlText w:val="(%1)"/>
      <w:numFmt w:val="decimal"/>
      <w:start w:val="1"/>
    </w:lvl>
  </w:abstractNum>
  <w:abstractNum w:abstractNumId="279">
    <w:nsid w:val="71315369"/>
    <w:multiLevelType w:val="hybridMultilevel"/>
    <w:lvl w:ilvl="0">
      <w:lvlJc w:val="left"/>
      <w:lvlText w:val="(%1)"/>
      <w:numFmt w:val="decimal"/>
      <w:start w:val="5"/>
    </w:lvl>
  </w:abstractNum>
  <w:abstractNum w:abstractNumId="280">
    <w:nsid w:val="7BCFBAFC"/>
    <w:multiLevelType w:val="hybridMultilevel"/>
    <w:lvl w:ilvl="0">
      <w:lvlJc w:val="left"/>
      <w:lvlText w:val="(%1)"/>
      <w:numFmt w:val="lowerLetter"/>
      <w:start w:val="4"/>
    </w:lvl>
  </w:abstractNum>
  <w:abstractNum w:abstractNumId="281">
    <w:nsid w:val="17859F72"/>
    <w:multiLevelType w:val="hybridMultilevel"/>
    <w:lvl w:ilvl="0">
      <w:lvlJc w:val="left"/>
      <w:lvlText w:val="(%1)"/>
      <w:numFmt w:val="lowerLetter"/>
      <w:start w:val="1"/>
    </w:lvl>
  </w:abstractNum>
  <w:abstractNum w:abstractNumId="282">
    <w:nsid w:val="3AA10581"/>
    <w:multiLevelType w:val="hybridMultilevel"/>
    <w:lvl w:ilvl="0">
      <w:lvlJc w:val="left"/>
      <w:lvlText w:val="(%1)"/>
      <w:numFmt w:val="lowerLetter"/>
      <w:start w:val="3"/>
    </w:lvl>
  </w:abstractNum>
  <w:abstractNum w:abstractNumId="283">
    <w:nsid w:val="63DE60CD"/>
    <w:multiLevelType w:val="hybridMultilevel"/>
    <w:lvl w:ilvl="0">
      <w:lvlJc w:val="left"/>
      <w:lvlText w:val="(%1)"/>
      <w:numFmt w:val="lowerLetter"/>
      <w:start w:val="1"/>
    </w:lvl>
    <w:lvl w:ilvl="1">
      <w:lvlJc w:val="left"/>
      <w:lvlText w:val="(%2)"/>
      <w:numFmt w:val="lowerRoman"/>
      <w:start w:val="1"/>
    </w:lvl>
  </w:abstractNum>
  <w:abstractNum w:abstractNumId="284">
    <w:nsid w:val="621AF471"/>
    <w:multiLevelType w:val="hybridMultilevel"/>
    <w:lvl w:ilvl="0">
      <w:lvlJc w:val="left"/>
      <w:lvlText w:val="%1"/>
      <w:numFmt w:val="lowerLetter"/>
      <w:start w:val="1"/>
    </w:lvl>
    <w:lvl w:ilvl="1">
      <w:lvlJc w:val="left"/>
      <w:lvlText w:val="(%2)"/>
      <w:numFmt w:val="lowerRoman"/>
      <w:start w:val="4"/>
    </w:lvl>
  </w:abstractNum>
  <w:abstractNum w:abstractNumId="285">
    <w:nsid w:val="73CFE165"/>
    <w:multiLevelType w:val="hybridMultilevel"/>
    <w:lvl w:ilvl="0">
      <w:lvlJc w:val="left"/>
      <w:lvlText w:val="(%1)"/>
      <w:numFmt w:val="lowerLetter"/>
      <w:start w:val="2"/>
    </w:lvl>
    <w:lvl w:ilvl="1">
      <w:lvlJc w:val="left"/>
      <w:lvlText w:val="%2"/>
      <w:numFmt w:val="lowerRoman"/>
      <w:start w:val="1"/>
    </w:lvl>
  </w:abstractNum>
  <w:abstractNum w:abstractNumId="286">
    <w:nsid w:val="20F88EA6"/>
    <w:multiLevelType w:val="hybridMultilevel"/>
    <w:lvl w:ilvl="0">
      <w:lvlJc w:val="left"/>
      <w:lvlText w:val="(%1)"/>
      <w:numFmt w:val="lowerLetter"/>
      <w:start w:val="1"/>
    </w:lvl>
  </w:abstractNum>
  <w:abstractNum w:abstractNumId="287">
    <w:nsid w:val="617C843E"/>
    <w:multiLevelType w:val="hybridMultilevel"/>
    <w:lvl w:ilvl="0">
      <w:lvlJc w:val="left"/>
      <w:lvlText w:val="(%1)"/>
      <w:numFmt w:val="lowerLetter"/>
      <w:start w:val="1"/>
    </w:lvl>
  </w:abstractNum>
  <w:abstractNum w:abstractNumId="288">
    <w:nsid w:val="7B541FAB"/>
    <w:multiLevelType w:val="hybridMultilevel"/>
    <w:lvl w:ilvl="0">
      <w:lvlJc w:val="left"/>
      <w:lvlText w:val="(%1)"/>
      <w:numFmt w:val="lowerLetter"/>
      <w:start w:val="1"/>
    </w:lvl>
    <w:lvl w:ilvl="1">
      <w:lvlJc w:val="left"/>
      <w:lvlText w:val="(%2)"/>
      <w:numFmt w:val="lowerLetter"/>
      <w:start w:val="9"/>
    </w:lvl>
  </w:abstractNum>
  <w:abstractNum w:abstractNumId="289">
    <w:nsid w:val="2A79EC49"/>
    <w:multiLevelType w:val="hybridMultilevel"/>
    <w:lvl w:ilvl="0">
      <w:lvlJc w:val="left"/>
      <w:lvlText w:val="(%1)"/>
      <w:numFmt w:val="lowerRoman"/>
      <w:start w:val="2"/>
    </w:lvl>
  </w:abstractNum>
  <w:abstractNum w:abstractNumId="290">
    <w:nsid w:val="338125CF"/>
    <w:multiLevelType w:val="hybridMultilevel"/>
    <w:lvl w:ilvl="0">
      <w:lvlJc w:val="left"/>
      <w:lvlText w:val="(%1)"/>
      <w:numFmt w:val="lowerLetter"/>
      <w:start w:val="5"/>
    </w:lvl>
  </w:abstractNum>
  <w:abstractNum w:abstractNumId="291">
    <w:nsid w:val="47C7C971"/>
    <w:multiLevelType w:val="hybridMultilevel"/>
    <w:lvl w:ilvl="0">
      <w:lvlJc w:val="left"/>
      <w:lvlText w:val="(%1)"/>
      <w:numFmt w:val="lowerLetter"/>
      <w:start w:val="1"/>
    </w:lvl>
  </w:abstractNum>
  <w:abstractNum w:abstractNumId="292">
    <w:nsid w:val="46F8284B"/>
    <w:multiLevelType w:val="hybridMultilevel"/>
    <w:lvl w:ilvl="0">
      <w:lvlJc w:val="left"/>
      <w:lvlText w:val="(%1)"/>
      <w:numFmt w:val="lowerLetter"/>
      <w:start w:val="3"/>
    </w:lvl>
  </w:abstractNum>
  <w:abstractNum w:abstractNumId="293">
    <w:nsid w:val="4FA327CE"/>
    <w:multiLevelType w:val="hybridMultilevel"/>
    <w:lvl w:ilvl="0">
      <w:lvlJc w:val="left"/>
      <w:lvlText w:val="(%1)"/>
      <w:numFmt w:val="lowerLetter"/>
      <w:start w:val="1"/>
    </w:lvl>
  </w:abstractNum>
  <w:abstractNum w:abstractNumId="294">
    <w:nsid w:val="1873983A"/>
    <w:multiLevelType w:val="hybridMultilevel"/>
    <w:lvl w:ilvl="0">
      <w:lvlJc w:val="left"/>
      <w:lvlText w:val="(%1)"/>
      <w:numFmt w:val="lowerLetter"/>
      <w:start w:val="1"/>
    </w:lvl>
    <w:lvl w:ilvl="1">
      <w:lvlJc w:val="left"/>
      <w:lvlText w:val="(%2)"/>
      <w:numFmt w:val="lowerLetter"/>
      <w:start w:val="9"/>
    </w:lvl>
  </w:abstractNum>
  <w:abstractNum w:abstractNumId="295">
    <w:nsid w:val="3D2DD27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296">
    <w:nsid w:val="2E17ECA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97">
    <w:nsid w:val="53B2564F"/>
    <w:multiLevelType w:val="hybridMultilevel"/>
    <w:lvl w:ilvl="0">
      <w:lvlJc w:val="left"/>
      <w:lvlText w:val="(%1)"/>
      <w:numFmt w:val="lowerLetter"/>
      <w:start w:val="3"/>
    </w:lvl>
  </w:abstractNum>
  <w:abstractNum w:abstractNumId="298">
    <w:nsid w:val="75509D76"/>
    <w:multiLevelType w:val="hybridMultilevel"/>
    <w:lvl w:ilvl="0">
      <w:lvlJc w:val="left"/>
      <w:lvlText w:val="(%1)"/>
      <w:numFmt w:val="lowerLetter"/>
      <w:start w:val="1"/>
    </w:lvl>
  </w:abstractNum>
  <w:abstractNum w:abstractNumId="299">
    <w:nsid w:val="1AF7F0EA"/>
    <w:multiLevelType w:val="hybridMultilevel"/>
    <w:lvl w:ilvl="0">
      <w:lvlJc w:val="left"/>
      <w:lvlText w:val="(%1)"/>
      <w:numFmt w:val="lowerLetter"/>
      <w:start w:val="2"/>
    </w:lvl>
  </w:abstractNum>
  <w:abstractNum w:abstractNumId="300">
    <w:nsid w:val="4DA32C7E"/>
    <w:multiLevelType w:val="hybridMultilevel"/>
    <w:lvl w:ilvl="0">
      <w:lvlJc w:val="left"/>
      <w:lvlText w:val="%1"/>
      <w:numFmt w:val="lowerLetter"/>
      <w:start w:val="1"/>
    </w:lvl>
    <w:lvl w:ilvl="1">
      <w:lvlJc w:val="left"/>
      <w:lvlText w:val="(%2)"/>
      <w:numFmt w:val="lowerLetter"/>
      <w:start w:val="1"/>
    </w:lvl>
  </w:abstractNum>
  <w:abstractNum w:abstractNumId="301">
    <w:nsid w:val="6EC68664"/>
    <w:multiLevelType w:val="hybridMultilevel"/>
    <w:lvl w:ilvl="0">
      <w:lvlJc w:val="left"/>
      <w:lvlText w:val="(%1)"/>
      <w:numFmt w:val="lowerLetter"/>
      <w:start w:val="9"/>
    </w:lvl>
    <w:lvl w:ilvl="1">
      <w:lvlJc w:val="left"/>
      <w:lvlText w:val="%2"/>
      <w:numFmt w:val="lowerLetter"/>
      <w:start w:val="1"/>
    </w:lvl>
  </w:abstractNum>
  <w:abstractNum w:abstractNumId="302">
    <w:nsid w:val="E0D31FF"/>
    <w:multiLevelType w:val="hybridMultilevel"/>
    <w:lvl w:ilvl="0">
      <w:lvlJc w:val="left"/>
      <w:lvlText w:val="%1"/>
      <w:numFmt w:val="lowerLetter"/>
      <w:start w:val="1"/>
    </w:lvl>
    <w:lvl w:ilvl="1">
      <w:lvlJc w:val="left"/>
      <w:lvlText w:val="(%2)"/>
      <w:numFmt w:val="lowerLetter"/>
      <w:start w:val="2"/>
    </w:lvl>
  </w:abstractNum>
  <w:abstractNum w:abstractNumId="303">
    <w:nsid w:val="2FD0AD81"/>
    <w:multiLevelType w:val="hybridMultilevel"/>
    <w:lvl w:ilvl="0">
      <w:lvlJc w:val="left"/>
      <w:lvlText w:val="(%1)"/>
      <w:numFmt w:val="lowerLetter"/>
      <w:start w:val="25"/>
    </w:lvl>
    <w:lvl w:ilvl="1">
      <w:lvlJc w:val="left"/>
      <w:lvlText w:val="%2"/>
      <w:numFmt w:val="lowerLetter"/>
      <w:start w:val="1"/>
    </w:lvl>
  </w:abstractNum>
  <w:abstractNum w:abstractNumId="304">
    <w:nsid w:val="1978EBEB"/>
    <w:multiLevelType w:val="hybridMultilevel"/>
    <w:lvl w:ilvl="0">
      <w:lvlJc w:val="left"/>
      <w:lvlText w:val="(%1)"/>
      <w:numFmt w:val="lowerLetter"/>
      <w:start w:val="1"/>
    </w:lvl>
  </w:abstractNum>
  <w:abstractNum w:abstractNumId="305">
    <w:nsid w:val="52C12C61"/>
    <w:multiLevelType w:val="hybridMultilevel"/>
    <w:lvl w:ilvl="0">
      <w:lvlJc w:val="left"/>
      <w:lvlText w:val="%1"/>
      <w:numFmt w:val="upperLetter"/>
      <w:start w:val="1"/>
    </w:lvl>
    <w:lvl w:ilvl="1">
      <w:lvlJc w:val="left"/>
      <w:lvlText w:val="(%2)"/>
      <w:numFmt w:val="lowerLetter"/>
      <w:start w:val="1"/>
    </w:lvl>
  </w:abstractNum>
  <w:abstractNum w:abstractNumId="306">
    <w:nsid w:val="4BDD53FD"/>
    <w:multiLevelType w:val="hybridMultilevel"/>
    <w:lvl w:ilvl="0">
      <w:lvlJc w:val="left"/>
      <w:lvlText w:val="(%1)"/>
      <w:numFmt w:val="upperLetter"/>
      <w:start w:val="7"/>
    </w:lvl>
    <w:lvl w:ilvl="1">
      <w:lvlJc w:val="left"/>
      <w:lvlText w:val="(%2)"/>
      <w:numFmt w:val="lowerLetter"/>
      <w:start w:val="2"/>
    </w:lvl>
  </w:abstractNum>
  <w:abstractNum w:abstractNumId="307">
    <w:nsid w:val="569951FE"/>
    <w:multiLevelType w:val="hybridMultilevel"/>
    <w:lvl w:ilvl="0">
      <w:lvlJc w:val="left"/>
      <w:lvlText w:val="(%1)"/>
      <w:numFmt w:val="lowerLetter"/>
      <w:start w:val="2"/>
    </w:lvl>
  </w:abstractNum>
  <w:abstractNum w:abstractNumId="308">
    <w:nsid w:val="4C54E2C3"/>
    <w:multiLevelType w:val="hybridMultilevel"/>
    <w:lvl w:ilvl="0">
      <w:lvlJc w:val="left"/>
      <w:lvlText w:val="(%1)"/>
      <w:numFmt w:val="lowerLetter"/>
      <w:start w:val="1"/>
    </w:lvl>
  </w:abstractNum>
  <w:abstractNum w:abstractNumId="309">
    <w:nsid w:val="788BD9B"/>
    <w:multiLevelType w:val="hybridMultilevel"/>
    <w:lvl w:ilvl="0">
      <w:lvlJc w:val="left"/>
      <w:lvlText w:val="(%1)"/>
      <w:numFmt w:val="lowerLetter"/>
      <w:start w:val="1"/>
    </w:lvl>
  </w:abstractNum>
  <w:abstractNum w:abstractNumId="310">
    <w:nsid w:val="47CAA567"/>
    <w:multiLevelType w:val="hybridMultilevel"/>
    <w:lvl w:ilvl="0">
      <w:lvlJc w:val="left"/>
      <w:lvlText w:val="%1."/>
      <w:numFmt w:val="upperLetter"/>
      <w:start w:val="1"/>
    </w:lvl>
  </w:abstractNum>
  <w:abstractNum w:abstractNumId="311">
    <w:nsid w:val="48249DBF"/>
    <w:multiLevelType w:val="hybridMultilevel"/>
    <w:lvl w:ilvl="0">
      <w:lvlJc w:val="left"/>
      <w:lvlText w:val="(%1)"/>
      <w:numFmt w:val="lowerRoman"/>
      <w:start w:val="1"/>
    </w:lvl>
  </w:abstractNum>
  <w:abstractNum w:abstractNumId="312">
    <w:nsid w:val="1F0E5D0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2021-04-12T15:44:27Z</dcterms:created>
  <dcterms:modified xsi:type="dcterms:W3CDTF">2021-04-12T15:44:27Z</dcterms:modified>
</cp:coreProperties>
</file>