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As filed with the Securities and Exchange Commission on January 29, 2019</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333-228339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603059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30595"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64135</wp:posOffset>
            </wp:positionV>
            <wp:extent cx="6030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jc w:val="center"/>
        <w:spacing w:after="0" w:line="231" w:lineRule="auto"/>
        <w:rPr>
          <w:sz w:val="20"/>
          <w:szCs w:val="20"/>
          <w:color w:val="auto"/>
        </w:rPr>
      </w:pPr>
      <w:r>
        <w:rPr>
          <w:rFonts w:ascii="Arial" w:cs="Arial" w:eastAsia="Arial" w:hAnsi="Arial"/>
          <w:sz w:val="21"/>
          <w:szCs w:val="2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2507615</wp:posOffset>
            </wp:positionH>
            <wp:positionV relativeFrom="paragraph">
              <wp:posOffset>140335</wp:posOffset>
            </wp:positionV>
            <wp:extent cx="1022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Amendment No. 4</w:t>
      </w:r>
    </w:p>
    <w:p>
      <w:pPr>
        <w:jc w:val="center"/>
        <w:spacing w:after="0" w:line="213" w:lineRule="auto"/>
        <w:rPr>
          <w:sz w:val="20"/>
          <w:szCs w:val="20"/>
          <w:color w:val="auto"/>
        </w:rPr>
      </w:pPr>
      <w:r>
        <w:rPr>
          <w:rFonts w:ascii="Arial" w:cs="Arial" w:eastAsia="Arial" w:hAnsi="Arial"/>
          <w:sz w:val="21"/>
          <w:szCs w:val="21"/>
          <w:b w:val="1"/>
          <w:bCs w:val="1"/>
          <w:color w:val="auto"/>
        </w:rPr>
        <w:t>to</w:t>
      </w:r>
    </w:p>
    <w:p>
      <w:pPr>
        <w:jc w:val="center"/>
        <w:spacing w:after="0" w:line="232" w:lineRule="auto"/>
        <w:rPr>
          <w:sz w:val="20"/>
          <w:szCs w:val="20"/>
          <w:color w:val="auto"/>
        </w:rPr>
      </w:pPr>
      <w:r>
        <w:rPr>
          <w:rFonts w:ascii="Arial" w:cs="Arial" w:eastAsia="Arial" w:hAnsi="Arial"/>
          <w:sz w:val="21"/>
          <w:szCs w:val="21"/>
          <w:b w:val="1"/>
          <w:bCs w:val="1"/>
          <w:color w:val="auto"/>
        </w:rPr>
        <w:t>FORM S-1</w:t>
      </w: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2507615</wp:posOffset>
            </wp:positionH>
            <wp:positionV relativeFrom="paragraph">
              <wp:posOffset>132715</wp:posOffset>
            </wp:positionV>
            <wp:extent cx="1022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New Fortress Energy LLC</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63" w:lineRule="exact"/>
        <w:rPr>
          <w:sz w:val="24"/>
          <w:szCs w:val="24"/>
          <w:color w:val="auto"/>
        </w:rPr>
      </w:pPr>
    </w:p>
    <w:tbl>
      <w:tblPr>
        <w:tblLayout w:type="fixed"/>
        <w:tblInd w:w="460" w:type="dxa"/>
        <w:tblCellMar>
          <w:top w:w="0" w:type="dxa"/>
          <w:left w:w="0" w:type="dxa"/>
          <w:bottom w:w="0" w:type="dxa"/>
          <w:right w:w="0" w:type="dxa"/>
        </w:tblCellMar>
      </w:tblPr>
      <w:tr>
        <w:trPr>
          <w:trHeight w:val="213"/>
        </w:trPr>
        <w:tc>
          <w:tcPr>
            <w:tcW w:w="2640" w:type="dxa"/>
            <w:vAlign w:val="bottom"/>
          </w:tcPr>
          <w:p>
            <w:pPr>
              <w:jc w:val="center"/>
              <w:ind w:right="538"/>
              <w:spacing w:after="0"/>
              <w:rPr>
                <w:sz w:val="20"/>
                <w:szCs w:val="20"/>
                <w:color w:val="auto"/>
              </w:rPr>
            </w:pPr>
            <w:r>
              <w:rPr>
                <w:rFonts w:ascii="Arial" w:cs="Arial" w:eastAsia="Arial" w:hAnsi="Arial"/>
                <w:sz w:val="16"/>
                <w:szCs w:val="16"/>
                <w:b w:val="1"/>
                <w:bCs w:val="1"/>
                <w:color w:val="auto"/>
                <w:w w:val="93"/>
              </w:rPr>
              <w:t>Delaware</w:t>
            </w:r>
          </w:p>
        </w:tc>
        <w:tc>
          <w:tcPr>
            <w:tcW w:w="3300" w:type="dxa"/>
            <w:vAlign w:val="bottom"/>
          </w:tcPr>
          <w:p>
            <w:pPr>
              <w:jc w:val="center"/>
              <w:ind w:right="78"/>
              <w:spacing w:after="0"/>
              <w:rPr>
                <w:sz w:val="20"/>
                <w:szCs w:val="20"/>
                <w:color w:val="auto"/>
              </w:rPr>
            </w:pPr>
            <w:r>
              <w:rPr>
                <w:rFonts w:ascii="Arial" w:cs="Arial" w:eastAsia="Arial" w:hAnsi="Arial"/>
                <w:sz w:val="16"/>
                <w:szCs w:val="16"/>
                <w:b w:val="1"/>
                <w:bCs w:val="1"/>
                <w:color w:val="auto"/>
                <w:w w:val="95"/>
              </w:rPr>
              <w:t>4924</w:t>
            </w:r>
          </w:p>
        </w:tc>
        <w:tc>
          <w:tcPr>
            <w:tcW w:w="2300" w:type="dxa"/>
            <w:vAlign w:val="bottom"/>
          </w:tcPr>
          <w:p>
            <w:pPr>
              <w:jc w:val="center"/>
              <w:ind w:left="698"/>
              <w:spacing w:after="0"/>
              <w:rPr>
                <w:sz w:val="20"/>
                <w:szCs w:val="20"/>
                <w:color w:val="auto"/>
              </w:rPr>
            </w:pPr>
            <w:r>
              <w:rPr>
                <w:rFonts w:ascii="Arial" w:cs="Arial" w:eastAsia="Arial" w:hAnsi="Arial"/>
                <w:sz w:val="16"/>
                <w:szCs w:val="16"/>
                <w:b w:val="1"/>
                <w:bCs w:val="1"/>
                <w:color w:val="auto"/>
                <w:w w:val="93"/>
              </w:rPr>
              <w:t>83-1482060</w:t>
            </w:r>
          </w:p>
        </w:tc>
      </w:tr>
      <w:tr>
        <w:trPr>
          <w:trHeight w:val="221"/>
        </w:trPr>
        <w:tc>
          <w:tcPr>
            <w:tcW w:w="2640" w:type="dxa"/>
            <w:vAlign w:val="bottom"/>
          </w:tcPr>
          <w:p>
            <w:pPr>
              <w:jc w:val="center"/>
              <w:ind w:right="518"/>
              <w:spacing w:after="0"/>
              <w:rPr>
                <w:sz w:val="20"/>
                <w:szCs w:val="20"/>
                <w:color w:val="auto"/>
              </w:rPr>
            </w:pPr>
            <w:r>
              <w:rPr>
                <w:rFonts w:ascii="Arial" w:cs="Arial" w:eastAsia="Arial" w:hAnsi="Arial"/>
                <w:sz w:val="16"/>
                <w:szCs w:val="16"/>
                <w:color w:val="auto"/>
                <w:w w:val="94"/>
              </w:rPr>
              <w:t>(State or Other Jurisdiction of</w:t>
            </w:r>
          </w:p>
        </w:tc>
        <w:tc>
          <w:tcPr>
            <w:tcW w:w="3300" w:type="dxa"/>
            <w:vAlign w:val="bottom"/>
          </w:tcPr>
          <w:p>
            <w:pPr>
              <w:jc w:val="center"/>
              <w:ind w:right="98"/>
              <w:spacing w:after="0"/>
              <w:rPr>
                <w:sz w:val="20"/>
                <w:szCs w:val="20"/>
                <w:color w:val="auto"/>
              </w:rPr>
            </w:pPr>
            <w:r>
              <w:rPr>
                <w:rFonts w:ascii="Arial" w:cs="Arial" w:eastAsia="Arial" w:hAnsi="Arial"/>
                <w:sz w:val="16"/>
                <w:szCs w:val="16"/>
                <w:color w:val="auto"/>
                <w:w w:val="94"/>
              </w:rPr>
              <w:t>(Primary Standard Industrial</w:t>
            </w:r>
          </w:p>
        </w:tc>
        <w:tc>
          <w:tcPr>
            <w:tcW w:w="2300" w:type="dxa"/>
            <w:vAlign w:val="bottom"/>
          </w:tcPr>
          <w:p>
            <w:pPr>
              <w:jc w:val="center"/>
              <w:ind w:left="698"/>
              <w:spacing w:after="0"/>
              <w:rPr>
                <w:sz w:val="20"/>
                <w:szCs w:val="20"/>
                <w:color w:val="auto"/>
              </w:rPr>
            </w:pPr>
            <w:r>
              <w:rPr>
                <w:rFonts w:ascii="Arial" w:cs="Arial" w:eastAsia="Arial" w:hAnsi="Arial"/>
                <w:sz w:val="16"/>
                <w:szCs w:val="16"/>
                <w:color w:val="auto"/>
                <w:w w:val="96"/>
              </w:rPr>
              <w:t>(IRS Employer</w:t>
            </w:r>
          </w:p>
        </w:tc>
      </w:tr>
      <w:tr>
        <w:trPr>
          <w:trHeight w:val="209"/>
        </w:trPr>
        <w:tc>
          <w:tcPr>
            <w:tcW w:w="2640" w:type="dxa"/>
            <w:vAlign w:val="bottom"/>
          </w:tcPr>
          <w:p>
            <w:pPr>
              <w:jc w:val="center"/>
              <w:ind w:right="538"/>
              <w:spacing w:after="0"/>
              <w:rPr>
                <w:sz w:val="20"/>
                <w:szCs w:val="20"/>
                <w:color w:val="auto"/>
              </w:rPr>
            </w:pPr>
            <w:r>
              <w:rPr>
                <w:rFonts w:ascii="Arial" w:cs="Arial" w:eastAsia="Arial" w:hAnsi="Arial"/>
                <w:sz w:val="16"/>
                <w:szCs w:val="16"/>
                <w:color w:val="auto"/>
                <w:w w:val="95"/>
              </w:rPr>
              <w:t>Incorporation or Organization)</w:t>
            </w:r>
          </w:p>
        </w:tc>
        <w:tc>
          <w:tcPr>
            <w:tcW w:w="3300" w:type="dxa"/>
            <w:vAlign w:val="bottom"/>
          </w:tcPr>
          <w:p>
            <w:pPr>
              <w:jc w:val="center"/>
              <w:ind w:right="78"/>
              <w:spacing w:after="0"/>
              <w:rPr>
                <w:sz w:val="20"/>
                <w:szCs w:val="20"/>
                <w:color w:val="auto"/>
              </w:rPr>
            </w:pPr>
            <w:r>
              <w:rPr>
                <w:rFonts w:ascii="Arial" w:cs="Arial" w:eastAsia="Arial" w:hAnsi="Arial"/>
                <w:sz w:val="16"/>
                <w:szCs w:val="16"/>
                <w:color w:val="auto"/>
                <w:w w:val="95"/>
              </w:rPr>
              <w:t>Classification Code Number)</w:t>
            </w:r>
          </w:p>
        </w:tc>
        <w:tc>
          <w:tcPr>
            <w:tcW w:w="2300" w:type="dxa"/>
            <w:vAlign w:val="bottom"/>
          </w:tcPr>
          <w:p>
            <w:pPr>
              <w:jc w:val="center"/>
              <w:ind w:left="698"/>
              <w:spacing w:after="0"/>
              <w:rPr>
                <w:sz w:val="20"/>
                <w:szCs w:val="20"/>
                <w:color w:val="auto"/>
              </w:rPr>
            </w:pPr>
            <w:r>
              <w:rPr>
                <w:rFonts w:ascii="Arial" w:cs="Arial" w:eastAsia="Arial" w:hAnsi="Arial"/>
                <w:sz w:val="16"/>
                <w:szCs w:val="16"/>
                <w:color w:val="auto"/>
                <w:w w:val="97"/>
              </w:rPr>
              <w:t>Identification Number)</w:t>
            </w:r>
          </w:p>
        </w:tc>
      </w:tr>
    </w:tbl>
    <w:p>
      <w:pPr>
        <w:jc w:val="center"/>
        <w:spacing w:after="0" w:line="181" w:lineRule="auto"/>
        <w:rPr>
          <w:sz w:val="20"/>
          <w:szCs w:val="20"/>
          <w:color w:val="auto"/>
        </w:rPr>
      </w:pPr>
      <w:r>
        <w:rPr>
          <w:rFonts w:ascii="Arial" w:cs="Arial" w:eastAsia="Arial" w:hAnsi="Arial"/>
          <w:sz w:val="16"/>
          <w:szCs w:val="16"/>
          <w:b w:val="1"/>
          <w:bCs w:val="1"/>
          <w:color w:val="auto"/>
        </w:rPr>
        <w:t>111 W. 19</w:t>
      </w:r>
      <w:r>
        <w:rPr>
          <w:rFonts w:ascii="Arial" w:cs="Arial" w:eastAsia="Arial" w:hAnsi="Arial"/>
          <w:sz w:val="27"/>
          <w:szCs w:val="27"/>
          <w:b w:val="1"/>
          <w:bCs w:val="1"/>
          <w:color w:val="auto"/>
          <w:vertAlign w:val="superscript"/>
        </w:rPr>
        <w:t>th</w:t>
      </w:r>
      <w:r>
        <w:rPr>
          <w:rFonts w:ascii="Arial" w:cs="Arial" w:eastAsia="Arial" w:hAnsi="Arial"/>
          <w:sz w:val="16"/>
          <w:szCs w:val="16"/>
          <w:b w:val="1"/>
          <w:bCs w:val="1"/>
          <w:color w:val="auto"/>
        </w:rPr>
        <w:t xml:space="preserve"> Street, 8</w:t>
      </w:r>
      <w:r>
        <w:rPr>
          <w:rFonts w:ascii="Arial" w:cs="Arial" w:eastAsia="Arial" w:hAnsi="Arial"/>
          <w:sz w:val="27"/>
          <w:szCs w:val="27"/>
          <w:b w:val="1"/>
          <w:bCs w:val="1"/>
          <w:color w:val="auto"/>
          <w:vertAlign w:val="superscript"/>
        </w:rPr>
        <w:t>th</w:t>
      </w:r>
      <w:r>
        <w:rPr>
          <w:rFonts w:ascii="Arial" w:cs="Arial" w:eastAsia="Arial" w:hAnsi="Arial"/>
          <w:sz w:val="16"/>
          <w:szCs w:val="16"/>
          <w:b w:val="1"/>
          <w:bCs w:val="1"/>
          <w:color w:val="auto"/>
        </w:rPr>
        <w:t xml:space="preserve"> Floor</w:t>
      </w:r>
    </w:p>
    <w:p>
      <w:pPr>
        <w:jc w:val="center"/>
        <w:spacing w:after="0" w:line="210" w:lineRule="auto"/>
        <w:rPr>
          <w:sz w:val="20"/>
          <w:szCs w:val="20"/>
          <w:color w:val="auto"/>
        </w:rPr>
      </w:pPr>
      <w:r>
        <w:rPr>
          <w:rFonts w:ascii="Arial" w:cs="Arial" w:eastAsia="Arial" w:hAnsi="Arial"/>
          <w:sz w:val="16"/>
          <w:szCs w:val="16"/>
          <w:b w:val="1"/>
          <w:bCs w:val="1"/>
          <w:color w:val="auto"/>
        </w:rPr>
        <w:t>New York, NY 10011</w:t>
      </w:r>
    </w:p>
    <w:p>
      <w:pPr>
        <w:jc w:val="center"/>
        <w:spacing w:after="0" w:line="210" w:lineRule="auto"/>
        <w:rPr>
          <w:sz w:val="20"/>
          <w:szCs w:val="20"/>
          <w:color w:val="auto"/>
        </w:rPr>
      </w:pPr>
      <w:r>
        <w:rPr>
          <w:rFonts w:ascii="Arial" w:cs="Arial" w:eastAsia="Arial" w:hAnsi="Arial"/>
          <w:sz w:val="16"/>
          <w:szCs w:val="16"/>
          <w:b w:val="1"/>
          <w:bCs w:val="1"/>
          <w:color w:val="auto"/>
        </w:rPr>
        <w:t>(516) 268-7400</w:t>
      </w:r>
    </w:p>
    <w:p>
      <w:pPr>
        <w:jc w:val="center"/>
        <w:spacing w:after="0" w:line="210" w:lineRule="auto"/>
        <w:rPr>
          <w:sz w:val="20"/>
          <w:szCs w:val="20"/>
          <w:color w:val="auto"/>
        </w:rPr>
      </w:pPr>
      <w:r>
        <w:rPr>
          <w:rFonts w:ascii="Arial" w:cs="Arial" w:eastAsia="Arial" w:hAnsi="Arial"/>
          <w:sz w:val="16"/>
          <w:szCs w:val="16"/>
          <w:color w:val="auto"/>
        </w:rPr>
        <w:t>(Address, Including Zip Code, and Telephone Number,</w:t>
      </w:r>
    </w:p>
    <w:p>
      <w:pPr>
        <w:jc w:val="center"/>
        <w:spacing w:after="0"/>
        <w:rPr>
          <w:sz w:val="20"/>
          <w:szCs w:val="20"/>
          <w:color w:val="auto"/>
        </w:rPr>
      </w:pPr>
      <w:r>
        <w:rPr>
          <w:rFonts w:ascii="Arial" w:cs="Arial" w:eastAsia="Arial" w:hAnsi="Arial"/>
          <w:sz w:val="16"/>
          <w:szCs w:val="16"/>
          <w:color w:val="auto"/>
        </w:rPr>
        <w:t>Including Area Code, of Registrant’s Principal Executive Offices)</w:t>
      </w:r>
    </w:p>
    <w:p>
      <w:pPr>
        <w:spacing w:after="0" w:line="5"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Cameron D. MacDougall, Esq.</w:t>
      </w:r>
    </w:p>
    <w:p>
      <w:pPr>
        <w:ind w:left="3780"/>
        <w:spacing w:after="0" w:line="184" w:lineRule="auto"/>
        <w:rPr>
          <w:sz w:val="20"/>
          <w:szCs w:val="20"/>
          <w:color w:val="auto"/>
        </w:rPr>
      </w:pPr>
      <w:r>
        <w:rPr>
          <w:rFonts w:ascii="Arial" w:cs="Arial" w:eastAsia="Arial" w:hAnsi="Arial"/>
          <w:sz w:val="13"/>
          <w:szCs w:val="13"/>
          <w:b w:val="1"/>
          <w:bCs w:val="1"/>
          <w:color w:val="auto"/>
        </w:rPr>
        <w:t>111 W. 19</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Street, 8</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Floor</w:t>
      </w:r>
    </w:p>
    <w:p>
      <w:pPr>
        <w:jc w:val="center"/>
        <w:spacing w:after="0" w:line="210" w:lineRule="auto"/>
        <w:rPr>
          <w:sz w:val="20"/>
          <w:szCs w:val="20"/>
          <w:color w:val="auto"/>
        </w:rPr>
      </w:pPr>
      <w:r>
        <w:rPr>
          <w:rFonts w:ascii="Arial" w:cs="Arial" w:eastAsia="Arial" w:hAnsi="Arial"/>
          <w:sz w:val="16"/>
          <w:szCs w:val="16"/>
          <w:b w:val="1"/>
          <w:bCs w:val="1"/>
          <w:color w:val="auto"/>
        </w:rPr>
        <w:t>New York, NY 10011</w:t>
      </w:r>
    </w:p>
    <w:p>
      <w:pPr>
        <w:jc w:val="center"/>
        <w:spacing w:after="0" w:line="210" w:lineRule="auto"/>
        <w:rPr>
          <w:sz w:val="20"/>
          <w:szCs w:val="20"/>
          <w:color w:val="auto"/>
        </w:rPr>
      </w:pPr>
      <w:r>
        <w:rPr>
          <w:rFonts w:ascii="Arial" w:cs="Arial" w:eastAsia="Arial" w:hAnsi="Arial"/>
          <w:sz w:val="16"/>
          <w:szCs w:val="16"/>
          <w:b w:val="1"/>
          <w:bCs w:val="1"/>
          <w:color w:val="auto"/>
        </w:rPr>
        <w:t>(516) 268-7400</w:t>
      </w: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2507615</wp:posOffset>
            </wp:positionH>
            <wp:positionV relativeFrom="paragraph">
              <wp:posOffset>121285</wp:posOffset>
            </wp:positionV>
            <wp:extent cx="1022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328" w:lineRule="exact"/>
        <w:rPr>
          <w:sz w:val="24"/>
          <w:szCs w:val="24"/>
          <w:color w:val="auto"/>
        </w:rPr>
      </w:pPr>
    </w:p>
    <w:tbl>
      <w:tblPr>
        <w:tblLayout w:type="fixed"/>
        <w:tblInd w:w="144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4540" w:type="dxa"/>
            <w:vAlign w:val="bottom"/>
          </w:tcPr>
          <w:p>
            <w:pPr>
              <w:ind w:left="640"/>
              <w:spacing w:after="0"/>
              <w:rPr>
                <w:sz w:val="20"/>
                <w:szCs w:val="20"/>
                <w:color w:val="auto"/>
              </w:rPr>
            </w:pPr>
            <w:r>
              <w:rPr>
                <w:rFonts w:ascii="Arial" w:cs="Arial" w:eastAsia="Arial" w:hAnsi="Arial"/>
                <w:sz w:val="16"/>
                <w:szCs w:val="16"/>
                <w:b w:val="1"/>
                <w:bCs w:val="1"/>
                <w:color w:val="auto"/>
              </w:rPr>
              <w:t>Copies to:</w:t>
            </w:r>
          </w:p>
        </w:tc>
      </w:tr>
      <w:tr>
        <w:trPr>
          <w:trHeight w:val="257"/>
        </w:trPr>
        <w:tc>
          <w:tcPr>
            <w:tcW w:w="2320" w:type="dxa"/>
            <w:vAlign w:val="bottom"/>
          </w:tcPr>
          <w:p>
            <w:pPr>
              <w:jc w:val="center"/>
              <w:ind w:right="558"/>
              <w:spacing w:after="0"/>
              <w:rPr>
                <w:sz w:val="20"/>
                <w:szCs w:val="20"/>
                <w:color w:val="auto"/>
              </w:rPr>
            </w:pPr>
            <w:r>
              <w:rPr>
                <w:rFonts w:ascii="Arial" w:cs="Arial" w:eastAsia="Arial" w:hAnsi="Arial"/>
                <w:sz w:val="16"/>
                <w:szCs w:val="16"/>
                <w:b w:val="1"/>
                <w:bCs w:val="1"/>
                <w:color w:val="auto"/>
                <w:w w:val="94"/>
              </w:rPr>
              <w:t>David P. Oelman</w:t>
            </w:r>
          </w:p>
        </w:tc>
        <w:tc>
          <w:tcPr>
            <w:tcW w:w="4540" w:type="dxa"/>
            <w:vAlign w:val="bottom"/>
          </w:tcPr>
          <w:p>
            <w:pPr>
              <w:jc w:val="center"/>
              <w:ind w:left="2118"/>
              <w:spacing w:after="0"/>
              <w:rPr>
                <w:sz w:val="20"/>
                <w:szCs w:val="20"/>
                <w:color w:val="auto"/>
              </w:rPr>
            </w:pPr>
            <w:r>
              <w:rPr>
                <w:rFonts w:ascii="Arial" w:cs="Arial" w:eastAsia="Arial" w:hAnsi="Arial"/>
                <w:sz w:val="16"/>
                <w:szCs w:val="16"/>
                <w:b w:val="1"/>
                <w:bCs w:val="1"/>
                <w:color w:val="auto"/>
                <w:w w:val="95"/>
              </w:rPr>
              <w:t>Michael J. Zeidel</w:t>
            </w:r>
          </w:p>
        </w:tc>
      </w:tr>
      <w:tr>
        <w:trPr>
          <w:trHeight w:val="201"/>
        </w:trPr>
        <w:tc>
          <w:tcPr>
            <w:tcW w:w="2320" w:type="dxa"/>
            <w:vAlign w:val="bottom"/>
          </w:tcPr>
          <w:p>
            <w:pPr>
              <w:jc w:val="center"/>
              <w:ind w:right="558"/>
              <w:spacing w:after="0"/>
              <w:rPr>
                <w:sz w:val="20"/>
                <w:szCs w:val="20"/>
                <w:color w:val="auto"/>
              </w:rPr>
            </w:pPr>
            <w:r>
              <w:rPr>
                <w:rFonts w:ascii="Arial" w:cs="Arial" w:eastAsia="Arial" w:hAnsi="Arial"/>
                <w:sz w:val="16"/>
                <w:szCs w:val="16"/>
                <w:b w:val="1"/>
                <w:bCs w:val="1"/>
                <w:color w:val="auto"/>
                <w:w w:val="94"/>
              </w:rPr>
              <w:t>E. Ramey Layne</w:t>
            </w:r>
          </w:p>
        </w:tc>
        <w:tc>
          <w:tcPr>
            <w:tcW w:w="4540" w:type="dxa"/>
            <w:vAlign w:val="bottom"/>
          </w:tcPr>
          <w:p>
            <w:pPr>
              <w:jc w:val="center"/>
              <w:ind w:left="2138"/>
              <w:spacing w:after="0"/>
              <w:rPr>
                <w:sz w:val="20"/>
                <w:szCs w:val="20"/>
                <w:color w:val="auto"/>
              </w:rPr>
            </w:pPr>
            <w:r>
              <w:rPr>
                <w:rFonts w:ascii="Arial" w:cs="Arial" w:eastAsia="Arial" w:hAnsi="Arial"/>
                <w:sz w:val="16"/>
                <w:szCs w:val="16"/>
                <w:b w:val="1"/>
                <w:bCs w:val="1"/>
                <w:color w:val="auto"/>
                <w:w w:val="95"/>
              </w:rPr>
              <w:t>Michael J. Schwartz</w:t>
            </w:r>
          </w:p>
        </w:tc>
      </w:tr>
      <w:tr>
        <w:trPr>
          <w:trHeight w:val="201"/>
        </w:trPr>
        <w:tc>
          <w:tcPr>
            <w:tcW w:w="2320" w:type="dxa"/>
            <w:vAlign w:val="bottom"/>
          </w:tcPr>
          <w:p>
            <w:pPr>
              <w:jc w:val="center"/>
              <w:ind w:right="558"/>
              <w:spacing w:after="0"/>
              <w:rPr>
                <w:sz w:val="20"/>
                <w:szCs w:val="20"/>
                <w:color w:val="auto"/>
              </w:rPr>
            </w:pPr>
            <w:r>
              <w:rPr>
                <w:rFonts w:ascii="Arial" w:cs="Arial" w:eastAsia="Arial" w:hAnsi="Arial"/>
                <w:sz w:val="16"/>
                <w:szCs w:val="16"/>
                <w:b w:val="1"/>
                <w:bCs w:val="1"/>
                <w:color w:val="auto"/>
                <w:w w:val="93"/>
              </w:rPr>
              <w:t>James R. Brown</w:t>
            </w:r>
          </w:p>
        </w:tc>
        <w:tc>
          <w:tcPr>
            <w:tcW w:w="4540" w:type="dxa"/>
            <w:vAlign w:val="bottom"/>
          </w:tcPr>
          <w:p>
            <w:pPr>
              <w:jc w:val="center"/>
              <w:ind w:left="2118"/>
              <w:spacing w:after="0"/>
              <w:rPr>
                <w:sz w:val="20"/>
                <w:szCs w:val="20"/>
                <w:color w:val="auto"/>
              </w:rPr>
            </w:pPr>
            <w:r>
              <w:rPr>
                <w:rFonts w:ascii="Arial" w:cs="Arial" w:eastAsia="Arial" w:hAnsi="Arial"/>
                <w:sz w:val="16"/>
                <w:szCs w:val="16"/>
                <w:b w:val="1"/>
                <w:bCs w:val="1"/>
                <w:color w:val="auto"/>
                <w:w w:val="93"/>
              </w:rPr>
              <w:t>Skadden, Arps, Slate, Meagher</w:t>
            </w:r>
          </w:p>
        </w:tc>
      </w:tr>
      <w:tr>
        <w:trPr>
          <w:trHeight w:val="201"/>
        </w:trPr>
        <w:tc>
          <w:tcPr>
            <w:tcW w:w="2320" w:type="dxa"/>
            <w:vAlign w:val="bottom"/>
          </w:tcPr>
          <w:p>
            <w:pPr>
              <w:jc w:val="center"/>
              <w:ind w:right="558"/>
              <w:spacing w:after="0"/>
              <w:rPr>
                <w:sz w:val="20"/>
                <w:szCs w:val="20"/>
                <w:color w:val="auto"/>
              </w:rPr>
            </w:pPr>
            <w:r>
              <w:rPr>
                <w:rFonts w:ascii="Arial" w:cs="Arial" w:eastAsia="Arial" w:hAnsi="Arial"/>
                <w:sz w:val="16"/>
                <w:szCs w:val="16"/>
                <w:b w:val="1"/>
                <w:bCs w:val="1"/>
                <w:color w:val="auto"/>
                <w:w w:val="97"/>
              </w:rPr>
              <w:t>Vinson &amp; Elkins L.L.P.</w:t>
            </w:r>
          </w:p>
        </w:tc>
        <w:tc>
          <w:tcPr>
            <w:tcW w:w="4540" w:type="dxa"/>
            <w:vAlign w:val="bottom"/>
          </w:tcPr>
          <w:p>
            <w:pPr>
              <w:jc w:val="center"/>
              <w:ind w:left="2118"/>
              <w:spacing w:after="0"/>
              <w:rPr>
                <w:sz w:val="20"/>
                <w:szCs w:val="20"/>
                <w:color w:val="auto"/>
              </w:rPr>
            </w:pPr>
            <w:r>
              <w:rPr>
                <w:rFonts w:ascii="Arial" w:cs="Arial" w:eastAsia="Arial" w:hAnsi="Arial"/>
                <w:sz w:val="16"/>
                <w:szCs w:val="16"/>
                <w:b w:val="1"/>
                <w:bCs w:val="1"/>
                <w:color w:val="auto"/>
              </w:rPr>
              <w:t>&amp; Flom LLP</w:t>
            </w:r>
          </w:p>
        </w:tc>
      </w:tr>
      <w:tr>
        <w:trPr>
          <w:trHeight w:val="201"/>
        </w:trPr>
        <w:tc>
          <w:tcPr>
            <w:tcW w:w="2320" w:type="dxa"/>
            <w:vAlign w:val="bottom"/>
          </w:tcPr>
          <w:p>
            <w:pPr>
              <w:jc w:val="center"/>
              <w:ind w:right="558"/>
              <w:spacing w:after="0"/>
              <w:rPr>
                <w:sz w:val="20"/>
                <w:szCs w:val="20"/>
                <w:color w:val="auto"/>
              </w:rPr>
            </w:pPr>
            <w:r>
              <w:rPr>
                <w:rFonts w:ascii="Arial" w:cs="Arial" w:eastAsia="Arial" w:hAnsi="Arial"/>
                <w:sz w:val="16"/>
                <w:szCs w:val="16"/>
                <w:b w:val="1"/>
                <w:bCs w:val="1"/>
                <w:color w:val="auto"/>
                <w:w w:val="93"/>
              </w:rPr>
              <w:t>1001 Fannin, Suite 2500</w:t>
            </w:r>
          </w:p>
        </w:tc>
        <w:tc>
          <w:tcPr>
            <w:tcW w:w="4540" w:type="dxa"/>
            <w:vAlign w:val="bottom"/>
          </w:tcPr>
          <w:p>
            <w:pPr>
              <w:jc w:val="center"/>
              <w:ind w:left="2138"/>
              <w:spacing w:after="0"/>
              <w:rPr>
                <w:sz w:val="20"/>
                <w:szCs w:val="20"/>
                <w:color w:val="auto"/>
              </w:rPr>
            </w:pPr>
            <w:r>
              <w:rPr>
                <w:rFonts w:ascii="Arial" w:cs="Arial" w:eastAsia="Arial" w:hAnsi="Arial"/>
                <w:sz w:val="16"/>
                <w:szCs w:val="16"/>
                <w:b w:val="1"/>
                <w:bCs w:val="1"/>
                <w:color w:val="auto"/>
                <w:w w:val="93"/>
              </w:rPr>
              <w:t>Four Times Square</w:t>
            </w:r>
          </w:p>
        </w:tc>
      </w:tr>
      <w:tr>
        <w:trPr>
          <w:trHeight w:val="201"/>
        </w:trPr>
        <w:tc>
          <w:tcPr>
            <w:tcW w:w="2320" w:type="dxa"/>
            <w:vAlign w:val="bottom"/>
          </w:tcPr>
          <w:p>
            <w:pPr>
              <w:jc w:val="center"/>
              <w:ind w:right="558"/>
              <w:spacing w:after="0"/>
              <w:rPr>
                <w:sz w:val="20"/>
                <w:szCs w:val="20"/>
                <w:color w:val="auto"/>
              </w:rPr>
            </w:pPr>
            <w:r>
              <w:rPr>
                <w:rFonts w:ascii="Arial" w:cs="Arial" w:eastAsia="Arial" w:hAnsi="Arial"/>
                <w:sz w:val="16"/>
                <w:szCs w:val="16"/>
                <w:b w:val="1"/>
                <w:bCs w:val="1"/>
                <w:color w:val="auto"/>
                <w:w w:val="90"/>
              </w:rPr>
              <w:t>Houston, Texas 77002</w:t>
            </w:r>
          </w:p>
        </w:tc>
        <w:tc>
          <w:tcPr>
            <w:tcW w:w="4540" w:type="dxa"/>
            <w:vAlign w:val="bottom"/>
          </w:tcPr>
          <w:p>
            <w:pPr>
              <w:jc w:val="center"/>
              <w:ind w:left="2138"/>
              <w:spacing w:after="0"/>
              <w:rPr>
                <w:sz w:val="20"/>
                <w:szCs w:val="20"/>
                <w:color w:val="auto"/>
              </w:rPr>
            </w:pPr>
            <w:r>
              <w:rPr>
                <w:rFonts w:ascii="Arial" w:cs="Arial" w:eastAsia="Arial" w:hAnsi="Arial"/>
                <w:sz w:val="16"/>
                <w:szCs w:val="16"/>
                <w:b w:val="1"/>
                <w:bCs w:val="1"/>
                <w:color w:val="auto"/>
                <w:w w:val="94"/>
              </w:rPr>
              <w:t>New York, New York 10036-6522</w:t>
            </w:r>
          </w:p>
        </w:tc>
      </w:tr>
      <w:tr>
        <w:trPr>
          <w:trHeight w:val="213"/>
        </w:trPr>
        <w:tc>
          <w:tcPr>
            <w:tcW w:w="2320" w:type="dxa"/>
            <w:vAlign w:val="bottom"/>
          </w:tcPr>
          <w:p>
            <w:pPr>
              <w:jc w:val="center"/>
              <w:ind w:right="558"/>
              <w:spacing w:after="0"/>
              <w:rPr>
                <w:sz w:val="20"/>
                <w:szCs w:val="20"/>
                <w:color w:val="auto"/>
              </w:rPr>
            </w:pPr>
            <w:r>
              <w:rPr>
                <w:rFonts w:ascii="Arial" w:cs="Arial" w:eastAsia="Arial" w:hAnsi="Arial"/>
                <w:sz w:val="16"/>
                <w:szCs w:val="16"/>
                <w:b w:val="1"/>
                <w:bCs w:val="1"/>
                <w:color w:val="auto"/>
                <w:w w:val="95"/>
              </w:rPr>
              <w:t>(713) 758-2222</w:t>
            </w:r>
          </w:p>
        </w:tc>
        <w:tc>
          <w:tcPr>
            <w:tcW w:w="4540" w:type="dxa"/>
            <w:vAlign w:val="bottom"/>
          </w:tcPr>
          <w:p>
            <w:pPr>
              <w:jc w:val="center"/>
              <w:ind w:left="2118"/>
              <w:spacing w:after="0"/>
              <w:rPr>
                <w:sz w:val="20"/>
                <w:szCs w:val="20"/>
                <w:color w:val="auto"/>
              </w:rPr>
            </w:pPr>
            <w:r>
              <w:rPr>
                <w:rFonts w:ascii="Arial" w:cs="Arial" w:eastAsia="Arial" w:hAnsi="Arial"/>
                <w:sz w:val="16"/>
                <w:szCs w:val="16"/>
                <w:b w:val="1"/>
                <w:bCs w:val="1"/>
                <w:color w:val="auto"/>
                <w:w w:val="93"/>
              </w:rPr>
              <w:t>(212) 735-3000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2507615</wp:posOffset>
            </wp:positionH>
            <wp:positionV relativeFrom="paragraph">
              <wp:posOffset>139700</wp:posOffset>
            </wp:positionV>
            <wp:extent cx="1022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w:t>
      </w:r>
    </w:p>
    <w:p>
      <w:pPr>
        <w:jc w:val="center"/>
        <w:spacing w:after="0"/>
        <w:rPr>
          <w:sz w:val="20"/>
          <w:szCs w:val="20"/>
          <w:color w:val="auto"/>
        </w:rPr>
      </w:pPr>
      <w:r>
        <w:rPr>
          <w:rFonts w:ascii="Arial" w:cs="Arial" w:eastAsia="Arial" w:hAnsi="Arial"/>
          <w:sz w:val="16"/>
          <w:szCs w:val="16"/>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2507615</wp:posOffset>
            </wp:positionH>
            <wp:positionV relativeFrom="paragraph">
              <wp:posOffset>121285</wp:posOffset>
            </wp:positionV>
            <wp:extent cx="1022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319" w:lineRule="exact"/>
        <w:rPr>
          <w:sz w:val="24"/>
          <w:szCs w:val="24"/>
          <w:color w:val="auto"/>
        </w:rPr>
      </w:pPr>
    </w:p>
    <w:p>
      <w:pPr>
        <w:ind w:right="300" w:firstLine="357"/>
        <w:spacing w:after="0" w:line="242"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o</w:t>
      </w:r>
    </w:p>
    <w:p>
      <w:pPr>
        <w:spacing w:after="0" w:line="31" w:lineRule="exact"/>
        <w:rPr>
          <w:sz w:val="24"/>
          <w:szCs w:val="24"/>
          <w:color w:val="auto"/>
        </w:rPr>
      </w:pPr>
    </w:p>
    <w:p>
      <w:pPr>
        <w:ind w:right="180" w:firstLine="357"/>
        <w:spacing w:after="0" w:line="274" w:lineRule="auto"/>
        <w:rPr>
          <w:sz w:val="20"/>
          <w:szCs w:val="20"/>
          <w:color w:val="auto"/>
        </w:rPr>
      </w:pPr>
      <w:r>
        <w:rPr>
          <w:rFonts w:ascii="Arial" w:cs="Arial" w:eastAsia="Arial" w:hAnsi="Arial"/>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2" w:lineRule="exact"/>
        <w:rPr>
          <w:sz w:val="24"/>
          <w:szCs w:val="24"/>
          <w:color w:val="auto"/>
        </w:rPr>
      </w:pPr>
    </w:p>
    <w:p>
      <w:pPr>
        <w:ind w:right="120" w:firstLine="357"/>
        <w:spacing w:after="0" w:line="242" w:lineRule="auto"/>
        <w:rPr>
          <w:sz w:val="20"/>
          <w:szCs w:val="20"/>
          <w:color w:val="auto"/>
        </w:rPr>
      </w:pPr>
      <w:r>
        <w:rPr>
          <w:rFonts w:ascii="Arial" w:cs="Arial" w:eastAsia="Arial" w:hAnsi="Arial"/>
          <w:sz w:val="16"/>
          <w:szCs w:val="16"/>
          <w:color w:val="auto"/>
        </w:rPr>
        <w:t>If this Form is a post-effective amendment filed pursuant to Rule 462(c) under the Securities Act, please check the following box and list the Securities Act registration statement number of the earlier effective registration statement for the same offering. o</w:t>
      </w:r>
    </w:p>
    <w:p>
      <w:pPr>
        <w:spacing w:after="0" w:line="45" w:lineRule="exact"/>
        <w:rPr>
          <w:sz w:val="24"/>
          <w:szCs w:val="24"/>
          <w:color w:val="auto"/>
        </w:rPr>
      </w:pPr>
    </w:p>
    <w:p>
      <w:pPr>
        <w:ind w:right="320" w:firstLine="357"/>
        <w:spacing w:after="0" w:line="242"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31" w:lineRule="exact"/>
        <w:rPr>
          <w:sz w:val="24"/>
          <w:szCs w:val="24"/>
          <w:color w:val="auto"/>
        </w:rPr>
      </w:pPr>
    </w:p>
    <w:p>
      <w:pPr>
        <w:ind w:right="20" w:firstLine="357"/>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p>
      <w:pPr>
        <w:spacing w:after="0" w:line="184" w:lineRule="exact"/>
        <w:tabs>
          <w:tab w:leader="none" w:pos="1860" w:val="left"/>
          <w:tab w:leader="none" w:pos="3400" w:val="left"/>
          <w:tab w:leader="none" w:pos="5260" w:val="left"/>
          <w:tab w:leader="none" w:pos="746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 o</w:t>
      </w:r>
      <w:r>
        <w:rPr>
          <w:sz w:val="20"/>
          <w:szCs w:val="20"/>
          <w:color w:val="auto"/>
        </w:rPr>
        <w:tab/>
      </w: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91" w:lineRule="exact"/>
        <w:rPr>
          <w:sz w:val="24"/>
          <w:szCs w:val="24"/>
          <w:color w:val="auto"/>
        </w:rPr>
      </w:pPr>
    </w:p>
    <w:p>
      <w:pPr>
        <w:ind w:right="40" w:firstLine="357"/>
        <w:spacing w:after="0" w:line="23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transaction period for complying with any new or revised financial accounting standards provided pursuant to Section 7(a)(2)(B) of the Securities Act. o</w:t>
      </w:r>
    </w:p>
    <w:p>
      <w:pPr>
        <w:spacing w:after="0" w:line="111" w:lineRule="exact"/>
        <w:rPr>
          <w:sz w:val="24"/>
          <w:szCs w:val="24"/>
          <w:color w:val="auto"/>
        </w:rPr>
      </w:pPr>
    </w:p>
    <w:p>
      <w:pPr>
        <w:ind w:right="80"/>
        <w:spacing w:after="0" w:line="242"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60305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05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165100</wp:posOffset>
            </wp:positionV>
            <wp:extent cx="603059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0595"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471805</wp:posOffset>
            </wp:positionV>
            <wp:extent cx="603059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0" w:right="1380"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We may not sell these securities until the registration statement filed with the Securities and Exchange Commission becomes effective. This preliminary prospectus is not an offer to sell these securities and we are not soliciting an offer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C0014"/>
        </w:rPr>
        <w:t>Subject to Completion, dated January 29, 2019</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19685</wp:posOffset>
            </wp:positionV>
            <wp:extent cx="1865630" cy="485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5630" cy="48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New Fortress Energy LLC</w:t>
      </w:r>
    </w:p>
    <w:p>
      <w:pPr>
        <w:jc w:val="center"/>
        <w:spacing w:after="0" w:line="212" w:lineRule="auto"/>
        <w:rPr>
          <w:sz w:val="20"/>
          <w:szCs w:val="20"/>
          <w:color w:val="auto"/>
        </w:rPr>
      </w:pPr>
      <w:r>
        <w:rPr>
          <w:rFonts w:ascii="Arial" w:cs="Arial" w:eastAsia="Arial" w:hAnsi="Arial"/>
          <w:sz w:val="25"/>
          <w:szCs w:val="25"/>
          <w:b w:val="1"/>
          <w:bCs w:val="1"/>
          <w:color w:val="auto"/>
        </w:rPr>
        <w:t>20,000,000 Class A shares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Representing Limited Liability Company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69850</wp:posOffset>
            </wp:positionV>
            <wp:extent cx="10223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241" w:lineRule="exact"/>
        <w:rPr>
          <w:sz w:val="20"/>
          <w:szCs w:val="20"/>
          <w:color w:val="auto"/>
        </w:rPr>
      </w:pPr>
    </w:p>
    <w:p>
      <w:pPr>
        <w:ind w:right="160"/>
        <w:spacing w:after="0" w:line="229" w:lineRule="auto"/>
        <w:rPr>
          <w:sz w:val="20"/>
          <w:szCs w:val="20"/>
          <w:color w:val="auto"/>
        </w:rPr>
      </w:pPr>
      <w:r>
        <w:rPr>
          <w:rFonts w:ascii="Arial" w:cs="Arial" w:eastAsia="Arial" w:hAnsi="Arial"/>
          <w:sz w:val="16"/>
          <w:szCs w:val="16"/>
          <w:color w:val="auto"/>
        </w:rPr>
        <w:t>This is the initial public offering of Class A shares representing limited liability company interests of New Fortress Energy LLC. We are offering 20,000,000 Class A shares. We were recently formed by New Fortress Energy Holdings LLC and have elected to be treated as a corporation for U.S. federal income tax purposes. The proposed initial public offering price is $15.00 per Class A share.</w:t>
      </w:r>
    </w:p>
    <w:p>
      <w:pPr>
        <w:spacing w:after="0" w:line="37" w:lineRule="exact"/>
        <w:rPr>
          <w:sz w:val="20"/>
          <w:szCs w:val="20"/>
          <w:color w:val="auto"/>
        </w:rPr>
      </w:pPr>
    </w:p>
    <w:p>
      <w:pPr>
        <w:ind w:right="280"/>
        <w:spacing w:after="0" w:line="238" w:lineRule="auto"/>
        <w:rPr>
          <w:sz w:val="20"/>
          <w:szCs w:val="20"/>
          <w:color w:val="auto"/>
        </w:rPr>
      </w:pPr>
      <w:r>
        <w:rPr>
          <w:rFonts w:ascii="Arial" w:cs="Arial" w:eastAsia="Arial" w:hAnsi="Arial"/>
          <w:sz w:val="16"/>
          <w:szCs w:val="16"/>
          <w:color w:val="auto"/>
        </w:rPr>
        <w:t>Prior to this offering, there has been no public market for our Class A shares. We have been authorized to list our Class A shares on the Nasdaq Global Select Market under the symbol “NFE.”</w:t>
      </w:r>
    </w:p>
    <w:p>
      <w:pPr>
        <w:spacing w:after="0" w:line="51" w:lineRule="exact"/>
        <w:rPr>
          <w:sz w:val="20"/>
          <w:szCs w:val="20"/>
          <w:color w:val="auto"/>
        </w:rPr>
      </w:pPr>
    </w:p>
    <w:p>
      <w:pPr>
        <w:ind w:right="440"/>
        <w:spacing w:after="0" w:line="238" w:lineRule="auto"/>
        <w:rPr>
          <w:sz w:val="20"/>
          <w:szCs w:val="20"/>
          <w:color w:val="auto"/>
        </w:rPr>
      </w:pPr>
      <w:r>
        <w:rPr>
          <w:rFonts w:ascii="Arial" w:cs="Arial" w:eastAsia="Arial" w:hAnsi="Arial"/>
          <w:sz w:val="16"/>
          <w:szCs w:val="16"/>
          <w:color w:val="auto"/>
        </w:rPr>
        <w:t>We are an “emerging growth company” and are eligible for reduced reporting requirements for this prospectus and future filings. Please read “Summary—Our Emerging Growth Company Status.”</w:t>
      </w:r>
    </w:p>
    <w:p>
      <w:pPr>
        <w:spacing w:after="0" w:line="60" w:lineRule="exact"/>
        <w:rPr>
          <w:sz w:val="20"/>
          <w:szCs w:val="20"/>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Class A shares involves risks. Please read “Risk Factors” beginning on page </w:t>
      </w:r>
      <w:hyperlink w:anchor="page29">
        <w:r>
          <w:rPr>
            <w:rFonts w:ascii="Arial" w:cs="Arial" w:eastAsia="Arial" w:hAnsi="Arial"/>
            <w:sz w:val="16"/>
            <w:szCs w:val="16"/>
            <w:b w:val="1"/>
            <w:bCs w:val="1"/>
            <w:u w:val="single" w:color="auto"/>
            <w:color w:val="0000EE"/>
          </w:rPr>
          <w:t>22</w:t>
        </w:r>
      </w:hyperlink>
      <w:r>
        <w:rPr>
          <w:rFonts w:ascii="Arial" w:cs="Arial" w:eastAsia="Arial" w:hAnsi="Arial"/>
          <w:sz w:val="16"/>
          <w:szCs w:val="16"/>
          <w:b w:val="1"/>
          <w:bCs w:val="1"/>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These risks include the following:</w:t>
      </w:r>
    </w:p>
    <w:p>
      <w:pPr>
        <w:spacing w:after="0" w:line="125" w:lineRule="exact"/>
        <w:rPr>
          <w:sz w:val="20"/>
          <w:szCs w:val="20"/>
          <w:color w:val="auto"/>
        </w:rPr>
      </w:pPr>
    </w:p>
    <w:p>
      <w:pPr>
        <w:ind w:left="700" w:right="180" w:hanging="346"/>
        <w:spacing w:after="0" w:line="290"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Because we are currently dependent upon a limited number of customers, the loss of a significant customer could adversely affect our operating results.</w:t>
      </w:r>
    </w:p>
    <w:p>
      <w:pPr>
        <w:spacing w:after="0" w:line="65" w:lineRule="exact"/>
        <w:rPr>
          <w:rFonts w:ascii="Arial" w:cs="Arial" w:eastAsia="Arial" w:hAnsi="Arial"/>
          <w:sz w:val="16"/>
          <w:szCs w:val="16"/>
          <w:color w:val="auto"/>
        </w:rPr>
      </w:pPr>
    </w:p>
    <w:p>
      <w:pPr>
        <w:ind w:left="700" w:right="80" w:hanging="346"/>
        <w:spacing w:after="0" w:line="290"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business is dependent upon obtaining substantial additional funding from various sources, which may not be available or may only be available on unfavorable terms.</w:t>
      </w:r>
    </w:p>
    <w:p>
      <w:pPr>
        <w:spacing w:after="0" w:line="65" w:lineRule="exact"/>
        <w:rPr>
          <w:rFonts w:ascii="Arial" w:cs="Arial" w:eastAsia="Arial" w:hAnsi="Arial"/>
          <w:sz w:val="16"/>
          <w:szCs w:val="16"/>
          <w:color w:val="auto"/>
        </w:rPr>
      </w:pPr>
    </w:p>
    <w:p>
      <w:pPr>
        <w:ind w:left="700" w:right="180" w:hanging="346"/>
        <w:spacing w:after="0" w:line="290"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Failure of liquified natural gas (“LNG”) to be a competitive source of energy in the markets in which we operate, and seek to operate, could adversely affect our expansion strategy.</w:t>
      </w:r>
    </w:p>
    <w:p>
      <w:pPr>
        <w:spacing w:after="0" w:line="65" w:lineRule="exact"/>
        <w:rPr>
          <w:rFonts w:ascii="Arial" w:cs="Arial" w:eastAsia="Arial" w:hAnsi="Arial"/>
          <w:sz w:val="16"/>
          <w:szCs w:val="16"/>
          <w:color w:val="auto"/>
        </w:rPr>
      </w:pPr>
    </w:p>
    <w:p>
      <w:pPr>
        <w:jc w:val="both"/>
        <w:ind w:left="700" w:right="80" w:hanging="346"/>
        <w:spacing w:after="0" w:line="276"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76" w:lineRule="exact"/>
        <w:rPr>
          <w:rFonts w:ascii="Arial" w:cs="Arial" w:eastAsia="Arial" w:hAnsi="Arial"/>
          <w:sz w:val="16"/>
          <w:szCs w:val="16"/>
          <w:color w:val="auto"/>
        </w:rPr>
      </w:pPr>
    </w:p>
    <w:p>
      <w:pPr>
        <w:ind w:left="700" w:right="260" w:hanging="346"/>
        <w:spacing w:after="0" w:line="290"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New Fortress Energy Holdings LLC has the ability to direct the voting of a majority of our shares, and its interests may conflict with those of our other shareholders.</w:t>
      </w:r>
    </w:p>
    <w:p>
      <w:pPr>
        <w:spacing w:after="0" w:line="65" w:lineRule="exact"/>
        <w:rPr>
          <w:rFonts w:ascii="Arial" w:cs="Arial" w:eastAsia="Arial" w:hAnsi="Arial"/>
          <w:sz w:val="16"/>
          <w:szCs w:val="16"/>
          <w:color w:val="auto"/>
        </w:rPr>
      </w:pPr>
    </w:p>
    <w:p>
      <w:pPr>
        <w:ind w:left="700" w:right="320" w:hanging="346"/>
        <w:spacing w:after="0" w:line="276"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There are certain provisions in our operating agreement regarding exculpation and indemnification of our officers and directors that differ from Delaware General Corporation Law (“DGCL”) in a manner that may be less protective of the interests of our Class A shareholders.</w:t>
      </w:r>
    </w:p>
    <w:p>
      <w:pPr>
        <w:spacing w:after="0" w:line="76" w:lineRule="exact"/>
        <w:rPr>
          <w:rFonts w:ascii="Arial" w:cs="Arial" w:eastAsia="Arial" w:hAnsi="Arial"/>
          <w:sz w:val="16"/>
          <w:szCs w:val="16"/>
          <w:color w:val="auto"/>
        </w:rPr>
      </w:pPr>
    </w:p>
    <w:p>
      <w:pPr>
        <w:ind w:left="700" w:hanging="346"/>
        <w:spacing w:after="0"/>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Shareholders will experience immediate and substantial dilution of $11.51 per Class A share.</w:t>
      </w:r>
    </w:p>
    <w:p>
      <w:pPr>
        <w:spacing w:after="0" w:line="124" w:lineRule="exact"/>
        <w:rPr>
          <w:rFonts w:ascii="Arial" w:cs="Arial" w:eastAsia="Arial" w:hAnsi="Arial"/>
          <w:sz w:val="16"/>
          <w:szCs w:val="16"/>
          <w:color w:val="auto"/>
        </w:rPr>
      </w:pPr>
    </w:p>
    <w:p>
      <w:pPr>
        <w:ind w:left="700" w:right="140" w:hanging="346"/>
        <w:spacing w:after="0" w:line="324" w:lineRule="auto"/>
        <w:tabs>
          <w:tab w:leader="none" w:pos="7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There is no existing market for our Class A shares and a trading market that will provide you with adequate liquidity may not develop. The price of our Class A shares may fluctuate significantly, and shareholders could lose all or part of their investment.</w:t>
      </w:r>
    </w:p>
    <w:tbl>
      <w:tblPr>
        <w:tblLayout w:type="fixed"/>
        <w:tblInd w:w="0" w:type="dxa"/>
        <w:tblCellMar>
          <w:top w:w="0" w:type="dxa"/>
          <w:left w:w="0" w:type="dxa"/>
          <w:bottom w:w="0" w:type="dxa"/>
          <w:right w:w="0" w:type="dxa"/>
        </w:tblCellMar>
      </w:tblPr>
      <w:tr>
        <w:trPr>
          <w:trHeight w:val="148"/>
        </w:trPr>
        <w:tc>
          <w:tcPr>
            <w:tcW w:w="13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40" w:type="dxa"/>
            <w:vAlign w:val="bottom"/>
            <w:gridSpan w:val="2"/>
          </w:tcPr>
          <w:p>
            <w:pPr>
              <w:jc w:val="right"/>
              <w:ind w:right="3"/>
              <w:spacing w:after="0" w:line="149" w:lineRule="exact"/>
              <w:rPr>
                <w:sz w:val="20"/>
                <w:szCs w:val="20"/>
                <w:color w:val="auto"/>
              </w:rPr>
            </w:pPr>
            <w:r>
              <w:rPr>
                <w:rFonts w:ascii="Arial" w:cs="Arial" w:eastAsia="Arial" w:hAnsi="Arial"/>
                <w:sz w:val="13"/>
                <w:szCs w:val="13"/>
                <w:b w:val="1"/>
                <w:bCs w:val="1"/>
                <w:color w:val="auto"/>
              </w:rPr>
              <w:t>Per Class A</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134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share</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r>
      <w:tr>
        <w:trPr>
          <w:trHeight w:val="222"/>
        </w:trPr>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Proposed Initial Public Offering Price</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300,000,000</w:t>
            </w:r>
          </w:p>
        </w:tc>
      </w:tr>
      <w:tr>
        <w:trPr>
          <w:trHeight w:val="228"/>
        </w:trPr>
        <w:tc>
          <w:tcPr>
            <w:tcW w:w="7400" w:type="dxa"/>
            <w:vAlign w:val="bottom"/>
            <w:gridSpan w:val="2"/>
          </w:tcPr>
          <w:p>
            <w:pPr>
              <w:spacing w:after="0" w:line="228" w:lineRule="exact"/>
              <w:rPr>
                <w:sz w:val="20"/>
                <w:szCs w:val="20"/>
                <w:color w:val="auto"/>
              </w:rPr>
            </w:pPr>
            <w:r>
              <w:rPr>
                <w:rFonts w:ascii="Arial" w:cs="Arial" w:eastAsia="Arial" w:hAnsi="Arial"/>
                <w:sz w:val="16"/>
                <w:szCs w:val="16"/>
                <w:color w:val="auto"/>
              </w:rPr>
              <w:t>Underwriting Discount</w:t>
            </w:r>
            <w:r>
              <w:rPr>
                <w:rFonts w:ascii="Arial" w:cs="Arial" w:eastAsia="Arial" w:hAnsi="Arial"/>
                <w:sz w:val="26"/>
                <w:szCs w:val="26"/>
                <w:color w:val="auto"/>
                <w:vertAlign w:val="superscript"/>
              </w:rPr>
              <w:t>(1)</w:t>
            </w: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0.8625</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17,250,000</w:t>
            </w:r>
          </w:p>
        </w:tc>
      </w:tr>
      <w:tr>
        <w:trPr>
          <w:trHeight w:val="228"/>
        </w:trPr>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to New Fortress Energy LLC (before expenses)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14.1375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282,750,000</w:t>
            </w:r>
          </w:p>
        </w:tc>
      </w:tr>
      <w:tr>
        <w:trPr>
          <w:trHeight w:val="188"/>
        </w:trPr>
        <w:tc>
          <w:tcPr>
            <w:tcW w:w="1340" w:type="dxa"/>
            <w:vAlign w:val="bottom"/>
            <w:tcBorders>
              <w:bottom w:val="single" w:sz="8" w:color="auto"/>
            </w:tcBorders>
          </w:tcPr>
          <w:p>
            <w:pPr>
              <w:spacing w:after="0"/>
              <w:rPr>
                <w:sz w:val="16"/>
                <w:szCs w:val="16"/>
                <w:color w:val="auto"/>
              </w:rPr>
            </w:pPr>
          </w:p>
        </w:tc>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2" w:lineRule="exact"/>
        <w:rPr>
          <w:sz w:val="20"/>
          <w:szCs w:val="20"/>
          <w:color w:val="auto"/>
        </w:rPr>
      </w:pPr>
    </w:p>
    <w:p>
      <w:pPr>
        <w:ind w:left="360" w:hanging="355"/>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 description of compensation payable to the underwriters.</w:t>
      </w:r>
    </w:p>
    <w:p>
      <w:pPr>
        <w:spacing w:after="0" w:line="76"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color w:val="auto"/>
        </w:rPr>
        <w:t>The underwriters may purchase up to an additional 3,000,000 Class A shares from us at the public offering price, less the underwriting discount, within 30 days from the date of the underwriting agreement to be entered into in connection with this offering.</w:t>
      </w:r>
    </w:p>
    <w:p>
      <w:pPr>
        <w:spacing w:after="0" w:line="34" w:lineRule="exact"/>
        <w:rPr>
          <w:sz w:val="20"/>
          <w:szCs w:val="20"/>
          <w:color w:val="auto"/>
        </w:rPr>
      </w:pPr>
    </w:p>
    <w:p>
      <w:pPr>
        <w:ind w:right="160"/>
        <w:spacing w:after="0" w:line="275"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5" w:lineRule="exact"/>
        <w:rPr>
          <w:sz w:val="20"/>
          <w:szCs w:val="20"/>
          <w:color w:val="auto"/>
        </w:rPr>
      </w:pPr>
    </w:p>
    <w:p>
      <w:pPr>
        <w:ind w:right="100"/>
        <w:spacing w:after="0" w:line="219" w:lineRule="auto"/>
        <w:rPr>
          <w:sz w:val="20"/>
          <w:szCs w:val="20"/>
          <w:color w:val="auto"/>
        </w:rPr>
      </w:pPr>
      <w:r>
        <w:rPr>
          <w:rFonts w:ascii="Arial" w:cs="Arial" w:eastAsia="Arial" w:hAnsi="Arial"/>
          <w:sz w:val="16"/>
          <w:szCs w:val="16"/>
          <w:color w:val="auto"/>
        </w:rPr>
        <w:t>Certain of our existing shareholders, directors, including our chairman, and entities affiliated with certain of our directors, have indicated an interest in purchasing Class A shares in this offering at the initial public offering price per share and on the same terms as the other purchasers in this offering. Because indications of interest are not binding agreements or commitments to purchase, any of the persons described above may determine to purchase more, fewer or no shares in this offering. The underwriters will receive the same underwriting discount on any shares purchased by these shareholders as they will on any other shares sold to the public in this offering and will allocate any such shares as directed by us as the issuer.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gridSpan w:val="2"/>
          </w:tcPr>
          <w:p>
            <w:pPr>
              <w:spacing w:after="0"/>
              <w:rPr>
                <w:sz w:val="20"/>
                <w:szCs w:val="20"/>
                <w:color w:val="auto"/>
              </w:rPr>
            </w:pPr>
            <w:r>
              <w:rPr>
                <w:rFonts w:ascii="Arial" w:cs="Arial" w:eastAsia="Arial" w:hAnsi="Arial"/>
                <w:sz w:val="16"/>
                <w:szCs w:val="16"/>
                <w:color w:val="auto"/>
                <w:w w:val="97"/>
              </w:rPr>
              <w:t>The underwriters expect to deliver the Class A shares to purchasers on or about</w:t>
            </w:r>
          </w:p>
        </w:tc>
        <w:tc>
          <w:tcPr>
            <w:tcW w:w="3300" w:type="dxa"/>
            <w:vAlign w:val="bottom"/>
          </w:tcPr>
          <w:p>
            <w:pPr>
              <w:ind w:left="320"/>
              <w:spacing w:after="0"/>
              <w:rPr>
                <w:sz w:val="20"/>
                <w:szCs w:val="20"/>
                <w:color w:val="auto"/>
              </w:rPr>
            </w:pPr>
            <w:r>
              <w:rPr>
                <w:rFonts w:ascii="Arial" w:cs="Arial" w:eastAsia="Arial" w:hAnsi="Arial"/>
                <w:sz w:val="16"/>
                <w:szCs w:val="16"/>
                <w:color w:val="auto"/>
                <w:w w:val="92"/>
              </w:rPr>
              <w:t>, 2019 through the book-entry facilities of The</w:t>
            </w:r>
          </w:p>
        </w:tc>
      </w:tr>
      <w:tr>
        <w:trPr>
          <w:trHeight w:val="205"/>
        </w:trPr>
        <w:tc>
          <w:tcPr>
            <w:tcW w:w="5560" w:type="dxa"/>
            <w:vAlign w:val="bottom"/>
            <w:gridSpan w:val="2"/>
          </w:tcPr>
          <w:p>
            <w:pPr>
              <w:spacing w:after="0"/>
              <w:rPr>
                <w:sz w:val="20"/>
                <w:szCs w:val="20"/>
                <w:color w:val="auto"/>
              </w:rPr>
            </w:pPr>
            <w:r>
              <w:rPr>
                <w:rFonts w:ascii="Arial" w:cs="Arial" w:eastAsia="Arial" w:hAnsi="Arial"/>
                <w:sz w:val="16"/>
                <w:szCs w:val="16"/>
                <w:color w:val="auto"/>
              </w:rPr>
              <w:t>Depository Trust Company.</w:t>
            </w:r>
          </w:p>
        </w:tc>
        <w:tc>
          <w:tcPr>
            <w:tcW w:w="3300" w:type="dxa"/>
            <w:vAlign w:val="bottom"/>
          </w:tcPr>
          <w:p>
            <w:pPr>
              <w:spacing w:after="0"/>
              <w:rPr>
                <w:sz w:val="17"/>
                <w:szCs w:val="17"/>
                <w:color w:val="auto"/>
              </w:rPr>
            </w:pPr>
          </w:p>
        </w:tc>
      </w:tr>
      <w:tr>
        <w:trPr>
          <w:trHeight w:val="100"/>
        </w:trPr>
        <w:tc>
          <w:tcPr>
            <w:tcW w:w="394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r>
    </w:tbl>
    <w:p>
      <w:pPr>
        <w:spacing w:after="0" w:line="142" w:lineRule="exact"/>
        <w:rPr>
          <w:sz w:val="20"/>
          <w:szCs w:val="20"/>
          <w:color w:val="auto"/>
        </w:rPr>
      </w:pPr>
    </w:p>
    <w:p>
      <w:pPr>
        <w:spacing w:after="0"/>
        <w:tabs>
          <w:tab w:leader="none" w:pos="2980" w:val="left"/>
          <w:tab w:leader="none" w:pos="5400" w:val="left"/>
          <w:tab w:leader="none" w:pos="8180" w:val="left"/>
        </w:tabs>
        <w:rPr>
          <w:sz w:val="20"/>
          <w:szCs w:val="20"/>
          <w:color w:val="auto"/>
        </w:rPr>
      </w:pPr>
      <w:r>
        <w:rPr>
          <w:rFonts w:ascii="Arial" w:cs="Arial" w:eastAsia="Arial" w:hAnsi="Arial"/>
          <w:sz w:val="23"/>
          <w:szCs w:val="23"/>
          <w:b w:val="1"/>
          <w:bCs w:val="1"/>
          <w:color w:val="auto"/>
        </w:rPr>
        <w:t>Morgan Stanley</w:t>
      </w:r>
      <w:r>
        <w:rPr>
          <w:sz w:val="20"/>
          <w:szCs w:val="20"/>
          <w:color w:val="auto"/>
        </w:rPr>
        <w:tab/>
      </w:r>
      <w:r>
        <w:rPr>
          <w:rFonts w:ascii="Arial" w:cs="Arial" w:eastAsia="Arial" w:hAnsi="Arial"/>
          <w:sz w:val="23"/>
          <w:szCs w:val="23"/>
          <w:b w:val="1"/>
          <w:bCs w:val="1"/>
          <w:color w:val="auto"/>
        </w:rPr>
        <w:t>Barclays</w:t>
      </w:r>
      <w:r>
        <w:rPr>
          <w:sz w:val="20"/>
          <w:szCs w:val="20"/>
          <w:color w:val="auto"/>
        </w:rPr>
        <w:tab/>
      </w:r>
      <w:r>
        <w:rPr>
          <w:rFonts w:ascii="Arial" w:cs="Arial" w:eastAsia="Arial" w:hAnsi="Arial"/>
          <w:sz w:val="23"/>
          <w:szCs w:val="23"/>
          <w:b w:val="1"/>
          <w:bCs w:val="1"/>
          <w:color w:val="auto"/>
        </w:rPr>
        <w:t>Citigroup</w:t>
      </w:r>
      <w:r>
        <w:rPr>
          <w:sz w:val="20"/>
          <w:szCs w:val="20"/>
          <w:color w:val="auto"/>
        </w:rPr>
        <w:tab/>
      </w:r>
      <w:r>
        <w:rPr>
          <w:rFonts w:ascii="Arial" w:cs="Arial" w:eastAsia="Arial" w:hAnsi="Arial"/>
          <w:sz w:val="20"/>
          <w:szCs w:val="20"/>
          <w:b w:val="1"/>
          <w:bCs w:val="1"/>
          <w:color w:val="auto"/>
        </w:rPr>
        <w:t>Credit Suisse</w:t>
      </w:r>
    </w:p>
    <w:p>
      <w:pPr>
        <w:spacing w:after="0" w:line="93" w:lineRule="exact"/>
        <w:rPr>
          <w:sz w:val="20"/>
          <w:szCs w:val="20"/>
          <w:color w:val="auto"/>
        </w:rPr>
      </w:pPr>
    </w:p>
    <w:p>
      <w:pPr>
        <w:spacing w:after="0"/>
        <w:tabs>
          <w:tab w:leader="none" w:pos="7500" w:val="left"/>
        </w:tabs>
        <w:rPr>
          <w:sz w:val="20"/>
          <w:szCs w:val="20"/>
          <w:color w:val="auto"/>
        </w:rPr>
      </w:pPr>
      <w:r>
        <w:rPr>
          <w:rFonts w:ascii="Arial" w:cs="Arial" w:eastAsia="Arial" w:hAnsi="Arial"/>
          <w:sz w:val="20"/>
          <w:szCs w:val="20"/>
          <w:b w:val="1"/>
          <w:bCs w:val="1"/>
          <w:color w:val="auto"/>
        </w:rPr>
        <w:t>Evercore ISI</w:t>
      </w:r>
      <w:r>
        <w:rPr>
          <w:sz w:val="20"/>
          <w:szCs w:val="20"/>
          <w:color w:val="auto"/>
        </w:rPr>
        <w:tab/>
      </w:r>
      <w:r>
        <w:rPr>
          <w:rFonts w:ascii="Arial" w:cs="Arial" w:eastAsia="Arial" w:hAnsi="Arial"/>
          <w:sz w:val="17"/>
          <w:szCs w:val="17"/>
          <w:b w:val="1"/>
          <w:bCs w:val="1"/>
          <w:color w:val="auto"/>
        </w:rPr>
        <w:t>Allen &amp; Company LLC</w:t>
      </w:r>
    </w:p>
    <w:p>
      <w:pPr>
        <w:spacing w:after="0" w:line="25" w:lineRule="exact"/>
        <w:rPr>
          <w:sz w:val="20"/>
          <w:szCs w:val="20"/>
          <w:color w:val="auto"/>
        </w:rPr>
      </w:pPr>
    </w:p>
    <w:p>
      <w:pPr>
        <w:spacing w:after="0"/>
        <w:tabs>
          <w:tab w:leader="none" w:pos="9040" w:val="left"/>
        </w:tabs>
        <w:rPr>
          <w:sz w:val="20"/>
          <w:szCs w:val="20"/>
          <w:color w:val="auto"/>
        </w:rPr>
      </w:pPr>
      <w:r>
        <w:rPr>
          <w:rFonts w:ascii="Arial" w:cs="Arial" w:eastAsia="Arial" w:hAnsi="Arial"/>
          <w:sz w:val="20"/>
          <w:szCs w:val="20"/>
          <w:b w:val="1"/>
          <w:bCs w:val="1"/>
          <w:color w:val="auto"/>
        </w:rPr>
        <w:t>JMP Securities</w:t>
      </w:r>
      <w:r>
        <w:rPr>
          <w:sz w:val="20"/>
          <w:szCs w:val="20"/>
          <w:color w:val="auto"/>
        </w:rPr>
        <w:tab/>
      </w:r>
      <w:r>
        <w:rPr>
          <w:rFonts w:ascii="Arial" w:cs="Arial" w:eastAsia="Arial" w:hAnsi="Arial"/>
          <w:sz w:val="17"/>
          <w:szCs w:val="17"/>
          <w:b w:val="1"/>
          <w:bCs w:val="1"/>
          <w:color w:val="auto"/>
        </w:rPr>
        <w:t>Stifel</w:t>
      </w:r>
    </w:p>
    <w:p>
      <w:pPr>
        <w:sectPr>
          <w:pgSz w:w="12240" w:h="15840" w:orient="portrait"/>
          <w:cols w:equalWidth="0" w:num="1">
            <w:col w:w="9500"/>
          </w:cols>
          <w:pgMar w:left="1360" w:top="138" w:right="1380" w:bottom="50" w:gutter="0" w:footer="0" w:header="0"/>
        </w:sectPr>
      </w:pPr>
    </w:p>
    <w:p>
      <w:pPr>
        <w:spacing w:after="0" w:line="105"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4"/>
          <w:szCs w:val="14"/>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298450</wp:posOffset>
            </wp:positionV>
            <wp:extent cx="603059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5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440" w:type="dxa"/>
            <w:vAlign w:val="bottom"/>
            <w:gridSpan w:val="30"/>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23"/>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40" w:type="dxa"/>
            <w:vAlign w:val="bottom"/>
            <w:gridSpan w:val="7"/>
          </w:tcPr>
          <w:p>
            <w:pPr>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
        </w:trPr>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8"/>
        </w:trPr>
        <w:tc>
          <w:tcPr>
            <w:tcW w:w="2920" w:type="dxa"/>
            <w:vAlign w:val="bottom"/>
            <w:gridSpan w:val="19"/>
            <w:shd w:val="clear" w:color="auto" w:fill="CCEEFF"/>
          </w:tcPr>
          <w:p>
            <w:pPr>
              <w:spacing w:after="0" w:line="188"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FORWARD-LOOKING STATEMENTS</w:t>
              </w:r>
            </w:hyperlink>
          </w:p>
        </w:tc>
        <w:tc>
          <w:tcPr>
            <w:tcW w:w="5520" w:type="dxa"/>
            <w:vAlign w:val="bottom"/>
            <w:gridSpan w:val="11"/>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100"/>
              <w:spacing w:after="0"/>
              <w:rPr>
                <w:rFonts w:ascii="Arial" w:cs="Arial" w:eastAsia="Arial" w:hAnsi="Arial"/>
                <w:sz w:val="16"/>
                <w:szCs w:val="16"/>
                <w:color w:val="0000EE"/>
                <w:w w:val="74"/>
              </w:rPr>
            </w:pPr>
            <w:hyperlink w:anchor="page7">
              <w:r>
                <w:rPr>
                  <w:rFonts w:ascii="Arial" w:cs="Arial" w:eastAsia="Arial" w:hAnsi="Arial"/>
                  <w:sz w:val="16"/>
                  <w:szCs w:val="16"/>
                  <w:color w:val="0000EE"/>
                  <w:w w:val="74"/>
                </w:rPr>
                <w:t>v</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2920" w:type="dxa"/>
            <w:vAlign w:val="bottom"/>
            <w:gridSpan w:val="19"/>
          </w:tcPr>
          <w:p>
            <w:pPr>
              <w:spacing w:after="0" w:line="188" w:lineRule="exact"/>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5520" w:type="dxa"/>
            <w:vAlign w:val="bottom"/>
            <w:gridSpan w:val="11"/>
          </w:tcPr>
          <w:p>
            <w:pPr>
              <w:spacing w:after="0"/>
              <w:rPr>
                <w:sz w:val="16"/>
                <w:szCs w:val="16"/>
                <w:color w:val="auto"/>
              </w:rPr>
            </w:pPr>
          </w:p>
        </w:tc>
        <w:tc>
          <w:tcPr>
            <w:tcW w:w="1060" w:type="dxa"/>
            <w:vAlign w:val="bottom"/>
            <w:gridSpan w:val="6"/>
          </w:tcPr>
          <w:p>
            <w:pPr>
              <w:jc w:val="right"/>
              <w:ind w:right="100"/>
              <w:spacing w:after="0" w:line="188"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440" w:type="dxa"/>
            <w:vAlign w:val="bottom"/>
            <w:gridSpan w:val="30"/>
            <w:shd w:val="clear" w:color="auto" w:fill="CCEEFF"/>
          </w:tcPr>
          <w:p>
            <w:pPr>
              <w:spacing w:after="0" w:line="188"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060" w:type="dxa"/>
            <w:vAlign w:val="bottom"/>
            <w:gridSpan w:val="6"/>
            <w:shd w:val="clear" w:color="auto" w:fill="CCEEFF"/>
          </w:tcPr>
          <w:p>
            <w:pPr>
              <w:jc w:val="right"/>
              <w:ind w:right="100"/>
              <w:spacing w:after="0" w:line="188" w:lineRule="exact"/>
              <w:rPr>
                <w:rFonts w:ascii="Arial" w:cs="Arial" w:eastAsia="Arial" w:hAnsi="Arial"/>
                <w:sz w:val="18"/>
                <w:szCs w:val="18"/>
                <w:color w:val="0000EE"/>
              </w:rPr>
            </w:pPr>
            <w:hyperlink w:anchor="page29">
              <w:r>
                <w:rPr>
                  <w:rFonts w:ascii="Arial" w:cs="Arial" w:eastAsia="Arial" w:hAnsi="Arial"/>
                  <w:sz w:val="18"/>
                  <w:szCs w:val="18"/>
                  <w:color w:val="0000EE"/>
                </w:rPr>
                <w:t>22</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440" w:type="dxa"/>
            <w:vAlign w:val="bottom"/>
            <w:gridSpan w:val="30"/>
          </w:tcPr>
          <w:p>
            <w:pPr>
              <w:spacing w:after="0" w:line="188" w:lineRule="exact"/>
              <w:rPr>
                <w:rFonts w:ascii="Arial" w:cs="Arial" w:eastAsia="Arial" w:hAnsi="Arial"/>
                <w:sz w:val="18"/>
                <w:szCs w:val="18"/>
                <w:color w:val="0000EE"/>
              </w:rPr>
            </w:pPr>
            <w:hyperlink w:anchor="page60">
              <w:r>
                <w:rPr>
                  <w:rFonts w:ascii="Arial" w:cs="Arial" w:eastAsia="Arial" w:hAnsi="Arial"/>
                  <w:sz w:val="18"/>
                  <w:szCs w:val="18"/>
                  <w:color w:val="0000EE"/>
                </w:rPr>
                <w:t>USE OF PROCEEDS</w:t>
              </w:r>
            </w:hyperlink>
          </w:p>
        </w:tc>
        <w:tc>
          <w:tcPr>
            <w:tcW w:w="1060" w:type="dxa"/>
            <w:vAlign w:val="bottom"/>
            <w:gridSpan w:val="6"/>
          </w:tcPr>
          <w:p>
            <w:pPr>
              <w:jc w:val="right"/>
              <w:ind w:right="100"/>
              <w:spacing w:after="0" w:line="188" w:lineRule="exact"/>
              <w:rPr>
                <w:rFonts w:ascii="Arial" w:cs="Arial" w:eastAsia="Arial" w:hAnsi="Arial"/>
                <w:sz w:val="18"/>
                <w:szCs w:val="18"/>
                <w:color w:val="0000EE"/>
              </w:rPr>
            </w:pPr>
            <w:hyperlink w:anchor="page60">
              <w:r>
                <w:rPr>
                  <w:rFonts w:ascii="Arial" w:cs="Arial" w:eastAsia="Arial" w:hAnsi="Arial"/>
                  <w:sz w:val="18"/>
                  <w:szCs w:val="18"/>
                  <w:color w:val="0000EE"/>
                </w:rPr>
                <w:t>53</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1460" w:type="dxa"/>
            <w:vAlign w:val="bottom"/>
            <w:gridSpan w:val="11"/>
            <w:shd w:val="clear" w:color="auto" w:fill="CCEEFF"/>
          </w:tcPr>
          <w:p>
            <w:pPr>
              <w:spacing w:after="0" w:line="188" w:lineRule="exact"/>
              <w:rPr>
                <w:rFonts w:ascii="Arial" w:cs="Arial" w:eastAsia="Arial" w:hAnsi="Arial"/>
                <w:sz w:val="18"/>
                <w:szCs w:val="18"/>
                <w:color w:val="0000EE"/>
                <w:w w:val="98"/>
              </w:rPr>
            </w:pPr>
            <w:hyperlink w:anchor="page61">
              <w:r>
                <w:rPr>
                  <w:rFonts w:ascii="Arial" w:cs="Arial" w:eastAsia="Arial" w:hAnsi="Arial"/>
                  <w:sz w:val="18"/>
                  <w:szCs w:val="18"/>
                  <w:color w:val="0000EE"/>
                  <w:w w:val="98"/>
                </w:rPr>
                <w:t>CAPITALIZATION</w:t>
              </w:r>
            </w:hyperlink>
          </w:p>
        </w:tc>
        <w:tc>
          <w:tcPr>
            <w:tcW w:w="6980" w:type="dxa"/>
            <w:vAlign w:val="bottom"/>
            <w:gridSpan w:val="19"/>
            <w:shd w:val="clear" w:color="auto" w:fill="CCEEFF"/>
          </w:tcPr>
          <w:p>
            <w:pPr>
              <w:spacing w:after="0"/>
              <w:rPr>
                <w:sz w:val="16"/>
                <w:szCs w:val="16"/>
                <w:color w:val="auto"/>
              </w:rPr>
            </w:pPr>
          </w:p>
        </w:tc>
        <w:tc>
          <w:tcPr>
            <w:tcW w:w="78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8"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54</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1460" w:type="dxa"/>
            <w:vAlign w:val="bottom"/>
            <w:gridSpan w:val="11"/>
          </w:tcPr>
          <w:p>
            <w:pPr>
              <w:spacing w:after="0" w:line="188" w:lineRule="exact"/>
              <w:rPr>
                <w:rFonts w:ascii="Arial" w:cs="Arial" w:eastAsia="Arial" w:hAnsi="Arial"/>
                <w:sz w:val="18"/>
                <w:szCs w:val="18"/>
                <w:color w:val="0000EE"/>
              </w:rPr>
            </w:pPr>
            <w:hyperlink w:anchor="page62">
              <w:r>
                <w:rPr>
                  <w:rFonts w:ascii="Arial" w:cs="Arial" w:eastAsia="Arial" w:hAnsi="Arial"/>
                  <w:sz w:val="18"/>
                  <w:szCs w:val="18"/>
                  <w:color w:val="0000EE"/>
                </w:rPr>
                <w:t>DILUTION</w:t>
              </w:r>
            </w:hyperlink>
          </w:p>
        </w:tc>
        <w:tc>
          <w:tcPr>
            <w:tcW w:w="6980" w:type="dxa"/>
            <w:vAlign w:val="bottom"/>
            <w:gridSpan w:val="19"/>
          </w:tcPr>
          <w:p>
            <w:pPr>
              <w:spacing w:after="0"/>
              <w:rPr>
                <w:sz w:val="16"/>
                <w:szCs w:val="16"/>
                <w:color w:val="auto"/>
              </w:rPr>
            </w:pPr>
          </w:p>
        </w:tc>
        <w:tc>
          <w:tcPr>
            <w:tcW w:w="780" w:type="dxa"/>
            <w:vAlign w:val="bottom"/>
            <w:gridSpan w:val="3"/>
          </w:tcPr>
          <w:p>
            <w:pPr>
              <w:spacing w:after="0"/>
              <w:rPr>
                <w:sz w:val="16"/>
                <w:szCs w:val="16"/>
                <w:color w:val="auto"/>
              </w:rPr>
            </w:pPr>
          </w:p>
        </w:tc>
        <w:tc>
          <w:tcPr>
            <w:tcW w:w="280" w:type="dxa"/>
            <w:vAlign w:val="bottom"/>
            <w:gridSpan w:val="3"/>
          </w:tcPr>
          <w:p>
            <w:pPr>
              <w:jc w:val="right"/>
              <w:ind w:right="100"/>
              <w:spacing w:after="0" w:line="188"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55</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440" w:type="dxa"/>
            <w:vAlign w:val="bottom"/>
            <w:gridSpan w:val="30"/>
            <w:shd w:val="clear" w:color="auto" w:fill="CCEEFF"/>
          </w:tcPr>
          <w:p>
            <w:pPr>
              <w:spacing w:after="0" w:line="188" w:lineRule="exact"/>
              <w:rPr>
                <w:rFonts w:ascii="Arial" w:cs="Arial" w:eastAsia="Arial" w:hAnsi="Arial"/>
                <w:sz w:val="18"/>
                <w:szCs w:val="18"/>
                <w:color w:val="0000EE"/>
              </w:rPr>
            </w:pPr>
            <w:hyperlink w:anchor="page63">
              <w:r>
                <w:rPr>
                  <w:rFonts w:ascii="Arial" w:cs="Arial" w:eastAsia="Arial" w:hAnsi="Arial"/>
                  <w:sz w:val="18"/>
                  <w:szCs w:val="18"/>
                  <w:color w:val="0000EE"/>
                </w:rPr>
                <w:t>DIVIDEND POLICY</w:t>
              </w:r>
            </w:hyperlink>
          </w:p>
        </w:tc>
        <w:tc>
          <w:tcPr>
            <w:tcW w:w="1060" w:type="dxa"/>
            <w:vAlign w:val="bottom"/>
            <w:gridSpan w:val="6"/>
            <w:shd w:val="clear" w:color="auto" w:fill="CCEEFF"/>
          </w:tcPr>
          <w:p>
            <w:pPr>
              <w:jc w:val="right"/>
              <w:ind w:right="100"/>
              <w:spacing w:after="0" w:line="188" w:lineRule="exact"/>
              <w:rPr>
                <w:rFonts w:ascii="Arial" w:cs="Arial" w:eastAsia="Arial" w:hAnsi="Arial"/>
                <w:sz w:val="18"/>
                <w:szCs w:val="18"/>
                <w:color w:val="0000EE"/>
              </w:rPr>
            </w:pPr>
            <w:hyperlink w:anchor="page63">
              <w:r>
                <w:rPr>
                  <w:rFonts w:ascii="Arial" w:cs="Arial" w:eastAsia="Arial" w:hAnsi="Arial"/>
                  <w:sz w:val="18"/>
                  <w:szCs w:val="18"/>
                  <w:color w:val="0000EE"/>
                </w:rPr>
                <w:t>56</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440" w:type="dxa"/>
            <w:vAlign w:val="bottom"/>
            <w:gridSpan w:val="30"/>
          </w:tcPr>
          <w:p>
            <w:pPr>
              <w:spacing w:after="0" w:line="188" w:lineRule="exact"/>
              <w:rPr>
                <w:rFonts w:ascii="Arial" w:cs="Arial" w:eastAsia="Arial" w:hAnsi="Arial"/>
                <w:sz w:val="18"/>
                <w:szCs w:val="18"/>
                <w:color w:val="0000EE"/>
              </w:rPr>
            </w:pPr>
            <w:hyperlink w:anchor="page64">
              <w:r>
                <w:rPr>
                  <w:rFonts w:ascii="Arial" w:cs="Arial" w:eastAsia="Arial" w:hAnsi="Arial"/>
                  <w:sz w:val="18"/>
                  <w:szCs w:val="18"/>
                  <w:color w:val="0000EE"/>
                </w:rPr>
                <w:t>SELECTED HISTORICAL FINANCIAL DATA</w:t>
              </w:r>
            </w:hyperlink>
          </w:p>
        </w:tc>
        <w:tc>
          <w:tcPr>
            <w:tcW w:w="1060" w:type="dxa"/>
            <w:vAlign w:val="bottom"/>
            <w:gridSpan w:val="6"/>
          </w:tcPr>
          <w:p>
            <w:pPr>
              <w:jc w:val="right"/>
              <w:ind w:right="100"/>
              <w:spacing w:after="0" w:line="188" w:lineRule="exact"/>
              <w:rPr>
                <w:rFonts w:ascii="Arial" w:cs="Arial" w:eastAsia="Arial" w:hAnsi="Arial"/>
                <w:sz w:val="18"/>
                <w:szCs w:val="18"/>
                <w:color w:val="0000EE"/>
              </w:rPr>
            </w:pPr>
            <w:hyperlink w:anchor="page64">
              <w:r>
                <w:rPr>
                  <w:rFonts w:ascii="Arial" w:cs="Arial" w:eastAsia="Arial" w:hAnsi="Arial"/>
                  <w:sz w:val="18"/>
                  <w:szCs w:val="18"/>
                  <w:color w:val="0000EE"/>
                </w:rPr>
                <w:t>57</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440" w:type="dxa"/>
            <w:vAlign w:val="bottom"/>
            <w:gridSpan w:val="30"/>
            <w:shd w:val="clear" w:color="auto" w:fill="CCEEFF"/>
          </w:tcPr>
          <w:p>
            <w:pPr>
              <w:spacing w:after="0" w:line="188" w:lineRule="exact"/>
              <w:rPr>
                <w:rFonts w:ascii="Arial" w:cs="Arial" w:eastAsia="Arial" w:hAnsi="Arial"/>
                <w:sz w:val="18"/>
                <w:szCs w:val="18"/>
                <w:color w:val="0000EE"/>
              </w:rPr>
            </w:pPr>
            <w:hyperlink w:anchor="page66">
              <w:r>
                <w:rPr>
                  <w:rFonts w:ascii="Arial" w:cs="Arial" w:eastAsia="Arial" w:hAnsi="Arial"/>
                  <w:sz w:val="18"/>
                  <w:szCs w:val="18"/>
                  <w:color w:val="0000EE"/>
                </w:rPr>
                <w:t>MANAGEMENT’S DISCUSSION AND ANALYSIS OF FINANCIAL CONDITION AND RESULTS OF</w:t>
              </w:r>
            </w:hyperlink>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180" w:type="dxa"/>
            <w:vAlign w:val="bottom"/>
            <w:tcBorders>
              <w:top w:val="single" w:sz="8" w:color="0000EE"/>
            </w:tcBorders>
            <w:shd w:val="clear" w:color="auto" w:fill="CCEEFF"/>
          </w:tcPr>
          <w:p>
            <w:pPr>
              <w:spacing w:after="0"/>
              <w:rPr>
                <w:sz w:val="16"/>
                <w:szCs w:val="16"/>
                <w:color w:val="auto"/>
              </w:rPr>
            </w:pPr>
          </w:p>
        </w:tc>
        <w:tc>
          <w:tcPr>
            <w:tcW w:w="1100" w:type="dxa"/>
            <w:vAlign w:val="bottom"/>
            <w:tcBorders>
              <w:top w:val="single" w:sz="8" w:color="0000EE"/>
            </w:tcBorders>
            <w:gridSpan w:val="7"/>
            <w:shd w:val="clear" w:color="auto" w:fill="CCEEFF"/>
          </w:tcPr>
          <w:p>
            <w:pPr>
              <w:spacing w:after="0" w:line="195"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OPERATIONS</w:t>
              </w:r>
            </w:hyperlink>
          </w:p>
        </w:tc>
        <w:tc>
          <w:tcPr>
            <w:tcW w:w="6440" w:type="dxa"/>
            <w:vAlign w:val="bottom"/>
            <w:tcBorders>
              <w:top w:val="single" w:sz="8" w:color="0000EE"/>
            </w:tcBorders>
            <w:gridSpan w:val="21"/>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gridSpan w:val="3"/>
            <w:shd w:val="clear" w:color="auto" w:fill="CCEEFF"/>
          </w:tcPr>
          <w:p>
            <w:pPr>
              <w:spacing w:after="0"/>
              <w:rPr>
                <w:sz w:val="16"/>
                <w:szCs w:val="16"/>
                <w:color w:val="auto"/>
              </w:rPr>
            </w:pPr>
          </w:p>
        </w:tc>
        <w:tc>
          <w:tcPr>
            <w:tcW w:w="280" w:type="dxa"/>
            <w:vAlign w:val="bottom"/>
            <w:tcBorders>
              <w:top w:val="single" w:sz="8" w:color="CCEEFF"/>
            </w:tcBorders>
            <w:gridSpan w:val="3"/>
            <w:shd w:val="clear" w:color="auto" w:fill="CCEEFF"/>
          </w:tcPr>
          <w:p>
            <w:pPr>
              <w:jc w:val="right"/>
              <w:ind w:right="100"/>
              <w:spacing w:after="0" w:line="195"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59</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440" w:type="dxa"/>
            <w:vAlign w:val="bottom"/>
            <w:gridSpan w:val="30"/>
          </w:tcPr>
          <w:p>
            <w:pPr>
              <w:spacing w:after="0" w:line="188" w:lineRule="exact"/>
              <w:rPr>
                <w:rFonts w:ascii="Arial" w:cs="Arial" w:eastAsia="Arial" w:hAnsi="Arial"/>
                <w:sz w:val="18"/>
                <w:szCs w:val="18"/>
                <w:color w:val="0000EE"/>
              </w:rPr>
            </w:pPr>
            <w:hyperlink w:anchor="page79">
              <w:r>
                <w:rPr>
                  <w:rFonts w:ascii="Arial" w:cs="Arial" w:eastAsia="Arial" w:hAnsi="Arial"/>
                  <w:sz w:val="18"/>
                  <w:szCs w:val="18"/>
                  <w:color w:val="0000EE"/>
                </w:rPr>
                <w:t>BUSINESS</w:t>
              </w:r>
            </w:hyperlink>
          </w:p>
        </w:tc>
        <w:tc>
          <w:tcPr>
            <w:tcW w:w="1060" w:type="dxa"/>
            <w:vAlign w:val="bottom"/>
            <w:gridSpan w:val="6"/>
          </w:tcPr>
          <w:p>
            <w:pPr>
              <w:jc w:val="right"/>
              <w:ind w:right="100"/>
              <w:spacing w:after="0" w:line="188" w:lineRule="exact"/>
              <w:rPr>
                <w:rFonts w:ascii="Arial" w:cs="Arial" w:eastAsia="Arial" w:hAnsi="Arial"/>
                <w:sz w:val="18"/>
                <w:szCs w:val="18"/>
                <w:color w:val="0000EE"/>
              </w:rPr>
            </w:pPr>
            <w:hyperlink w:anchor="page79">
              <w:r>
                <w:rPr>
                  <w:rFonts w:ascii="Arial" w:cs="Arial" w:eastAsia="Arial" w:hAnsi="Arial"/>
                  <w:sz w:val="18"/>
                  <w:szCs w:val="18"/>
                  <w:color w:val="0000EE"/>
                </w:rPr>
                <w:t>72</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1300" w:type="dxa"/>
            <w:vAlign w:val="bottom"/>
            <w:gridSpan w:val="9"/>
            <w:shd w:val="clear" w:color="auto" w:fill="CCEEFF"/>
          </w:tcPr>
          <w:p>
            <w:pPr>
              <w:spacing w:after="0" w:line="188" w:lineRule="exact"/>
              <w:rPr>
                <w:rFonts w:ascii="Arial" w:cs="Arial" w:eastAsia="Arial" w:hAnsi="Arial"/>
                <w:sz w:val="18"/>
                <w:szCs w:val="18"/>
                <w:color w:val="0000EE"/>
                <w:w w:val="99"/>
              </w:rPr>
            </w:pPr>
            <w:hyperlink w:anchor="page98">
              <w:r>
                <w:rPr>
                  <w:rFonts w:ascii="Arial" w:cs="Arial" w:eastAsia="Arial" w:hAnsi="Arial"/>
                  <w:sz w:val="18"/>
                  <w:szCs w:val="18"/>
                  <w:color w:val="0000EE"/>
                  <w:w w:val="99"/>
                </w:rPr>
                <w:t>MANAGEMENT</w:t>
              </w:r>
            </w:hyperlink>
          </w:p>
        </w:tc>
        <w:tc>
          <w:tcPr>
            <w:tcW w:w="7140" w:type="dxa"/>
            <w:vAlign w:val="bottom"/>
            <w:gridSpan w:val="21"/>
            <w:shd w:val="clear" w:color="auto" w:fill="CCEEFF"/>
          </w:tcPr>
          <w:p>
            <w:pPr>
              <w:spacing w:after="0"/>
              <w:rPr>
                <w:sz w:val="16"/>
                <w:szCs w:val="16"/>
                <w:color w:val="auto"/>
              </w:rPr>
            </w:pPr>
          </w:p>
        </w:tc>
        <w:tc>
          <w:tcPr>
            <w:tcW w:w="78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8"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91</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440" w:type="dxa"/>
            <w:vAlign w:val="bottom"/>
            <w:gridSpan w:val="30"/>
          </w:tcPr>
          <w:p>
            <w:pPr>
              <w:spacing w:after="0" w:line="188" w:lineRule="exact"/>
              <w:rPr>
                <w:rFonts w:ascii="Arial" w:cs="Arial" w:eastAsia="Arial" w:hAnsi="Arial"/>
                <w:sz w:val="18"/>
                <w:szCs w:val="18"/>
                <w:color w:val="0000EE"/>
              </w:rPr>
            </w:pPr>
            <w:hyperlink w:anchor="page104">
              <w:r>
                <w:rPr>
                  <w:rFonts w:ascii="Arial" w:cs="Arial" w:eastAsia="Arial" w:hAnsi="Arial"/>
                  <w:sz w:val="18"/>
                  <w:szCs w:val="18"/>
                  <w:color w:val="0000EE"/>
                </w:rPr>
                <w:t>EXECUTIVE COMPENSATION</w:t>
              </w:r>
            </w:hyperlink>
          </w:p>
        </w:tc>
        <w:tc>
          <w:tcPr>
            <w:tcW w:w="1060" w:type="dxa"/>
            <w:vAlign w:val="bottom"/>
            <w:gridSpan w:val="6"/>
          </w:tcPr>
          <w:p>
            <w:pPr>
              <w:jc w:val="right"/>
              <w:ind w:right="100"/>
              <w:spacing w:after="0" w:line="188" w:lineRule="exact"/>
              <w:rPr>
                <w:rFonts w:ascii="Arial" w:cs="Arial" w:eastAsia="Arial" w:hAnsi="Arial"/>
                <w:sz w:val="18"/>
                <w:szCs w:val="18"/>
                <w:color w:val="0000EE"/>
              </w:rPr>
            </w:pPr>
            <w:hyperlink w:anchor="page104">
              <w:r>
                <w:rPr>
                  <w:rFonts w:ascii="Arial" w:cs="Arial" w:eastAsia="Arial" w:hAnsi="Arial"/>
                  <w:sz w:val="18"/>
                  <w:szCs w:val="18"/>
                  <w:color w:val="0000EE"/>
                </w:rPr>
                <w:t>97</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440" w:type="dxa"/>
            <w:vAlign w:val="bottom"/>
            <w:gridSpan w:val="30"/>
            <w:shd w:val="clear" w:color="auto" w:fill="CCEEFF"/>
          </w:tcPr>
          <w:p>
            <w:pPr>
              <w:spacing w:after="0" w:line="188" w:lineRule="exact"/>
              <w:rPr>
                <w:rFonts w:ascii="Arial" w:cs="Arial" w:eastAsia="Arial" w:hAnsi="Arial"/>
                <w:sz w:val="18"/>
                <w:szCs w:val="18"/>
                <w:color w:val="0000EE"/>
              </w:rPr>
            </w:pPr>
            <w:hyperlink w:anchor="page110">
              <w:r>
                <w:rPr>
                  <w:rFonts w:ascii="Arial" w:cs="Arial" w:eastAsia="Arial" w:hAnsi="Arial"/>
                  <w:sz w:val="18"/>
                  <w:szCs w:val="18"/>
                  <w:color w:val="0000EE"/>
                </w:rPr>
                <w:t>SECURITY OWNERSHIP OF CERTAIN BENEFICIAL OWNERS AND MANAGEMENT</w:t>
              </w:r>
            </w:hyperlink>
          </w:p>
        </w:tc>
        <w:tc>
          <w:tcPr>
            <w:tcW w:w="1060" w:type="dxa"/>
            <w:vAlign w:val="bottom"/>
            <w:gridSpan w:val="6"/>
            <w:shd w:val="clear" w:color="auto" w:fill="CCEEFF"/>
          </w:tcPr>
          <w:p>
            <w:pPr>
              <w:jc w:val="right"/>
              <w:ind w:right="100"/>
              <w:spacing w:after="0" w:line="188" w:lineRule="exact"/>
              <w:rPr>
                <w:rFonts w:ascii="Arial" w:cs="Arial" w:eastAsia="Arial" w:hAnsi="Arial"/>
                <w:sz w:val="18"/>
                <w:szCs w:val="18"/>
                <w:color w:val="0000EE"/>
              </w:rPr>
            </w:pPr>
            <w:hyperlink w:anchor="page110">
              <w:r>
                <w:rPr>
                  <w:rFonts w:ascii="Arial" w:cs="Arial" w:eastAsia="Arial" w:hAnsi="Arial"/>
                  <w:sz w:val="18"/>
                  <w:szCs w:val="18"/>
                  <w:color w:val="0000EE"/>
                </w:rPr>
                <w:t>103</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6680" w:type="dxa"/>
            <w:vAlign w:val="bottom"/>
            <w:gridSpan w:val="27"/>
          </w:tcPr>
          <w:p>
            <w:pPr>
              <w:spacing w:after="0" w:line="188" w:lineRule="exact"/>
              <w:rPr>
                <w:rFonts w:ascii="Arial" w:cs="Arial" w:eastAsia="Arial" w:hAnsi="Arial"/>
                <w:sz w:val="18"/>
                <w:szCs w:val="18"/>
                <w:color w:val="0000EE"/>
              </w:rPr>
            </w:pPr>
            <w:hyperlink w:anchor="page111">
              <w:r>
                <w:rPr>
                  <w:rFonts w:ascii="Arial" w:cs="Arial" w:eastAsia="Arial" w:hAnsi="Arial"/>
                  <w:sz w:val="18"/>
                  <w:szCs w:val="18"/>
                  <w:color w:val="0000EE"/>
                </w:rPr>
                <w:t>CERTAIN RELATIONSHIPS AND RELATED TRANSACTIONS</w:t>
              </w:r>
            </w:hyperlink>
          </w:p>
        </w:tc>
        <w:tc>
          <w:tcPr>
            <w:tcW w:w="1760" w:type="dxa"/>
            <w:vAlign w:val="bottom"/>
            <w:gridSpan w:val="3"/>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gridSpan w:val="5"/>
          </w:tcPr>
          <w:p>
            <w:pPr>
              <w:jc w:val="right"/>
              <w:ind w:right="100"/>
              <w:spacing w:after="0" w:line="188" w:lineRule="exact"/>
              <w:rPr>
                <w:rFonts w:ascii="Arial" w:cs="Arial" w:eastAsia="Arial" w:hAnsi="Arial"/>
                <w:sz w:val="18"/>
                <w:szCs w:val="18"/>
                <w:color w:val="0000EE"/>
                <w:w w:val="79"/>
              </w:rPr>
            </w:pPr>
            <w:hyperlink w:anchor="page111">
              <w:r>
                <w:rPr>
                  <w:rFonts w:ascii="Arial" w:cs="Arial" w:eastAsia="Arial" w:hAnsi="Arial"/>
                  <w:sz w:val="18"/>
                  <w:szCs w:val="18"/>
                  <w:color w:val="0000EE"/>
                  <w:w w:val="79"/>
                </w:rPr>
                <w:t>104</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2180" w:type="dxa"/>
            <w:vAlign w:val="bottom"/>
            <w:gridSpan w:val="15"/>
            <w:shd w:val="clear" w:color="auto" w:fill="CCEEFF"/>
          </w:tcPr>
          <w:p>
            <w:pPr>
              <w:spacing w:after="0" w:line="188" w:lineRule="exact"/>
              <w:rPr>
                <w:rFonts w:ascii="Arial" w:cs="Arial" w:eastAsia="Arial" w:hAnsi="Arial"/>
                <w:sz w:val="18"/>
                <w:szCs w:val="18"/>
                <w:color w:val="0000EE"/>
                <w:w w:val="93"/>
              </w:rPr>
            </w:pPr>
            <w:hyperlink w:anchor="page117">
              <w:r>
                <w:rPr>
                  <w:rFonts w:ascii="Arial" w:cs="Arial" w:eastAsia="Arial" w:hAnsi="Arial"/>
                  <w:sz w:val="18"/>
                  <w:szCs w:val="18"/>
                  <w:color w:val="0000EE"/>
                  <w:w w:val="93"/>
                </w:rPr>
                <w:t>DESCRIPTION OF SHARES</w:t>
              </w:r>
            </w:hyperlink>
          </w:p>
        </w:tc>
        <w:tc>
          <w:tcPr>
            <w:tcW w:w="6260" w:type="dxa"/>
            <w:vAlign w:val="bottom"/>
            <w:gridSpan w:val="15"/>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gridSpan w:val="5"/>
            <w:shd w:val="clear" w:color="auto" w:fill="CCEEFF"/>
          </w:tcPr>
          <w:p>
            <w:pPr>
              <w:jc w:val="right"/>
              <w:ind w:right="100"/>
              <w:spacing w:after="0" w:line="188" w:lineRule="exact"/>
              <w:rPr>
                <w:rFonts w:ascii="Arial" w:cs="Arial" w:eastAsia="Arial" w:hAnsi="Arial"/>
                <w:sz w:val="18"/>
                <w:szCs w:val="18"/>
                <w:color w:val="0000EE"/>
                <w:w w:val="79"/>
              </w:rPr>
            </w:pPr>
            <w:hyperlink w:anchor="page117">
              <w:r>
                <w:rPr>
                  <w:rFonts w:ascii="Arial" w:cs="Arial" w:eastAsia="Arial" w:hAnsi="Arial"/>
                  <w:sz w:val="18"/>
                  <w:szCs w:val="18"/>
                  <w:color w:val="0000EE"/>
                  <w:w w:val="79"/>
                </w:rPr>
                <w:t>110</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440" w:type="dxa"/>
            <w:vAlign w:val="bottom"/>
            <w:gridSpan w:val="30"/>
          </w:tcPr>
          <w:p>
            <w:pPr>
              <w:spacing w:after="0" w:line="188" w:lineRule="exact"/>
              <w:rPr>
                <w:rFonts w:ascii="Arial" w:cs="Arial" w:eastAsia="Arial" w:hAnsi="Arial"/>
                <w:sz w:val="18"/>
                <w:szCs w:val="18"/>
                <w:color w:val="0000EE"/>
              </w:rPr>
            </w:pPr>
            <w:hyperlink w:anchor="page119">
              <w:r>
                <w:rPr>
                  <w:rFonts w:ascii="Arial" w:cs="Arial" w:eastAsia="Arial" w:hAnsi="Arial"/>
                  <w:sz w:val="18"/>
                  <w:szCs w:val="18"/>
                  <w:color w:val="0000EE"/>
                </w:rPr>
                <w:t>OUR OPERATING AGREEMENT</w:t>
              </w:r>
            </w:hyperlink>
          </w:p>
        </w:tc>
        <w:tc>
          <w:tcPr>
            <w:tcW w:w="1060" w:type="dxa"/>
            <w:vAlign w:val="bottom"/>
            <w:gridSpan w:val="6"/>
          </w:tcPr>
          <w:p>
            <w:pPr>
              <w:jc w:val="right"/>
              <w:ind w:right="100"/>
              <w:spacing w:after="0" w:line="188" w:lineRule="exact"/>
              <w:rPr>
                <w:rFonts w:ascii="Arial" w:cs="Arial" w:eastAsia="Arial" w:hAnsi="Arial"/>
                <w:sz w:val="18"/>
                <w:szCs w:val="18"/>
                <w:color w:val="0000EE"/>
              </w:rPr>
            </w:pPr>
            <w:hyperlink w:anchor="page119">
              <w:r>
                <w:rPr>
                  <w:rFonts w:ascii="Arial" w:cs="Arial" w:eastAsia="Arial" w:hAnsi="Arial"/>
                  <w:sz w:val="18"/>
                  <w:szCs w:val="18"/>
                  <w:color w:val="0000EE"/>
                </w:rPr>
                <w:t>112</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440" w:type="dxa"/>
            <w:vAlign w:val="bottom"/>
            <w:gridSpan w:val="30"/>
            <w:shd w:val="clear" w:color="auto" w:fill="CCEEFF"/>
          </w:tcPr>
          <w:p>
            <w:pPr>
              <w:spacing w:after="0" w:line="188" w:lineRule="exact"/>
              <w:rPr>
                <w:rFonts w:ascii="Arial" w:cs="Arial" w:eastAsia="Arial" w:hAnsi="Arial"/>
                <w:sz w:val="18"/>
                <w:szCs w:val="18"/>
                <w:color w:val="0000EE"/>
              </w:rPr>
            </w:pPr>
            <w:hyperlink w:anchor="page126">
              <w:r>
                <w:rPr>
                  <w:rFonts w:ascii="Arial" w:cs="Arial" w:eastAsia="Arial" w:hAnsi="Arial"/>
                  <w:sz w:val="18"/>
                  <w:szCs w:val="18"/>
                  <w:color w:val="0000EE"/>
                </w:rPr>
                <w:t>SHARES ELIGIBLE FOR FUTURE SALE</w:t>
              </w:r>
            </w:hyperlink>
          </w:p>
        </w:tc>
        <w:tc>
          <w:tcPr>
            <w:tcW w:w="1060" w:type="dxa"/>
            <w:vAlign w:val="bottom"/>
            <w:gridSpan w:val="6"/>
            <w:shd w:val="clear" w:color="auto" w:fill="CCEEFF"/>
          </w:tcPr>
          <w:p>
            <w:pPr>
              <w:jc w:val="right"/>
              <w:ind w:right="100"/>
              <w:spacing w:after="0" w:line="188" w:lineRule="exact"/>
              <w:rPr>
                <w:rFonts w:ascii="Arial" w:cs="Arial" w:eastAsia="Arial" w:hAnsi="Arial"/>
                <w:sz w:val="18"/>
                <w:szCs w:val="18"/>
                <w:color w:val="0000EE"/>
              </w:rPr>
            </w:pPr>
            <w:hyperlink w:anchor="page126">
              <w:r>
                <w:rPr>
                  <w:rFonts w:ascii="Arial" w:cs="Arial" w:eastAsia="Arial" w:hAnsi="Arial"/>
                  <w:sz w:val="18"/>
                  <w:szCs w:val="18"/>
                  <w:color w:val="0000EE"/>
                </w:rPr>
                <w:t>119</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440" w:type="dxa"/>
            <w:vAlign w:val="bottom"/>
            <w:gridSpan w:val="30"/>
          </w:tcPr>
          <w:p>
            <w:pPr>
              <w:spacing w:after="0" w:line="188" w:lineRule="exact"/>
              <w:rPr>
                <w:rFonts w:ascii="Arial" w:cs="Arial" w:eastAsia="Arial" w:hAnsi="Arial"/>
                <w:sz w:val="18"/>
                <w:szCs w:val="18"/>
                <w:color w:val="0000EE"/>
              </w:rPr>
            </w:pPr>
            <w:hyperlink w:anchor="page127">
              <w:r>
                <w:rPr>
                  <w:rFonts w:ascii="Arial" w:cs="Arial" w:eastAsia="Arial" w:hAnsi="Arial"/>
                  <w:sz w:val="18"/>
                  <w:szCs w:val="18"/>
                  <w:color w:val="0000EE"/>
                </w:rPr>
                <w:t>MATERIAL U.S. FEDERAL INCOME TAX CONSIDERATIONS FOR NON-U.S. HOLDERS</w:t>
              </w:r>
            </w:hyperlink>
          </w:p>
        </w:tc>
        <w:tc>
          <w:tcPr>
            <w:tcW w:w="1060" w:type="dxa"/>
            <w:vAlign w:val="bottom"/>
            <w:gridSpan w:val="6"/>
          </w:tcPr>
          <w:p>
            <w:pPr>
              <w:jc w:val="right"/>
              <w:ind w:right="100"/>
              <w:spacing w:after="0" w:line="188" w:lineRule="exact"/>
              <w:rPr>
                <w:rFonts w:ascii="Arial" w:cs="Arial" w:eastAsia="Arial" w:hAnsi="Arial"/>
                <w:sz w:val="18"/>
                <w:szCs w:val="18"/>
                <w:color w:val="0000EE"/>
              </w:rPr>
            </w:pPr>
            <w:hyperlink w:anchor="page127">
              <w:r>
                <w:rPr>
                  <w:rFonts w:ascii="Arial" w:cs="Arial" w:eastAsia="Arial" w:hAnsi="Arial"/>
                  <w:sz w:val="18"/>
                  <w:szCs w:val="18"/>
                  <w:color w:val="0000EE"/>
                </w:rPr>
                <w:t>120</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2900" w:type="dxa"/>
            <w:vAlign w:val="bottom"/>
            <w:gridSpan w:val="18"/>
            <w:shd w:val="clear" w:color="auto" w:fill="CCEEFF"/>
          </w:tcPr>
          <w:p>
            <w:pPr>
              <w:spacing w:after="0" w:line="188" w:lineRule="exact"/>
              <w:rPr>
                <w:rFonts w:ascii="Arial" w:cs="Arial" w:eastAsia="Arial" w:hAnsi="Arial"/>
                <w:sz w:val="18"/>
                <w:szCs w:val="18"/>
                <w:color w:val="0000EE"/>
                <w:w w:val="94"/>
              </w:rPr>
            </w:pPr>
            <w:hyperlink w:anchor="page131">
              <w:r>
                <w:rPr>
                  <w:rFonts w:ascii="Arial" w:cs="Arial" w:eastAsia="Arial" w:hAnsi="Arial"/>
                  <w:sz w:val="18"/>
                  <w:szCs w:val="18"/>
                  <w:color w:val="0000EE"/>
                  <w:w w:val="94"/>
                </w:rPr>
                <w:t>CERTAIN ERISA CONSIDERATIONS</w:t>
              </w:r>
            </w:hyperlink>
          </w:p>
        </w:tc>
        <w:tc>
          <w:tcPr>
            <w:tcW w:w="5540" w:type="dxa"/>
            <w:vAlign w:val="bottom"/>
            <w:gridSpan w:val="12"/>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gridSpan w:val="5"/>
            <w:shd w:val="clear" w:color="auto" w:fill="CCEEFF"/>
          </w:tcPr>
          <w:p>
            <w:pPr>
              <w:jc w:val="right"/>
              <w:ind w:right="100"/>
              <w:spacing w:after="0" w:line="188" w:lineRule="exact"/>
              <w:rPr>
                <w:rFonts w:ascii="Arial" w:cs="Arial" w:eastAsia="Arial" w:hAnsi="Arial"/>
                <w:sz w:val="18"/>
                <w:szCs w:val="18"/>
                <w:color w:val="0000EE"/>
                <w:w w:val="79"/>
              </w:rPr>
            </w:pPr>
            <w:hyperlink w:anchor="page131">
              <w:r>
                <w:rPr>
                  <w:rFonts w:ascii="Arial" w:cs="Arial" w:eastAsia="Arial" w:hAnsi="Arial"/>
                  <w:sz w:val="18"/>
                  <w:szCs w:val="18"/>
                  <w:color w:val="0000EE"/>
                  <w:w w:val="79"/>
                </w:rPr>
                <w:t>124</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2900" w:type="dxa"/>
            <w:vAlign w:val="bottom"/>
            <w:gridSpan w:val="18"/>
          </w:tcPr>
          <w:p>
            <w:pPr>
              <w:spacing w:after="0" w:line="188" w:lineRule="exact"/>
              <w:rPr>
                <w:rFonts w:ascii="Arial" w:cs="Arial" w:eastAsia="Arial" w:hAnsi="Arial"/>
                <w:sz w:val="18"/>
                <w:szCs w:val="18"/>
                <w:color w:val="0000EE"/>
              </w:rPr>
            </w:pPr>
            <w:hyperlink w:anchor="page133">
              <w:r>
                <w:rPr>
                  <w:rFonts w:ascii="Arial" w:cs="Arial" w:eastAsia="Arial" w:hAnsi="Arial"/>
                  <w:sz w:val="18"/>
                  <w:szCs w:val="18"/>
                  <w:color w:val="0000EE"/>
                </w:rPr>
                <w:t>UNDERWRITING</w:t>
              </w:r>
            </w:hyperlink>
          </w:p>
        </w:tc>
        <w:tc>
          <w:tcPr>
            <w:tcW w:w="5540" w:type="dxa"/>
            <w:vAlign w:val="bottom"/>
            <w:gridSpan w:val="12"/>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gridSpan w:val="5"/>
          </w:tcPr>
          <w:p>
            <w:pPr>
              <w:jc w:val="right"/>
              <w:ind w:right="100"/>
              <w:spacing w:after="0" w:line="188" w:lineRule="exact"/>
              <w:rPr>
                <w:rFonts w:ascii="Arial" w:cs="Arial" w:eastAsia="Arial" w:hAnsi="Arial"/>
                <w:sz w:val="18"/>
                <w:szCs w:val="18"/>
                <w:color w:val="0000EE"/>
                <w:w w:val="79"/>
              </w:rPr>
            </w:pPr>
            <w:hyperlink w:anchor="page133">
              <w:r>
                <w:rPr>
                  <w:rFonts w:ascii="Arial" w:cs="Arial" w:eastAsia="Arial" w:hAnsi="Arial"/>
                  <w:sz w:val="18"/>
                  <w:szCs w:val="18"/>
                  <w:color w:val="0000EE"/>
                  <w:w w:val="79"/>
                </w:rPr>
                <w:t>126</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1460" w:type="dxa"/>
            <w:vAlign w:val="bottom"/>
            <w:gridSpan w:val="11"/>
            <w:shd w:val="clear" w:color="auto" w:fill="CCEEFF"/>
          </w:tcPr>
          <w:p>
            <w:pPr>
              <w:spacing w:after="0" w:line="188" w:lineRule="exact"/>
              <w:rPr>
                <w:rFonts w:ascii="Arial" w:cs="Arial" w:eastAsia="Arial" w:hAnsi="Arial"/>
                <w:sz w:val="18"/>
                <w:szCs w:val="18"/>
                <w:color w:val="0000EE"/>
                <w:w w:val="96"/>
              </w:rPr>
            </w:pPr>
            <w:hyperlink w:anchor="page140">
              <w:r>
                <w:rPr>
                  <w:rFonts w:ascii="Arial" w:cs="Arial" w:eastAsia="Arial" w:hAnsi="Arial"/>
                  <w:sz w:val="18"/>
                  <w:szCs w:val="18"/>
                  <w:color w:val="0000EE"/>
                  <w:w w:val="96"/>
                </w:rPr>
                <w:t>LEGAL MATTERS</w:t>
              </w:r>
            </w:hyperlink>
          </w:p>
        </w:tc>
        <w:tc>
          <w:tcPr>
            <w:tcW w:w="6980" w:type="dxa"/>
            <w:vAlign w:val="bottom"/>
            <w:gridSpan w:val="19"/>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gridSpan w:val="5"/>
            <w:shd w:val="clear" w:color="auto" w:fill="CCEEFF"/>
          </w:tcPr>
          <w:p>
            <w:pPr>
              <w:jc w:val="right"/>
              <w:ind w:right="100"/>
              <w:spacing w:after="0" w:line="188" w:lineRule="exact"/>
              <w:rPr>
                <w:rFonts w:ascii="Arial" w:cs="Arial" w:eastAsia="Arial" w:hAnsi="Arial"/>
                <w:sz w:val="18"/>
                <w:szCs w:val="18"/>
                <w:color w:val="0000EE"/>
                <w:w w:val="79"/>
              </w:rPr>
            </w:pPr>
            <w:hyperlink w:anchor="page140">
              <w:r>
                <w:rPr>
                  <w:rFonts w:ascii="Arial" w:cs="Arial" w:eastAsia="Arial" w:hAnsi="Arial"/>
                  <w:sz w:val="18"/>
                  <w:szCs w:val="18"/>
                  <w:color w:val="0000EE"/>
                  <w:w w:val="79"/>
                </w:rPr>
                <w:t>133</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1460" w:type="dxa"/>
            <w:vAlign w:val="bottom"/>
            <w:gridSpan w:val="11"/>
          </w:tcPr>
          <w:p>
            <w:pPr>
              <w:spacing w:after="0" w:line="188" w:lineRule="exact"/>
              <w:rPr>
                <w:rFonts w:ascii="Arial" w:cs="Arial" w:eastAsia="Arial" w:hAnsi="Arial"/>
                <w:sz w:val="18"/>
                <w:szCs w:val="18"/>
                <w:color w:val="0000EE"/>
              </w:rPr>
            </w:pPr>
            <w:hyperlink w:anchor="page140">
              <w:r>
                <w:rPr>
                  <w:rFonts w:ascii="Arial" w:cs="Arial" w:eastAsia="Arial" w:hAnsi="Arial"/>
                  <w:sz w:val="18"/>
                  <w:szCs w:val="18"/>
                  <w:color w:val="0000EE"/>
                </w:rPr>
                <w:t>EXPERTS</w:t>
              </w:r>
            </w:hyperlink>
          </w:p>
        </w:tc>
        <w:tc>
          <w:tcPr>
            <w:tcW w:w="6980" w:type="dxa"/>
            <w:vAlign w:val="bottom"/>
            <w:gridSpan w:val="19"/>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gridSpan w:val="5"/>
          </w:tcPr>
          <w:p>
            <w:pPr>
              <w:jc w:val="right"/>
              <w:ind w:right="100"/>
              <w:spacing w:after="0" w:line="188" w:lineRule="exact"/>
              <w:rPr>
                <w:rFonts w:ascii="Arial" w:cs="Arial" w:eastAsia="Arial" w:hAnsi="Arial"/>
                <w:sz w:val="18"/>
                <w:szCs w:val="18"/>
                <w:color w:val="0000EE"/>
                <w:w w:val="79"/>
              </w:rPr>
            </w:pPr>
            <w:hyperlink w:anchor="page140">
              <w:r>
                <w:rPr>
                  <w:rFonts w:ascii="Arial" w:cs="Arial" w:eastAsia="Arial" w:hAnsi="Arial"/>
                  <w:sz w:val="18"/>
                  <w:szCs w:val="18"/>
                  <w:color w:val="0000EE"/>
                  <w:w w:val="79"/>
                </w:rPr>
                <w:t>133</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3800" w:type="dxa"/>
            <w:vAlign w:val="bottom"/>
            <w:gridSpan w:val="23"/>
            <w:shd w:val="clear" w:color="auto" w:fill="CCEEFF"/>
          </w:tcPr>
          <w:p>
            <w:pPr>
              <w:spacing w:after="0" w:line="188" w:lineRule="exact"/>
              <w:rPr>
                <w:rFonts w:ascii="Arial" w:cs="Arial" w:eastAsia="Arial" w:hAnsi="Arial"/>
                <w:sz w:val="18"/>
                <w:szCs w:val="18"/>
                <w:color w:val="0000EE"/>
                <w:w w:val="96"/>
              </w:rPr>
            </w:pPr>
            <w:hyperlink w:anchor="page140">
              <w:r>
                <w:rPr>
                  <w:rFonts w:ascii="Arial" w:cs="Arial" w:eastAsia="Arial" w:hAnsi="Arial"/>
                  <w:sz w:val="18"/>
                  <w:szCs w:val="18"/>
                  <w:color w:val="0000EE"/>
                  <w:w w:val="96"/>
                </w:rPr>
                <w:t>WHERE YOU CAN FIND MORE INFORMATION</w:t>
              </w:r>
            </w:hyperlink>
          </w:p>
        </w:tc>
        <w:tc>
          <w:tcPr>
            <w:tcW w:w="4640" w:type="dxa"/>
            <w:vAlign w:val="bottom"/>
            <w:gridSpan w:val="7"/>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gridSpan w:val="5"/>
            <w:shd w:val="clear" w:color="auto" w:fill="CCEEFF"/>
          </w:tcPr>
          <w:p>
            <w:pPr>
              <w:jc w:val="right"/>
              <w:ind w:right="100"/>
              <w:spacing w:after="0" w:line="188" w:lineRule="exact"/>
              <w:rPr>
                <w:rFonts w:ascii="Arial" w:cs="Arial" w:eastAsia="Arial" w:hAnsi="Arial"/>
                <w:sz w:val="18"/>
                <w:szCs w:val="18"/>
                <w:color w:val="0000EE"/>
                <w:w w:val="79"/>
              </w:rPr>
            </w:pPr>
            <w:hyperlink w:anchor="page140">
              <w:r>
                <w:rPr>
                  <w:rFonts w:ascii="Arial" w:cs="Arial" w:eastAsia="Arial" w:hAnsi="Arial"/>
                  <w:sz w:val="18"/>
                  <w:szCs w:val="18"/>
                  <w:color w:val="0000EE"/>
                  <w:w w:val="79"/>
                </w:rPr>
                <w:t>133</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3800" w:type="dxa"/>
            <w:vAlign w:val="bottom"/>
            <w:gridSpan w:val="23"/>
          </w:tcPr>
          <w:p>
            <w:pPr>
              <w:spacing w:after="0" w:line="188" w:lineRule="exact"/>
              <w:rPr>
                <w:rFonts w:ascii="Arial" w:cs="Arial" w:eastAsia="Arial" w:hAnsi="Arial"/>
                <w:sz w:val="18"/>
                <w:szCs w:val="18"/>
                <w:color w:val="0000EE"/>
              </w:rPr>
            </w:pPr>
            <w:hyperlink w:anchor="page141">
              <w:r>
                <w:rPr>
                  <w:rFonts w:ascii="Arial" w:cs="Arial" w:eastAsia="Arial" w:hAnsi="Arial"/>
                  <w:sz w:val="18"/>
                  <w:szCs w:val="18"/>
                  <w:color w:val="0000EE"/>
                </w:rPr>
                <w:t>INDEX TO FINANCIAL STATEMENTS</w:t>
              </w:r>
            </w:hyperlink>
          </w:p>
        </w:tc>
        <w:tc>
          <w:tcPr>
            <w:tcW w:w="4640" w:type="dxa"/>
            <w:vAlign w:val="bottom"/>
            <w:gridSpan w:val="7"/>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4"/>
          </w:tcPr>
          <w:p>
            <w:pPr>
              <w:jc w:val="right"/>
              <w:ind w:right="100"/>
              <w:spacing w:after="0" w:line="188" w:lineRule="exact"/>
              <w:rPr>
                <w:rFonts w:ascii="Arial" w:cs="Arial" w:eastAsia="Arial" w:hAnsi="Arial"/>
                <w:sz w:val="18"/>
                <w:szCs w:val="18"/>
                <w:color w:val="0000EE"/>
                <w:w w:val="81"/>
              </w:rPr>
            </w:pPr>
            <w:hyperlink w:anchor="page141">
              <w:r>
                <w:rPr>
                  <w:rFonts w:ascii="Arial" w:cs="Arial" w:eastAsia="Arial" w:hAnsi="Arial"/>
                  <w:sz w:val="18"/>
                  <w:szCs w:val="18"/>
                  <w:color w:val="0000EE"/>
                  <w:w w:val="81"/>
                </w:rPr>
                <w:t>F-1</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8440" w:type="dxa"/>
            <w:vAlign w:val="bottom"/>
            <w:gridSpan w:val="30"/>
            <w:shd w:val="clear" w:color="auto" w:fill="CCEEFF"/>
          </w:tcPr>
          <w:p>
            <w:pPr>
              <w:spacing w:after="0" w:line="188" w:lineRule="exact"/>
              <w:rPr>
                <w:rFonts w:ascii="Arial" w:cs="Arial" w:eastAsia="Arial" w:hAnsi="Arial"/>
                <w:sz w:val="18"/>
                <w:szCs w:val="18"/>
                <w:color w:val="0000EE"/>
              </w:rPr>
            </w:pPr>
            <w:hyperlink w:anchor="page185">
              <w:r>
                <w:rPr>
                  <w:rFonts w:ascii="Arial" w:cs="Arial" w:eastAsia="Arial" w:hAnsi="Arial"/>
                  <w:sz w:val="18"/>
                  <w:szCs w:val="18"/>
                  <w:color w:val="0000EE"/>
                </w:rPr>
                <w:t>EXHIBITS</w:t>
              </w:r>
            </w:hyperlink>
          </w:p>
        </w:tc>
        <w:tc>
          <w:tcPr>
            <w:tcW w:w="700" w:type="dxa"/>
            <w:vAlign w:val="bottom"/>
            <w:shd w:val="clear" w:color="auto" w:fill="CCEEFF"/>
          </w:tcPr>
          <w:p>
            <w:pPr>
              <w:spacing w:after="0"/>
              <w:rPr>
                <w:sz w:val="19"/>
                <w:szCs w:val="19"/>
                <w:color w:val="auto"/>
              </w:rPr>
            </w:pPr>
          </w:p>
        </w:tc>
        <w:tc>
          <w:tcPr>
            <w:tcW w:w="360" w:type="dxa"/>
            <w:vAlign w:val="bottom"/>
            <w:gridSpan w:val="5"/>
            <w:shd w:val="clear" w:color="auto" w:fill="CCEEFF"/>
          </w:tcPr>
          <w:p>
            <w:pPr>
              <w:jc w:val="right"/>
              <w:ind w:right="100"/>
              <w:spacing w:after="0" w:line="188" w:lineRule="exact"/>
              <w:rPr>
                <w:rFonts w:ascii="Arial" w:cs="Arial" w:eastAsia="Arial" w:hAnsi="Arial"/>
                <w:sz w:val="18"/>
                <w:szCs w:val="18"/>
                <w:color w:val="0000EE"/>
                <w:w w:val="92"/>
              </w:rPr>
            </w:pPr>
            <w:hyperlink w:anchor="page185">
              <w:r>
                <w:rPr>
                  <w:rFonts w:ascii="Arial" w:cs="Arial" w:eastAsia="Arial" w:hAnsi="Arial"/>
                  <w:sz w:val="18"/>
                  <w:szCs w:val="18"/>
                  <w:color w:val="0000EE"/>
                  <w:w w:val="92"/>
                </w:rPr>
                <w:t>II-2</w:t>
              </w:r>
            </w:hyperlink>
          </w:p>
        </w:tc>
      </w:tr>
      <w:tr>
        <w:trPr>
          <w:trHeight w:val="201"/>
        </w:trPr>
        <w:tc>
          <w:tcPr>
            <w:tcW w:w="1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80" w:type="dxa"/>
            <w:vAlign w:val="bottom"/>
            <w:tcBorders>
              <w:top w:val="single" w:sz="8" w:color="CCEEFF"/>
              <w:bottom w:val="single" w:sz="8" w:color="auto"/>
            </w:tcBorders>
          </w:tcPr>
          <w:p>
            <w:pPr>
              <w:spacing w:after="0"/>
              <w:rPr>
                <w:sz w:val="17"/>
                <w:szCs w:val="17"/>
                <w:color w:val="auto"/>
              </w:rPr>
            </w:pPr>
          </w:p>
        </w:tc>
        <w:tc>
          <w:tcPr>
            <w:tcW w:w="820" w:type="dxa"/>
            <w:vAlign w:val="bottom"/>
            <w:tcBorders>
              <w:top w:val="single" w:sz="8" w:color="CCEEFF"/>
              <w:bottom w:val="single" w:sz="8" w:color="auto"/>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bl>
    <w:p>
      <w:pPr>
        <w:spacing w:after="0" w:line="147" w:lineRule="exact"/>
        <w:rPr>
          <w:sz w:val="20"/>
          <w:szCs w:val="20"/>
          <w:color w:val="auto"/>
        </w:rPr>
      </w:pPr>
    </w:p>
    <w:p>
      <w:pPr>
        <w:ind w:right="60" w:firstLine="357"/>
        <w:spacing w:after="0" w:line="270" w:lineRule="auto"/>
        <w:rPr>
          <w:sz w:val="20"/>
          <w:szCs w:val="20"/>
          <w:color w:val="auto"/>
        </w:rPr>
      </w:pPr>
      <w:r>
        <w:rPr>
          <w:rFonts w:ascii="Arial" w:cs="Arial" w:eastAsia="Arial" w:hAnsi="Arial"/>
          <w:sz w:val="17"/>
          <w:szCs w:val="17"/>
          <w:color w:val="auto"/>
        </w:rPr>
        <w:t>You should rely only on the information contained in this prospectus or in any free writing prospectus we may authorize to be delivered to you. We have not, and the underwriters have not, authorized any other person to provide you with information different from that contained in this prospectus and any free writing prospectus. If anyone provides you with different or inconsistent information, you should not rely on it. You should not assume that the information contained in this registration statement is accurate as of any date other than the date on the front cover of this registration statement. Our business, financial condition, results of operations and prospects may have changed since such dates. We are not, and the underwriters are not, making an offer to sell these securities in any jurisdiction where an offer or sale is not permitted.</w:t>
      </w:r>
    </w:p>
    <w:p>
      <w:pPr>
        <w:spacing w:after="0" w:line="70" w:lineRule="exact"/>
        <w:rPr>
          <w:sz w:val="20"/>
          <w:szCs w:val="20"/>
          <w:color w:val="auto"/>
        </w:rPr>
      </w:pPr>
    </w:p>
    <w:p>
      <w:pPr>
        <w:ind w:right="60" w:firstLine="357"/>
        <w:spacing w:after="0" w:line="274" w:lineRule="auto"/>
        <w:rPr>
          <w:sz w:val="20"/>
          <w:szCs w:val="20"/>
          <w:color w:val="auto"/>
        </w:rPr>
      </w:pPr>
      <w:r>
        <w:rPr>
          <w:rFonts w:ascii="Arial" w:cs="Arial" w:eastAsia="Arial" w:hAnsi="Arial"/>
          <w:sz w:val="18"/>
          <w:szCs w:val="18"/>
          <w:color w:val="auto"/>
        </w:rPr>
        <w:t>This prospectus contains forward-looking statements that are subject to a number of risks and uncertainties, many of which are beyond our control. Please read “Risk Factors” and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11417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1730"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4" w:right="138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 and Market Data</w:t>
      </w:r>
    </w:p>
    <w:p>
      <w:pPr>
        <w:spacing w:after="0" w:line="119" w:lineRule="exact"/>
        <w:rPr>
          <w:sz w:val="20"/>
          <w:szCs w:val="20"/>
          <w:color w:val="auto"/>
        </w:rPr>
      </w:pPr>
    </w:p>
    <w:p>
      <w:pPr>
        <w:ind w:firstLine="357"/>
        <w:spacing w:after="0" w:line="288" w:lineRule="auto"/>
        <w:rPr>
          <w:sz w:val="20"/>
          <w:szCs w:val="20"/>
          <w:color w:val="auto"/>
        </w:rPr>
      </w:pPr>
      <w:r>
        <w:rPr>
          <w:rFonts w:ascii="Arial" w:cs="Arial" w:eastAsia="Arial" w:hAnsi="Arial"/>
          <w:sz w:val="16"/>
          <w:szCs w:val="16"/>
          <w:color w:val="auto"/>
        </w:rPr>
        <w:t>The data included in this prospectus regarding the industries in which we operate, including trends in the market and our position and the position of our competitors, is based on a variety of sources, including independent industry publications, government publications and other published independent sources, information obtained from customers, distributors, suppliers, trade and business organizations and publicly available information (including the reports and other information our competitors file with the Securities and Exchange Commission (the “SEC”), which we did not participate in preparing and as to which we make no representation), as well as our good-faith estimates, which have been derived from management’s knowledge and experience in the industries in which we operate. Estimates of market size and relative positions in a market are difficult to develop and inherently uncertain. Accordingly, investors should not place undue weight on the industry and market share data presented in this prospectus.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19" w:lineRule="exact"/>
        <w:rPr>
          <w:sz w:val="20"/>
          <w:szCs w:val="20"/>
          <w:color w:val="auto"/>
        </w:rPr>
      </w:pPr>
    </w:p>
    <w:p>
      <w:pPr>
        <w:jc w:val="both"/>
        <w:ind w:right="20" w:firstLine="357"/>
        <w:spacing w:after="0" w:line="255" w:lineRule="auto"/>
        <w:rPr>
          <w:sz w:val="20"/>
          <w:szCs w:val="20"/>
          <w:color w:val="auto"/>
        </w:rPr>
      </w:pPr>
      <w:r>
        <w:rPr>
          <w:rFonts w:ascii="Arial" w:cs="Arial" w:eastAsia="Arial" w:hAnsi="Arial"/>
          <w:sz w:val="18"/>
          <w:szCs w:val="18"/>
          <w:color w:val="auto"/>
        </w:rPr>
        <w:t>On January 25, 2019, we filed Amendment No. 3 to the registration statement that included an indicative initial public offering price and would have become effective automatically on February 13, 2019 without any action of the SEC. This Amendment No. 4 to the registration statement is being filed to reinsert the delaying amendment so the registration statement will not become effective automatically. We expect the SEC will declare the registration statement effective in connection with the pricing of this offering at a date to be determined.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19" w:lineRule="exact"/>
        <w:rPr>
          <w:sz w:val="20"/>
          <w:szCs w:val="20"/>
          <w:color w:val="auto"/>
        </w:rPr>
      </w:pPr>
    </w:p>
    <w:p>
      <w:pPr>
        <w:ind w:right="80" w:firstLine="357"/>
        <w:spacing w:after="0" w:line="274" w:lineRule="auto"/>
        <w:rPr>
          <w:sz w:val="20"/>
          <w:szCs w:val="20"/>
          <w:color w:val="auto"/>
        </w:rPr>
      </w:pPr>
      <w:r>
        <w:rPr>
          <w:rFonts w:ascii="Arial" w:cs="Arial" w:eastAsia="Arial" w:hAnsi="Arial"/>
          <w:sz w:val="18"/>
          <w:szCs w:val="18"/>
          <w:color w:val="auto"/>
        </w:rPr>
        <w:t>As commonly used in the liquefied natural gas industry, to the extent applicable and as used in this prospectus, the terms listed below have the following meanings: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tcPr>
          <w:p>
            <w:pPr>
              <w:spacing w:after="0"/>
              <w:rPr>
                <w:sz w:val="20"/>
                <w:szCs w:val="20"/>
                <w:color w:val="auto"/>
              </w:rPr>
            </w:pPr>
            <w:r>
              <w:rPr>
                <w:rFonts w:ascii="Arial" w:cs="Arial" w:eastAsia="Arial" w:hAnsi="Arial"/>
                <w:sz w:val="18"/>
                <w:szCs w:val="18"/>
                <w:color w:val="auto"/>
              </w:rPr>
              <w:t>ADO</w:t>
            </w:r>
          </w:p>
        </w:tc>
        <w:tc>
          <w:tcPr>
            <w:tcW w:w="6740" w:type="dxa"/>
            <w:vAlign w:val="bottom"/>
          </w:tcPr>
          <w:p>
            <w:pPr>
              <w:ind w:left="1720"/>
              <w:spacing w:after="0"/>
              <w:rPr>
                <w:sz w:val="20"/>
                <w:szCs w:val="20"/>
                <w:color w:val="auto"/>
              </w:rPr>
            </w:pPr>
            <w:r>
              <w:rPr>
                <w:rFonts w:ascii="Arial" w:cs="Arial" w:eastAsia="Arial" w:hAnsi="Arial"/>
                <w:sz w:val="18"/>
                <w:szCs w:val="18"/>
                <w:color w:val="auto"/>
              </w:rPr>
              <w:t>automotive diesel oil</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Bcf/yr</w:t>
            </w:r>
          </w:p>
        </w:tc>
        <w:tc>
          <w:tcPr>
            <w:tcW w:w="6740" w:type="dxa"/>
            <w:vAlign w:val="bottom"/>
          </w:tcPr>
          <w:p>
            <w:pPr>
              <w:ind w:left="1720"/>
              <w:spacing w:after="0"/>
              <w:rPr>
                <w:sz w:val="20"/>
                <w:szCs w:val="20"/>
                <w:color w:val="auto"/>
              </w:rPr>
            </w:pPr>
            <w:r>
              <w:rPr>
                <w:rFonts w:ascii="Arial" w:cs="Arial" w:eastAsia="Arial" w:hAnsi="Arial"/>
                <w:sz w:val="18"/>
                <w:szCs w:val="18"/>
                <w:color w:val="auto"/>
              </w:rPr>
              <w:t>billion cubic feet per year</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Btu</w:t>
            </w:r>
          </w:p>
        </w:tc>
        <w:tc>
          <w:tcPr>
            <w:tcW w:w="6740" w:type="dxa"/>
            <w:vAlign w:val="bottom"/>
          </w:tcPr>
          <w:p>
            <w:pPr>
              <w:ind w:left="1720"/>
              <w:spacing w:after="0"/>
              <w:rPr>
                <w:sz w:val="20"/>
                <w:szCs w:val="20"/>
                <w:color w:val="auto"/>
              </w:rPr>
            </w:pPr>
            <w:r>
              <w:rPr>
                <w:rFonts w:ascii="Arial" w:cs="Arial" w:eastAsia="Arial" w:hAnsi="Arial"/>
                <w:sz w:val="18"/>
                <w:szCs w:val="18"/>
                <w:color w:val="auto"/>
              </w:rPr>
              <w:t>the amount of heat required to raise the temperature of one</w:t>
            </w:r>
          </w:p>
        </w:tc>
      </w:tr>
      <w:tr>
        <w:trPr>
          <w:trHeight w:val="215"/>
        </w:trPr>
        <w:tc>
          <w:tcPr>
            <w:tcW w:w="2760" w:type="dxa"/>
            <w:vAlign w:val="bottom"/>
          </w:tcPr>
          <w:p>
            <w:pPr>
              <w:spacing w:after="0"/>
              <w:rPr>
                <w:sz w:val="18"/>
                <w:szCs w:val="18"/>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w w:val="94"/>
              </w:rPr>
              <w:t>avoirdupois pound of pure water from 59 degrees Fahrenheit to 60</w:t>
            </w:r>
          </w:p>
        </w:tc>
      </w:tr>
      <w:tr>
        <w:trPr>
          <w:trHeight w:val="215"/>
        </w:trPr>
        <w:tc>
          <w:tcPr>
            <w:tcW w:w="2760" w:type="dxa"/>
            <w:vAlign w:val="bottom"/>
          </w:tcPr>
          <w:p>
            <w:pPr>
              <w:spacing w:after="0"/>
              <w:rPr>
                <w:sz w:val="18"/>
                <w:szCs w:val="18"/>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w w:val="95"/>
              </w:rPr>
              <w:t>degrees Fahrenheit at an absolute pressure of 14.696 pounds per</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square inch gage</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CAA</w:t>
            </w:r>
          </w:p>
        </w:tc>
        <w:tc>
          <w:tcPr>
            <w:tcW w:w="6740" w:type="dxa"/>
            <w:vAlign w:val="bottom"/>
          </w:tcPr>
          <w:p>
            <w:pPr>
              <w:ind w:left="1720"/>
              <w:spacing w:after="0"/>
              <w:rPr>
                <w:sz w:val="20"/>
                <w:szCs w:val="20"/>
                <w:color w:val="auto"/>
              </w:rPr>
            </w:pPr>
            <w:r>
              <w:rPr>
                <w:rFonts w:ascii="Arial" w:cs="Arial" w:eastAsia="Arial" w:hAnsi="Arial"/>
                <w:sz w:val="18"/>
                <w:szCs w:val="18"/>
                <w:color w:val="auto"/>
              </w:rPr>
              <w:t>Clean Air Act</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CERCLA</w:t>
            </w:r>
          </w:p>
        </w:tc>
        <w:tc>
          <w:tcPr>
            <w:tcW w:w="6740" w:type="dxa"/>
            <w:vAlign w:val="bottom"/>
          </w:tcPr>
          <w:p>
            <w:pPr>
              <w:ind w:left="1720"/>
              <w:spacing w:after="0"/>
              <w:rPr>
                <w:sz w:val="20"/>
                <w:szCs w:val="20"/>
                <w:color w:val="auto"/>
              </w:rPr>
            </w:pPr>
            <w:r>
              <w:rPr>
                <w:rFonts w:ascii="Arial" w:cs="Arial" w:eastAsia="Arial" w:hAnsi="Arial"/>
                <w:sz w:val="18"/>
                <w:szCs w:val="18"/>
                <w:color w:val="auto"/>
              </w:rPr>
              <w:t>Comprehensive Environmental Response, Compensation and</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Liability Act</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CWA</w:t>
            </w:r>
          </w:p>
        </w:tc>
        <w:tc>
          <w:tcPr>
            <w:tcW w:w="6740" w:type="dxa"/>
            <w:vAlign w:val="bottom"/>
          </w:tcPr>
          <w:p>
            <w:pPr>
              <w:ind w:left="1720"/>
              <w:spacing w:after="0"/>
              <w:rPr>
                <w:sz w:val="20"/>
                <w:szCs w:val="20"/>
                <w:color w:val="auto"/>
              </w:rPr>
            </w:pPr>
            <w:r>
              <w:rPr>
                <w:rFonts w:ascii="Arial" w:cs="Arial" w:eastAsia="Arial" w:hAnsi="Arial"/>
                <w:sz w:val="18"/>
                <w:szCs w:val="18"/>
                <w:color w:val="auto"/>
              </w:rPr>
              <w:t>Clean Water Act</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DOE</w:t>
            </w:r>
          </w:p>
        </w:tc>
        <w:tc>
          <w:tcPr>
            <w:tcW w:w="6740" w:type="dxa"/>
            <w:vAlign w:val="bottom"/>
          </w:tcPr>
          <w:p>
            <w:pPr>
              <w:ind w:left="1720"/>
              <w:spacing w:after="0"/>
              <w:rPr>
                <w:sz w:val="20"/>
                <w:szCs w:val="20"/>
                <w:color w:val="auto"/>
              </w:rPr>
            </w:pPr>
            <w:r>
              <w:rPr>
                <w:rFonts w:ascii="Arial" w:cs="Arial" w:eastAsia="Arial" w:hAnsi="Arial"/>
                <w:sz w:val="18"/>
                <w:szCs w:val="18"/>
                <w:color w:val="auto"/>
              </w:rPr>
              <w:t>U.S. Department of Energy</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DOT</w:t>
            </w:r>
          </w:p>
        </w:tc>
        <w:tc>
          <w:tcPr>
            <w:tcW w:w="6740" w:type="dxa"/>
            <w:vAlign w:val="bottom"/>
          </w:tcPr>
          <w:p>
            <w:pPr>
              <w:ind w:left="1720"/>
              <w:spacing w:after="0"/>
              <w:rPr>
                <w:sz w:val="20"/>
                <w:szCs w:val="20"/>
                <w:color w:val="auto"/>
              </w:rPr>
            </w:pPr>
            <w:r>
              <w:rPr>
                <w:rFonts w:ascii="Arial" w:cs="Arial" w:eastAsia="Arial" w:hAnsi="Arial"/>
                <w:sz w:val="18"/>
                <w:szCs w:val="18"/>
                <w:color w:val="auto"/>
              </w:rPr>
              <w:t>U.S. Department of Transportation</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EPA</w:t>
            </w:r>
          </w:p>
        </w:tc>
        <w:tc>
          <w:tcPr>
            <w:tcW w:w="6740" w:type="dxa"/>
            <w:vAlign w:val="bottom"/>
          </w:tcPr>
          <w:p>
            <w:pPr>
              <w:ind w:left="1720"/>
              <w:spacing w:after="0"/>
              <w:rPr>
                <w:sz w:val="20"/>
                <w:szCs w:val="20"/>
                <w:color w:val="auto"/>
              </w:rPr>
            </w:pPr>
            <w:r>
              <w:rPr>
                <w:rFonts w:ascii="Arial" w:cs="Arial" w:eastAsia="Arial" w:hAnsi="Arial"/>
                <w:sz w:val="18"/>
                <w:szCs w:val="18"/>
                <w:color w:val="auto"/>
              </w:rPr>
              <w:t>U.S. Environmental Protection Agency</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FERC</w:t>
            </w:r>
          </w:p>
        </w:tc>
        <w:tc>
          <w:tcPr>
            <w:tcW w:w="6740" w:type="dxa"/>
            <w:vAlign w:val="bottom"/>
          </w:tcPr>
          <w:p>
            <w:pPr>
              <w:ind w:left="1720"/>
              <w:spacing w:after="0"/>
              <w:rPr>
                <w:sz w:val="20"/>
                <w:szCs w:val="20"/>
                <w:color w:val="auto"/>
              </w:rPr>
            </w:pPr>
            <w:r>
              <w:rPr>
                <w:rFonts w:ascii="Arial" w:cs="Arial" w:eastAsia="Arial" w:hAnsi="Arial"/>
                <w:sz w:val="18"/>
                <w:szCs w:val="18"/>
                <w:color w:val="auto"/>
              </w:rPr>
              <w:t>Federal Energy Regulatory Commission</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FTA countries</w:t>
            </w:r>
          </w:p>
        </w:tc>
        <w:tc>
          <w:tcPr>
            <w:tcW w:w="6740" w:type="dxa"/>
            <w:vAlign w:val="bottom"/>
          </w:tcPr>
          <w:p>
            <w:pPr>
              <w:ind w:left="1720"/>
              <w:spacing w:after="0"/>
              <w:rPr>
                <w:sz w:val="20"/>
                <w:szCs w:val="20"/>
                <w:color w:val="auto"/>
              </w:rPr>
            </w:pPr>
            <w:r>
              <w:rPr>
                <w:rFonts w:ascii="Arial" w:cs="Arial" w:eastAsia="Arial" w:hAnsi="Arial"/>
                <w:sz w:val="18"/>
                <w:szCs w:val="18"/>
                <w:color w:val="auto"/>
                <w:w w:val="95"/>
              </w:rPr>
              <w:t>countries with which the United States has a free trade agreement</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providing for national treatment for trade in natural gas</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GAAP</w:t>
            </w:r>
          </w:p>
        </w:tc>
        <w:tc>
          <w:tcPr>
            <w:tcW w:w="6740" w:type="dxa"/>
            <w:vAlign w:val="bottom"/>
          </w:tcPr>
          <w:p>
            <w:pPr>
              <w:ind w:left="172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GHG</w:t>
            </w:r>
          </w:p>
        </w:tc>
        <w:tc>
          <w:tcPr>
            <w:tcW w:w="6740" w:type="dxa"/>
            <w:vAlign w:val="bottom"/>
          </w:tcPr>
          <w:p>
            <w:pPr>
              <w:ind w:left="1720"/>
              <w:spacing w:after="0"/>
              <w:rPr>
                <w:sz w:val="20"/>
                <w:szCs w:val="20"/>
                <w:color w:val="auto"/>
              </w:rPr>
            </w:pPr>
            <w:r>
              <w:rPr>
                <w:rFonts w:ascii="Arial" w:cs="Arial" w:eastAsia="Arial" w:hAnsi="Arial"/>
                <w:sz w:val="18"/>
                <w:szCs w:val="18"/>
                <w:color w:val="auto"/>
              </w:rPr>
              <w:t>greenhouse gases</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GSA</w:t>
            </w:r>
          </w:p>
        </w:tc>
        <w:tc>
          <w:tcPr>
            <w:tcW w:w="6740" w:type="dxa"/>
            <w:vAlign w:val="bottom"/>
          </w:tcPr>
          <w:p>
            <w:pPr>
              <w:ind w:left="1720"/>
              <w:spacing w:after="0"/>
              <w:rPr>
                <w:sz w:val="20"/>
                <w:szCs w:val="20"/>
                <w:color w:val="auto"/>
              </w:rPr>
            </w:pPr>
            <w:r>
              <w:rPr>
                <w:rFonts w:ascii="Arial" w:cs="Arial" w:eastAsia="Arial" w:hAnsi="Arial"/>
                <w:sz w:val="18"/>
                <w:szCs w:val="18"/>
                <w:color w:val="auto"/>
              </w:rPr>
              <w:t>gas sales agreement</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GW</w:t>
            </w:r>
          </w:p>
        </w:tc>
        <w:tc>
          <w:tcPr>
            <w:tcW w:w="6740" w:type="dxa"/>
            <w:vAlign w:val="bottom"/>
          </w:tcPr>
          <w:p>
            <w:pPr>
              <w:ind w:left="1720"/>
              <w:spacing w:after="0"/>
              <w:rPr>
                <w:sz w:val="20"/>
                <w:szCs w:val="20"/>
                <w:color w:val="auto"/>
              </w:rPr>
            </w:pPr>
            <w:r>
              <w:rPr>
                <w:rFonts w:ascii="Arial" w:cs="Arial" w:eastAsia="Arial" w:hAnsi="Arial"/>
                <w:sz w:val="18"/>
                <w:szCs w:val="18"/>
                <w:color w:val="auto"/>
                <w:w w:val="93"/>
              </w:rPr>
              <w:t>gigawatt. We estimate 2,500,000 LNG gallons would be required to</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produce one gigawatt</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Henry Hub</w:t>
            </w:r>
          </w:p>
        </w:tc>
        <w:tc>
          <w:tcPr>
            <w:tcW w:w="6740" w:type="dxa"/>
            <w:vAlign w:val="bottom"/>
          </w:tcPr>
          <w:p>
            <w:pPr>
              <w:ind w:left="1720"/>
              <w:spacing w:after="0"/>
              <w:rPr>
                <w:sz w:val="20"/>
                <w:szCs w:val="20"/>
                <w:color w:val="auto"/>
              </w:rPr>
            </w:pPr>
            <w:r>
              <w:rPr>
                <w:rFonts w:ascii="Arial" w:cs="Arial" w:eastAsia="Arial" w:hAnsi="Arial"/>
                <w:sz w:val="18"/>
                <w:szCs w:val="18"/>
                <w:color w:val="auto"/>
                <w:w w:val="93"/>
              </w:rPr>
              <w:t>a natural gas pipeline located in Erath, Louisiana that serves as the</w:t>
            </w:r>
          </w:p>
        </w:tc>
      </w:tr>
      <w:tr>
        <w:trPr>
          <w:trHeight w:val="215"/>
        </w:trPr>
        <w:tc>
          <w:tcPr>
            <w:tcW w:w="2760" w:type="dxa"/>
            <w:vAlign w:val="bottom"/>
          </w:tcPr>
          <w:p>
            <w:pPr>
              <w:spacing w:after="0"/>
              <w:rPr>
                <w:sz w:val="18"/>
                <w:szCs w:val="18"/>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official delivery location for futures contracts on the New York</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Mercantile Exchange</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ISO container</w:t>
            </w:r>
          </w:p>
        </w:tc>
        <w:tc>
          <w:tcPr>
            <w:tcW w:w="6740" w:type="dxa"/>
            <w:vAlign w:val="bottom"/>
          </w:tcPr>
          <w:p>
            <w:pPr>
              <w:ind w:left="1720"/>
              <w:spacing w:after="0"/>
              <w:rPr>
                <w:sz w:val="20"/>
                <w:szCs w:val="20"/>
                <w:color w:val="auto"/>
              </w:rPr>
            </w:pPr>
            <w:r>
              <w:rPr>
                <w:rFonts w:ascii="Arial" w:cs="Arial" w:eastAsia="Arial" w:hAnsi="Arial"/>
                <w:sz w:val="18"/>
                <w:szCs w:val="18"/>
                <w:color w:val="auto"/>
              </w:rPr>
              <w:t>International Organization of Standardization, an intermodal</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container</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LNG</w:t>
            </w:r>
          </w:p>
        </w:tc>
        <w:tc>
          <w:tcPr>
            <w:tcW w:w="6740" w:type="dxa"/>
            <w:vAlign w:val="bottom"/>
          </w:tcPr>
          <w:p>
            <w:pPr>
              <w:ind w:left="1720"/>
              <w:spacing w:after="0"/>
              <w:rPr>
                <w:sz w:val="20"/>
                <w:szCs w:val="20"/>
                <w:color w:val="auto"/>
              </w:rPr>
            </w:pPr>
            <w:r>
              <w:rPr>
                <w:rFonts w:ascii="Arial" w:cs="Arial" w:eastAsia="Arial" w:hAnsi="Arial"/>
                <w:sz w:val="18"/>
                <w:szCs w:val="18"/>
                <w:color w:val="auto"/>
                <w:w w:val="95"/>
              </w:rPr>
              <w:t>natural gas in its liquid state at or below its boiling point at or near</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atmospheric pressure</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MMBtu</w:t>
            </w:r>
          </w:p>
        </w:tc>
        <w:tc>
          <w:tcPr>
            <w:tcW w:w="6740" w:type="dxa"/>
            <w:vAlign w:val="bottom"/>
          </w:tcPr>
          <w:p>
            <w:pPr>
              <w:ind w:left="1720"/>
              <w:spacing w:after="0"/>
              <w:rPr>
                <w:sz w:val="20"/>
                <w:szCs w:val="20"/>
                <w:color w:val="auto"/>
              </w:rPr>
            </w:pPr>
            <w:r>
              <w:rPr>
                <w:rFonts w:ascii="Arial" w:cs="Arial" w:eastAsia="Arial" w:hAnsi="Arial"/>
                <w:sz w:val="18"/>
                <w:szCs w:val="18"/>
                <w:color w:val="auto"/>
                <w:w w:val="98"/>
              </w:rPr>
              <w:t>one million Btus, which corresponds to approximately 12.1 LNG</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gallons</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mtpa</w:t>
            </w:r>
          </w:p>
        </w:tc>
        <w:tc>
          <w:tcPr>
            <w:tcW w:w="6740" w:type="dxa"/>
            <w:vAlign w:val="bottom"/>
          </w:tcPr>
          <w:p>
            <w:pPr>
              <w:ind w:left="1720"/>
              <w:spacing w:after="0"/>
              <w:rPr>
                <w:sz w:val="20"/>
                <w:szCs w:val="20"/>
                <w:color w:val="auto"/>
              </w:rPr>
            </w:pPr>
            <w:r>
              <w:rPr>
                <w:rFonts w:ascii="Arial" w:cs="Arial" w:eastAsia="Arial" w:hAnsi="Arial"/>
                <w:sz w:val="18"/>
                <w:szCs w:val="18"/>
                <w:color w:val="auto"/>
              </w:rPr>
              <w:t>million tons per year</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MW</w:t>
            </w:r>
          </w:p>
        </w:tc>
        <w:tc>
          <w:tcPr>
            <w:tcW w:w="6740" w:type="dxa"/>
            <w:vAlign w:val="bottom"/>
          </w:tcPr>
          <w:p>
            <w:pPr>
              <w:ind w:left="1720"/>
              <w:spacing w:after="0"/>
              <w:rPr>
                <w:sz w:val="20"/>
                <w:szCs w:val="20"/>
                <w:color w:val="auto"/>
              </w:rPr>
            </w:pPr>
            <w:r>
              <w:rPr>
                <w:rFonts w:ascii="Arial" w:cs="Arial" w:eastAsia="Arial" w:hAnsi="Arial"/>
                <w:sz w:val="18"/>
                <w:szCs w:val="18"/>
                <w:color w:val="auto"/>
                <w:w w:val="97"/>
              </w:rPr>
              <w:t>megawatt. We estimate 2,500 LNG gallons would be required to</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produce one megawatt.</w:t>
            </w:r>
          </w:p>
        </w:tc>
      </w:tr>
      <w:tr>
        <w:trPr>
          <w:trHeight w:val="443"/>
        </w:trPr>
        <w:tc>
          <w:tcPr>
            <w:tcW w:w="2760" w:type="dxa"/>
            <w:vAlign w:val="bottom"/>
          </w:tcPr>
          <w:p>
            <w:pPr>
              <w:spacing w:after="0"/>
              <w:rPr>
                <w:sz w:val="24"/>
                <w:szCs w:val="24"/>
                <w:color w:val="auto"/>
              </w:rPr>
            </w:pPr>
          </w:p>
        </w:tc>
        <w:tc>
          <w:tcPr>
            <w:tcW w:w="6740" w:type="dxa"/>
            <w:vAlign w:val="bottom"/>
          </w:tcPr>
          <w:p>
            <w:pPr>
              <w:ind w:left="1920"/>
              <w:spacing w:after="0"/>
              <w:rPr>
                <w:sz w:val="20"/>
                <w:szCs w:val="20"/>
                <w:color w:val="auto"/>
              </w:rPr>
            </w:pPr>
            <w:r>
              <w:rPr>
                <w:rFonts w:ascii="Arial" w:cs="Arial" w:eastAsia="Arial" w:hAnsi="Arial"/>
                <w:sz w:val="18"/>
                <w:szCs w:val="18"/>
                <w:color w:val="auto"/>
              </w:rPr>
              <w:t>iii</w:t>
            </w:r>
          </w:p>
        </w:tc>
      </w:tr>
      <w:tr>
        <w:trPr>
          <w:trHeight w:val="442"/>
        </w:trPr>
        <w:tc>
          <w:tcPr>
            <w:tcW w:w="276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67"/>
        </w:trPr>
        <w:tc>
          <w:tcPr>
            <w:tcW w:w="2760" w:type="dxa"/>
            <w:vAlign w:val="bottom"/>
            <w:shd w:val="clear" w:color="auto" w:fill="000000"/>
          </w:tcPr>
          <w:p>
            <w:pPr>
              <w:spacing w:after="0"/>
              <w:rPr>
                <w:sz w:val="5"/>
                <w:szCs w:val="5"/>
                <w:color w:val="auto"/>
              </w:rPr>
            </w:pPr>
          </w:p>
        </w:tc>
        <w:tc>
          <w:tcPr>
            <w:tcW w:w="674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533"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480" w:type="dxa"/>
            <w:vAlign w:val="bottom"/>
          </w:tcPr>
          <w:p>
            <w:pPr>
              <w:spacing w:after="0"/>
              <w:rPr>
                <w:sz w:val="14"/>
                <w:szCs w:val="14"/>
                <w:color w:val="auto"/>
              </w:rPr>
            </w:pPr>
          </w:p>
        </w:tc>
        <w:tc>
          <w:tcPr>
            <w:tcW w:w="6480" w:type="dxa"/>
            <w:vAlign w:val="bottom"/>
          </w:tcPr>
          <w:p>
            <w:pPr>
              <w:spacing w:after="0"/>
              <w:rPr>
                <w:sz w:val="14"/>
                <w:szCs w:val="14"/>
                <w:color w:val="auto"/>
              </w:rPr>
            </w:pPr>
          </w:p>
        </w:tc>
      </w:tr>
      <w:tr>
        <w:trPr>
          <w:trHeight w:val="356"/>
        </w:trPr>
        <w:tc>
          <w:tcPr>
            <w:tcW w:w="3020" w:type="dxa"/>
            <w:vAlign w:val="bottom"/>
            <w:gridSpan w:val="2"/>
          </w:tcPr>
          <w:p>
            <w:pPr>
              <w:spacing w:after="0"/>
              <w:rPr>
                <w:sz w:val="20"/>
                <w:szCs w:val="20"/>
                <w:color w:val="auto"/>
              </w:rPr>
            </w:pPr>
            <w:r>
              <w:rPr>
                <w:rFonts w:ascii="Arial" w:cs="Arial" w:eastAsia="Arial" w:hAnsi="Arial"/>
                <w:sz w:val="18"/>
                <w:szCs w:val="18"/>
                <w:color w:val="auto"/>
              </w:rPr>
              <w:t>NGA</w:t>
            </w:r>
          </w:p>
        </w:tc>
        <w:tc>
          <w:tcPr>
            <w:tcW w:w="6480" w:type="dxa"/>
            <w:vAlign w:val="bottom"/>
          </w:tcPr>
          <w:p>
            <w:pPr>
              <w:ind w:left="1460"/>
              <w:spacing w:after="0"/>
              <w:rPr>
                <w:sz w:val="20"/>
                <w:szCs w:val="20"/>
                <w:color w:val="auto"/>
              </w:rPr>
            </w:pPr>
            <w:r>
              <w:rPr>
                <w:rFonts w:ascii="Arial" w:cs="Arial" w:eastAsia="Arial" w:hAnsi="Arial"/>
                <w:sz w:val="18"/>
                <w:szCs w:val="18"/>
                <w:color w:val="auto"/>
              </w:rPr>
              <w:t>Natural Gas Act of 1938, as amended</w:t>
            </w:r>
          </w:p>
        </w:tc>
      </w:tr>
      <w:tr>
        <w:trPr>
          <w:trHeight w:val="468"/>
        </w:trPr>
        <w:tc>
          <w:tcPr>
            <w:tcW w:w="3020" w:type="dxa"/>
            <w:vAlign w:val="bottom"/>
            <w:gridSpan w:val="2"/>
          </w:tcPr>
          <w:p>
            <w:pPr>
              <w:spacing w:after="0"/>
              <w:rPr>
                <w:sz w:val="20"/>
                <w:szCs w:val="20"/>
                <w:color w:val="auto"/>
              </w:rPr>
            </w:pPr>
            <w:r>
              <w:rPr>
                <w:rFonts w:ascii="Arial" w:cs="Arial" w:eastAsia="Arial" w:hAnsi="Arial"/>
                <w:sz w:val="18"/>
                <w:szCs w:val="18"/>
                <w:color w:val="auto"/>
              </w:rPr>
              <w:t>non-FTA countries</w:t>
            </w:r>
          </w:p>
        </w:tc>
        <w:tc>
          <w:tcPr>
            <w:tcW w:w="6480" w:type="dxa"/>
            <w:vAlign w:val="bottom"/>
          </w:tcPr>
          <w:p>
            <w:pPr>
              <w:ind w:left="1460"/>
              <w:spacing w:after="0"/>
              <w:rPr>
                <w:sz w:val="20"/>
                <w:szCs w:val="20"/>
                <w:color w:val="auto"/>
              </w:rPr>
            </w:pPr>
            <w:r>
              <w:rPr>
                <w:rFonts w:ascii="Arial" w:cs="Arial" w:eastAsia="Arial" w:hAnsi="Arial"/>
                <w:sz w:val="18"/>
                <w:szCs w:val="18"/>
                <w:color w:val="auto"/>
                <w:w w:val="99"/>
              </w:rPr>
              <w:t>countries without a free trade agreement with the United States</w:t>
            </w:r>
          </w:p>
        </w:tc>
      </w:tr>
      <w:tr>
        <w:trPr>
          <w:trHeight w:val="215"/>
        </w:trPr>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80" w:type="dxa"/>
            <w:vAlign w:val="bottom"/>
          </w:tcPr>
          <w:p>
            <w:pPr>
              <w:ind w:left="1460"/>
              <w:spacing w:after="0"/>
              <w:rPr>
                <w:sz w:val="20"/>
                <w:szCs w:val="20"/>
                <w:color w:val="auto"/>
              </w:rPr>
            </w:pPr>
            <w:r>
              <w:rPr>
                <w:rFonts w:ascii="Arial" w:cs="Arial" w:eastAsia="Arial" w:hAnsi="Arial"/>
                <w:sz w:val="18"/>
                <w:szCs w:val="18"/>
                <w:color w:val="auto"/>
                <w:w w:val="98"/>
              </w:rPr>
              <w:t>providing for national treatment for trade in natural gas and with</w:t>
            </w:r>
          </w:p>
        </w:tc>
      </w:tr>
      <w:tr>
        <w:trPr>
          <w:trHeight w:val="229"/>
        </w:trPr>
        <w:tc>
          <w:tcPr>
            <w:tcW w:w="1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480" w:type="dxa"/>
            <w:vAlign w:val="bottom"/>
          </w:tcPr>
          <w:p>
            <w:pPr>
              <w:ind w:left="1460"/>
              <w:spacing w:after="0"/>
              <w:rPr>
                <w:sz w:val="20"/>
                <w:szCs w:val="20"/>
                <w:color w:val="auto"/>
              </w:rPr>
            </w:pPr>
            <w:r>
              <w:rPr>
                <w:rFonts w:ascii="Arial" w:cs="Arial" w:eastAsia="Arial" w:hAnsi="Arial"/>
                <w:sz w:val="18"/>
                <w:szCs w:val="18"/>
                <w:color w:val="auto"/>
              </w:rPr>
              <w:t>which trade is permitted</w:t>
            </w:r>
          </w:p>
        </w:tc>
      </w:tr>
      <w:tr>
        <w:trPr>
          <w:trHeight w:val="483"/>
        </w:trPr>
        <w:tc>
          <w:tcPr>
            <w:tcW w:w="3020" w:type="dxa"/>
            <w:vAlign w:val="bottom"/>
            <w:gridSpan w:val="2"/>
          </w:tcPr>
          <w:p>
            <w:pPr>
              <w:spacing w:after="0"/>
              <w:rPr>
                <w:sz w:val="20"/>
                <w:szCs w:val="20"/>
                <w:color w:val="auto"/>
              </w:rPr>
            </w:pPr>
            <w:r>
              <w:rPr>
                <w:rFonts w:ascii="Arial" w:cs="Arial" w:eastAsia="Arial" w:hAnsi="Arial"/>
                <w:sz w:val="18"/>
                <w:szCs w:val="18"/>
                <w:color w:val="auto"/>
              </w:rPr>
              <w:t>OPA</w:t>
            </w:r>
          </w:p>
        </w:tc>
        <w:tc>
          <w:tcPr>
            <w:tcW w:w="6480" w:type="dxa"/>
            <w:vAlign w:val="bottom"/>
          </w:tcPr>
          <w:p>
            <w:pPr>
              <w:ind w:left="1460"/>
              <w:spacing w:after="0"/>
              <w:rPr>
                <w:sz w:val="20"/>
                <w:szCs w:val="20"/>
                <w:color w:val="auto"/>
              </w:rPr>
            </w:pPr>
            <w:r>
              <w:rPr>
                <w:rFonts w:ascii="Arial" w:cs="Arial" w:eastAsia="Arial" w:hAnsi="Arial"/>
                <w:sz w:val="18"/>
                <w:szCs w:val="18"/>
                <w:color w:val="auto"/>
              </w:rPr>
              <w:t>Oil Pollution Act</w:t>
            </w:r>
          </w:p>
        </w:tc>
      </w:tr>
      <w:tr>
        <w:trPr>
          <w:trHeight w:val="483"/>
        </w:trPr>
        <w:tc>
          <w:tcPr>
            <w:tcW w:w="3020" w:type="dxa"/>
            <w:vAlign w:val="bottom"/>
            <w:gridSpan w:val="2"/>
          </w:tcPr>
          <w:p>
            <w:pPr>
              <w:spacing w:after="0"/>
              <w:rPr>
                <w:sz w:val="20"/>
                <w:szCs w:val="20"/>
                <w:color w:val="auto"/>
              </w:rPr>
            </w:pPr>
            <w:r>
              <w:rPr>
                <w:rFonts w:ascii="Arial" w:cs="Arial" w:eastAsia="Arial" w:hAnsi="Arial"/>
                <w:sz w:val="18"/>
                <w:szCs w:val="18"/>
                <w:color w:val="auto"/>
              </w:rPr>
              <w:t>OUR</w:t>
            </w:r>
          </w:p>
        </w:tc>
        <w:tc>
          <w:tcPr>
            <w:tcW w:w="6480" w:type="dxa"/>
            <w:vAlign w:val="bottom"/>
          </w:tcPr>
          <w:p>
            <w:pPr>
              <w:ind w:left="1460"/>
              <w:spacing w:after="0"/>
              <w:rPr>
                <w:sz w:val="20"/>
                <w:szCs w:val="20"/>
                <w:color w:val="auto"/>
              </w:rPr>
            </w:pPr>
            <w:r>
              <w:rPr>
                <w:rFonts w:ascii="Arial" w:cs="Arial" w:eastAsia="Arial" w:hAnsi="Arial"/>
                <w:sz w:val="18"/>
                <w:szCs w:val="18"/>
                <w:color w:val="auto"/>
              </w:rPr>
              <w:t>Office of Utilities Regulation (Jamaica)</w:t>
            </w:r>
          </w:p>
        </w:tc>
      </w:tr>
      <w:tr>
        <w:trPr>
          <w:trHeight w:val="483"/>
        </w:trPr>
        <w:tc>
          <w:tcPr>
            <w:tcW w:w="3020" w:type="dxa"/>
            <w:vAlign w:val="bottom"/>
            <w:gridSpan w:val="2"/>
          </w:tcPr>
          <w:p>
            <w:pPr>
              <w:spacing w:after="0"/>
              <w:rPr>
                <w:sz w:val="20"/>
                <w:szCs w:val="20"/>
                <w:color w:val="auto"/>
              </w:rPr>
            </w:pPr>
            <w:r>
              <w:rPr>
                <w:rFonts w:ascii="Arial" w:cs="Arial" w:eastAsia="Arial" w:hAnsi="Arial"/>
                <w:sz w:val="18"/>
                <w:szCs w:val="18"/>
                <w:color w:val="auto"/>
              </w:rPr>
              <w:t>PHMSA</w:t>
            </w:r>
          </w:p>
        </w:tc>
        <w:tc>
          <w:tcPr>
            <w:tcW w:w="6480" w:type="dxa"/>
            <w:vAlign w:val="bottom"/>
          </w:tcPr>
          <w:p>
            <w:pPr>
              <w:ind w:left="1460"/>
              <w:spacing w:after="0"/>
              <w:rPr>
                <w:sz w:val="20"/>
                <w:szCs w:val="20"/>
                <w:color w:val="auto"/>
              </w:rPr>
            </w:pPr>
            <w:r>
              <w:rPr>
                <w:rFonts w:ascii="Arial" w:cs="Arial" w:eastAsia="Arial" w:hAnsi="Arial"/>
                <w:sz w:val="18"/>
                <w:szCs w:val="18"/>
                <w:color w:val="auto"/>
              </w:rPr>
              <w:t>Pipeline and Hazardous Materials Safety Administration</w:t>
            </w:r>
          </w:p>
        </w:tc>
      </w:tr>
      <w:tr>
        <w:trPr>
          <w:trHeight w:val="483"/>
        </w:trPr>
        <w:tc>
          <w:tcPr>
            <w:tcW w:w="3020" w:type="dxa"/>
            <w:vAlign w:val="bottom"/>
            <w:gridSpan w:val="2"/>
          </w:tcPr>
          <w:p>
            <w:pPr>
              <w:spacing w:after="0"/>
              <w:rPr>
                <w:sz w:val="20"/>
                <w:szCs w:val="20"/>
                <w:color w:val="auto"/>
              </w:rPr>
            </w:pPr>
            <w:r>
              <w:rPr>
                <w:rFonts w:ascii="Arial" w:cs="Arial" w:eastAsia="Arial" w:hAnsi="Arial"/>
                <w:sz w:val="18"/>
                <w:szCs w:val="18"/>
                <w:color w:val="auto"/>
              </w:rPr>
              <w:t>PPA</w:t>
            </w:r>
          </w:p>
        </w:tc>
        <w:tc>
          <w:tcPr>
            <w:tcW w:w="6480" w:type="dxa"/>
            <w:vAlign w:val="bottom"/>
          </w:tcPr>
          <w:p>
            <w:pPr>
              <w:ind w:left="1460"/>
              <w:spacing w:after="0"/>
              <w:rPr>
                <w:sz w:val="20"/>
                <w:szCs w:val="20"/>
                <w:color w:val="auto"/>
              </w:rPr>
            </w:pPr>
            <w:r>
              <w:rPr>
                <w:rFonts w:ascii="Arial" w:cs="Arial" w:eastAsia="Arial" w:hAnsi="Arial"/>
                <w:sz w:val="18"/>
                <w:szCs w:val="18"/>
                <w:color w:val="auto"/>
              </w:rPr>
              <w:t>power purchase agreement</w:t>
            </w:r>
          </w:p>
        </w:tc>
      </w:tr>
      <w:tr>
        <w:trPr>
          <w:trHeight w:val="483"/>
        </w:trPr>
        <w:tc>
          <w:tcPr>
            <w:tcW w:w="3020" w:type="dxa"/>
            <w:vAlign w:val="bottom"/>
            <w:gridSpan w:val="2"/>
          </w:tcPr>
          <w:p>
            <w:pPr>
              <w:spacing w:after="0"/>
              <w:rPr>
                <w:sz w:val="20"/>
                <w:szCs w:val="20"/>
                <w:color w:val="auto"/>
              </w:rPr>
            </w:pPr>
            <w:r>
              <w:rPr>
                <w:rFonts w:ascii="Arial" w:cs="Arial" w:eastAsia="Arial" w:hAnsi="Arial"/>
                <w:sz w:val="18"/>
                <w:szCs w:val="18"/>
                <w:color w:val="auto"/>
              </w:rPr>
              <w:t>SSA</w:t>
            </w:r>
          </w:p>
        </w:tc>
        <w:tc>
          <w:tcPr>
            <w:tcW w:w="6480" w:type="dxa"/>
            <w:vAlign w:val="bottom"/>
          </w:tcPr>
          <w:p>
            <w:pPr>
              <w:ind w:left="1460"/>
              <w:spacing w:after="0"/>
              <w:rPr>
                <w:sz w:val="20"/>
                <w:szCs w:val="20"/>
                <w:color w:val="auto"/>
              </w:rPr>
            </w:pPr>
            <w:r>
              <w:rPr>
                <w:rFonts w:ascii="Arial" w:cs="Arial" w:eastAsia="Arial" w:hAnsi="Arial"/>
                <w:sz w:val="18"/>
                <w:szCs w:val="18"/>
                <w:color w:val="auto"/>
              </w:rPr>
              <w:t>steam supply agreement</w:t>
            </w:r>
          </w:p>
        </w:tc>
      </w:tr>
      <w:tr>
        <w:trPr>
          <w:trHeight w:val="468"/>
        </w:trPr>
        <w:tc>
          <w:tcPr>
            <w:tcW w:w="3020" w:type="dxa"/>
            <w:vAlign w:val="bottom"/>
            <w:gridSpan w:val="2"/>
          </w:tcPr>
          <w:p>
            <w:pPr>
              <w:spacing w:after="0"/>
              <w:rPr>
                <w:sz w:val="20"/>
                <w:szCs w:val="20"/>
                <w:color w:val="auto"/>
              </w:rPr>
            </w:pPr>
            <w:r>
              <w:rPr>
                <w:rFonts w:ascii="Arial" w:cs="Arial" w:eastAsia="Arial" w:hAnsi="Arial"/>
                <w:sz w:val="18"/>
                <w:szCs w:val="18"/>
                <w:color w:val="auto"/>
              </w:rPr>
              <w:t>TBtu</w:t>
            </w:r>
          </w:p>
        </w:tc>
        <w:tc>
          <w:tcPr>
            <w:tcW w:w="6480" w:type="dxa"/>
            <w:vAlign w:val="bottom"/>
          </w:tcPr>
          <w:p>
            <w:pPr>
              <w:ind w:left="1460"/>
              <w:spacing w:after="0"/>
              <w:rPr>
                <w:sz w:val="20"/>
                <w:szCs w:val="20"/>
                <w:color w:val="auto"/>
              </w:rPr>
            </w:pPr>
            <w:r>
              <w:rPr>
                <w:rFonts w:ascii="Arial" w:cs="Arial" w:eastAsia="Arial" w:hAnsi="Arial"/>
                <w:sz w:val="18"/>
                <w:szCs w:val="18"/>
                <w:color w:val="auto"/>
                <w:w w:val="97"/>
              </w:rPr>
              <w:t>one trillion Btus, which corresponds to approximately 12,100,000</w:t>
            </w:r>
          </w:p>
        </w:tc>
      </w:tr>
      <w:tr>
        <w:trPr>
          <w:trHeight w:val="229"/>
        </w:trPr>
        <w:tc>
          <w:tcPr>
            <w:tcW w:w="1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480" w:type="dxa"/>
            <w:vAlign w:val="bottom"/>
          </w:tcPr>
          <w:p>
            <w:pPr>
              <w:ind w:left="1460"/>
              <w:spacing w:after="0"/>
              <w:rPr>
                <w:sz w:val="20"/>
                <w:szCs w:val="20"/>
                <w:color w:val="auto"/>
              </w:rPr>
            </w:pPr>
            <w:r>
              <w:rPr>
                <w:rFonts w:ascii="Arial" w:cs="Arial" w:eastAsia="Arial" w:hAnsi="Arial"/>
                <w:sz w:val="18"/>
                <w:szCs w:val="18"/>
                <w:color w:val="auto"/>
              </w:rPr>
              <w:t>LNG gallons</w:t>
            </w:r>
          </w:p>
        </w:tc>
      </w:tr>
      <w:tr>
        <w:trPr>
          <w:trHeight w:val="443"/>
        </w:trPr>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80" w:type="dxa"/>
            <w:vAlign w:val="bottom"/>
          </w:tcPr>
          <w:p>
            <w:pPr>
              <w:ind w:left="1660"/>
              <w:spacing w:after="0"/>
              <w:rPr>
                <w:sz w:val="20"/>
                <w:szCs w:val="20"/>
                <w:color w:val="auto"/>
              </w:rPr>
            </w:pPr>
            <w:r>
              <w:rPr>
                <w:rFonts w:ascii="Arial" w:cs="Arial" w:eastAsia="Arial" w:hAnsi="Arial"/>
                <w:sz w:val="18"/>
                <w:szCs w:val="18"/>
                <w:color w:val="auto"/>
              </w:rPr>
              <w:t>iv</w:t>
            </w:r>
          </w:p>
        </w:tc>
      </w:tr>
      <w:tr>
        <w:trPr>
          <w:trHeight w:val="456"/>
        </w:trPr>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67"/>
        </w:trPr>
        <w:tc>
          <w:tcPr>
            <w:tcW w:w="154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648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4" w:right="138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19" w:lineRule="exact"/>
        <w:rPr>
          <w:sz w:val="20"/>
          <w:szCs w:val="20"/>
          <w:color w:val="auto"/>
        </w:rPr>
      </w:pPr>
    </w:p>
    <w:p>
      <w:pPr>
        <w:ind w:right="120" w:firstLine="357"/>
        <w:spacing w:after="0" w:line="287" w:lineRule="auto"/>
        <w:rPr>
          <w:sz w:val="20"/>
          <w:szCs w:val="20"/>
          <w:color w:val="auto"/>
        </w:rPr>
      </w:pPr>
      <w:r>
        <w:rPr>
          <w:rFonts w:ascii="Arial" w:cs="Arial" w:eastAsia="Arial" w:hAnsi="Arial"/>
          <w:sz w:val="16"/>
          <w:szCs w:val="16"/>
          <w:color w:val="auto"/>
        </w:rPr>
        <w:t>This prospectus and other offering materials include forward-looking statements regarding, among other things, our plans, strategies, prospects and projections, both business and financial. 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59" w:lineRule="exact"/>
        <w:rPr>
          <w:sz w:val="20"/>
          <w:szCs w:val="20"/>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procure LNG on a fixed-price basis, or otherwise to manage LNG price risks, including hedging arrangements;</w:t>
      </w:r>
    </w:p>
    <w:p>
      <w:pPr>
        <w:spacing w:after="0" w:line="137" w:lineRule="exact"/>
        <w:rPr>
          <w:rFonts w:ascii="Arial" w:cs="Arial" w:eastAsia="Arial" w:hAnsi="Arial"/>
          <w:sz w:val="16"/>
          <w:szCs w:val="16"/>
          <w:color w:val="auto"/>
        </w:rPr>
      </w:pPr>
    </w:p>
    <w:p>
      <w:pPr>
        <w:ind w:left="700" w:right="540" w:hanging="346"/>
        <w:spacing w:after="0" w:line="27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construction on our LNG Terminals, power plants or Liquefaction Facilities and the terms of our construction contracts for the completion of these assets;</w:t>
      </w:r>
    </w:p>
    <w:p>
      <w:pPr>
        <w:spacing w:after="0" w:line="63" w:lineRule="exact"/>
        <w:rPr>
          <w:rFonts w:ascii="Arial" w:cs="Arial" w:eastAsia="Arial" w:hAnsi="Arial"/>
          <w:sz w:val="18"/>
          <w:szCs w:val="18"/>
          <w:color w:val="auto"/>
        </w:rPr>
      </w:pPr>
    </w:p>
    <w:p>
      <w:pPr>
        <w:ind w:left="700" w:right="40" w:hanging="346"/>
        <w:spacing w:after="0" w:line="27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power plants or Liquefaction Facilities, as well as difficulties in obtaining sufficient financing to pay for such costs and delays;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produce or purchase sufficient amounts of LNG or natural gas at favorable prices to meet customer demand;</w:t>
      </w:r>
    </w:p>
    <w:p>
      <w:pPr>
        <w:spacing w:after="0" w:line="137" w:lineRule="exact"/>
        <w:rPr>
          <w:rFonts w:ascii="Arial" w:cs="Arial" w:eastAsia="Arial" w:hAnsi="Arial"/>
          <w:sz w:val="16"/>
          <w:szCs w:val="16"/>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114" w:lineRule="exact"/>
        <w:rPr>
          <w:rFonts w:ascii="Arial" w:cs="Arial" w:eastAsia="Arial" w:hAnsi="Arial"/>
          <w:sz w:val="18"/>
          <w:szCs w:val="18"/>
          <w:color w:val="auto"/>
        </w:rPr>
      </w:pPr>
    </w:p>
    <w:p>
      <w:pPr>
        <w:ind w:left="700" w:right="120" w:hanging="346"/>
        <w:spacing w:after="0" w:line="27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regulatory, environmental, political, legal and economic risks pertaining to the construction and operation of our facilities;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of natural gas to be a competitive source of energy in the markets in which we operate, and seek to operate;</w:t>
      </w:r>
    </w:p>
    <w:p>
      <w:pPr>
        <w:spacing w:after="0" w:line="126" w:lineRule="exact"/>
        <w:rPr>
          <w:rFonts w:ascii="Arial" w:cs="Arial" w:eastAsia="Arial" w:hAnsi="Arial"/>
          <w:sz w:val="17"/>
          <w:szCs w:val="17"/>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114" w:lineRule="exact"/>
        <w:rPr>
          <w:rFonts w:ascii="Arial" w:cs="Arial" w:eastAsia="Arial" w:hAnsi="Arial"/>
          <w:sz w:val="18"/>
          <w:szCs w:val="18"/>
          <w:color w:val="auto"/>
        </w:rPr>
      </w:pPr>
    </w:p>
    <w:p>
      <w:pPr>
        <w:ind w:left="700" w:right="180" w:hanging="346"/>
        <w:spacing w:after="0" w:line="27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 including our ability to successfully complete an opportunistic debt refinancing and/or upsizing after the consummation of this offering;</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114" w:lineRule="exact"/>
        <w:rPr>
          <w:rFonts w:ascii="Arial" w:cs="Arial" w:eastAsia="Arial" w:hAnsi="Arial"/>
          <w:sz w:val="18"/>
          <w:szCs w:val="18"/>
          <w:color w:val="auto"/>
        </w:rPr>
      </w:pPr>
    </w:p>
    <w:p>
      <w:pPr>
        <w:ind w:left="700" w:right="480" w:hanging="346"/>
        <w:spacing w:after="0" w:line="27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 including with respect to our proposed agreement with the Puerto Rico Electric Power Authority;</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increased labor costs, and the unavailability of skilled workers or our failure to attract and retain qualified personnel; and</w:t>
      </w:r>
    </w:p>
    <w:p>
      <w:pPr>
        <w:spacing w:after="0" w:line="137" w:lineRule="exact"/>
        <w:rPr>
          <w:rFonts w:ascii="Arial" w:cs="Arial" w:eastAsia="Arial" w:hAnsi="Arial"/>
          <w:sz w:val="16"/>
          <w:szCs w:val="16"/>
          <w:color w:val="auto"/>
        </w:rPr>
      </w:pPr>
    </w:p>
    <w:p>
      <w:pPr>
        <w:jc w:val="both"/>
        <w:ind w:left="360" w:right="180" w:hanging="6"/>
        <w:spacing w:after="0" w:line="289"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jurisdictions in which we do, or seek to do business, particularly Florida, Jamaica and the Caribbean. When considering forward-looking statements, you should keep in mind the risks set forth under the heading “Risk Factors”</w:t>
      </w:r>
    </w:p>
    <w:p>
      <w:pPr>
        <w:spacing w:after="0" w:line="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and other cautionary statements included in this prospectus.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287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0440" cy="7287260"/>
                    </a:xfrm>
                    <a:prstGeom prst="rect">
                      <a:avLst/>
                    </a:prstGeom>
                    <a:noFill/>
                  </pic:spPr>
                </pic:pic>
              </a:graphicData>
            </a:graphic>
          </wp:anchor>
        </w:drawing>
      </w: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w:t>
      </w:r>
    </w:p>
    <w:p>
      <w:pPr>
        <w:spacing w:after="0" w:line="119" w:lineRule="exact"/>
        <w:rPr>
          <w:sz w:val="20"/>
          <w:szCs w:val="20"/>
          <w:color w:val="auto"/>
        </w:rPr>
      </w:pPr>
    </w:p>
    <w:p>
      <w:pPr>
        <w:ind w:left="120" w:right="100" w:firstLine="358"/>
        <w:spacing w:after="0" w:line="268"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Because it is abbreviated, this summary does not contain all of the information that you should consider before investing in our Class A shares. While this summary highlights what we consider to be the most important information about us, you should read this entire prospectus carefully including, in particular, “Risk Factors,” “Forward-Looking Statements,” “Management’s Discussion and Analysis of Financial Condition and Results of Operations” and the consolidated financial statements and notes included elsewhere in this prospectus. The information presented in this prospectus assumes (i) an initial public offering price of $15.00 per Class A share (which is the proposed initial public offering price on the cover page of this prospectus), (ii) unless otherwise indicated, that the underwriters’ option to purchase additional Class A shares is not exercised and (iii) excludes Class A shares reserved for issuance under our equity incentive plan. This summary is qualified in its entirety by the more detailed information and financial statements and notes thereto included elsewhere in this prospectus.</w:t>
      </w:r>
    </w:p>
    <w:p>
      <w:pPr>
        <w:spacing w:after="0" w:line="71" w:lineRule="exact"/>
        <w:rPr>
          <w:sz w:val="20"/>
          <w:szCs w:val="20"/>
          <w:color w:val="auto"/>
        </w:rPr>
      </w:pPr>
    </w:p>
    <w:p>
      <w:pPr>
        <w:ind w:left="120" w:right="40" w:firstLine="358"/>
        <w:spacing w:after="0" w:line="268" w:lineRule="auto"/>
        <w:rPr>
          <w:sz w:val="20"/>
          <w:szCs w:val="20"/>
          <w:color w:val="auto"/>
        </w:rPr>
      </w:pPr>
      <w:r>
        <w:rPr>
          <w:rFonts w:ascii="Arial" w:cs="Arial" w:eastAsia="Arial" w:hAnsi="Arial"/>
          <w:sz w:val="17"/>
          <w:szCs w:val="17"/>
          <w:i w:val="1"/>
          <w:iCs w:val="1"/>
          <w:color w:val="auto"/>
        </w:rPr>
        <w:t>Unless the context otherwise requires, references in this prospectus to “Company,” “NFE,” “we,” “our,” “us” or like terms refer to New Fortress Energy LLC and its subsidiaries. When used in a historical context, “our,” “us,” “we” or like terms refer to New Fortress Energy Holdings LLC, a Delaware limited liability company (“New Fortress Energy Holdings”), our predecessor for financial reporting purposes. References in this prospectus to “NFI” refer to New Fortress Intermediate LLC, which following the transactions discussed in this prospectus, will own our operating subsidiaries, including NFE Atlantic Holdings LLC (“NFE Atlantic”) as well as limited assets or liabilities of New Fortress Energy Holdings held prior to the completion of this offering. Upon the completion of this offering, we will own a controlling 12.0% membership interest in NFI (through our role as the sole managing member of NFI), and New Fortress Energy Holdings will own a non-controlling 88.0% membership interest in NFI. You should also see the “Glossary of Terms” for definitions of some of the terms we use to describe our business and industry and other terms used in this prospectus.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Fortress Energy LLC</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left="120" w:right="20" w:firstLine="358"/>
        <w:spacing w:after="0" w:line="273" w:lineRule="auto"/>
        <w:rPr>
          <w:sz w:val="20"/>
          <w:szCs w:val="20"/>
          <w:color w:val="auto"/>
        </w:rPr>
      </w:pPr>
      <w:r>
        <w:rPr>
          <w:rFonts w:ascii="Arial" w:cs="Arial" w:eastAsia="Arial" w:hAnsi="Arial"/>
          <w:sz w:val="17"/>
          <w:szCs w:val="17"/>
          <w:color w:val="auto"/>
        </w:rPr>
        <w:t>We are an integrated gas-to-power company that seeks to use “stranded” natural gas to satisfy the world’s large and growing power needs. Our mission is to provide modern infrastructure solutions to create cleaner, reliable energy while generating a positive economic impact worldwide. Our business model is simple, yet, we believe, unique for the liquefied natural gas (“LNG”) industry. We aim to deliver targeted energy solutions to customers around the world, thereby reducing their energy costs and diversifying their energy resources, while also reducing pollution and generating compelling margins.</w:t>
      </w:r>
    </w:p>
    <w:p>
      <w:pPr>
        <w:spacing w:after="0" w:line="6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aim to deliver targeted energy solutions by employing a four-part integrated LNG production and delivery model:</w:t>
      </w:r>
    </w:p>
    <w:p>
      <w:pPr>
        <w:spacing w:after="0" w:line="126" w:lineRule="exact"/>
        <w:rPr>
          <w:sz w:val="20"/>
          <w:szCs w:val="20"/>
          <w:color w:val="auto"/>
        </w:rPr>
      </w:pPr>
    </w:p>
    <w:p>
      <w:pPr>
        <w:ind w:left="120" w:right="60" w:firstLine="358"/>
        <w:spacing w:after="0" w:line="255" w:lineRule="auto"/>
        <w:rPr>
          <w:sz w:val="20"/>
          <w:szCs w:val="20"/>
          <w:color w:val="auto"/>
        </w:rPr>
      </w:pPr>
      <w:r>
        <w:rPr>
          <w:rFonts w:ascii="Arial" w:cs="Arial" w:eastAsia="Arial" w:hAnsi="Arial"/>
          <w:sz w:val="18"/>
          <w:szCs w:val="18"/>
          <w:i w:val="1"/>
          <w:iCs w:val="1"/>
          <w:color w:val="auto"/>
        </w:rPr>
        <w:t xml:space="preserve">Liquefaction </w:t>
      </w:r>
      <w:r>
        <w:rPr>
          <w:rFonts w:ascii="Arial" w:cs="Arial" w:eastAsia="Arial" w:hAnsi="Arial"/>
          <w:sz w:val="18"/>
          <w:szCs w:val="18"/>
          <w:color w:val="auto"/>
        </w:rPr>
        <w:t>– Our approach is to enter into long-term, largely fixed-price contracts for feedgas, then liquefy that gas at or</w:t>
      </w:r>
      <w:r>
        <w:rPr>
          <w:rFonts w:ascii="Arial" w:cs="Arial" w:eastAsia="Arial" w:hAnsi="Arial"/>
          <w:sz w:val="18"/>
          <w:szCs w:val="18"/>
          <w:i w:val="1"/>
          <w:iCs w:val="1"/>
          <w:color w:val="auto"/>
        </w:rPr>
        <w:t xml:space="preserve"> </w:t>
      </w:r>
      <w:r>
        <w:rPr>
          <w:rFonts w:ascii="Arial" w:cs="Arial" w:eastAsia="Arial" w:hAnsi="Arial"/>
          <w:sz w:val="18"/>
          <w:szCs w:val="18"/>
          <w:color w:val="auto"/>
        </w:rPr>
        <w:t>proximate to its site of extraction, minimizing transport and pipeline costs for the feedgas producers. We are currently developing a liquefier on land we have purchased in the Marcellus area of Pennsylvania, which is expected to have the capacity to produce approximately 3 to 4 million gallons of LNG (which is the equivalent of 250,000 to 350,000 MMBtu) per day, and intend to develop five or more additional liquefiers over the next five years.</w:t>
      </w:r>
    </w:p>
    <w:p>
      <w:pPr>
        <w:spacing w:after="0" w:line="81" w:lineRule="exact"/>
        <w:rPr>
          <w:sz w:val="20"/>
          <w:szCs w:val="20"/>
          <w:color w:val="auto"/>
        </w:rPr>
      </w:pPr>
    </w:p>
    <w:p>
      <w:pPr>
        <w:ind w:left="120" w:right="40" w:firstLine="358"/>
        <w:spacing w:after="0" w:line="261"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 We expect to own or control the logistics assets necessary to deliver LNG to our customers through our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Tanker trucks will transport LNG from our liquefier to a port on the Delaware River, at which point LNG will be transloaded directly to large marine vessels.</w:t>
      </w:r>
    </w:p>
    <w:p>
      <w:pPr>
        <w:spacing w:after="0" w:line="76" w:lineRule="exact"/>
        <w:rPr>
          <w:sz w:val="20"/>
          <w:szCs w:val="20"/>
          <w:color w:val="auto"/>
        </w:rPr>
      </w:pPr>
    </w:p>
    <w:p>
      <w:pPr>
        <w:ind w:left="120" w:right="180" w:firstLine="358"/>
        <w:spacing w:after="0" w:line="257"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both large-scale floating storage units (“FSUs”) and floating storage and</w:t>
      </w:r>
      <w:r>
        <w:rPr>
          <w:rFonts w:ascii="Arial" w:cs="Arial" w:eastAsia="Arial" w:hAnsi="Arial"/>
          <w:sz w:val="18"/>
          <w:szCs w:val="18"/>
          <w:i w:val="1"/>
          <w:iCs w:val="1"/>
          <w:color w:val="auto"/>
        </w:rPr>
        <w:t xml:space="preserve"> </w:t>
      </w:r>
      <w:r>
        <w:rPr>
          <w:rFonts w:ascii="Arial" w:cs="Arial" w:eastAsia="Arial" w:hAnsi="Arial"/>
          <w:sz w:val="18"/>
          <w:szCs w:val="18"/>
          <w:color w:val="auto"/>
        </w:rPr>
        <w:t>regasification units (“FSRUs”), and smaller liquefied natural gas carriers (“LNGCs”). These assets transport LNG from ports to our downstream terminals for ultimate delivery to our customers. There is approximately a five day sail time from a Delaware River port to our downstream terminals in the Caribbean.</w:t>
      </w:r>
    </w:p>
    <w:p>
      <w:pPr>
        <w:spacing w:after="0" w:line="79" w:lineRule="exact"/>
        <w:rPr>
          <w:sz w:val="20"/>
          <w:szCs w:val="20"/>
          <w:color w:val="auto"/>
        </w:rPr>
      </w:pPr>
    </w:p>
    <w:p>
      <w:pPr>
        <w:ind w:left="120" w:right="80" w:firstLine="358"/>
        <w:spacing w:after="0" w:line="257" w:lineRule="auto"/>
        <w:rPr>
          <w:sz w:val="20"/>
          <w:szCs w:val="20"/>
          <w:color w:val="auto"/>
        </w:rPr>
      </w:pPr>
      <w:r>
        <w:rPr>
          <w:rFonts w:ascii="Arial" w:cs="Arial" w:eastAsia="Arial" w:hAnsi="Arial"/>
          <w:sz w:val="18"/>
          <w:szCs w:val="18"/>
          <w:i w:val="1"/>
          <w:iCs w:val="1"/>
          <w:color w:val="auto"/>
        </w:rPr>
        <w:t xml:space="preserve">Terminals </w:t>
      </w:r>
      <w:r>
        <w:rPr>
          <w:rFonts w:ascii="Arial" w:cs="Arial" w:eastAsia="Arial" w:hAnsi="Arial"/>
          <w:sz w:val="18"/>
          <w:szCs w:val="18"/>
          <w:color w:val="auto"/>
        </w:rPr>
        <w:t>– Through our network of current and planned downstream terminals, we will be positioned to deliver gas and</w:t>
      </w:r>
      <w:r>
        <w:rPr>
          <w:rFonts w:ascii="Arial" w:cs="Arial" w:eastAsia="Arial" w:hAnsi="Arial"/>
          <w:sz w:val="18"/>
          <w:szCs w:val="18"/>
          <w:i w:val="1"/>
          <w:iCs w:val="1"/>
          <w:color w:val="auto"/>
        </w:rPr>
        <w:t xml:space="preserve"> </w:t>
      </w:r>
      <w:r>
        <w:rPr>
          <w:rFonts w:ascii="Arial" w:cs="Arial" w:eastAsia="Arial" w:hAnsi="Arial"/>
          <w:sz w:val="18"/>
          <w:szCs w:val="18"/>
          <w:color w:val="auto"/>
        </w:rPr>
        <w:t>power solutions to our customers seeking either to transition from environmentally dirtier distillate fuels such as ADO and heavy fuel oil (“HFO”) or to purchase natural gas to meet their current fuel needs. Our goal is to build 10 - 20 downstream terminals and 5 - 10 liquefaction facilities over the next five years.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5855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60440" cy="5855970"/>
                    </a:xfrm>
                    <a:prstGeom prst="rect">
                      <a:avLst/>
                    </a:prstGeom>
                    <a:noFill/>
                  </pic:spPr>
                </pic:pic>
              </a:graphicData>
            </a:graphic>
          </wp:anchor>
        </w:drawing>
      </w:r>
    </w:p>
    <w:p>
      <w:pPr>
        <w:spacing w:after="0" w:line="243" w:lineRule="exact"/>
        <w:rPr>
          <w:sz w:val="20"/>
          <w:szCs w:val="20"/>
          <w:color w:val="auto"/>
        </w:rPr>
      </w:pPr>
    </w:p>
    <w:p>
      <w:pPr>
        <w:ind w:left="120" w:right="80" w:firstLine="358"/>
        <w:spacing w:after="0" w:line="254" w:lineRule="auto"/>
        <w:rPr>
          <w:sz w:val="20"/>
          <w:szCs w:val="20"/>
          <w:color w:val="auto"/>
        </w:rPr>
      </w:pPr>
      <w:r>
        <w:rPr>
          <w:rFonts w:ascii="Arial" w:cs="Arial" w:eastAsia="Arial" w:hAnsi="Arial"/>
          <w:sz w:val="18"/>
          <w:szCs w:val="18"/>
          <w:color w:val="auto"/>
        </w:rPr>
        <w:t>We believe this compelling business model will provide opportunities to generate average revenues in excess of approximately $10.00 per MMBtu, including both fuel sales and capacity charges (we often invest capital in infrastructure in connection with our entry into a new market, and customers agree to pay a “capacity charge” as consideration for the right to use the underlying infrastructure). We expect individual contract pricing is likely to range between $8.00 and $13.00 per MMBtu, depending on the customer’s size, purchased volume, credit profile, the complexity of the delivery and the infrastructure required to deliver it.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NFE’s Global Market Landscape</w:t>
      </w:r>
    </w:p>
    <w:p>
      <w:pPr>
        <w:spacing w:after="0" w:line="119" w:lineRule="exact"/>
        <w:rPr>
          <w:sz w:val="20"/>
          <w:szCs w:val="20"/>
          <w:color w:val="auto"/>
        </w:rPr>
      </w:pPr>
    </w:p>
    <w:p>
      <w:pPr>
        <w:ind w:left="120" w:right="60" w:firstLine="358"/>
        <w:spacing w:after="0" w:line="270" w:lineRule="auto"/>
        <w:rPr>
          <w:sz w:val="20"/>
          <w:szCs w:val="20"/>
          <w:color w:val="auto"/>
        </w:rPr>
      </w:pPr>
      <w:r>
        <w:rPr>
          <w:rFonts w:ascii="Arial" w:cs="Arial" w:eastAsia="Arial" w:hAnsi="Arial"/>
          <w:sz w:val="17"/>
          <w:szCs w:val="17"/>
          <w:color w:val="auto"/>
        </w:rPr>
        <w:t>We believe that the world is “long” gas and “short” power, and that natural gas is a compelling fuel for power production. But because much of the world’s natural gas reserves are not directly connected by pipeline to electricity producers and other end users, it must be otherwise transported. An efficient way to transport is through the conversion of natural gas to LNG, which involves treating natural gas to remove impurities and then chilling it to approximately negative 260 degrees Fahrenheit, a process generally referred to as liquefaction. In LNG form, natural gas is typically transported in bulk by containers or tankers hauled by rail or truck or by marine vessels, such as LNG carriers. Once delivered to its end destination, LNG can be reconverted to natural gas through a process referred to as “regasification.”</w:t>
      </w:r>
    </w:p>
    <w:p>
      <w:pPr>
        <w:spacing w:after="0" w:line="70" w:lineRule="exact"/>
        <w:rPr>
          <w:sz w:val="20"/>
          <w:szCs w:val="20"/>
          <w:color w:val="auto"/>
        </w:rPr>
      </w:pPr>
    </w:p>
    <w:p>
      <w:pPr>
        <w:ind w:left="120" w:right="40" w:firstLine="358"/>
        <w:spacing w:after="0" w:line="267" w:lineRule="auto"/>
        <w:rPr>
          <w:sz w:val="20"/>
          <w:szCs w:val="20"/>
          <w:color w:val="auto"/>
        </w:rPr>
      </w:pPr>
      <w:r>
        <w:rPr>
          <w:rFonts w:ascii="Arial" w:cs="Arial" w:eastAsia="Arial" w:hAnsi="Arial"/>
          <w:sz w:val="17"/>
          <w:szCs w:val="17"/>
          <w:color w:val="auto"/>
        </w:rPr>
        <w:t>Today approximately 70% of the world’s electricity is consumed by 10 countries and over a billion people, or approximately 14% of the world’s population, currently lack access to electricity, according to the International Energy Agency’s October 2017 report. As economic development worldwide spurs demand for electricity, approximately 1.5 million MW of new power is expected to be needed by 2040, according to Exxon Mobil’s 2017 Outlook on Energy. To satisfy these power needs with gas-fired power would require approximately 3.75 billion gallons of LNG (or 310 TBtu) per day (based upon an estimated conversion of 2,500 gallons per day of LNG for every MW of power capacity). Further, we believe that many countries around the world – keenly focused on economics as well as the environment – will increasingly look to natural gas to displace environmentally dirtier fuels such as HFO, ADO and coal that are used to generate power, particularly if natural gas is cheaper than these environmentally dirtier fuels. For example, most islands in the Caribbean generate 90% to 100% of their electricity from HFO or ADO, as compared to less than 1% of electricity generation in the United States. We believe there is a significant market opportunity.</w:t>
      </w:r>
    </w:p>
    <w:p>
      <w:pPr>
        <w:spacing w:after="0" w:line="76" w:lineRule="exact"/>
        <w:rPr>
          <w:sz w:val="20"/>
          <w:szCs w:val="20"/>
          <w:color w:val="auto"/>
        </w:rPr>
      </w:pPr>
    </w:p>
    <w:p>
      <w:pPr>
        <w:ind w:left="120" w:right="60" w:firstLine="358"/>
        <w:spacing w:after="0" w:line="268" w:lineRule="auto"/>
        <w:rPr>
          <w:sz w:val="20"/>
          <w:szCs w:val="20"/>
          <w:color w:val="auto"/>
        </w:rPr>
      </w:pPr>
      <w:r>
        <w:rPr>
          <w:rFonts w:ascii="Arial" w:cs="Arial" w:eastAsia="Arial" w:hAnsi="Arial"/>
          <w:sz w:val="17"/>
          <w:szCs w:val="17"/>
          <w:color w:val="auto"/>
        </w:rPr>
        <w:t>Liquefaction projects currently under construction are expected to come online by 2020. Afterward, LNG supply growth is expected to slow through 2025. According to the Shell 2018 LNG Outlook Report, from 2020 through 2025, LNG demand expectations exceed supply estimates and, at 2025, supply estimates are almost half that of demand expectations. By 2025, this equates to an addressable LNG market with 450 mtpa (approximately 740 million gallons per day) of demand, which management estimates to represent a global market value of approximately $212 billion per annum. According to the 2018 World LNG Report by the International Gas Union, existing global liquefaction capacity is estimated to be 369 mtpa. Based on this report, by 2025, we expect the shortfall in supply to be approximately 200 mtpa versus current operating plants and 100 mtpa versus projects under construction. This shortfall is the equivalent of approximately 50 to 100 liquefiers of similar capacity to our liquefier in Pennsylvania.</w:t>
      </w:r>
    </w:p>
    <w:p>
      <w:pPr>
        <w:spacing w:after="0" w:line="74" w:lineRule="exact"/>
        <w:rPr>
          <w:sz w:val="20"/>
          <w:szCs w:val="20"/>
          <w:color w:val="auto"/>
        </w:rPr>
      </w:pPr>
    </w:p>
    <w:p>
      <w:pPr>
        <w:ind w:left="120" w:right="80" w:firstLine="358"/>
        <w:spacing w:after="0" w:line="277" w:lineRule="auto"/>
        <w:rPr>
          <w:sz w:val="20"/>
          <w:szCs w:val="20"/>
          <w:color w:val="auto"/>
        </w:rPr>
      </w:pPr>
      <w:r>
        <w:rPr>
          <w:rFonts w:ascii="Arial" w:cs="Arial" w:eastAsia="Arial" w:hAnsi="Arial"/>
          <w:sz w:val="17"/>
          <w:szCs w:val="17"/>
          <w:color w:val="auto"/>
        </w:rPr>
        <w:t>We plan to capitalize on this growing supply-demand gap and create new markets for natural gas by developing liquefaction assets, particularly in areas with significant “stranded” reserves, which we define as natural gas reserves not connected to large interstate or transnational pipelines. That is, not only are these reserves not connected by pipeline to end users, they are not connected to any significant pipeline – as is the case in Pennsylvania.</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62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60440" cy="762825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hanging="34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Federal Institute for Geosciences and Natural Resources, “BGR Energy Study” 2017</w:t>
      </w:r>
    </w:p>
    <w:p>
      <w:pPr>
        <w:spacing w:after="0" w:line="107" w:lineRule="exact"/>
        <w:rPr>
          <w:rFonts w:ascii="Arial" w:cs="Arial" w:eastAsia="Arial" w:hAnsi="Arial"/>
          <w:sz w:val="14"/>
          <w:szCs w:val="14"/>
          <w:color w:val="auto"/>
        </w:rPr>
      </w:pPr>
    </w:p>
    <w:p>
      <w:pPr>
        <w:ind w:left="460" w:hanging="34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World Bank, “Electric Power Consumption (KWh per Capita)”</w:t>
      </w:r>
    </w:p>
    <w:p>
      <w:pPr>
        <w:spacing w:after="0" w:line="107" w:lineRule="exact"/>
        <w:rPr>
          <w:rFonts w:ascii="Arial" w:cs="Arial" w:eastAsia="Arial" w:hAnsi="Arial"/>
          <w:sz w:val="14"/>
          <w:szCs w:val="14"/>
          <w:color w:val="auto"/>
        </w:rPr>
      </w:pPr>
    </w:p>
    <w:p>
      <w:pPr>
        <w:ind w:left="460" w:hanging="34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Shell 2018 LNG Outlook Report</w:t>
      </w:r>
    </w:p>
    <w:p>
      <w:pPr>
        <w:spacing w:after="0" w:line="107" w:lineRule="exact"/>
        <w:rPr>
          <w:rFonts w:ascii="Arial" w:cs="Arial" w:eastAsia="Arial" w:hAnsi="Arial"/>
          <w:sz w:val="14"/>
          <w:szCs w:val="14"/>
          <w:color w:val="auto"/>
        </w:rPr>
      </w:pPr>
    </w:p>
    <w:p>
      <w:pPr>
        <w:ind w:left="460" w:hanging="34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2018 World LNG Report, International Gas Union, Ranked by Nominal Liquefaction Capacity (2017)</w:t>
      </w:r>
    </w:p>
    <w:p>
      <w:pPr>
        <w:sectPr>
          <w:pgSz w:w="12240" w:h="15840" w:orient="portrait"/>
          <w:cols w:equalWidth="0" w:num="1">
            <w:col w:w="9440"/>
          </w:cols>
          <w:pgMar w:left="1360" w:top="138" w:right="1440"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603059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4834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0440" cy="4834255"/>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19" w:lineRule="exact"/>
        <w:rPr>
          <w:sz w:val="20"/>
          <w:szCs w:val="20"/>
          <w:color w:val="auto"/>
        </w:rPr>
      </w:pPr>
    </w:p>
    <w:p>
      <w:pPr>
        <w:ind w:left="120" w:right="40" w:firstLine="358"/>
        <w:spacing w:after="0" w:line="291" w:lineRule="auto"/>
        <w:rPr>
          <w:sz w:val="20"/>
          <w:szCs w:val="20"/>
          <w:color w:val="auto"/>
        </w:rPr>
      </w:pPr>
      <w:r>
        <w:rPr>
          <w:rFonts w:ascii="Arial" w:cs="Arial" w:eastAsia="Arial" w:hAnsi="Arial"/>
          <w:sz w:val="16"/>
          <w:szCs w:val="16"/>
          <w:color w:val="auto"/>
        </w:rPr>
        <w:t>As an integrated gas-to-power LNG company, our business model spans the entire production and delivery chain from natural gas procurement and liquefaction to logistics, shipping, terminals and conversion or development of natural gas-fired generation. While historically, liquefaction, transportation, regasification and power generation have been financed separately, the segregation of such projects has inhibited the development of natural gas-fired power in many developing countries. In executing this business model, we have the capability to build or arrange any necessary infrastructure ourselves without reliance on multilateral financing sources or traditional project finance structures, so that we maintain our strategic flexibility.</w:t>
      </w:r>
    </w:p>
    <w:p>
      <w:pPr>
        <w:spacing w:after="0" w:line="57" w:lineRule="exact"/>
        <w:rPr>
          <w:sz w:val="20"/>
          <w:szCs w:val="20"/>
          <w:color w:val="auto"/>
        </w:rPr>
      </w:pPr>
    </w:p>
    <w:p>
      <w:pPr>
        <w:ind w:left="120" w:right="20" w:firstLine="358"/>
        <w:spacing w:after="0" w:line="282" w:lineRule="auto"/>
        <w:rPr>
          <w:sz w:val="20"/>
          <w:szCs w:val="20"/>
          <w:color w:val="auto"/>
        </w:rPr>
      </w:pPr>
      <w:r>
        <w:rPr>
          <w:rFonts w:ascii="Arial" w:cs="Arial" w:eastAsia="Arial" w:hAnsi="Arial"/>
          <w:sz w:val="16"/>
          <w:szCs w:val="16"/>
          <w:color w:val="auto"/>
        </w:rPr>
        <w:t>Our goal is to purchase gas, liquefy it, and transport it to one of our export facilities at a cost of approximately $4.20 per MMBtu or less (before owner’s costs such as marketing and administrative costs, financing costs and contingencies). We expect our downstream transportation, shipping and regasification costs to approximate $1.50 per MMBtu, which is consistent with the costs of our current operations. Our goal is to sell substantially all of this gas to downstream customers under long-term contracts at targeted pricing in excess of approximately $10.00 per MMBtu, including both fuel sales and capacity charges. Gas not delivered to downstream customers would be sold on the spot market. Currently, the market price for LNG delivered via LNGC is approximately $7.00 to $12.00 per MMBtu, depending on the size of cargoes purchased. For contracted delivery, assuming the costs and sales prices described above, we seek to earn a margin of $4.30 per MMBtu, or $0.36 per gallon, which would equal a margin of 40% or more, on our gas sales. For spot sales, we seek to earn an attractive margin by adjusting our sales price based on current market rates. Our operations, which are currently conducted at our LNG storage and regasification terminal at the Port of Montego Bay, Jamaica (the “Montego Bay Terminal”) and at our liquefaction, storage and production facility in Miami, Florida (the “Miami Facility”), are currently generating revenue on sales of approximately 400,000 gallons of LNG (33,000 MMBtu) per day. We have contracts, letters of intent or expect to secure contracts in the near term to sell LNG volumes in excess of 12.4 million gallons (1,025,000 MMBtu) per day, which includes approximately 2.2 million gallons per day that we expect to sell to customers under existing contracts, assuming with respect to the Puerto Rico Electric Power Authority (“PREPA”) contract, satisfactory completion of the ongoing review by the Puerto Rico Energy Bureau (the “PREB”) and the Financial Oversight and Management Board for Puerto Rico (the “FOMB”) and final entry into the contract related to such volumes. On January 25, 2019, the PREB approved our proposed agreement with PREPA. See “Risk Factors—Our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 We are in active discussions with additional customers who may have significant demand for additional LNG, although there can be no assurance that these discussions will result in additional contracts or the terms of such contracts or that we will achieve our target pricing or margins. See “Risk Factors—Our ability to implement our business strategy may be materially and adversely affected by many known and unknown factors.”</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457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60440" cy="7457440"/>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Terminals</w:t>
      </w:r>
    </w:p>
    <w:p>
      <w:pPr>
        <w:spacing w:after="0" w:line="119" w:lineRule="exact"/>
        <w:rPr>
          <w:sz w:val="20"/>
          <w:szCs w:val="20"/>
          <w:color w:val="auto"/>
        </w:rPr>
      </w:pPr>
    </w:p>
    <w:p>
      <w:pPr>
        <w:ind w:left="120" w:right="80" w:firstLine="358"/>
        <w:spacing w:after="0" w:line="274" w:lineRule="auto"/>
        <w:rPr>
          <w:sz w:val="20"/>
          <w:szCs w:val="20"/>
          <w:color w:val="auto"/>
        </w:rPr>
      </w:pPr>
      <w:r>
        <w:rPr>
          <w:rFonts w:ascii="Arial" w:cs="Arial" w:eastAsia="Arial" w:hAnsi="Arial"/>
          <w:sz w:val="18"/>
          <w:szCs w:val="18"/>
          <w:color w:val="auto"/>
        </w:rPr>
        <w:t>Downstream, we have six terminals operational or under development. Our terminals will position us to access customers in a number of attractive markets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right="100" w:firstLine="358"/>
        <w:spacing w:after="0" w:line="257" w:lineRule="auto"/>
        <w:rPr>
          <w:sz w:val="20"/>
          <w:szCs w:val="20"/>
          <w:color w:val="auto"/>
        </w:rPr>
      </w:pPr>
      <w:r>
        <w:rPr>
          <w:rFonts w:ascii="Arial" w:cs="Arial" w:eastAsia="Arial" w:hAnsi="Arial"/>
          <w:sz w:val="18"/>
          <w:szCs w:val="18"/>
          <w:color w:val="auto"/>
        </w:rPr>
        <w:t>We look to build terminals in locations where the need for LNG is significant.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79" w:lineRule="exact"/>
        <w:rPr>
          <w:sz w:val="20"/>
          <w:szCs w:val="20"/>
          <w:color w:val="auto"/>
        </w:rPr>
      </w:pPr>
    </w:p>
    <w:p>
      <w:pPr>
        <w:ind w:left="120" w:right="20" w:firstLine="358"/>
        <w:spacing w:after="0" w:line="255" w:lineRule="auto"/>
        <w:rPr>
          <w:sz w:val="20"/>
          <w:szCs w:val="20"/>
          <w:color w:val="auto"/>
        </w:rPr>
      </w:pPr>
      <w:r>
        <w:rPr>
          <w:rFonts w:ascii="Arial" w:cs="Arial" w:eastAsia="Arial" w:hAnsi="Arial"/>
          <w:sz w:val="18"/>
          <w:szCs w:val="18"/>
          <w:color w:val="auto"/>
        </w:rPr>
        <w:t>We currently have two operational terminals and four under development, as described below. We design and construct terminals to meet the supply and demand specifications of our current and potential future customers in the applicable region. Our terminals currently operating or under development are expected to be capable of receiving between 700,000 and 6 million LNG gallons (58,000 and 500,000 MMBtu) per day depending upon the needs of our customers and potential demand in the region. Set forth below is additional detail regarding each terminal:</w:t>
      </w:r>
    </w:p>
    <w:p>
      <w:pPr>
        <w:spacing w:after="0" w:line="81" w:lineRule="exact"/>
        <w:rPr>
          <w:sz w:val="20"/>
          <w:szCs w:val="20"/>
          <w:color w:val="auto"/>
        </w:rPr>
      </w:pPr>
    </w:p>
    <w:p>
      <w:pPr>
        <w:ind w:left="120" w:right="40" w:firstLine="358"/>
        <w:spacing w:after="0" w:line="268" w:lineRule="auto"/>
        <w:rPr>
          <w:sz w:val="20"/>
          <w:szCs w:val="20"/>
          <w:color w:val="auto"/>
        </w:rPr>
      </w:pPr>
      <w:r>
        <w:rPr>
          <w:rFonts w:ascii="Arial" w:cs="Arial" w:eastAsia="Arial" w:hAnsi="Arial"/>
          <w:sz w:val="17"/>
          <w:szCs w:val="17"/>
          <w:i w:val="1"/>
          <w:iCs w:val="1"/>
          <w:color w:val="auto"/>
        </w:rPr>
        <w:t xml:space="preserve">Montego Bay, Jamaica – </w:t>
      </w:r>
      <w:r>
        <w:rPr>
          <w:rFonts w:ascii="Arial" w:cs="Arial" w:eastAsia="Arial" w:hAnsi="Arial"/>
          <w:sz w:val="17"/>
          <w:szCs w:val="17"/>
          <w:color w:val="auto"/>
        </w:rPr>
        <w:t>Our Montego Bay Terminal commenced commercial operations in October 2016. The terminal is</w:t>
      </w:r>
      <w:r>
        <w:rPr>
          <w:rFonts w:ascii="Arial" w:cs="Arial" w:eastAsia="Arial" w:hAnsi="Arial"/>
          <w:sz w:val="17"/>
          <w:szCs w:val="17"/>
          <w:i w:val="1"/>
          <w:iCs w:val="1"/>
          <w:color w:val="auto"/>
        </w:rPr>
        <w:t xml:space="preserve"> </w:t>
      </w:r>
      <w:r>
        <w:rPr>
          <w:rFonts w:ascii="Arial" w:cs="Arial" w:eastAsia="Arial" w:hAnsi="Arial"/>
          <w:sz w:val="17"/>
          <w:szCs w:val="17"/>
          <w:color w:val="auto"/>
        </w:rPr>
        <w:t>capable of processing up to 740,000 LNG gallons (61,000 MMBtu) per day and features approximately 7,000 cubic meters of onsite storage. It supplies natural gas to 145MW turbines at the power plant operated by Jamaican Public Service Company Limited (“JPS”) pursuant to a long-term contract for natural gas equivalent to approximately 300,000 gallons of LNG (25,000 MMBtu) per day. The Montego Bay Terminal also supplies several on-island industrial users with natural gas or LNG pursuant to other long-term take-or-pay contracts. Our Montego Bay Terminal is currently operating at 42% capacity to service JPS and these other industrial users. We have the ability to service other potential customers with the excess capacity of the Montego Bay Terminal, and we are seeking to enter into long-term contracts with new customers for such purposes. We deliver LNG to the Montego Bay Terminal via small LNGC.</w:t>
      </w:r>
    </w:p>
    <w:p>
      <w:pPr>
        <w:spacing w:after="0" w:line="74" w:lineRule="exact"/>
        <w:rPr>
          <w:sz w:val="20"/>
          <w:szCs w:val="20"/>
          <w:color w:val="auto"/>
        </w:rPr>
      </w:pPr>
    </w:p>
    <w:p>
      <w:pPr>
        <w:ind w:left="120" w:right="40" w:firstLine="358"/>
        <w:spacing w:after="0" w:line="287" w:lineRule="auto"/>
        <w:rPr>
          <w:sz w:val="20"/>
          <w:szCs w:val="20"/>
          <w:color w:val="auto"/>
        </w:rPr>
      </w:pPr>
      <w:r>
        <w:rPr>
          <w:rFonts w:ascii="Arial" w:cs="Arial" w:eastAsia="Arial" w:hAnsi="Arial"/>
          <w:sz w:val="16"/>
          <w:szCs w:val="16"/>
          <w:i w:val="1"/>
          <w:iCs w:val="1"/>
          <w:color w:val="auto"/>
        </w:rPr>
        <w:t xml:space="preserve">Old Harbour, Jamaica – </w:t>
      </w:r>
      <w:r>
        <w:rPr>
          <w:rFonts w:ascii="Arial" w:cs="Arial" w:eastAsia="Arial" w:hAnsi="Arial"/>
          <w:sz w:val="16"/>
          <w:szCs w:val="16"/>
          <w:color w:val="auto"/>
        </w:rPr>
        <w:t>Our marine LNG storage and regasification terminal in Old Harbour, Jamaica (the “Old Harbour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 and, together with the Montego Bay Terminal, the “Jamaica Terminals”) is substantially complete and expected to commence commercial operations in the first quarter of 2019. It is capable of processing approximately 6 million gallons of LNG (500,000 MMBtu) per day. The Old Harbour Terminal is expected to supply gas to a new 190MW Old Harbour power plant (the “Old Harbour Power Plant”) operated by South Jamaica Power Company Limited (“JPC”) pursuant to a long-term contract for natural gas equivalent to approximately 350,000 gallons of LNG (29,000 MMBtu) per day. We also expect the Old Harbour Terminal to supply gas to a new 150MW power plant that we are constructing, and approximately 269,000 gallons of LNG (22,000 MMBtu) per day to the alumina refinery operated by Jamalco, an entity owned by the government of Jamaica with a focus on bauxite mining and alumina production in Jamaica. We have also entered</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6673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0440" cy="6673850"/>
                    </a:xfrm>
                    <a:prstGeom prst="rect">
                      <a:avLst/>
                    </a:prstGeom>
                    <a:noFill/>
                  </pic:spPr>
                </pic:pic>
              </a:graphicData>
            </a:graphic>
          </wp:anchor>
        </w:drawing>
      </w:r>
    </w:p>
    <w:p>
      <w:pPr>
        <w:spacing w:after="0" w:line="136"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into a 20-year steam supply agreement (“SSA”) to supply Jamalco with steam for use in its alumina refinery operations. We expect that our Old Harbour Terminal will operate at 16% capacity to service JPC and Jamalco. We will have the ability to service other potential customers with the excess capacity of the Old Harbour Terminal, and we are seeking to enter into long-term contracts with new customers for such purposes. The Old Harbour Terminal is an offshore terminal with storage and regasification equipment via FSRU. The offshore design eliminates the need for expensive storage tanks and permanent, onshore infrastructure.</w:t>
      </w:r>
    </w:p>
    <w:p>
      <w:pPr>
        <w:spacing w:after="0" w:line="81" w:lineRule="exact"/>
        <w:rPr>
          <w:sz w:val="20"/>
          <w:szCs w:val="20"/>
          <w:color w:val="auto"/>
        </w:rPr>
      </w:pPr>
    </w:p>
    <w:p>
      <w:pPr>
        <w:ind w:left="120" w:right="40" w:firstLine="358"/>
        <w:spacing w:after="0" w:line="282" w:lineRule="auto"/>
        <w:rPr>
          <w:sz w:val="20"/>
          <w:szCs w:val="20"/>
          <w:color w:val="auto"/>
        </w:rPr>
      </w:pPr>
      <w:r>
        <w:rPr>
          <w:rFonts w:ascii="Arial" w:cs="Arial" w:eastAsia="Arial" w:hAnsi="Arial"/>
          <w:sz w:val="16"/>
          <w:szCs w:val="16"/>
          <w:i w:val="1"/>
          <w:iCs w:val="1"/>
          <w:color w:val="auto"/>
        </w:rPr>
        <w:t xml:space="preserve">San Juan, Puerto Rico </w:t>
      </w:r>
      <w:r>
        <w:rPr>
          <w:rFonts w:ascii="Arial" w:cs="Arial" w:eastAsia="Arial" w:hAnsi="Arial"/>
          <w:sz w:val="16"/>
          <w:szCs w:val="16"/>
          <w:color w:val="auto"/>
        </w:rPr>
        <w:t>– Our San Juan facility is currently under development and is expected to commence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 the second quarter of 2019. It is designed as a landed multi-fuel handling facility located in the Port of San Juan, Puerto Rico (the “San Juan Facility”). The San Juan Facility is being constructed with multiple truck loading bays to provide LNG to on-island industrial users. In addition, PREPA selected our proposal to convert and supply natural gas to Units 5 and 6 of the San Juan Combined Cycle Power Plant (the “San Juan Power Plant”) – which together have a capacity of 440MW. The San Juan Power Plant is currently running on diesel, and we plan to convert the San Juan Power Plant to run on natural gas and provide up to approximately 25 TBtu of natural gas per year, which would equal approximately 850,000 gallons of LNG (70,000 MMBtu) per day. We are in advanced stages of finalizing an agreement with PREPA for the conversion of the San Juan Power Plant and the right to provide natural gas to PREPA for use as fuel for Units 5 and 6 of the San Juan Power Plant. On January 25, 2019, the PREB approved our proposed agreement with PREPA, and the agreement is currently under review by the FOMB. Although we expect such review to be completed by the end of January 2019, there can be no assurance that such regulatory review will be completed on this timeline or that we will not need to make adjustments to the agreement as a result of such regulatory review or that we will be able to enter into such contract at all. It is also possible that our ability to enter into an agreement with PREPA may be delayed, or the terms of any agreement may be changed, by litigation or other challenges that impact our ability to be awarded the PREPA contract. See “Risk Factors—Our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 We expect the conversion to natural gas would allow PREPA to realize significant, recurring annual cost savings of approximately $285 million (based on current diesel pricing and information provided in PREPA’s request for proposals) after one time conversion costs while also using a more sustainable, environmentally friendly form of energy.</w:t>
      </w:r>
    </w:p>
    <w:p>
      <w:pPr>
        <w:spacing w:after="0" w:line="75" w:lineRule="exact"/>
        <w:rPr>
          <w:sz w:val="20"/>
          <w:szCs w:val="20"/>
          <w:color w:val="auto"/>
        </w:rPr>
      </w:pPr>
    </w:p>
    <w:p>
      <w:pPr>
        <w:ind w:left="120" w:right="140" w:firstLine="358"/>
        <w:spacing w:after="0" w:line="287" w:lineRule="auto"/>
        <w:rPr>
          <w:sz w:val="20"/>
          <w:szCs w:val="20"/>
          <w:color w:val="auto"/>
        </w:rPr>
      </w:pPr>
      <w:r>
        <w:rPr>
          <w:rFonts w:ascii="Arial" w:cs="Arial" w:eastAsia="Arial" w:hAnsi="Arial"/>
          <w:sz w:val="16"/>
          <w:szCs w:val="16"/>
          <w:i w:val="1"/>
          <w:iCs w:val="1"/>
          <w:color w:val="auto"/>
        </w:rPr>
        <w:t xml:space="preserve">La Paz, Baja California Sur, Mexico </w:t>
      </w:r>
      <w:r>
        <w:rPr>
          <w:rFonts w:ascii="Arial" w:cs="Arial" w:eastAsia="Arial" w:hAnsi="Arial"/>
          <w:sz w:val="16"/>
          <w:szCs w:val="16"/>
          <w:color w:val="auto"/>
        </w:rPr>
        <w:t>– We were awarded a public tender to build, own and operate an LNG regasification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 (the “La Paz Terminal”) on August 13, 2018. The La Paz terminal is currently under development and is expected to commence commercial operations in the fourth quarter of 2019. It is being designed as an LNG receiving terminal located at the Port of Pichilingue in Baja California Sur, Mexico, where LNG will be delivered via a small LNGC vessel or barge from a mothership moored nearby. Initially, the La Paz Terminal is expected to supply approximately 225,000 gallons of LNG (18,000 MMBtu) per day under an intercompany GSA for a 93MW gas-fired mobile power unit that we plan to develop, own, and operate. Similarly, we expect that we will use the La Paz Terminal infrastructure, which includes truckloading bays, to facilitate the conversion of, and supply approximately 180,000 gallons of LNG (15,000 MMBtu) per day to the 85MW Los Cabos power plant owned by Comision Federal de Electridad, as well as regional industrial users such as ferries and hotels.</w:t>
      </w:r>
    </w:p>
    <w:p>
      <w:pPr>
        <w:spacing w:after="0" w:line="59" w:lineRule="exact"/>
        <w:rPr>
          <w:sz w:val="20"/>
          <w:szCs w:val="20"/>
          <w:color w:val="auto"/>
        </w:rPr>
      </w:pPr>
    </w:p>
    <w:p>
      <w:pPr>
        <w:ind w:left="120" w:right="20" w:firstLine="358"/>
        <w:spacing w:after="0" w:line="268" w:lineRule="auto"/>
        <w:rPr>
          <w:sz w:val="20"/>
          <w:szCs w:val="20"/>
          <w:color w:val="auto"/>
        </w:rPr>
      </w:pPr>
      <w:r>
        <w:rPr>
          <w:rFonts w:ascii="Arial" w:cs="Arial" w:eastAsia="Arial" w:hAnsi="Arial"/>
          <w:sz w:val="17"/>
          <w:szCs w:val="17"/>
          <w:i w:val="1"/>
          <w:iCs w:val="1"/>
          <w:color w:val="auto"/>
        </w:rPr>
        <w:t xml:space="preserve">Shannon, Ireland </w:t>
      </w:r>
      <w:r>
        <w:rPr>
          <w:rFonts w:ascii="Arial" w:cs="Arial" w:eastAsia="Arial" w:hAnsi="Arial"/>
          <w:sz w:val="17"/>
          <w:szCs w:val="17"/>
          <w:color w:val="auto"/>
        </w:rPr>
        <w:t>– We have entered into an agreement to purchase all of the ownership interests in a project company that</w:t>
      </w:r>
      <w:r>
        <w:rPr>
          <w:rFonts w:ascii="Arial" w:cs="Arial" w:eastAsia="Arial" w:hAnsi="Arial"/>
          <w:sz w:val="17"/>
          <w:szCs w:val="17"/>
          <w:i w:val="1"/>
          <w:iCs w:val="1"/>
          <w:color w:val="auto"/>
        </w:rPr>
        <w:t xml:space="preserve"> </w:t>
      </w:r>
      <w:r>
        <w:rPr>
          <w:rFonts w:ascii="Arial" w:cs="Arial" w:eastAsia="Arial" w:hAnsi="Arial"/>
          <w:sz w:val="17"/>
          <w:szCs w:val="17"/>
          <w:color w:val="auto"/>
        </w:rPr>
        <w:t>owns the rights to develop and operate an LNG terminal and a CHP plant on the Shannon Estuary near Ballylongford, Ireland. We intend this terminal to include a storage facility with onshore regasification equipment and pipeline connection into the distribution system of Gas Networks Ireland, Ireland’s national gas network (the “Ireland Terminal” and, together with the Jamaica Terminals, the San Juan Facility and the La Paz Terminal, our “Terminals”). We plan to deliver LNG to the terminal via a traditional size LNGC. The equipment on site will have the capacity to import and regasify more than 6 million gallons of LNG (500,000 MMBtu) per day, which is the equivalent of Ireland’s total foreign natural gas imports. Additionally, the planning permission approval for the terminal includes the ability to build an integrated 500MW power plant on-site with priority dispatch. We will begin construction of the Ireland Terminal once we have secured contracts with downstream customers for volumes that are sufficient to support the development.</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150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60440" cy="7150735"/>
                    </a:xfrm>
                    <a:prstGeom prst="rect">
                      <a:avLst/>
                    </a:prstGeom>
                    <a:noFill/>
                  </pic:spPr>
                </pic:pic>
              </a:graphicData>
            </a:graphic>
          </wp:anchor>
        </w:drawing>
      </w:r>
    </w:p>
    <w:p>
      <w:pPr>
        <w:spacing w:after="0" w:line="243" w:lineRule="exact"/>
        <w:rPr>
          <w:sz w:val="20"/>
          <w:szCs w:val="20"/>
          <w:color w:val="auto"/>
        </w:rPr>
      </w:pPr>
    </w:p>
    <w:p>
      <w:pPr>
        <w:ind w:left="120" w:right="20" w:firstLine="358"/>
        <w:spacing w:after="0" w:line="252" w:lineRule="auto"/>
        <w:rPr>
          <w:sz w:val="20"/>
          <w:szCs w:val="20"/>
          <w:color w:val="auto"/>
        </w:rPr>
      </w:pPr>
      <w:r>
        <w:rPr>
          <w:rFonts w:ascii="Arial" w:cs="Arial" w:eastAsia="Arial" w:hAnsi="Arial"/>
          <w:sz w:val="18"/>
          <w:szCs w:val="18"/>
          <w:i w:val="1"/>
          <w:iCs w:val="1"/>
          <w:color w:val="auto"/>
        </w:rPr>
        <w:t xml:space="preserve">Dominican Republic </w:t>
      </w:r>
      <w:r>
        <w:rPr>
          <w:rFonts w:ascii="Arial" w:cs="Arial" w:eastAsia="Arial" w:hAnsi="Arial"/>
          <w:sz w:val="18"/>
          <w:szCs w:val="18"/>
          <w:color w:val="auto"/>
        </w:rPr>
        <w:t>– We are in the advanced stages of negotiations to enter into a long-term contract for the supply of up</w:t>
      </w:r>
      <w:r>
        <w:rPr>
          <w:rFonts w:ascii="Arial" w:cs="Arial" w:eastAsia="Arial" w:hAnsi="Arial"/>
          <w:sz w:val="18"/>
          <w:szCs w:val="18"/>
          <w:i w:val="1"/>
          <w:iCs w:val="1"/>
          <w:color w:val="auto"/>
        </w:rPr>
        <w:t xml:space="preserve"> </w:t>
      </w:r>
      <w:r>
        <w:rPr>
          <w:rFonts w:ascii="Arial" w:cs="Arial" w:eastAsia="Arial" w:hAnsi="Arial"/>
          <w:sz w:val="18"/>
          <w:szCs w:val="18"/>
          <w:color w:val="auto"/>
        </w:rPr>
        <w:t>to 1.7 million gallons of LNG per day (140,500 MMBtu) to supply power plants with natural gas in the Southeastern portion of the Dominican Republic. We plan to develop an LNG import terminal off the Southeastern coast of the Dominican Republic which will receive shipments of LNG via an LNGC and will transfer the LNG onshore. LNG will be transferred from an LNGC to an FSRU which will be semi-permanently moored at the terminal and will be transported via a subsea pipeline to the San Pedro de Macoris area where the natural gas will be sent on to power plants in the region. The LNG import terminal may also be utilized to transport natural gas to industrial users in the Dominican Republic. We anticipate commencing commercial operations in the first quarter of 2020.</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Liquefaction Assets</w:t>
      </w:r>
    </w:p>
    <w:p>
      <w:pPr>
        <w:spacing w:after="0" w:line="119" w:lineRule="exact"/>
        <w:rPr>
          <w:sz w:val="20"/>
          <w:szCs w:val="20"/>
          <w:color w:val="auto"/>
        </w:rPr>
      </w:pPr>
    </w:p>
    <w:p>
      <w:pPr>
        <w:jc w:val="both"/>
        <w:ind w:left="120" w:right="260" w:firstLine="358"/>
        <w:spacing w:after="0" w:line="257" w:lineRule="auto"/>
        <w:rPr>
          <w:sz w:val="20"/>
          <w:szCs w:val="20"/>
          <w:color w:val="auto"/>
        </w:rPr>
      </w:pPr>
      <w:r>
        <w:rPr>
          <w:rFonts w:ascii="Arial" w:cs="Arial" w:eastAsia="Arial" w:hAnsi="Arial"/>
          <w:sz w:val="18"/>
          <w:szCs w:val="18"/>
          <w:color w:val="auto"/>
        </w:rPr>
        <w:t>We intend to supply all existing and future customers with LNG produced primarily at our own liquefaction facilities. We have one operational liquefaction facility in Miami and are currently developing one liquefaction facility in Pennsylvania (our “Pennsylvania Facility” and, together with the Miami Facility, the “Liquefaction Facilities”) and plan to develop five or more additional liquefaction facilities over the next five years.</w:t>
      </w:r>
    </w:p>
    <w:p>
      <w:pPr>
        <w:spacing w:after="0" w:line="79" w:lineRule="exact"/>
        <w:rPr>
          <w:sz w:val="20"/>
          <w:szCs w:val="20"/>
          <w:color w:val="auto"/>
        </w:rPr>
      </w:pPr>
    </w:p>
    <w:p>
      <w:pPr>
        <w:ind w:left="120" w:right="180" w:firstLine="358"/>
        <w:spacing w:after="0" w:line="252" w:lineRule="auto"/>
        <w:rPr>
          <w:sz w:val="20"/>
          <w:szCs w:val="20"/>
          <w:color w:val="auto"/>
        </w:rPr>
      </w:pPr>
      <w:r>
        <w:rPr>
          <w:rFonts w:ascii="Arial" w:cs="Arial" w:eastAsia="Arial" w:hAnsi="Arial"/>
          <w:sz w:val="18"/>
          <w:szCs w:val="18"/>
          <w:color w:val="auto"/>
        </w:rPr>
        <w:t>We believe that, by building smaller facilities and optimizing efficiencies, we will be able to construct our liquefaction facilities significantly faster and more economically than those typically developed in the industry. We expect to construct each liquefaction facility for a total cost (including ancillary logistics infrastructure) of between $750 to $850 million, which implies an anticipated cost of LNG production of approximately $374 per ton. There can be no assurance development costs will not exceed our targets. If we can achieve these cost targets, this would be considerably more cost-effective than the industry’s published liquefaction costs, which range from $511 to $867 per ton excluding ancillary infrastructure. Each of our liquefaction facilities is anticipated to produce approximately 3.6 million gallons of LNG (298,000 MMBtu) per day, or approximately 2.23 mtpa of LNG.</w:t>
      </w:r>
    </w:p>
    <w:p>
      <w:pPr>
        <w:spacing w:after="0" w:line="86" w:lineRule="exact"/>
        <w:rPr>
          <w:sz w:val="20"/>
          <w:szCs w:val="20"/>
          <w:color w:val="auto"/>
        </w:rPr>
      </w:pPr>
    </w:p>
    <w:p>
      <w:pPr>
        <w:ind w:left="120" w:right="20" w:firstLine="358"/>
        <w:spacing w:after="0" w:line="253" w:lineRule="auto"/>
        <w:rPr>
          <w:sz w:val="20"/>
          <w:szCs w:val="20"/>
          <w:color w:val="auto"/>
        </w:rPr>
      </w:pPr>
      <w:r>
        <w:rPr>
          <w:rFonts w:ascii="Arial" w:cs="Arial" w:eastAsia="Arial" w:hAnsi="Arial"/>
          <w:sz w:val="18"/>
          <w:szCs w:val="18"/>
          <w:color w:val="auto"/>
        </w:rPr>
        <w:t>We constructed the Miami Facility, which commenced commercial operations in 2016, in under 12 months at a cost to build of approximately $70 million. The Miami Facility employs what we believe is one of the largest private ISO container fleets in the world. It has one liquefaction train, with liquefaction production capacity of approximately 100,000 gallons of LNG (8,200 MMBtu) per day and was 96.6% dispatchable during 2018. The facility also has three LNG storage tanks, with total capacity of approximately 1,000 cubic meters. The plant also includes two separate LNG transfer areas capable of serving both truck and rail. We are currently delivering approximately 31,000 gallons of LNG per day from the Miami Facility pursuant to long-term, take-or-pay contracts.</w:t>
      </w:r>
    </w:p>
    <w:p>
      <w:pPr>
        <w:spacing w:after="0" w:line="82" w:lineRule="exact"/>
        <w:rPr>
          <w:sz w:val="20"/>
          <w:szCs w:val="20"/>
          <w:color w:val="auto"/>
        </w:rPr>
      </w:pPr>
    </w:p>
    <w:p>
      <w:pPr>
        <w:ind w:left="120" w:right="120" w:firstLine="358"/>
        <w:spacing w:after="0" w:line="266" w:lineRule="auto"/>
        <w:rPr>
          <w:sz w:val="20"/>
          <w:szCs w:val="20"/>
          <w:color w:val="auto"/>
        </w:rPr>
      </w:pPr>
      <w:r>
        <w:rPr>
          <w:rFonts w:ascii="Arial" w:cs="Arial" w:eastAsia="Arial" w:hAnsi="Arial"/>
          <w:sz w:val="17"/>
          <w:szCs w:val="17"/>
          <w:color w:val="auto"/>
        </w:rPr>
        <w:t>We are in advanced stages of the design, development and permitting for our Pennsylvania Facility, and we are targeting completion in the first quarter of 2021. In January 2019, we entered into a definitive engineering, procurement and construction agreement (the “EPC Agreement”) with a global engineering, procurement and construction company specializing in energy infrastructure (the “Contractor”) for the construction of our Pennsylvania Facility. We expect our Pennsylvania Facility to have the capacity to liquefy approximately 3.6 million gallons of LNG (250,000 – 330,000 MMBtu) per day. We have already entered into a 15-year contract to acquire all of the feedgas needed to operate our Pennsylvania Facility at capacity, with pricing that is generally fixed at $2.50 per MMBtu. Once LNG is produced at this facility, a dedicated tanker truck fleet will transport the LNG to a nearby port. We are in the advanced stages of negotiating a long-term lease with a company managed by an affiliate of Fortress for the use of a facility at a port approximately 195 miles away along the Delaware River, and we expect to finalize the lease prior to the completion of this offering. Under such lease, we expect to have the exclusive rights to use such facility for the term of the lease and that LNG will be transferred directly from tanker truck, rail or other non-pipeline means to marine vessels through multiple transloading bays, allowing for simultaneous and continuous operations. From there, our dedicated fleet of marine vessels will be able to transport the LNG to our Terminals, from which we will deliver natural gas or LNG to our customers. We expect to have liquefaction capacity of approximately 3.6 million gallons of LNG per day after the completion of our Pennsylvania Facility.</w:t>
      </w:r>
    </w:p>
    <w:p>
      <w:pPr>
        <w:spacing w:after="0" w:line="77" w:lineRule="exact"/>
        <w:rPr>
          <w:sz w:val="20"/>
          <w:szCs w:val="20"/>
          <w:color w:val="auto"/>
        </w:rPr>
      </w:pPr>
    </w:p>
    <w:p>
      <w:pPr>
        <w:ind w:left="120" w:right="60" w:firstLine="358"/>
        <w:spacing w:after="0" w:line="257" w:lineRule="auto"/>
        <w:rPr>
          <w:sz w:val="20"/>
          <w:szCs w:val="20"/>
          <w:color w:val="auto"/>
        </w:rPr>
      </w:pPr>
      <w:r>
        <w:rPr>
          <w:rFonts w:ascii="Arial" w:cs="Arial" w:eastAsia="Arial" w:hAnsi="Arial"/>
          <w:sz w:val="18"/>
          <w:szCs w:val="18"/>
          <w:color w:val="auto"/>
        </w:rPr>
        <w:t>At the completion of this offering, we will have spent approximately $350 million in building and developing our facilities since 2014 and have commitments to spend an additional approximately $1.35 billion. We expect to fund these commitments through a combination of cash on hand, operating cash flows, additional borrowings and the proceeds from this offering. Pending completion and commissioning of our liquefier in</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6835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60440" cy="6835775"/>
                    </a:xfrm>
                    <a:prstGeom prst="rect">
                      <a:avLst/>
                    </a:prstGeom>
                    <a:noFill/>
                  </pic:spPr>
                </pic:pic>
              </a:graphicData>
            </a:graphic>
          </wp:anchor>
        </w:drawing>
      </w:r>
    </w:p>
    <w:p>
      <w:pPr>
        <w:spacing w:after="0" w:line="13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development, we expect to continue to supply our downstream customers with LNG and natural gas sourced from a combination of our Miami Facility, purchases of LNG under a multi-cargo contract with Centrica LNG Company Limited (“Centrica”) and open market purchases as necessary. We are drawing on our experience from the construction and operation of our Miami Facility to optimize the development of our Pennsylvania Facility.</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Current Customers</w:t>
      </w:r>
    </w:p>
    <w:p>
      <w:pPr>
        <w:spacing w:after="0" w:line="119" w:lineRule="exact"/>
        <w:rPr>
          <w:sz w:val="20"/>
          <w:szCs w:val="20"/>
          <w:color w:val="auto"/>
        </w:rPr>
      </w:pPr>
    </w:p>
    <w:p>
      <w:pPr>
        <w:ind w:left="120" w:right="80" w:firstLine="358"/>
        <w:spacing w:after="0" w:line="309" w:lineRule="auto"/>
        <w:rPr>
          <w:sz w:val="20"/>
          <w:szCs w:val="20"/>
          <w:color w:val="auto"/>
        </w:rPr>
      </w:pPr>
      <w:r>
        <w:rPr>
          <w:rFonts w:ascii="Arial" w:cs="Arial" w:eastAsia="Arial" w:hAnsi="Arial"/>
          <w:sz w:val="16"/>
          <w:szCs w:val="16"/>
          <w:color w:val="auto"/>
        </w:rPr>
        <w:t>Our downstream customers are, and we expect future customers to be, a mix of power, transportation and industrial users of natural gas and LNG. We seek to substantially reduce our customers’ fuel costs while providing them with a cleaner-burning, more environmentally friendly fuel source. In addition, we also intend to sell power and steam directly to some of our customers.</w:t>
      </w:r>
    </w:p>
    <w:p>
      <w:pPr>
        <w:spacing w:after="0" w:line="41" w:lineRule="exact"/>
        <w:rPr>
          <w:sz w:val="20"/>
          <w:szCs w:val="20"/>
          <w:color w:val="auto"/>
        </w:rPr>
      </w:pPr>
    </w:p>
    <w:p>
      <w:pPr>
        <w:ind w:left="120" w:right="100" w:firstLine="358"/>
        <w:spacing w:after="0" w:line="255" w:lineRule="auto"/>
        <w:rPr>
          <w:sz w:val="20"/>
          <w:szCs w:val="20"/>
          <w:color w:val="auto"/>
        </w:rPr>
      </w:pPr>
      <w:r>
        <w:rPr>
          <w:rFonts w:ascii="Arial" w:cs="Arial" w:eastAsia="Arial" w:hAnsi="Arial"/>
          <w:sz w:val="18"/>
          <w:szCs w:val="18"/>
          <w:color w:val="auto"/>
        </w:rPr>
        <w:t>We seek to enter into long-term, take-or-pay contracts to deliver natural gas or LNG, which generally include targeted pricing of approximately $10.00 per MMBtu. Pricing for any particular customer depends on the size of the customer, purchased volume, the customer’s credit profile, the complexity of the delivery and the infrastructure required to deliver it, and there can be no assurance we will achieve our targeted pricing. In general, the better the credit and larger the size of the user, the lower the contract price of our fuel.</w:t>
      </w:r>
    </w:p>
    <w:p>
      <w:pPr>
        <w:spacing w:after="0" w:line="81" w:lineRule="exact"/>
        <w:rPr>
          <w:sz w:val="20"/>
          <w:szCs w:val="20"/>
          <w:color w:val="auto"/>
        </w:rPr>
      </w:pPr>
    </w:p>
    <w:p>
      <w:pPr>
        <w:ind w:left="120" w:right="60" w:firstLine="358"/>
        <w:spacing w:after="0" w:line="266" w:lineRule="auto"/>
        <w:rPr>
          <w:sz w:val="20"/>
          <w:szCs w:val="20"/>
          <w:color w:val="auto"/>
        </w:rPr>
      </w:pPr>
      <w:r>
        <w:rPr>
          <w:rFonts w:ascii="Arial" w:cs="Arial" w:eastAsia="Arial" w:hAnsi="Arial"/>
          <w:sz w:val="17"/>
          <w:szCs w:val="17"/>
          <w:color w:val="auto"/>
        </w:rPr>
        <w:t>To date, we have contracts, letters of intent or expect to secure contracts in the near term to sell LNG volumes in excess of 12.4 million gallons (1,025,000 MMBtu) per day, which includes approximately 2.2 million gallons per day that we expect to sell to customers under existing contracts, assuming with respect to the PREPA contract, satisfactory completion of the ongoing review by FOMB and final entry into the contract related to such volumes. See “Risk Factors—Our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 Our operations, which are currently conducted primarily at our Montego Bay Terminal and at our Miami Facility, are currently generating revenue from sales of approximately 400,000 gallons (33,000 MMBtu) per day. Pending completion and commissioning of our liquefier in development, we expect to continue to supply our downstream customers with LNG and natural gas sourced from a combination of our Miami Facility, purchases of LNG under a multi-cargo contract with Centrica and open market purchases as necessary. We have entered into contracts with Centrica for the purchase of cargoes of 1.1 billion gallons of LNG (86.8 million MMBtu). The cargoes are scheduled for delivery between June 2019 and December 2021. Our ambition is to continue to aggressively grow this customer portfolio. We are in active discussions with additional customers who may have significant demand for additional LNG.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Growth Opportunities and Track Record</w:t>
      </w:r>
    </w:p>
    <w:p>
      <w:pPr>
        <w:spacing w:after="0" w:line="119" w:lineRule="exact"/>
        <w:rPr>
          <w:sz w:val="20"/>
          <w:szCs w:val="20"/>
          <w:color w:val="auto"/>
        </w:rPr>
      </w:pPr>
    </w:p>
    <w:p>
      <w:pPr>
        <w:ind w:left="120" w:right="60" w:firstLine="358"/>
        <w:spacing w:after="0" w:line="277" w:lineRule="auto"/>
        <w:rPr>
          <w:sz w:val="20"/>
          <w:szCs w:val="20"/>
          <w:color w:val="auto"/>
        </w:rPr>
      </w:pPr>
      <w:r>
        <w:rPr>
          <w:rFonts w:ascii="Arial" w:cs="Arial" w:eastAsia="Arial" w:hAnsi="Arial"/>
          <w:sz w:val="17"/>
          <w:szCs w:val="17"/>
          <w:color w:val="auto"/>
        </w:rPr>
        <w:t>As the world continues to electrify and demand for power grows, we believe that countries will continue to look to natural gas as a viable, efficient, cost-effective and more environmentally friendly fuel. With a potential 3.75 billion LNG-gallon-per-day addressable market created by the approximately 1.5 million MW of new power expected to be needed by 2040, according to Exxon Mobil’s 2017 Outlook on Energy, we see multiple opportunities for our business to grow.</w:t>
      </w:r>
    </w:p>
    <w:p>
      <w:pPr>
        <w:spacing w:after="0" w:line="63" w:lineRule="exact"/>
        <w:rPr>
          <w:sz w:val="20"/>
          <w:szCs w:val="20"/>
          <w:color w:val="auto"/>
        </w:rPr>
      </w:pPr>
    </w:p>
    <w:p>
      <w:pPr>
        <w:ind w:left="120" w:right="80" w:firstLine="358"/>
        <w:spacing w:after="0" w:line="267" w:lineRule="auto"/>
        <w:rPr>
          <w:sz w:val="20"/>
          <w:szCs w:val="20"/>
          <w:color w:val="auto"/>
        </w:rPr>
      </w:pPr>
      <w:r>
        <w:rPr>
          <w:rFonts w:ascii="Arial" w:cs="Arial" w:eastAsia="Arial" w:hAnsi="Arial"/>
          <w:sz w:val="17"/>
          <w:szCs w:val="17"/>
          <w:i w:val="1"/>
          <w:iCs w:val="1"/>
          <w:color w:val="auto"/>
        </w:rPr>
        <w:t xml:space="preserve">Proven Ability to Execute. </w:t>
      </w:r>
      <w:r>
        <w:rPr>
          <w:rFonts w:ascii="Arial" w:cs="Arial" w:eastAsia="Arial" w:hAnsi="Arial"/>
          <w:sz w:val="17"/>
          <w:szCs w:val="17"/>
          <w:color w:val="auto"/>
        </w:rPr>
        <w:t>We are confident in our ability to execute and scale our business model to support our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growth because we have a successful track record of infrastructure project development. We developed, constructed and commissioned our Miami Facility, a 100,000 gallon-per-day (8,300 MMBtu) liquefier in Miami-Dade County, Florida, in under 12 months. This liquefier includes two truckloading bays capable of loading LNG tank trucks at 200 gallons-per-minute per truck, and through which we currently service our South Florida customers. We also ship ISO tankers by rail to Port Everglades for shipment to customers in the Bahamas and Barbados. We followed our Miami Facility by designing, permitting, constructing and commissioning our Montego Bay Terminal in under 14 months. This terminal is equipped with 7,000 cubic meters (2 million gallons) of on-land storage, has a direct pipeline connection to JPS’s 145MW turbines at the Bogue Power Plant, and has two truckloading bays for deliveries to on-island customers. We also commissioned our Old Harbour Terminal in December 2018. Construction of the Old Harbour Terminal was completed in October 2018, and our chartered FSRU arrived in December 2018. When operational, the Old Harbour Terminal will service a new 190MW power plant operated by JPC and a new 150MW power plant that we have begun constructing at</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6741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60440" cy="6741795"/>
                    </a:xfrm>
                    <a:prstGeom prst="rect">
                      <a:avLst/>
                    </a:prstGeom>
                    <a:noFill/>
                  </pic:spPr>
                </pic:pic>
              </a:graphicData>
            </a:graphic>
          </wp:anchor>
        </w:drawing>
      </w:r>
    </w:p>
    <w:p>
      <w:pPr>
        <w:spacing w:after="0" w:line="136" w:lineRule="exact"/>
        <w:rPr>
          <w:sz w:val="20"/>
          <w:szCs w:val="20"/>
          <w:color w:val="auto"/>
        </w:rPr>
      </w:pPr>
    </w:p>
    <w:p>
      <w:pPr>
        <w:jc w:val="both"/>
        <w:ind w:left="120" w:right="340"/>
        <w:spacing w:after="0" w:line="309" w:lineRule="auto"/>
        <w:rPr>
          <w:sz w:val="20"/>
          <w:szCs w:val="20"/>
          <w:color w:val="auto"/>
        </w:rPr>
      </w:pPr>
      <w:r>
        <w:rPr>
          <w:rFonts w:ascii="Arial" w:cs="Arial" w:eastAsia="Arial" w:hAnsi="Arial"/>
          <w:sz w:val="16"/>
          <w:szCs w:val="16"/>
          <w:color w:val="auto"/>
        </w:rPr>
        <w:t>Jamalco. These projects demonstrate our proven ability to design, construct and commission large and complex infrastructure projects on accelerated timeframes and encompassing a broad range of operations – liquefaction, logistics, onshore terminals, offshore terminals, pipeline connections, marine assets and integrated power generation assets.</w:t>
      </w:r>
    </w:p>
    <w:p>
      <w:pPr>
        <w:spacing w:after="0" w:line="41" w:lineRule="exact"/>
        <w:rPr>
          <w:sz w:val="20"/>
          <w:szCs w:val="20"/>
          <w:color w:val="auto"/>
        </w:rPr>
      </w:pPr>
    </w:p>
    <w:p>
      <w:pPr>
        <w:ind w:left="120" w:right="180" w:firstLine="358"/>
        <w:spacing w:after="0" w:line="294" w:lineRule="auto"/>
        <w:rPr>
          <w:sz w:val="20"/>
          <w:szCs w:val="20"/>
          <w:color w:val="auto"/>
        </w:rPr>
      </w:pPr>
      <w:r>
        <w:rPr>
          <w:rFonts w:ascii="Arial" w:cs="Arial" w:eastAsia="Arial" w:hAnsi="Arial"/>
          <w:sz w:val="16"/>
          <w:szCs w:val="16"/>
          <w:i w:val="1"/>
          <w:iCs w:val="1"/>
          <w:color w:val="auto"/>
        </w:rPr>
        <w:t>Growth Opportunity — Africa</w:t>
      </w:r>
      <w:r>
        <w:rPr>
          <w:rFonts w:ascii="Arial" w:cs="Arial" w:eastAsia="Arial" w:hAnsi="Arial"/>
          <w:sz w:val="16"/>
          <w:szCs w:val="16"/>
          <w:color w:val="auto"/>
        </w:rPr>
        <w:t>. In Sub-Saharan Africa, 590 million people, or 57% of the population, lack access to</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electricity. As a result, power generation on the continent is anticipated to more than double to 253GW by 2030. Natural gas consumption is expected to grow by nearly 150% over this timeframe, outpacing nearly every other fuel. We recognize the immense opportunity that Africa affords and opened our first office in Ghana in late 2018. We have engaged with multiple local counterparties, and we anticipate deploying meaningful capital in African projects in the future.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Strategies</w:t>
      </w:r>
    </w:p>
    <w:p>
      <w:pPr>
        <w:spacing w:after="0" w:line="119" w:lineRule="exact"/>
        <w:rPr>
          <w:sz w:val="20"/>
          <w:szCs w:val="20"/>
          <w:color w:val="auto"/>
        </w:rPr>
      </w:pPr>
    </w:p>
    <w:p>
      <w:pPr>
        <w:ind w:left="120" w:right="880" w:firstLine="358"/>
        <w:spacing w:after="0" w:line="305" w:lineRule="auto"/>
        <w:rPr>
          <w:sz w:val="20"/>
          <w:szCs w:val="20"/>
          <w:color w:val="auto"/>
        </w:rPr>
      </w:pPr>
      <w:r>
        <w:rPr>
          <w:rFonts w:ascii="Arial" w:cs="Arial" w:eastAsia="Arial" w:hAnsi="Arial"/>
          <w:sz w:val="17"/>
          <w:szCs w:val="17"/>
          <w:color w:val="auto"/>
        </w:rPr>
        <w:t>Our primary business objective is to provide superior returns to our shareholders as a vertically integrated energy infrastructure company. We intend to accomplish this objective by implementing the following strategies:</w:t>
      </w:r>
    </w:p>
    <w:p>
      <w:pPr>
        <w:spacing w:after="0" w:line="40" w:lineRule="exact"/>
        <w:rPr>
          <w:sz w:val="20"/>
          <w:szCs w:val="20"/>
          <w:color w:val="auto"/>
        </w:rPr>
      </w:pPr>
    </w:p>
    <w:p>
      <w:pPr>
        <w:ind w:left="820" w:right="40" w:hanging="353"/>
        <w:spacing w:after="0" w:line="253"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develop LNG liquefaction and distribution facilities</w:t>
      </w:r>
      <w:r>
        <w:rPr>
          <w:rFonts w:ascii="Arial" w:cs="Arial" w:eastAsia="Arial" w:hAnsi="Arial"/>
          <w:sz w:val="18"/>
          <w:szCs w:val="18"/>
          <w:color w:val="auto"/>
        </w:rPr>
        <w:t>. We currently procure our LNG either by purchasing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on the open markets in amounts sufficient to service our customers’ needs or by manufacturing it in our Miami Facility. Following this offering, we intend to continue to develop the infrastructure necessary to supply our existing and future customers with LNG produced primarily at our facilities, including our Pennsylvania Facility. We expect that ownership of this vertical supply chain, from fixed-price gas procurement to liquefaction to delivery of LNG, will reduce our (and our customers’) future LNG price variations, thereby reinforcing our competitive standing in the LNG market.</w:t>
      </w:r>
    </w:p>
    <w:p>
      <w:pPr>
        <w:spacing w:after="0" w:line="82" w:lineRule="exact"/>
        <w:rPr>
          <w:rFonts w:ascii="Arial" w:cs="Arial" w:eastAsia="Arial" w:hAnsi="Arial"/>
          <w:sz w:val="18"/>
          <w:szCs w:val="18"/>
          <w:color w:val="auto"/>
        </w:rPr>
      </w:pPr>
    </w:p>
    <w:p>
      <w:pPr>
        <w:ind w:left="820" w:right="580" w:hanging="353"/>
        <w:spacing w:after="0" w:line="286"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LNG distribution business</w:t>
      </w:r>
      <w:r>
        <w:rPr>
          <w:rFonts w:ascii="Arial" w:cs="Arial" w:eastAsia="Arial" w:hAnsi="Arial"/>
          <w:sz w:val="16"/>
          <w:szCs w:val="16"/>
          <w:color w:val="auto"/>
        </w:rPr>
        <w:t>. Our sales and marketing team seeks to identify utilities, transportation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and industrial end-users who may view natural gas or LNG as a potentially compelling alternative to traditional distillate fuels and typically enter into long-term, take-or-pay contracts for our products and services.</w:t>
      </w:r>
    </w:p>
    <w:p>
      <w:pPr>
        <w:ind w:left="820" w:right="40"/>
        <w:spacing w:after="0" w:line="267" w:lineRule="auto"/>
        <w:rPr>
          <w:rFonts w:ascii="Arial" w:cs="Arial" w:eastAsia="Arial" w:hAnsi="Arial"/>
          <w:sz w:val="16"/>
          <w:szCs w:val="16"/>
          <w:color w:val="auto"/>
        </w:rPr>
      </w:pPr>
      <w:r>
        <w:rPr>
          <w:rFonts w:ascii="Arial" w:cs="Arial" w:eastAsia="Arial" w:hAnsi="Arial"/>
          <w:sz w:val="17"/>
          <w:szCs w:val="17"/>
          <w:color w:val="auto"/>
        </w:rPr>
        <w:t>Following entry into these agreements, we intend to develop the necessary infrastructure to deliver natural gas or LNG directly to the consumer in readily usable form and, in the case of power generation or steam production, to produce and deliver the required quantities of power or steam. Our comprehensive infrastructure and management services and our experience as a first mover in the Atlantic Basin should allow us to expand our footprint in the Atlantic Basin and beyond to new customers as demand for alternatives to traditional energy sources continues to expand. Following this offering, we intend to expand our footprint and enhance our service offerings to our current customers while developing relationships with new customers.</w:t>
      </w:r>
    </w:p>
    <w:p>
      <w:pPr>
        <w:spacing w:after="0" w:line="72" w:lineRule="exact"/>
        <w:rPr>
          <w:rFonts w:ascii="Arial" w:cs="Arial" w:eastAsia="Arial" w:hAnsi="Arial"/>
          <w:sz w:val="16"/>
          <w:szCs w:val="16"/>
          <w:color w:val="auto"/>
        </w:rPr>
      </w:pPr>
    </w:p>
    <w:p>
      <w:pPr>
        <w:ind w:left="820" w:right="140" w:hanging="353"/>
        <w:spacing w:after="0" w:line="269"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Develop gas-fired power generation assets</w:t>
      </w:r>
      <w:r>
        <w:rPr>
          <w:rFonts w:ascii="Arial" w:cs="Arial" w:eastAsia="Arial" w:hAnsi="Arial"/>
          <w:sz w:val="17"/>
          <w:szCs w:val="17"/>
          <w:color w:val="auto"/>
        </w:rPr>
        <w:t>. We believe that developing and constructing our own gas-fired power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generation assets is a compelling growth strategy for our company. We are currently developing and have obtained a power generation license for a dual-fired combined heat and power facility in Clarendon, Jamaica (the “CHP Plant”), from which we expect to supply electricity to JPS under a long-term contract. Because we intend to control the entire “spark spread” from upstream production to delivery of electricity to a customer or grid, we are able to capture economic value in a way a traditional power producer likely cannot. For example, the cost of fuel is a pass-through for most power producers. Because we would supply these power plants with our own LNG and natural gas, we capture fuel economics which can be significant.</w:t>
      </w:r>
    </w:p>
    <w:p>
      <w:pPr>
        <w:spacing w:after="0" w:line="71" w:lineRule="exact"/>
        <w:rPr>
          <w:rFonts w:ascii="Arial" w:cs="Arial" w:eastAsia="Arial" w:hAnsi="Arial"/>
          <w:sz w:val="17"/>
          <w:szCs w:val="17"/>
          <w:color w:val="auto"/>
        </w:rPr>
      </w:pPr>
    </w:p>
    <w:p>
      <w:pPr>
        <w:ind w:left="820" w:right="40" w:hanging="353"/>
        <w:spacing w:after="0" w:line="269"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build-out our Caribbean infrastructure</w:t>
      </w:r>
      <w:r>
        <w:rPr>
          <w:rFonts w:ascii="Arial" w:cs="Arial" w:eastAsia="Arial" w:hAnsi="Arial"/>
          <w:sz w:val="17"/>
          <w:szCs w:val="17"/>
          <w:color w:val="auto"/>
        </w:rPr>
        <w:t>. Our take-or-pay gas supply agreements and steam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agreements with electric utilities and industrial end-users in Jamaica provide us with the opportunity for stable, long-term contracted cash flows. In order to service these contracts efficiently and cost effectively, we have begun to develop the necessary assets and infrastructure in Jamaica. Following this offering, we intend to develop and optimize our Caribbean infrastructure to provide natural gas, LNG, steam or electricity in readily usable form directly to our customers in Jamaica and other places in the Caribbean, such as Puerto Rico. Beyond these prospects, we intend to selectively identify and market our services to energy customers who view natural gas or LNG as a compelling alternative to other fuel sources that will allow us to further expand our footprint.</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6878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60440" cy="6878320"/>
                    </a:xfrm>
                    <a:prstGeom prst="rect">
                      <a:avLst/>
                    </a:prstGeom>
                    <a:noFill/>
                  </pic:spPr>
                </pic:pic>
              </a:graphicData>
            </a:graphic>
          </wp:anchor>
        </w:drawing>
      </w:r>
    </w:p>
    <w:p>
      <w:pPr>
        <w:spacing w:after="0" w:line="243" w:lineRule="exact"/>
        <w:rPr>
          <w:sz w:val="20"/>
          <w:szCs w:val="20"/>
          <w:color w:val="auto"/>
        </w:rPr>
      </w:pPr>
    </w:p>
    <w:p>
      <w:pPr>
        <w:ind w:left="820" w:right="60" w:hanging="353"/>
        <w:spacing w:after="0" w:line="267"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Maintain financial strength and flexibility</w:t>
      </w:r>
      <w:r>
        <w:rPr>
          <w:rFonts w:ascii="Arial" w:cs="Arial" w:eastAsia="Arial" w:hAnsi="Arial"/>
          <w:sz w:val="17"/>
          <w:szCs w:val="17"/>
          <w:color w:val="auto"/>
        </w:rPr>
        <w:t>. We will seek to maintain a conservative balance sheet, which will allow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better react to our customers’ changing needs. As of September 30, 2018, on a pro forma basis after giving effect to this offering and the amendment to the Term Loan Facility executed on December 31, 2018, we would have had $911.5 million in total assets (including $478.4 million in cash and cash equivalents) and $280.0 million of total indebtedness outstanding. We expect to draw the remaining $220 million under our Term Loan Facility contemporaneously with the completion of this offering. After giving effect to drawing the remaining $220 million available under the Term Loan Facility, we would have had $1,131.5 million in total assets (including $698.4 million in cash and cash equivalents) and $500 million of total indebtedness outstanding as of September 30, 2018. The pro forma total indebtedness outstanding as of September 30, 2018 does not include deferred financing costs and does not give effect to any debt we may incur following the consummation of this offering. We believe this low leverage and cash position, along with our cash flows from operations and other potential sources of liquidity will provide us with sufficient liquidity to execute on the business strategies discussed above.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119" w:lineRule="exact"/>
        <w:rPr>
          <w:sz w:val="20"/>
          <w:szCs w:val="20"/>
          <w:color w:val="auto"/>
        </w:rPr>
      </w:pPr>
    </w:p>
    <w:p>
      <w:pPr>
        <w:ind w:left="120" w:right="200" w:firstLine="358"/>
        <w:spacing w:after="0" w:line="274" w:lineRule="auto"/>
        <w:rPr>
          <w:sz w:val="20"/>
          <w:szCs w:val="20"/>
          <w:color w:val="auto"/>
        </w:rPr>
      </w:pPr>
      <w:r>
        <w:rPr>
          <w:rFonts w:ascii="Arial" w:cs="Arial" w:eastAsia="Arial" w:hAnsi="Arial"/>
          <w:sz w:val="18"/>
          <w:szCs w:val="18"/>
          <w:color w:val="auto"/>
        </w:rPr>
        <w:t>We believe we are well positioned to achieve our primary business objectives and execute our business strategies based on the following competitive strengths:</w:t>
      </w:r>
    </w:p>
    <w:p>
      <w:pPr>
        <w:spacing w:after="0" w:line="64" w:lineRule="exact"/>
        <w:rPr>
          <w:sz w:val="20"/>
          <w:szCs w:val="20"/>
          <w:color w:val="auto"/>
        </w:rPr>
      </w:pPr>
    </w:p>
    <w:p>
      <w:pPr>
        <w:ind w:left="820" w:right="100" w:hanging="353"/>
        <w:spacing w:after="0" w:line="270"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Comprehensive energy solution creates new customer base</w:t>
      </w:r>
      <w:r>
        <w:rPr>
          <w:rFonts w:ascii="Arial" w:cs="Arial" w:eastAsia="Arial" w:hAnsi="Arial"/>
          <w:sz w:val="17"/>
          <w:szCs w:val="17"/>
          <w:color w:val="auto"/>
        </w:rPr>
        <w:t>. We offer our customers a comprehensive energy solution.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the infrastructure and manage the logistics necessary to deliver natural gas or LNG directly to our customers in amounts tailored to their consumption needs. In addition, we offer to construct or convert power generation assets to burn natural gas, thereby producing cleaner and cheaper electricity. By offering a comprehensive solution, we believe we can prompt meaningful numbers of significant energy consumers—such as power utilities, railroads, ships, mining and other industrial operations—looking for a better alternative to oil to convert to natural gas and enter into contracts with us.</w:t>
      </w:r>
    </w:p>
    <w:p>
      <w:pPr>
        <w:spacing w:after="0" w:line="70" w:lineRule="exact"/>
        <w:rPr>
          <w:rFonts w:ascii="Arial" w:cs="Arial" w:eastAsia="Arial" w:hAnsi="Arial"/>
          <w:sz w:val="17"/>
          <w:szCs w:val="17"/>
          <w:color w:val="auto"/>
        </w:rPr>
      </w:pPr>
    </w:p>
    <w:p>
      <w:pPr>
        <w:ind w:left="820" w:right="140" w:hanging="353"/>
        <w:spacing w:after="0" w:line="289"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Demonstrated ability to execute</w:t>
      </w:r>
      <w:r>
        <w:rPr>
          <w:rFonts w:ascii="Arial" w:cs="Arial" w:eastAsia="Arial" w:hAnsi="Arial"/>
          <w:sz w:val="16"/>
          <w:szCs w:val="16"/>
          <w:color w:val="auto"/>
        </w:rPr>
        <w:t>. The success of our business strategy and its benefit to our customers is demonstrated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our proven ability to secure long-term, take-or-pay contracts. Our Montego Bay Terminal and related infrastructure (operational since October 30, 2016) has enabled JPS to use natural gas at the Bogue Power Plant, rather than rely on automotive diesel oil (“ADO”), at prices that are competitive with ADO. We have also entered into a long-term, take-or-pay contract with JPC to supply the Old Harbour Power Plant with LNG, a 20-year SSA to supply Jamalco with steam for use in its alumina refinery operations, and a 20-year power purchase agreement (“PPA”) to supply electricity to the Jamaica power grid from our CHP Plant in Clarendon, Jamaica, when completed.</w:t>
      </w:r>
    </w:p>
    <w:p>
      <w:pPr>
        <w:spacing w:after="0" w:line="58" w:lineRule="exact"/>
        <w:rPr>
          <w:rFonts w:ascii="Arial" w:cs="Arial" w:eastAsia="Arial" w:hAnsi="Arial"/>
          <w:sz w:val="16"/>
          <w:szCs w:val="16"/>
          <w:color w:val="auto"/>
        </w:rPr>
      </w:pPr>
    </w:p>
    <w:p>
      <w:pPr>
        <w:ind w:left="820" w:right="140" w:hanging="353"/>
        <w:spacing w:after="0" w:line="288"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Economically and environmentally attractive product</w:t>
      </w:r>
      <w:r>
        <w:rPr>
          <w:rFonts w:ascii="Arial" w:cs="Arial" w:eastAsia="Arial" w:hAnsi="Arial"/>
          <w:sz w:val="16"/>
          <w:szCs w:val="16"/>
          <w:color w:val="auto"/>
        </w:rPr>
        <w:t>. We believe natural gas is a cheaper, cleaner and thus superior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alternative energy source to traditional oil-based fuels. According to our internal estimates, on an energy equivalent basis using recent pricing, natural gas provides meaningfully more energy per dollar spent compared to diesel. Importantly, natural gas is also an environmentally cleaner fuel source compared to oil. In a June 2015 study, the U.S. Energy Information Administration conducted an analysis to compare the amount of carbon dioxide emissions per unit of energy output among fossil fuels, including oil, and found that natural gas produces the lowest amount of carbon dioxide of all fossil fuels in the study. Natural gas’s attributes, coupled with an increased focus on economics and the environment, make it a compelling energy source for many energy consumers.</w:t>
      </w:r>
    </w:p>
    <w:p>
      <w:pPr>
        <w:spacing w:after="0" w:line="58" w:lineRule="exact"/>
        <w:rPr>
          <w:rFonts w:ascii="Arial" w:cs="Arial" w:eastAsia="Arial" w:hAnsi="Arial"/>
          <w:sz w:val="16"/>
          <w:szCs w:val="16"/>
          <w:color w:val="auto"/>
        </w:rPr>
      </w:pPr>
    </w:p>
    <w:p>
      <w:pPr>
        <w:ind w:left="820" w:right="100" w:hanging="353"/>
        <w:spacing w:after="0" w:line="288"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Scalable infrastructure can drive margin expansion</w:t>
      </w:r>
      <w:r>
        <w:rPr>
          <w:rFonts w:ascii="Arial" w:cs="Arial" w:eastAsia="Arial" w:hAnsi="Arial"/>
          <w:sz w:val="16"/>
          <w:szCs w:val="16"/>
          <w:color w:val="auto"/>
        </w:rPr>
        <w:t>. Our Montego Bay Terminal and other infrastructure that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developing or will develop in the future, including the CHP Plant and the Old Harbour Terminal, will position us to deliver natural gas to additional islands throughout the Atlantic Basin and beyond. We believe we can augment our existing infrastructure by investing limited amounts of additional capital to expand uses with our largest customers and to secure new customers at favorable margins. We expect that significant expansion of our liquefaction capabilities and our delivery logistics chain through the development, ownership and operation of the Pennsylvania Facility, together with the current operations at the Miami Facility, will enable us to supply our existing and future customers with LNG produced primarily at our own Liquefaction Facilities and will help to reduce the risk of future LNG price variations.</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150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0440" cy="7150735"/>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Relationship with New Fortress Energy Holdings and its Affiliates</w:t>
      </w:r>
    </w:p>
    <w:p>
      <w:pPr>
        <w:spacing w:after="0" w:line="119" w:lineRule="exact"/>
        <w:rPr>
          <w:sz w:val="20"/>
          <w:szCs w:val="20"/>
          <w:color w:val="auto"/>
        </w:rPr>
      </w:pPr>
    </w:p>
    <w:p>
      <w:pPr>
        <w:ind w:left="120" w:right="20" w:firstLine="358"/>
        <w:spacing w:after="0" w:line="257" w:lineRule="auto"/>
        <w:rPr>
          <w:sz w:val="20"/>
          <w:szCs w:val="20"/>
          <w:color w:val="auto"/>
        </w:rPr>
      </w:pPr>
      <w:r>
        <w:rPr>
          <w:rFonts w:ascii="Arial" w:cs="Arial" w:eastAsia="Arial" w:hAnsi="Arial"/>
          <w:sz w:val="18"/>
          <w:szCs w:val="18"/>
          <w:color w:val="auto"/>
        </w:rPr>
        <w:t>Following the completion of this offering, New Fortress Energy Holdings will retain a significant interest in us through its ownership of 147,058,824 Class B shares, representing a 88.0% voting and non-economic limited liability company interest in us, and a 88.0% economic interest in NFI. New Fortress Energy Holdings, its stockholders, or entities affiliated with them may purchase shares in the offering.</w:t>
      </w:r>
    </w:p>
    <w:p>
      <w:pPr>
        <w:spacing w:after="0" w:line="79" w:lineRule="exact"/>
        <w:rPr>
          <w:sz w:val="20"/>
          <w:szCs w:val="20"/>
          <w:color w:val="auto"/>
        </w:rPr>
      </w:pPr>
    </w:p>
    <w:p>
      <w:pPr>
        <w:ind w:left="120" w:right="180" w:firstLine="358"/>
        <w:spacing w:after="0" w:line="284" w:lineRule="auto"/>
        <w:rPr>
          <w:sz w:val="20"/>
          <w:szCs w:val="20"/>
          <w:color w:val="auto"/>
        </w:rPr>
      </w:pPr>
      <w:r>
        <w:rPr>
          <w:rFonts w:ascii="Arial" w:cs="Arial" w:eastAsia="Arial" w:hAnsi="Arial"/>
          <w:sz w:val="17"/>
          <w:szCs w:val="17"/>
          <w:color w:val="auto"/>
        </w:rPr>
        <w:t>A substantial majority of the equity of New Fortress Energy Holdings is owned by Fortress Equity Partners (A) LP (the “Fortress Shareholder”), a Delaware limited partnership. The Fortress Shareholder is managed by FIG LLC, a Delaware limited liability company (“FIG LLC”), which is an affiliate of Fortress Investment Group LLC (“Fortress”).</w:t>
      </w:r>
    </w:p>
    <w:p>
      <w:pPr>
        <w:spacing w:after="0" w:line="57" w:lineRule="exact"/>
        <w:rPr>
          <w:sz w:val="20"/>
          <w:szCs w:val="20"/>
          <w:color w:val="auto"/>
        </w:rPr>
      </w:pPr>
    </w:p>
    <w:p>
      <w:pPr>
        <w:ind w:left="120" w:right="320" w:firstLine="358"/>
        <w:spacing w:after="0" w:line="274" w:lineRule="auto"/>
        <w:rPr>
          <w:sz w:val="20"/>
          <w:szCs w:val="20"/>
          <w:color w:val="auto"/>
        </w:rPr>
      </w:pPr>
      <w:r>
        <w:rPr>
          <w:rFonts w:ascii="Arial" w:cs="Arial" w:eastAsia="Arial" w:hAnsi="Arial"/>
          <w:sz w:val="18"/>
          <w:szCs w:val="18"/>
          <w:color w:val="auto"/>
        </w:rPr>
        <w:t>While our relationship with New Fortress Energy Holdings and its affiliates is a significant strength, it is also a source of potential conflicts. Please read “—Controlled Company Status” and “Risk Factors.”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Emerging Growth Company Status</w:t>
      </w:r>
    </w:p>
    <w:p>
      <w:pPr>
        <w:spacing w:after="0" w:line="119" w:lineRule="exact"/>
        <w:rPr>
          <w:sz w:val="20"/>
          <w:szCs w:val="20"/>
          <w:color w:val="auto"/>
        </w:rPr>
      </w:pPr>
    </w:p>
    <w:p>
      <w:pPr>
        <w:ind w:left="120" w:right="180" w:firstLine="358"/>
        <w:spacing w:after="0" w:line="274" w:lineRule="auto"/>
        <w:rPr>
          <w:sz w:val="20"/>
          <w:szCs w:val="20"/>
          <w:color w:val="auto"/>
        </w:rPr>
      </w:pPr>
      <w:r>
        <w:rPr>
          <w:rFonts w:ascii="Arial" w:cs="Arial" w:eastAsia="Arial" w:hAnsi="Arial"/>
          <w:sz w:val="18"/>
          <w:szCs w:val="18"/>
          <w:color w:val="auto"/>
        </w:rPr>
        <w:t>We are an “emerging growth company” as defined in the Jumpstart Our Business Startups Act, or “JOBS Act.” For as long as we are an emerging growth company, unlike other public companies, we will not be required to:</w:t>
      </w:r>
    </w:p>
    <w:p>
      <w:pPr>
        <w:spacing w:after="0" w:line="64" w:lineRule="exact"/>
        <w:rPr>
          <w:sz w:val="20"/>
          <w:szCs w:val="20"/>
          <w:color w:val="auto"/>
        </w:rPr>
      </w:pPr>
    </w:p>
    <w:p>
      <w:pPr>
        <w:ind w:left="820" w:right="380" w:hanging="353"/>
        <w:spacing w:after="0" w:line="305"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provide an auditor’s attestation report on the effectiveness of our system of internal control over financial reporting pursuant to Section 404(b) of the Sarbanes-Oxley Act of 2002 (the “Sarbanes-Oxley Act”);</w:t>
      </w:r>
    </w:p>
    <w:p>
      <w:pPr>
        <w:spacing w:after="0" w:line="39" w:lineRule="exact"/>
        <w:rPr>
          <w:rFonts w:ascii="Arial" w:cs="Arial" w:eastAsia="Arial" w:hAnsi="Arial"/>
          <w:sz w:val="17"/>
          <w:szCs w:val="17"/>
          <w:color w:val="auto"/>
        </w:rPr>
      </w:pPr>
    </w:p>
    <w:p>
      <w:pPr>
        <w:ind w:left="820" w:right="200" w:hanging="353"/>
        <w:spacing w:after="0" w:line="284"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comply with any new requirements adopted by the Public Company Accounting Oversight Board, or the “PCAOB,” requiring mandatory audit firm rotation or a supplement to the auditor’s report in which the auditor would be required to provide additional information about the audit and the financial statements of the issuer;</w:t>
      </w:r>
    </w:p>
    <w:p>
      <w:pPr>
        <w:spacing w:after="0" w:line="57" w:lineRule="exact"/>
        <w:rPr>
          <w:rFonts w:ascii="Arial" w:cs="Arial" w:eastAsia="Arial" w:hAnsi="Arial"/>
          <w:sz w:val="17"/>
          <w:szCs w:val="17"/>
          <w:color w:val="auto"/>
        </w:rPr>
      </w:pPr>
    </w:p>
    <w:p>
      <w:pPr>
        <w:ind w:left="820" w:hanging="353"/>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comply with any new audit rules adopted by the PCAOB, unless the SEC determines otherwise;</w:t>
      </w:r>
    </w:p>
    <w:p>
      <w:pPr>
        <w:spacing w:after="0" w:line="114" w:lineRule="exact"/>
        <w:rPr>
          <w:rFonts w:ascii="Arial" w:cs="Arial" w:eastAsia="Arial" w:hAnsi="Arial"/>
          <w:sz w:val="18"/>
          <w:szCs w:val="18"/>
          <w:color w:val="auto"/>
        </w:rPr>
      </w:pPr>
    </w:p>
    <w:p>
      <w:pPr>
        <w:ind w:left="820" w:hanging="353"/>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certain disclosure regarding executive compensation required of larger public companies; or</w:t>
      </w:r>
    </w:p>
    <w:p>
      <w:pPr>
        <w:spacing w:after="0" w:line="114" w:lineRule="exact"/>
        <w:rPr>
          <w:rFonts w:ascii="Arial" w:cs="Arial" w:eastAsia="Arial" w:hAnsi="Arial"/>
          <w:sz w:val="18"/>
          <w:szCs w:val="18"/>
          <w:color w:val="auto"/>
        </w:rPr>
      </w:pPr>
    </w:p>
    <w:p>
      <w:pPr>
        <w:ind w:left="820" w:hanging="353"/>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shareholder approval of any golden parachute payments not previously approved.</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will cease to be an “emerging growth company” upon the earliest of:</w:t>
      </w:r>
    </w:p>
    <w:p>
      <w:pPr>
        <w:spacing w:after="0" w:line="115" w:lineRule="exact"/>
        <w:rPr>
          <w:sz w:val="20"/>
          <w:szCs w:val="20"/>
          <w:color w:val="auto"/>
        </w:rPr>
      </w:pPr>
    </w:p>
    <w:p>
      <w:pPr>
        <w:ind w:left="820" w:hanging="353"/>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we have $1.07 billion or more in annual revenues;</w:t>
      </w:r>
    </w:p>
    <w:p>
      <w:pPr>
        <w:spacing w:after="0" w:line="114" w:lineRule="exact"/>
        <w:rPr>
          <w:rFonts w:ascii="Arial" w:cs="Arial" w:eastAsia="Arial" w:hAnsi="Arial"/>
          <w:sz w:val="18"/>
          <w:szCs w:val="18"/>
          <w:color w:val="auto"/>
        </w:rPr>
      </w:pPr>
    </w:p>
    <w:p>
      <w:pPr>
        <w:ind w:left="820" w:right="140" w:hanging="353"/>
        <w:spacing w:after="0" w:line="274"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date on which we become a “large-accelerated filer” (i.e., the end of the fiscal year on which the total market value of our common equity securities held by non-affiliates is $700.0 million or more as of the preceding June 30</w:t>
      </w:r>
      <w:r>
        <w:rPr>
          <w:rFonts w:ascii="Arial" w:cs="Arial" w:eastAsia="Arial" w:hAnsi="Arial"/>
          <w:sz w:val="26"/>
          <w:szCs w:val="26"/>
          <w:color w:val="auto"/>
          <w:vertAlign w:val="superscript"/>
        </w:rPr>
        <w:t>th</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820" w:hanging="353"/>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we issue more than $1.0 billion of non-convertible debt over a three-year period; or</w:t>
      </w:r>
    </w:p>
    <w:p>
      <w:pPr>
        <w:spacing w:after="0" w:line="98" w:lineRule="exact"/>
        <w:rPr>
          <w:rFonts w:ascii="Arial" w:cs="Arial" w:eastAsia="Arial" w:hAnsi="Arial"/>
          <w:sz w:val="18"/>
          <w:szCs w:val="18"/>
          <w:color w:val="auto"/>
        </w:rPr>
      </w:pPr>
    </w:p>
    <w:p>
      <w:pPr>
        <w:ind w:left="820" w:hanging="353"/>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initial public offering.</w:t>
      </w:r>
    </w:p>
    <w:p>
      <w:pPr>
        <w:spacing w:after="0" w:line="115" w:lineRule="exact"/>
        <w:rPr>
          <w:sz w:val="20"/>
          <w:szCs w:val="20"/>
          <w:color w:val="auto"/>
        </w:rPr>
      </w:pPr>
    </w:p>
    <w:p>
      <w:pPr>
        <w:ind w:left="120" w:right="20" w:firstLine="358"/>
        <w:spacing w:after="0" w:line="269"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of 1933 (the “Securities Act”) for complying with new or revised accounting standards. In other words, an emerging growth company can delay the adoption of certain accounting standards until those standards would otherwise apply to private companies. We have elected to use the extended transition period for complying with new or revised accounting standards under Section 102(b)(2) of the JOBS Act, that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public company effective dates.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Status</w:t>
      </w:r>
    </w:p>
    <w:p>
      <w:pPr>
        <w:spacing w:after="0" w:line="119" w:lineRule="exact"/>
        <w:rPr>
          <w:sz w:val="20"/>
          <w:szCs w:val="20"/>
          <w:color w:val="auto"/>
        </w:rPr>
      </w:pPr>
    </w:p>
    <w:p>
      <w:pPr>
        <w:ind w:left="120" w:right="80" w:firstLine="358"/>
        <w:spacing w:after="0" w:line="257" w:lineRule="auto"/>
        <w:rPr>
          <w:sz w:val="20"/>
          <w:szCs w:val="20"/>
          <w:color w:val="auto"/>
        </w:rPr>
      </w:pPr>
      <w:r>
        <w:rPr>
          <w:rFonts w:ascii="Arial" w:cs="Arial" w:eastAsia="Arial" w:hAnsi="Arial"/>
          <w:sz w:val="18"/>
          <w:szCs w:val="18"/>
          <w:color w:val="auto"/>
        </w:rPr>
        <w:t>Because New Fortress Energy Holdings will initially hold approximately 88.0% of the voting power of our shares following the completion of this offering (or approximately 86.5% if the underwriters’ option to purchase additional Class A shares is exercised in full), we expect to be a controlled company as of the completion of the offering under the Sarbanes-Oxley Act and Nasdaq Global Select Market (“NASDAQ”) rules. A controlled</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4237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60440" cy="7423785"/>
                    </a:xfrm>
                    <a:prstGeom prst="rect">
                      <a:avLst/>
                    </a:prstGeom>
                    <a:noFill/>
                  </pic:spPr>
                </pic:pic>
              </a:graphicData>
            </a:graphic>
          </wp:anchor>
        </w:drawing>
      </w:r>
    </w:p>
    <w:p>
      <w:pPr>
        <w:spacing w:after="0" w:line="13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company does not need its board of directors to have a majority of independent directors or to form an independent compensation or nominating and corporate governance committee. As a controlled company, we will remain subject to rules of the Sarbanes-Oxley Act and NASDAQ that require us to have an audit committee composed entirely of independent directors. Under these rules, we must have at least one independent director on our audit committee by the date our Class A shares are listed on NASDAQ, at least two independent directors on our audit committee within 90 days of the listing date, and at least three independent directors on our audit committee within one year of the listing date. We expect to have six independent directors upon the closing of this offering.</w:t>
      </w:r>
    </w:p>
    <w:p>
      <w:pPr>
        <w:spacing w:after="0" w:line="82" w:lineRule="exact"/>
        <w:rPr>
          <w:sz w:val="20"/>
          <w:szCs w:val="20"/>
          <w:color w:val="auto"/>
        </w:rPr>
      </w:pPr>
    </w:p>
    <w:p>
      <w:pPr>
        <w:jc w:val="both"/>
        <w:ind w:left="120" w:right="60" w:firstLine="358"/>
        <w:spacing w:after="0" w:line="261" w:lineRule="auto"/>
        <w:rPr>
          <w:sz w:val="20"/>
          <w:szCs w:val="20"/>
          <w:color w:val="auto"/>
        </w:rPr>
      </w:pPr>
      <w:r>
        <w:rPr>
          <w:rFonts w:ascii="Arial" w:cs="Arial" w:eastAsia="Arial" w:hAnsi="Arial"/>
          <w:sz w:val="18"/>
          <w:szCs w:val="18"/>
          <w:color w:val="auto"/>
        </w:rPr>
        <w:t>If at any time we cease to be a controlled company, we will take all action necessary to comply with the Sarbanes-Oxley Act and NASDAQ rules, including by appointing a majority of independent directors to our board of directors, subject to a permitted “phase-in” period.</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w:t>
      </w:r>
    </w:p>
    <w:p>
      <w:pPr>
        <w:spacing w:after="0" w:line="119" w:lineRule="exact"/>
        <w:rPr>
          <w:sz w:val="20"/>
          <w:szCs w:val="20"/>
          <w:color w:val="auto"/>
        </w:rPr>
      </w:pPr>
    </w:p>
    <w:p>
      <w:pPr>
        <w:jc w:val="both"/>
        <w:ind w:left="120" w:right="180" w:firstLine="358"/>
        <w:spacing w:after="0" w:line="299" w:lineRule="auto"/>
        <w:rPr>
          <w:sz w:val="20"/>
          <w:szCs w:val="20"/>
          <w:color w:val="auto"/>
        </w:rPr>
      </w:pPr>
      <w:r>
        <w:rPr>
          <w:rFonts w:ascii="Arial" w:cs="Arial" w:eastAsia="Arial" w:hAnsi="Arial"/>
          <w:sz w:val="16"/>
          <w:szCs w:val="16"/>
          <w:color w:val="auto"/>
        </w:rPr>
        <w:t>An investment in our Class A shares involves risks associated with our business, regulatory and legal matters, our limited liability company structure and the tax characteristics of our Class A shares. Below is a summary of certain key risk factors that you should consider in evaluating an investment in our Class A shares. However, this list is not exhaustive. Please read the full discussion of these risks and the other risks described under “Risk Factors” and “Forward-Looking Statements.”</w:t>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These risks include the following:</w:t>
      </w:r>
    </w:p>
    <w:p>
      <w:pPr>
        <w:spacing w:after="0" w:line="115" w:lineRule="exact"/>
        <w:rPr>
          <w:sz w:val="20"/>
          <w:szCs w:val="20"/>
          <w:color w:val="auto"/>
        </w:rPr>
      </w:pPr>
    </w:p>
    <w:p>
      <w:pPr>
        <w:ind w:left="820" w:right="380" w:hanging="353"/>
        <w:spacing w:after="0" w:line="261"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not yet completed contracting, construction and commissioning of all of our Terminals and Liquefaction Facilities. There can be no assurance that our Terminals and Liquefaction Facilities will operate as described in this prospectus or at all.</w:t>
      </w:r>
    </w:p>
    <w:p>
      <w:pPr>
        <w:spacing w:after="0" w:line="75" w:lineRule="exact"/>
        <w:rPr>
          <w:rFonts w:ascii="Arial" w:cs="Arial" w:eastAsia="Arial" w:hAnsi="Arial"/>
          <w:sz w:val="18"/>
          <w:szCs w:val="18"/>
          <w:color w:val="auto"/>
        </w:rPr>
      </w:pPr>
    </w:p>
    <w:p>
      <w:pPr>
        <w:ind w:left="820" w:hanging="353"/>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limited operating history, and an investment in our Class A shares is highly speculative.</w:t>
      </w:r>
    </w:p>
    <w:p>
      <w:pPr>
        <w:spacing w:after="0" w:line="114" w:lineRule="exact"/>
        <w:rPr>
          <w:rFonts w:ascii="Arial" w:cs="Arial" w:eastAsia="Arial" w:hAnsi="Arial"/>
          <w:sz w:val="18"/>
          <w:szCs w:val="18"/>
          <w:color w:val="auto"/>
        </w:rPr>
      </w:pPr>
    </w:p>
    <w:p>
      <w:pPr>
        <w:ind w:left="820" w:right="4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and may be forced to take other actions to satisfy our obligations under our indebtedness, which may not be successful.</w:t>
      </w:r>
    </w:p>
    <w:p>
      <w:pPr>
        <w:spacing w:after="0" w:line="63" w:lineRule="exact"/>
        <w:rPr>
          <w:rFonts w:ascii="Arial" w:cs="Arial" w:eastAsia="Arial" w:hAnsi="Arial"/>
          <w:sz w:val="18"/>
          <w:szCs w:val="18"/>
          <w:color w:val="auto"/>
        </w:rPr>
      </w:pPr>
    </w:p>
    <w:p>
      <w:pPr>
        <w:ind w:left="820" w:right="38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LNG to be a competitive source of energy in the markets in which we operate, and seek to operate, could adversely affect our expansion strategy.</w:t>
      </w:r>
    </w:p>
    <w:p>
      <w:pPr>
        <w:spacing w:after="0" w:line="63" w:lineRule="exact"/>
        <w:rPr>
          <w:rFonts w:ascii="Arial" w:cs="Arial" w:eastAsia="Arial" w:hAnsi="Arial"/>
          <w:sz w:val="18"/>
          <w:szCs w:val="18"/>
          <w:color w:val="auto"/>
        </w:rPr>
      </w:pPr>
    </w:p>
    <w:p>
      <w:pPr>
        <w:jc w:val="both"/>
        <w:ind w:left="820" w:right="140" w:hanging="353"/>
        <w:spacing w:after="0" w:line="261"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certain provisions in our operating agreement regarding exculpation and indemnification of our officers and directors that differ from Delaware General Corporation Law (“DGCL”) in a manner that may be less protective of the interests of our Class A shareholders.</w:t>
      </w:r>
    </w:p>
    <w:p>
      <w:pPr>
        <w:spacing w:after="0" w:line="75" w:lineRule="exact"/>
        <w:rPr>
          <w:rFonts w:ascii="Arial" w:cs="Arial" w:eastAsia="Arial" w:hAnsi="Arial"/>
          <w:sz w:val="18"/>
          <w:szCs w:val="18"/>
          <w:color w:val="auto"/>
        </w:rPr>
      </w:pPr>
    </w:p>
    <w:p>
      <w:pPr>
        <w:ind w:left="820" w:right="52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Because we are currently dependent upon a limited number of customers, the loss of a significant customer could adversely affect our operating results.</w:t>
      </w:r>
    </w:p>
    <w:p>
      <w:pPr>
        <w:spacing w:after="0" w:line="63" w:lineRule="exact"/>
        <w:rPr>
          <w:rFonts w:ascii="Arial" w:cs="Arial" w:eastAsia="Arial" w:hAnsi="Arial"/>
          <w:sz w:val="18"/>
          <w:szCs w:val="18"/>
          <w:color w:val="auto"/>
        </w:rPr>
      </w:pPr>
    </w:p>
    <w:p>
      <w:pPr>
        <w:ind w:left="820" w:right="56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is dependent upon obtaining substantial additional funding from various sources, which may not be available or may only be available on unfavorable terms.</w:t>
      </w:r>
    </w:p>
    <w:p>
      <w:pPr>
        <w:spacing w:after="0" w:line="63" w:lineRule="exact"/>
        <w:rPr>
          <w:rFonts w:ascii="Arial" w:cs="Arial" w:eastAsia="Arial" w:hAnsi="Arial"/>
          <w:sz w:val="18"/>
          <w:szCs w:val="18"/>
          <w:color w:val="auto"/>
        </w:rPr>
      </w:pPr>
    </w:p>
    <w:p>
      <w:pPr>
        <w:ind w:left="820" w:right="64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current lack of asset and geographic diversification could have an adverse effect on our business, contracts, financial condition, operating results, cash flow, liquidity and prospects.</w:t>
      </w:r>
    </w:p>
    <w:p>
      <w:pPr>
        <w:spacing w:after="0" w:line="63" w:lineRule="exact"/>
        <w:rPr>
          <w:rFonts w:ascii="Arial" w:cs="Arial" w:eastAsia="Arial" w:hAnsi="Arial"/>
          <w:sz w:val="18"/>
          <w:szCs w:val="18"/>
          <w:color w:val="auto"/>
        </w:rPr>
      </w:pPr>
    </w:p>
    <w:p>
      <w:pPr>
        <w:ind w:left="820" w:right="22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currently highly dependent upon economic, political and other conditions and developments in the Caribbean, particularly Jamaica, and the other jurisdictions in which we operate.</w:t>
      </w:r>
    </w:p>
    <w:p>
      <w:pPr>
        <w:spacing w:after="0" w:line="63" w:lineRule="exact"/>
        <w:rPr>
          <w:rFonts w:ascii="Arial" w:cs="Arial" w:eastAsia="Arial" w:hAnsi="Arial"/>
          <w:sz w:val="18"/>
          <w:szCs w:val="18"/>
          <w:color w:val="auto"/>
        </w:rPr>
      </w:pPr>
    </w:p>
    <w:p>
      <w:pPr>
        <w:ind w:left="820" w:right="340" w:hanging="353"/>
        <w:spacing w:after="0" w:line="25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79" w:lineRule="exact"/>
        <w:rPr>
          <w:rFonts w:ascii="Arial" w:cs="Arial" w:eastAsia="Arial" w:hAnsi="Arial"/>
          <w:sz w:val="18"/>
          <w:szCs w:val="18"/>
          <w:color w:val="auto"/>
        </w:rPr>
      </w:pPr>
    </w:p>
    <w:p>
      <w:pPr>
        <w:ind w:left="820" w:hanging="353"/>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Shareholders will experience immediate and substantial dilution of $11.51 per Class A share.</w:t>
      </w:r>
    </w:p>
    <w:p>
      <w:pPr>
        <w:spacing w:after="0" w:line="114" w:lineRule="exact"/>
        <w:rPr>
          <w:rFonts w:ascii="Arial" w:cs="Arial" w:eastAsia="Arial" w:hAnsi="Arial"/>
          <w:sz w:val="18"/>
          <w:szCs w:val="18"/>
          <w:color w:val="auto"/>
        </w:rPr>
      </w:pPr>
    </w:p>
    <w:p>
      <w:pPr>
        <w:ind w:left="820" w:right="46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Fortress Energy Holdings has the ability to direct the voting of a majority of our shares, and its interests may conflict with those of our other shareholders.</w:t>
      </w:r>
    </w:p>
    <w:p>
      <w:pPr>
        <w:spacing w:after="0" w:line="63" w:lineRule="exact"/>
        <w:rPr>
          <w:rFonts w:ascii="Arial" w:cs="Arial" w:eastAsia="Arial" w:hAnsi="Arial"/>
          <w:sz w:val="18"/>
          <w:szCs w:val="18"/>
          <w:color w:val="auto"/>
        </w:rPr>
      </w:pPr>
    </w:p>
    <w:p>
      <w:pPr>
        <w:ind w:left="820" w:right="12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 not intend to pay cash dividends on our Class A shares. Consequently, your only opportunity to achieve a return on your investment is if the price of our Class A shares appreciates.</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423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0440" cy="7423785"/>
                    </a:xfrm>
                    <a:prstGeom prst="rect">
                      <a:avLst/>
                    </a:prstGeom>
                    <a:noFill/>
                  </pic:spPr>
                </pic:pic>
              </a:graphicData>
            </a:graphic>
          </wp:anchor>
        </w:drawing>
      </w:r>
    </w:p>
    <w:p>
      <w:pPr>
        <w:spacing w:after="0" w:line="243" w:lineRule="exact"/>
        <w:rPr>
          <w:sz w:val="20"/>
          <w:szCs w:val="20"/>
          <w:color w:val="auto"/>
        </w:rPr>
      </w:pPr>
    </w:p>
    <w:p>
      <w:pPr>
        <w:ind w:left="820" w:right="140" w:hanging="353"/>
        <w:spacing w:after="0" w:line="26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is no existing market for our Class A shares and a trading market that will provide you with adequate liquidity may not develop. The price of our Class A shares may fluctuate significantly, and shareholders could lose all or part of their investment.</w:t>
      </w:r>
    </w:p>
    <w:p>
      <w:pPr>
        <w:spacing w:after="0" w:line="75" w:lineRule="exact"/>
        <w:rPr>
          <w:rFonts w:ascii="Arial" w:cs="Arial" w:eastAsia="Arial" w:hAnsi="Arial"/>
          <w:sz w:val="18"/>
          <w:szCs w:val="18"/>
          <w:color w:val="auto"/>
        </w:rPr>
      </w:pPr>
    </w:p>
    <w:p>
      <w:pPr>
        <w:ind w:left="820" w:right="340" w:hanging="353"/>
        <w:spacing w:after="0" w:line="27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to be a “controlled company” within the meaning of NASDAQ rules and, as a result, will qualify for and intend to rely on exemptions from certain corporate governance requirements.</w:t>
      </w:r>
    </w:p>
    <w:p>
      <w:pPr>
        <w:spacing w:after="0" w:line="63" w:lineRule="exact"/>
        <w:rPr>
          <w:rFonts w:ascii="Arial" w:cs="Arial" w:eastAsia="Arial" w:hAnsi="Arial"/>
          <w:sz w:val="18"/>
          <w:szCs w:val="18"/>
          <w:color w:val="auto"/>
        </w:rPr>
      </w:pPr>
    </w:p>
    <w:p>
      <w:pPr>
        <w:ind w:left="820" w:right="100" w:hanging="353"/>
        <w:spacing w:after="0" w:line="26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NFE is a holding company. NFE’s sole material asset after completion of this offering will be its equity interest in NFI, and accordingly, NFE will be dependent upon dividends from NFI to pay taxes and cover its corporate and other overhead expenses.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Formation Transactions and Structure</w:t>
      </w:r>
    </w:p>
    <w:p>
      <w:pPr>
        <w:spacing w:after="0" w:line="119" w:lineRule="exact"/>
        <w:rPr>
          <w:sz w:val="20"/>
          <w:szCs w:val="20"/>
          <w:color w:val="auto"/>
        </w:rPr>
      </w:pPr>
    </w:p>
    <w:p>
      <w:pPr>
        <w:ind w:left="120" w:right="320" w:firstLine="358"/>
        <w:spacing w:after="0" w:line="277" w:lineRule="auto"/>
        <w:rPr>
          <w:sz w:val="20"/>
          <w:szCs w:val="20"/>
          <w:color w:val="auto"/>
        </w:rPr>
      </w:pPr>
      <w:r>
        <w:rPr>
          <w:rFonts w:ascii="Arial" w:cs="Arial" w:eastAsia="Arial" w:hAnsi="Arial"/>
          <w:sz w:val="17"/>
          <w:szCs w:val="17"/>
          <w:color w:val="auto"/>
        </w:rPr>
        <w:t>NFE was formed as a Delaware limited liability company by New Fortress Energy Holdings on August 6, 2018. NFE currently has no assets or liabilities and has conducted no operations. New Fortress Energy Holdings currently owns all of the outstanding membership interests of the subsidiaries through which we operate our business, including NFE Atlantic. New Fortress Energy Holdings’ only asset other than cash is its investments in consolidated subsidiaries.</w:t>
      </w:r>
    </w:p>
    <w:p>
      <w:pPr>
        <w:spacing w:after="0" w:line="63" w:lineRule="exact"/>
        <w:rPr>
          <w:sz w:val="20"/>
          <w:szCs w:val="20"/>
          <w:color w:val="auto"/>
        </w:rPr>
      </w:pPr>
    </w:p>
    <w:p>
      <w:pPr>
        <w:ind w:left="120" w:right="100" w:firstLine="358"/>
        <w:spacing w:after="0" w:line="277" w:lineRule="auto"/>
        <w:rPr>
          <w:sz w:val="20"/>
          <w:szCs w:val="20"/>
          <w:color w:val="auto"/>
        </w:rPr>
      </w:pPr>
      <w:r>
        <w:rPr>
          <w:rFonts w:ascii="Arial" w:cs="Arial" w:eastAsia="Arial" w:hAnsi="Arial"/>
          <w:sz w:val="17"/>
          <w:szCs w:val="17"/>
          <w:color w:val="auto"/>
        </w:rPr>
        <w:t>Following this offering and the related transactions described below, NFE will be a holding company whose only material asset will consist of membership interests in NFI, which will own all of the outstanding membership interests in NFE Atlantic. NFE will be the sole managing member of NFI, will be responsible for all operational, management and administrative decisions relating to NFI’s business and will consolidate financial results of NFI and its subsidiaries.</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connection with this offering, the following transactions have occurred or will occur:</w:t>
      </w:r>
    </w:p>
    <w:p>
      <w:pPr>
        <w:spacing w:after="0" w:line="115" w:lineRule="exact"/>
        <w:rPr>
          <w:sz w:val="20"/>
          <w:szCs w:val="20"/>
          <w:color w:val="auto"/>
        </w:rPr>
      </w:pPr>
    </w:p>
    <w:p>
      <w:pPr>
        <w:ind w:left="820" w:right="120" w:hanging="353"/>
        <w:spacing w:after="0" w:line="339"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New Fortress Energy Holdings will contribute all of its interests in NFE Atlantic and its limited assets and liabilities, if any, to NFI in exchange for common units of NFI (“NFI LLC Units”), which will be the only class of units of NFI;</w:t>
      </w:r>
    </w:p>
    <w:p>
      <w:pPr>
        <w:spacing w:after="0" w:line="16" w:lineRule="exact"/>
        <w:rPr>
          <w:rFonts w:ascii="Arial" w:cs="Arial" w:eastAsia="Arial" w:hAnsi="Arial"/>
          <w:sz w:val="16"/>
          <w:szCs w:val="16"/>
          <w:color w:val="auto"/>
        </w:rPr>
      </w:pPr>
    </w:p>
    <w:p>
      <w:pPr>
        <w:ind w:left="820" w:right="100" w:hanging="353"/>
        <w:spacing w:after="0" w:line="26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NFE will issue 20,000,000 Class A shares in this offering to the public, representing limited liability company interests with 100% of the economic rights in NFE, at an initial offering price of $15.00 per Class A share (which is the proposed initial public offering price on the cover page of this prospectus);</w:t>
      </w:r>
    </w:p>
    <w:p>
      <w:pPr>
        <w:spacing w:after="0" w:line="75" w:lineRule="exact"/>
        <w:rPr>
          <w:rFonts w:ascii="Arial" w:cs="Arial" w:eastAsia="Arial" w:hAnsi="Arial"/>
          <w:sz w:val="18"/>
          <w:szCs w:val="18"/>
          <w:color w:val="auto"/>
        </w:rPr>
      </w:pPr>
    </w:p>
    <w:p>
      <w:pPr>
        <w:ind w:left="820" w:right="60" w:hanging="353"/>
        <w:spacing w:after="0" w:line="26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NFE will contribute the net proceeds from this offering (including any net proceeds from the exercise of the underwriters’ option to purchase additional Class A shares from us) to NFI in exchange for 20,000,000 NFI LLC Units, equal to the number of Class A shares sold in this offering;</w:t>
      </w:r>
    </w:p>
    <w:p>
      <w:pPr>
        <w:spacing w:after="0" w:line="75" w:lineRule="exact"/>
        <w:rPr>
          <w:rFonts w:ascii="Arial" w:cs="Arial" w:eastAsia="Arial" w:hAnsi="Arial"/>
          <w:sz w:val="18"/>
          <w:szCs w:val="18"/>
          <w:color w:val="auto"/>
        </w:rPr>
      </w:pPr>
    </w:p>
    <w:p>
      <w:pPr>
        <w:ind w:left="820" w:right="440" w:hanging="353"/>
        <w:spacing w:after="0" w:line="305"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NFI will use the net proceeds from this offering (including any net proceeds from the exercise of the underwriters’ option to purchase additional Class A shares from us) as described in “Use of Proceeds;” and</w:t>
      </w:r>
    </w:p>
    <w:p>
      <w:pPr>
        <w:spacing w:after="0" w:line="39" w:lineRule="exact"/>
        <w:rPr>
          <w:rFonts w:ascii="Arial" w:cs="Arial" w:eastAsia="Arial" w:hAnsi="Arial"/>
          <w:sz w:val="17"/>
          <w:szCs w:val="17"/>
          <w:color w:val="auto"/>
        </w:rPr>
      </w:pPr>
    </w:p>
    <w:p>
      <w:pPr>
        <w:ind w:left="820" w:right="140" w:hanging="353"/>
        <w:spacing w:after="0" w:line="27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Fortress Energy Holdings will receive a number of Class B shares equal to the number of NFI LLC Units held by it immediately following the completion of this offering.</w:t>
      </w:r>
    </w:p>
    <w:p>
      <w:pPr>
        <w:spacing w:after="0" w:line="64" w:lineRule="exact"/>
        <w:rPr>
          <w:sz w:val="20"/>
          <w:szCs w:val="20"/>
          <w:color w:val="auto"/>
        </w:rPr>
      </w:pPr>
    </w:p>
    <w:p>
      <w:pPr>
        <w:ind w:left="120" w:right="460" w:firstLine="358"/>
        <w:spacing w:after="0" w:line="274" w:lineRule="auto"/>
        <w:rPr>
          <w:sz w:val="20"/>
          <w:szCs w:val="20"/>
          <w:color w:val="auto"/>
        </w:rPr>
      </w:pPr>
      <w:r>
        <w:rPr>
          <w:rFonts w:ascii="Arial" w:cs="Arial" w:eastAsia="Arial" w:hAnsi="Arial"/>
          <w:sz w:val="18"/>
          <w:szCs w:val="18"/>
          <w:color w:val="auto"/>
        </w:rPr>
        <w:t>The diagram under “—Organizational Structure” below depicts a simplified version of our organization and ownership structure after giving effect to this offering and the related formation transactions.</w:t>
      </w:r>
    </w:p>
    <w:p>
      <w:pPr>
        <w:spacing w:after="0" w:line="64" w:lineRule="exact"/>
        <w:rPr>
          <w:sz w:val="20"/>
          <w:szCs w:val="20"/>
          <w:color w:val="auto"/>
        </w:rPr>
      </w:pPr>
    </w:p>
    <w:p>
      <w:pPr>
        <w:ind w:left="120" w:right="960" w:firstLine="358"/>
        <w:spacing w:after="0" w:line="274" w:lineRule="auto"/>
        <w:rPr>
          <w:sz w:val="20"/>
          <w:szCs w:val="20"/>
          <w:color w:val="auto"/>
        </w:rPr>
      </w:pPr>
      <w:r>
        <w:rPr>
          <w:rFonts w:ascii="Arial" w:cs="Arial" w:eastAsia="Arial" w:hAnsi="Arial"/>
          <w:sz w:val="18"/>
          <w:szCs w:val="18"/>
          <w:color w:val="auto"/>
        </w:rPr>
        <w:t>For further details on our agreements with New Fortress Energy Holdings and its affiliates, please read “Certain Relationships and Related Transactions.”</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refer to the above transactions throughout this prospectus as the “Transactions.”</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Class A shares and Class B shares</w:t>
      </w:r>
    </w:p>
    <w:p>
      <w:pPr>
        <w:spacing w:after="0" w:line="115" w:lineRule="exact"/>
        <w:rPr>
          <w:sz w:val="20"/>
          <w:szCs w:val="20"/>
          <w:color w:val="auto"/>
        </w:rPr>
      </w:pPr>
    </w:p>
    <w:p>
      <w:pPr>
        <w:jc w:val="both"/>
        <w:ind w:left="120" w:right="20" w:firstLine="358"/>
        <w:spacing w:after="0" w:line="255" w:lineRule="auto"/>
        <w:rPr>
          <w:sz w:val="20"/>
          <w:szCs w:val="20"/>
          <w:color w:val="auto"/>
        </w:rPr>
      </w:pPr>
      <w:r>
        <w:rPr>
          <w:rFonts w:ascii="Arial" w:cs="Arial" w:eastAsia="Arial" w:hAnsi="Arial"/>
          <w:sz w:val="18"/>
          <w:szCs w:val="18"/>
          <w:color w:val="auto"/>
        </w:rPr>
        <w:t>Our first amended and restated limited liability company agreement (the “operating agreement”) will provide for two classes of shares, Class A shares and Class B shares, representing limited liability company interests in us. Only the holders of our Class A shares are entitled to participate in any dividends our board of directors may declare. Each Class A share will also be entitled to one vote on the limited matters to be voted on by our shareholders. We have been authorized to list our Class A shares for trading on NASDAQ under the symbol “NFE.”</w:t>
      </w:r>
    </w:p>
    <w:p>
      <w:pPr>
        <w:spacing w:after="0" w:line="81" w:lineRule="exact"/>
        <w:rPr>
          <w:sz w:val="20"/>
          <w:szCs w:val="20"/>
          <w:color w:val="auto"/>
        </w:rPr>
      </w:pPr>
    </w:p>
    <w:p>
      <w:pPr>
        <w:ind w:left="120" w:right="500" w:firstLine="358"/>
        <w:spacing w:after="0" w:line="305" w:lineRule="auto"/>
        <w:rPr>
          <w:sz w:val="20"/>
          <w:szCs w:val="20"/>
          <w:color w:val="auto"/>
        </w:rPr>
      </w:pPr>
      <w:r>
        <w:rPr>
          <w:rFonts w:ascii="Arial" w:cs="Arial" w:eastAsia="Arial" w:hAnsi="Arial"/>
          <w:sz w:val="17"/>
          <w:szCs w:val="17"/>
          <w:color w:val="auto"/>
        </w:rPr>
        <w:t>Class B shares are not entitled to receive dividends but will be entitled to vote on the same basis as the Class A shares. Holders of Class A shares and Class B shares will vote together as a single class on all matters</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6810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60440" cy="6810375"/>
                    </a:xfrm>
                    <a:prstGeom prst="rect">
                      <a:avLst/>
                    </a:prstGeom>
                    <a:noFill/>
                  </pic:spPr>
                </pic:pic>
              </a:graphicData>
            </a:graphic>
          </wp:anchor>
        </w:drawing>
      </w:r>
    </w:p>
    <w:p>
      <w:pPr>
        <w:spacing w:after="0" w:line="136"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presented to our shareholders for their vote or approval, except as otherwise required by applicable law. We do not intend to list the Class B shares on any stock exchange. All of our Class B shares will initially be owned by New Fortress Energy Holdings. For a description of the rights and privileges of shareholders under our operating agreement, including voting rights, please read “Our Operating Agreement.”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w:t>
      </w:r>
    </w:p>
    <w:p>
      <w:pPr>
        <w:spacing w:after="0" w:line="115" w:lineRule="exact"/>
        <w:rPr>
          <w:sz w:val="20"/>
          <w:szCs w:val="20"/>
          <w:color w:val="auto"/>
        </w:rPr>
      </w:pPr>
    </w:p>
    <w:p>
      <w:pPr>
        <w:ind w:left="120" w:right="80" w:firstLine="358"/>
        <w:spacing w:after="0" w:line="284" w:lineRule="auto"/>
        <w:rPr>
          <w:sz w:val="20"/>
          <w:szCs w:val="20"/>
          <w:color w:val="auto"/>
        </w:rPr>
      </w:pPr>
      <w:r>
        <w:rPr>
          <w:rFonts w:ascii="Arial" w:cs="Arial" w:eastAsia="Arial" w:hAnsi="Arial"/>
          <w:sz w:val="16"/>
          <w:szCs w:val="16"/>
          <w:color w:val="auto"/>
        </w:rPr>
        <w:t>Following this offering, under the NFI limited liability company agreement (the “NFI LLC Agreement”), New Fortress Energy Holdings and any permitted transferees of New Fortress Energy Holdings’ NFI LLC Units will, subject to certain limitations, have the right (the “Redemption Right”) to cause NFI to acquire all or a portion of their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NFI will determine whether to issue Class A shares or cash based on facts in existence at the time of the decision, which we expect would include the relative value of the Class A shares (including the trading price for the Class A shares at the time), the cash purchase price, the availability of other sources of liquidity to acquire the NFI LLC Units and alternative uses for such cash. As the sole managing member of NFI, our decision to make a cash payment upon the redemption of NFI LLC Units will be made by a committee of disinterested members of our board of directors. Alternatively, upon the exercise of the Redemption Right, NFE (instead of NFI) will have the right (the “Call Right”) to, for administrative convenience, acquire each tendered NFI LLC Unit directly from the redeeming NFI unitholder for, at its election, (x) one Class A share, subject to conversion rate adjustments for equity splits, equity dividends and reclassification and other similar transactions or (y) an equivalent amount of cash. In connection with any redemption of NFI LLC Units pursuant to the Redemption Right or our Call Right, the corresponding number of Class B shares will be automatically cancelled.</w:t>
      </w:r>
    </w:p>
    <w:p>
      <w:pPr>
        <w:spacing w:after="0" w:line="61" w:lineRule="exact"/>
        <w:rPr>
          <w:sz w:val="20"/>
          <w:szCs w:val="20"/>
          <w:color w:val="auto"/>
        </w:rPr>
      </w:pPr>
    </w:p>
    <w:p>
      <w:pPr>
        <w:ind w:left="120" w:right="60" w:firstLine="358"/>
        <w:spacing w:after="0" w:line="257" w:lineRule="auto"/>
        <w:rPr>
          <w:sz w:val="20"/>
          <w:szCs w:val="20"/>
          <w:color w:val="auto"/>
        </w:rPr>
      </w:pPr>
      <w:r>
        <w:rPr>
          <w:rFonts w:ascii="Arial" w:cs="Arial" w:eastAsia="Arial" w:hAnsi="Arial"/>
          <w:sz w:val="18"/>
          <w:szCs w:val="18"/>
          <w:color w:val="auto"/>
        </w:rPr>
        <w:t>For purposes of any transfer or exchange of NFI LLC Units initially owned by New Fortress Energy Holdings and our Class B shares, the NFI LLC Agreement and our operating agreement will contain provisions effectively linking each NFI LLC Unit with one of our Class B shares. Class B shares cannot be transferred without transferring an equal number of NFI LLC Units and vice versa.</w:t>
      </w:r>
    </w:p>
    <w:p>
      <w:pPr>
        <w:spacing w:after="0" w:line="79" w:lineRule="exact"/>
        <w:rPr>
          <w:sz w:val="20"/>
          <w:szCs w:val="20"/>
          <w:color w:val="auto"/>
        </w:rPr>
      </w:pPr>
    </w:p>
    <w:p>
      <w:pPr>
        <w:ind w:left="120" w:right="360" w:firstLine="358"/>
        <w:spacing w:after="0" w:line="305" w:lineRule="auto"/>
        <w:rPr>
          <w:sz w:val="20"/>
          <w:szCs w:val="20"/>
          <w:color w:val="auto"/>
        </w:rPr>
      </w:pPr>
      <w:r>
        <w:rPr>
          <w:rFonts w:ascii="Arial" w:cs="Arial" w:eastAsia="Arial" w:hAnsi="Arial"/>
          <w:sz w:val="17"/>
          <w:szCs w:val="17"/>
          <w:color w:val="auto"/>
        </w:rPr>
        <w:t>For additional information, please read “Certain Relationships and Related Transactions—Agreements with Affiliates in Connection with the Transactions—Amended and Restated Limited Liability Company Agreement of NFI.”</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Holding Company Structure</w:t>
      </w:r>
    </w:p>
    <w:p>
      <w:pPr>
        <w:spacing w:after="0" w:line="115" w:lineRule="exact"/>
        <w:rPr>
          <w:sz w:val="20"/>
          <w:szCs w:val="20"/>
          <w:color w:val="auto"/>
        </w:rPr>
      </w:pPr>
    </w:p>
    <w:p>
      <w:pPr>
        <w:ind w:left="120" w:right="60" w:firstLine="358"/>
        <w:spacing w:after="0" w:line="255" w:lineRule="auto"/>
        <w:rPr>
          <w:sz w:val="20"/>
          <w:szCs w:val="20"/>
          <w:color w:val="auto"/>
        </w:rPr>
      </w:pPr>
      <w:r>
        <w:rPr>
          <w:rFonts w:ascii="Arial" w:cs="Arial" w:eastAsia="Arial" w:hAnsi="Arial"/>
          <w:sz w:val="18"/>
          <w:szCs w:val="18"/>
          <w:color w:val="auto"/>
        </w:rPr>
        <w:t>Our post-offering organizational structure will allow New Fortress Energy Holdings to retain a direct equity ownership in NFI, which will be classified as a partnership for U.S. federal income tax purposes following the offering. Investors in this offering will, by contrast, hold a direct equity ownership in us in the form of Class A shares, and an indirect ownership interest in NFI through our ownership of NFI LLC Units. Although we were formed as a limited liability company, we have elected to be taxed as a corporation for U.S. federal income tax purposes.</w:t>
      </w:r>
    </w:p>
    <w:p>
      <w:pPr>
        <w:spacing w:after="0" w:line="81" w:lineRule="exact"/>
        <w:rPr>
          <w:sz w:val="20"/>
          <w:szCs w:val="20"/>
          <w:color w:val="auto"/>
        </w:rPr>
      </w:pPr>
    </w:p>
    <w:p>
      <w:pPr>
        <w:ind w:left="120" w:right="120" w:firstLine="358"/>
        <w:spacing w:after="0" w:line="261" w:lineRule="auto"/>
        <w:rPr>
          <w:sz w:val="20"/>
          <w:szCs w:val="20"/>
          <w:color w:val="auto"/>
        </w:rPr>
      </w:pPr>
      <w:r>
        <w:rPr>
          <w:rFonts w:ascii="Arial" w:cs="Arial" w:eastAsia="Arial" w:hAnsi="Arial"/>
          <w:sz w:val="18"/>
          <w:szCs w:val="18"/>
          <w:color w:val="auto"/>
        </w:rPr>
        <w:t>Pursuant to our operating agreement and the NFI LLC Agreement, our capital structure and the capital structure of NFI will generally replicate one another and will provide for customary antidilution mechanisms in order to maintain the one-for-one exchange ratio between the NFI LLC Units and our Class A shares.</w:t>
      </w:r>
    </w:p>
    <w:p>
      <w:pPr>
        <w:spacing w:after="0" w:line="76" w:lineRule="exact"/>
        <w:rPr>
          <w:sz w:val="20"/>
          <w:szCs w:val="20"/>
          <w:color w:val="auto"/>
        </w:rPr>
      </w:pPr>
    </w:p>
    <w:p>
      <w:pPr>
        <w:jc w:val="both"/>
        <w:ind w:left="120" w:right="40" w:firstLine="358"/>
        <w:spacing w:after="0" w:line="261" w:lineRule="auto"/>
        <w:rPr>
          <w:sz w:val="20"/>
          <w:szCs w:val="20"/>
          <w:color w:val="auto"/>
        </w:rPr>
      </w:pPr>
      <w:r>
        <w:rPr>
          <w:rFonts w:ascii="Arial" w:cs="Arial" w:eastAsia="Arial" w:hAnsi="Arial"/>
          <w:sz w:val="18"/>
          <w:szCs w:val="18"/>
          <w:color w:val="auto"/>
        </w:rPr>
        <w:t>For additional information, please read “—Organizational Structure” and “Certain Relationships and Related Transactions— Agreements with Affiliates in Connection with the Transactions—Amended and Restated Limited Liability Company Agreement of NFI.”</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19" w:lineRule="exact"/>
        <w:rPr>
          <w:sz w:val="20"/>
          <w:szCs w:val="20"/>
          <w:color w:val="auto"/>
        </w:rPr>
      </w:pPr>
    </w:p>
    <w:p>
      <w:pPr>
        <w:ind w:left="120" w:right="40" w:firstLine="358"/>
        <w:spacing w:after="0" w:line="284" w:lineRule="auto"/>
        <w:rPr>
          <w:sz w:val="20"/>
          <w:szCs w:val="20"/>
          <w:color w:val="auto"/>
        </w:rPr>
      </w:pPr>
      <w:r>
        <w:rPr>
          <w:rFonts w:ascii="Arial" w:cs="Arial" w:eastAsia="Arial" w:hAnsi="Arial"/>
          <w:sz w:val="17"/>
          <w:szCs w:val="17"/>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25850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60440" cy="2585085"/>
                    </a:xfrm>
                    <a:prstGeom prst="rect">
                      <a:avLst/>
                    </a:prstGeom>
                    <a:noFill/>
                  </pic:spPr>
                </pic:pic>
              </a:graphicData>
            </a:graphic>
          </wp:anchor>
        </w:drawing>
      </w:r>
    </w:p>
    <w:p>
      <w:pPr>
        <w:spacing w:after="0" w:line="243" w:lineRule="exact"/>
        <w:rPr>
          <w:sz w:val="20"/>
          <w:szCs w:val="20"/>
          <w:color w:val="auto"/>
        </w:rPr>
      </w:pPr>
    </w:p>
    <w:p>
      <w:pPr>
        <w:ind w:left="120" w:right="60" w:firstLine="358"/>
        <w:spacing w:after="0" w:line="289" w:lineRule="auto"/>
        <w:rPr>
          <w:sz w:val="20"/>
          <w:szCs w:val="20"/>
          <w:color w:val="auto"/>
        </w:rPr>
      </w:pPr>
      <w:r>
        <w:rPr>
          <w:rFonts w:ascii="Arial" w:cs="Arial" w:eastAsia="Arial" w:hAnsi="Arial"/>
          <w:sz w:val="16"/>
          <w:szCs w:val="16"/>
          <w:color w:val="auto"/>
        </w:rPr>
        <w:t>One or more of our officers and directors have responsibilities and commitments to entities other than us. For example, we have some of the same directors and officers as other entities affiliated with Fortress. In addition, we do not have a policy that expressly prohibits our directors, officers, securityholders or affiliates from engaging in business activities of the types conducted by us for their own account. Fortress and its members, managers, officers and employees may pursue acquisition opportunities that we may acquire or dispose of assets in which such persons have a personal interest. In the event of a violation of this code of business conduct and ethics that does not constitute bad faith, willful misconduct, gross negligence or reckless disregard of our directors’ or officers’ duties, our directors, officers or employees will not be liable to us.</w:t>
      </w:r>
    </w:p>
    <w:p>
      <w:pPr>
        <w:spacing w:after="0" w:line="59" w:lineRule="exact"/>
        <w:rPr>
          <w:sz w:val="20"/>
          <w:szCs w:val="20"/>
          <w:color w:val="auto"/>
        </w:rPr>
      </w:pPr>
    </w:p>
    <w:p>
      <w:pPr>
        <w:ind w:left="120" w:right="60" w:firstLine="358"/>
        <w:spacing w:after="0" w:line="261" w:lineRule="auto"/>
        <w:rPr>
          <w:sz w:val="20"/>
          <w:szCs w:val="20"/>
          <w:color w:val="auto"/>
        </w:rPr>
      </w:pPr>
      <w:r>
        <w:rPr>
          <w:rFonts w:ascii="Arial" w:cs="Arial" w:eastAsia="Arial" w:hAnsi="Arial"/>
          <w:sz w:val="18"/>
          <w:szCs w:val="18"/>
          <w:color w:val="auto"/>
        </w:rPr>
        <w:t>Our key agreements, including our operating agreement and the NFI LLC Agreement, were negotiated among related parties, and their respective terms, including fees and other amounts payable, may not be as favorable to us as terms negotiated at an arm’s-length basis with unaffiliated parties.</w:t>
      </w:r>
    </w:p>
    <w:p>
      <w:pPr>
        <w:spacing w:after="0" w:line="76" w:lineRule="exact"/>
        <w:rPr>
          <w:sz w:val="20"/>
          <w:szCs w:val="20"/>
          <w:color w:val="auto"/>
        </w:rPr>
      </w:pPr>
    </w:p>
    <w:p>
      <w:pPr>
        <w:ind w:left="120" w:right="80" w:firstLine="358"/>
        <w:spacing w:after="0" w:line="291" w:lineRule="auto"/>
        <w:rPr>
          <w:sz w:val="20"/>
          <w:szCs w:val="20"/>
          <w:color w:val="auto"/>
        </w:rPr>
      </w:pPr>
      <w:r>
        <w:rPr>
          <w:rFonts w:ascii="Arial" w:cs="Arial" w:eastAsia="Arial" w:hAnsi="Arial"/>
          <w:sz w:val="16"/>
          <w:szCs w:val="16"/>
          <w:color w:val="auto"/>
        </w:rPr>
        <w:t>We may compete with entities affiliated with Fortress for certain business opportunities. From time to time, affiliates of Fortress may focus on investments in assets in industries in which we currently, and may seek to in the future, operate. These affiliates may have meaningful access to capital, which may change over time depending upon a variety of factors, including, but not limited to, available equity capital and debt financing, market conditions and cash on hand. Fortress has multiple existing and planned funds focused on investing in the industries in which we currently, and may seek to in the future, operate, each with significant current or expected capital commitments. We may also co-invest with these funds in certain business opportunities.</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125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60440" cy="7125335"/>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w:t>
      </w:r>
    </w:p>
    <w:p>
      <w:pPr>
        <w:spacing w:after="0" w:line="119" w:lineRule="exact"/>
        <w:rPr>
          <w:sz w:val="20"/>
          <w:szCs w:val="20"/>
          <w:color w:val="auto"/>
        </w:rPr>
      </w:pPr>
    </w:p>
    <w:p>
      <w:pPr>
        <w:ind w:left="120" w:right="800" w:firstLine="358"/>
        <w:spacing w:after="0" w:line="339" w:lineRule="auto"/>
        <w:rPr>
          <w:sz w:val="20"/>
          <w:szCs w:val="20"/>
          <w:color w:val="auto"/>
        </w:rPr>
      </w:pPr>
      <w:r>
        <w:rPr>
          <w:rFonts w:ascii="Arial" w:cs="Arial" w:eastAsia="Arial" w:hAnsi="Arial"/>
          <w:sz w:val="16"/>
          <w:szCs w:val="16"/>
          <w:color w:val="auto"/>
        </w:rPr>
        <w:t>The following is a simplified diagram of our ownership structure after giving effect to this offering and the related transactions assuming the underwriters do not exercise their option to purchase additional Class 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60" w:right="120" w:hanging="342"/>
        <w:spacing w:after="0" w:line="297" w:lineRule="auto"/>
        <w:tabs>
          <w:tab w:leader="none" w:pos="4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New Fortress Energy Holdings, which directly holds the Class B shares of the Company, is majority-owned and controlled by the Fortress Shareholder. Fortress Shareholder is controlled by Wesley R. Edens, our Chief Executive Officer. Mr. Edens exercises voting and dispositive power over the shares held by New Fortress Energy Holdings and may be deemed to be the beneficial owner thereof. Mr. Edens disclaims beneficial ownership of shares in excess of his pecuniary interest therein. New Fortress Energy Holdings, its stockholders, or entities affiliated with them may purchase shares in the offering.</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109" w:lineRule="exact"/>
        <w:rPr>
          <w:sz w:val="20"/>
          <w:szCs w:val="20"/>
          <w:color w:val="auto"/>
        </w:rPr>
      </w:pPr>
    </w:p>
    <w:p>
      <w:pPr>
        <w:ind w:left="120" w:right="40" w:firstLine="358"/>
        <w:spacing w:after="0" w:line="257" w:lineRule="auto"/>
        <w:rPr>
          <w:sz w:val="20"/>
          <w:szCs w:val="20"/>
          <w:color w:val="auto"/>
        </w:rPr>
      </w:pPr>
      <w:r>
        <w:rPr>
          <w:rFonts w:ascii="Arial" w:cs="Arial" w:eastAsia="Arial" w:hAnsi="Arial"/>
          <w:sz w:val="16"/>
          <w:szCs w:val="16"/>
          <w:color w:val="auto"/>
        </w:rPr>
        <w:t>Our principal executive offices are located at 111 W. 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10011 and our telephone number is (516) 268-7400. Our website is located at </w:t>
      </w:r>
      <w:r>
        <w:rPr>
          <w:rFonts w:ascii="Arial" w:cs="Arial" w:eastAsia="Arial" w:hAnsi="Arial"/>
          <w:sz w:val="16"/>
          <w:szCs w:val="16"/>
          <w:i w:val="1"/>
          <w:iCs w:val="1"/>
          <w:color w:val="auto"/>
        </w:rPr>
        <w:t>www.newfortressenergy.com</w:t>
      </w:r>
      <w:r>
        <w:rPr>
          <w:rFonts w:ascii="Arial" w:cs="Arial" w:eastAsia="Arial" w:hAnsi="Arial"/>
          <w:sz w:val="16"/>
          <w:szCs w:val="16"/>
          <w:color w:val="auto"/>
        </w:rPr>
        <w:t>. We expect to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408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60440" cy="4084320"/>
                    </a:xfrm>
                    <a:prstGeom prst="rect">
                      <a:avLst/>
                    </a:prstGeom>
                    <a:noFill/>
                  </pic:spPr>
                </pic:pic>
              </a:graphicData>
            </a:graphic>
          </wp:anchor>
        </w:drawing>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Offering</w:t>
      </w:r>
    </w:p>
    <w:p>
      <w:pPr>
        <w:spacing w:after="0" w:line="119" w:lineRule="exact"/>
        <w:rPr>
          <w:sz w:val="20"/>
          <w:szCs w:val="20"/>
          <w:color w:val="auto"/>
        </w:rPr>
      </w:pPr>
    </w:p>
    <w:p>
      <w:pPr>
        <w:ind w:left="120"/>
        <w:spacing w:after="0"/>
        <w:tabs>
          <w:tab w:leader="none" w:pos="4400" w:val="left"/>
        </w:tabs>
        <w:rPr>
          <w:sz w:val="20"/>
          <w:szCs w:val="20"/>
          <w:color w:val="auto"/>
        </w:rPr>
      </w:pPr>
      <w:r>
        <w:rPr>
          <w:rFonts w:ascii="Arial" w:cs="Arial" w:eastAsia="Arial" w:hAnsi="Arial"/>
          <w:sz w:val="18"/>
          <w:szCs w:val="18"/>
          <w:color w:val="auto"/>
        </w:rPr>
        <w:t>Class A shares offered to the public</w:t>
      </w:r>
      <w:r>
        <w:rPr>
          <w:sz w:val="20"/>
          <w:szCs w:val="20"/>
          <w:color w:val="auto"/>
        </w:rPr>
        <w:tab/>
      </w:r>
      <w:r>
        <w:rPr>
          <w:rFonts w:ascii="Arial" w:cs="Arial" w:eastAsia="Arial" w:hAnsi="Arial"/>
          <w:sz w:val="15"/>
          <w:szCs w:val="15"/>
          <w:color w:val="auto"/>
        </w:rPr>
        <w:t>20,000,000 Class A shares, or 23,000,000 Class A shares if the</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underwriters exercise their option to purchase additional Class A</w:t>
      </w:r>
    </w:p>
    <w:p>
      <w:pPr>
        <w:spacing w:after="0" w:line="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shares in full.</w:t>
      </w:r>
    </w:p>
    <w:p>
      <w:pPr>
        <w:spacing w:after="0" w:line="100" w:lineRule="exact"/>
        <w:rPr>
          <w:sz w:val="20"/>
          <w:szCs w:val="20"/>
          <w:color w:val="auto"/>
        </w:rPr>
      </w:pPr>
    </w:p>
    <w:p>
      <w:pPr>
        <w:ind w:left="120"/>
        <w:spacing w:after="0"/>
        <w:tabs>
          <w:tab w:leader="none" w:pos="4400" w:val="left"/>
        </w:tabs>
        <w:rPr>
          <w:sz w:val="20"/>
          <w:szCs w:val="20"/>
          <w:color w:val="auto"/>
        </w:rPr>
      </w:pPr>
      <w:r>
        <w:rPr>
          <w:rFonts w:ascii="Arial" w:cs="Arial" w:eastAsia="Arial" w:hAnsi="Arial"/>
          <w:sz w:val="18"/>
          <w:szCs w:val="18"/>
          <w:color w:val="auto"/>
        </w:rPr>
        <w:t>Class A shares outstanding after this offering</w:t>
      </w:r>
      <w:r>
        <w:rPr>
          <w:sz w:val="20"/>
          <w:szCs w:val="20"/>
          <w:color w:val="auto"/>
        </w:rPr>
        <w:tab/>
      </w:r>
      <w:r>
        <w:rPr>
          <w:rFonts w:ascii="Arial" w:cs="Arial" w:eastAsia="Arial" w:hAnsi="Arial"/>
          <w:sz w:val="15"/>
          <w:szCs w:val="15"/>
          <w:color w:val="auto"/>
        </w:rPr>
        <w:t>20,000,000 Class A shares, or 23,000,000 Class A shares if the</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underwriters exercise their option to purchase additional Class A</w:t>
      </w:r>
    </w:p>
    <w:p>
      <w:pPr>
        <w:spacing w:after="0" w:line="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shares in full.</w:t>
      </w:r>
    </w:p>
    <w:p>
      <w:pPr>
        <w:spacing w:after="0" w:line="100" w:lineRule="exact"/>
        <w:rPr>
          <w:sz w:val="20"/>
          <w:szCs w:val="20"/>
          <w:color w:val="auto"/>
        </w:rPr>
      </w:pPr>
    </w:p>
    <w:p>
      <w:pPr>
        <w:ind w:left="120"/>
        <w:spacing w:after="0"/>
        <w:tabs>
          <w:tab w:leader="none" w:pos="4400" w:val="left"/>
        </w:tabs>
        <w:rPr>
          <w:sz w:val="20"/>
          <w:szCs w:val="20"/>
          <w:color w:val="auto"/>
        </w:rPr>
      </w:pPr>
      <w:r>
        <w:rPr>
          <w:rFonts w:ascii="Arial" w:cs="Arial" w:eastAsia="Arial" w:hAnsi="Arial"/>
          <w:sz w:val="18"/>
          <w:szCs w:val="18"/>
          <w:color w:val="auto"/>
        </w:rPr>
        <w:t>Class B shares outstanding after this offering</w:t>
      </w:r>
      <w:r>
        <w:rPr>
          <w:sz w:val="20"/>
          <w:szCs w:val="20"/>
          <w:color w:val="auto"/>
        </w:rPr>
        <w:tab/>
      </w:r>
      <w:r>
        <w:rPr>
          <w:rFonts w:ascii="Arial" w:cs="Arial" w:eastAsia="Arial" w:hAnsi="Arial"/>
          <w:sz w:val="16"/>
          <w:szCs w:val="16"/>
          <w:color w:val="auto"/>
        </w:rPr>
        <w:t>147,058,824 Class B shares, or one Class B share for each NFI LLC</w:t>
      </w:r>
    </w:p>
    <w:p>
      <w:pPr>
        <w:spacing w:after="0" w:line="22" w:lineRule="exact"/>
        <w:rPr>
          <w:sz w:val="20"/>
          <w:szCs w:val="20"/>
          <w:color w:val="auto"/>
        </w:rPr>
      </w:pPr>
    </w:p>
    <w:p>
      <w:pPr>
        <w:ind w:left="4420" w:right="60"/>
        <w:spacing w:after="0" w:line="269" w:lineRule="auto"/>
        <w:rPr>
          <w:sz w:val="20"/>
          <w:szCs w:val="20"/>
          <w:color w:val="auto"/>
        </w:rPr>
      </w:pPr>
      <w:r>
        <w:rPr>
          <w:rFonts w:ascii="Arial" w:cs="Arial" w:eastAsia="Arial" w:hAnsi="Arial"/>
          <w:sz w:val="17"/>
          <w:szCs w:val="17"/>
          <w:color w:val="auto"/>
        </w:rPr>
        <w:t>Unit held by New Fortress Energy Holdings immediately following this offering. Class B shares vote together as a single class with Class A shares, but have no right to receive any dividends. When a NFI LLC Unit currently held by New Fortress Energy Holdings is redeemed for a Class A share, a Class B share will be cancelled.</w:t>
      </w:r>
    </w:p>
    <w:p>
      <w:pPr>
        <w:sectPr>
          <w:pgSz w:w="12240" w:h="15840" w:orient="portrait"/>
          <w:cols w:equalWidth="0" w:num="1">
            <w:col w:w="9440"/>
          </w:cols>
          <w:pgMar w:left="1360" w:top="138" w:right="1440" w:bottom="1440" w:gutter="0" w:footer="0" w:header="0"/>
        </w:sectPr>
      </w:pPr>
    </w:p>
    <w:p>
      <w:pPr>
        <w:spacing w:after="0" w:line="70" w:lineRule="exact"/>
        <w:rPr>
          <w:sz w:val="20"/>
          <w:szCs w:val="20"/>
          <w:color w:val="auto"/>
        </w:rPr>
      </w:pPr>
    </w:p>
    <w:p>
      <w:pPr>
        <w:ind w:left="300" w:hanging="178"/>
        <w:spacing w:after="0" w:line="274" w:lineRule="auto"/>
        <w:rPr>
          <w:sz w:val="20"/>
          <w:szCs w:val="20"/>
          <w:color w:val="auto"/>
        </w:rPr>
      </w:pPr>
      <w:r>
        <w:rPr>
          <w:rFonts w:ascii="Arial" w:cs="Arial" w:eastAsia="Arial" w:hAnsi="Arial"/>
          <w:sz w:val="18"/>
          <w:szCs w:val="18"/>
          <w:color w:val="auto"/>
        </w:rPr>
        <w:t>Voting power of Class A shares after giving effect to this offering</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12.0% (or 13.5% if the underwriters’ option to purchase additional Class A shares is exercised in full). The voting power of our Class A shares would be 100% if all outstanding NFI LLC Units held by New Fortress Energy Holdings were redeemed (and a corresponding number of our Class B shares was cancelled) for newly issued Class A shares on a one-for-one basis.</w:t>
      </w:r>
    </w:p>
    <w:p>
      <w:pPr>
        <w:spacing w:after="0" w:line="71" w:lineRule="exact"/>
        <w:rPr>
          <w:sz w:val="20"/>
          <w:szCs w:val="20"/>
          <w:color w:val="auto"/>
        </w:rPr>
      </w:pPr>
    </w:p>
    <w:p>
      <w:pPr>
        <w:sectPr>
          <w:pgSz w:w="12240" w:h="15840" w:orient="portrait"/>
          <w:cols w:equalWidth="0" w:num="2">
            <w:col w:w="4180" w:space="240"/>
            <w:col w:w="5020"/>
          </w:cols>
          <w:pgMar w:left="1360" w:top="138" w:right="1440" w:bottom="1440" w:gutter="0" w:footer="0" w:header="0"/>
          <w:type w:val="continuous"/>
        </w:sectPr>
      </w:pPr>
    </w:p>
    <w:p>
      <w:pPr>
        <w:ind w:left="300" w:hanging="178"/>
        <w:spacing w:after="0" w:line="274" w:lineRule="auto"/>
        <w:rPr>
          <w:sz w:val="20"/>
          <w:szCs w:val="20"/>
          <w:color w:val="auto"/>
        </w:rPr>
      </w:pPr>
      <w:r>
        <w:rPr>
          <w:rFonts w:ascii="Arial" w:cs="Arial" w:eastAsia="Arial" w:hAnsi="Arial"/>
          <w:sz w:val="18"/>
          <w:szCs w:val="18"/>
          <w:color w:val="auto"/>
        </w:rPr>
        <w:t>Voting power of Class B shares after giving effect to this offering</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7"/>
          <w:szCs w:val="17"/>
          <w:color w:val="auto"/>
        </w:rPr>
        <w:t>88.0% (or 86.5% if the underwriters’ option to purchase additional Class A shares is exercised in full). The voting power of our Class B shares would be 0% if all outstanding NFI LLC Units held by New Fortress Energy Holdings were redeemed (along with the cancellation of a corresponding number of our Class B shares) for newly issued Class A shares on a one-for-one basis.</w:t>
      </w:r>
    </w:p>
    <w:p>
      <w:pPr>
        <w:spacing w:after="0" w:line="200" w:lineRule="exact"/>
        <w:rPr>
          <w:sz w:val="20"/>
          <w:szCs w:val="20"/>
          <w:color w:val="auto"/>
        </w:rPr>
      </w:pPr>
    </w:p>
    <w:p>
      <w:pPr>
        <w:sectPr>
          <w:pgSz w:w="12240" w:h="15840" w:orient="portrait"/>
          <w:cols w:equalWidth="0" w:num="2">
            <w:col w:w="4180" w:space="240"/>
            <w:col w:w="5020"/>
          </w:cols>
          <w:pgMar w:left="1360" w:top="138" w:right="1440" w:bottom="1440" w:gutter="0" w:footer="0" w:header="0"/>
          <w:type w:val="continuous"/>
        </w:sect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309880</wp:posOffset>
            </wp:positionV>
            <wp:extent cx="603059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92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Voting rights</w:t>
            </w:r>
          </w:p>
        </w:tc>
        <w:tc>
          <w:tcPr>
            <w:tcW w:w="6620" w:type="dxa"/>
            <w:vAlign w:val="bottom"/>
            <w:tcBorders>
              <w:top w:val="single" w:sz="8" w:color="auto"/>
              <w:right w:val="single" w:sz="8" w:color="auto"/>
            </w:tcBorders>
            <w:gridSpan w:val="2"/>
          </w:tcPr>
          <w:p>
            <w:pPr>
              <w:ind w:left="1500"/>
              <w:spacing w:after="0"/>
              <w:rPr>
                <w:sz w:val="20"/>
                <w:szCs w:val="20"/>
                <w:color w:val="auto"/>
              </w:rPr>
            </w:pPr>
            <w:r>
              <w:rPr>
                <w:rFonts w:ascii="Arial" w:cs="Arial" w:eastAsia="Arial" w:hAnsi="Arial"/>
                <w:sz w:val="18"/>
                <w:szCs w:val="18"/>
                <w:color w:val="auto"/>
                <w:w w:val="92"/>
              </w:rPr>
              <w:t>Each Class A share entitles its holder to one vote on all matters to be</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5"/>
              </w:rPr>
              <w:t>voted on by shareholders generally. Each Class B share entitles its</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9"/>
              </w:rPr>
              <w:t>holder to one vote on all matters to be voted on by shareholders</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7"/>
              </w:rPr>
              <w:t>generally. Holders of our Class A shares and Class B shares vote</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0"/>
              </w:rPr>
              <w:t>together as a single class on all matters presented to our shareholders</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3"/>
              </w:rPr>
              <w:t>for their vote or approval, except as otherwise required by applicable</w:t>
            </w:r>
          </w:p>
        </w:tc>
      </w:tr>
      <w:tr>
        <w:trPr>
          <w:trHeight w:val="229"/>
        </w:trPr>
        <w:tc>
          <w:tcPr>
            <w:tcW w:w="2920" w:type="dxa"/>
            <w:vAlign w:val="bottom"/>
            <w:tcBorders>
              <w:left w:val="single" w:sz="8" w:color="auto"/>
            </w:tcBorders>
          </w:tcPr>
          <w:p>
            <w:pPr>
              <w:spacing w:after="0"/>
              <w:rPr>
                <w:sz w:val="19"/>
                <w:szCs w:val="19"/>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9"/>
              </w:rPr>
              <w:t>law or by our operating agreement. See “Description of Shares.”</w:t>
            </w:r>
          </w:p>
        </w:tc>
      </w:tr>
      <w:tr>
        <w:trPr>
          <w:trHeight w:val="307"/>
        </w:trPr>
        <w:tc>
          <w:tcPr>
            <w:tcW w:w="29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Use of proceeds</w:t>
            </w: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We expect the estimated net proceeds from this offering to be</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approximately $276.5 million, after deducting the underwriting</w:t>
            </w:r>
          </w:p>
        </w:tc>
      </w:tr>
      <w:tr>
        <w:trPr>
          <w:trHeight w:val="229"/>
        </w:trPr>
        <w:tc>
          <w:tcPr>
            <w:tcW w:w="2920" w:type="dxa"/>
            <w:vAlign w:val="bottom"/>
            <w:tcBorders>
              <w:left w:val="single" w:sz="8" w:color="auto"/>
            </w:tcBorders>
          </w:tcPr>
          <w:p>
            <w:pPr>
              <w:spacing w:after="0"/>
              <w:rPr>
                <w:sz w:val="19"/>
                <w:szCs w:val="19"/>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discounts and offering expenses.</w:t>
            </w:r>
          </w:p>
        </w:tc>
      </w:tr>
      <w:tr>
        <w:trPr>
          <w:trHeight w:val="307"/>
        </w:trPr>
        <w:tc>
          <w:tcPr>
            <w:tcW w:w="2920" w:type="dxa"/>
            <w:vAlign w:val="bottom"/>
            <w:tcBorders>
              <w:left w:val="single" w:sz="8" w:color="auto"/>
            </w:tcBorders>
          </w:tcPr>
          <w:p>
            <w:pPr>
              <w:spacing w:after="0"/>
              <w:rPr>
                <w:sz w:val="24"/>
                <w:szCs w:val="24"/>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We will contribute the net proceeds of this offering to NFI in</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3"/>
              </w:rPr>
              <w:t>exchange for NFI’s issuance to us of 20,000,000 NFI LLC Units. NFI</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5"/>
              </w:rPr>
              <w:t>will use the net proceeds in connection with the construction of our</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5"/>
              </w:rPr>
              <w:t>Terminals and Liquefaction Facilities, as well as for working capital</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3"/>
              </w:rPr>
              <w:t>and general corporate purposes, including the development of future</w:t>
            </w:r>
          </w:p>
        </w:tc>
      </w:tr>
      <w:tr>
        <w:trPr>
          <w:trHeight w:val="229"/>
        </w:trPr>
        <w:tc>
          <w:tcPr>
            <w:tcW w:w="2920" w:type="dxa"/>
            <w:vAlign w:val="bottom"/>
            <w:tcBorders>
              <w:left w:val="single" w:sz="8" w:color="auto"/>
            </w:tcBorders>
          </w:tcPr>
          <w:p>
            <w:pPr>
              <w:spacing w:after="0"/>
              <w:rPr>
                <w:sz w:val="19"/>
                <w:szCs w:val="19"/>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6"/>
              </w:rPr>
              <w:t>projects. Please read “Use of Proceeds” for additional information.</w:t>
            </w:r>
          </w:p>
        </w:tc>
      </w:tr>
      <w:tr>
        <w:trPr>
          <w:trHeight w:val="307"/>
        </w:trPr>
        <w:tc>
          <w:tcPr>
            <w:tcW w:w="2920" w:type="dxa"/>
            <w:vAlign w:val="bottom"/>
            <w:tcBorders>
              <w:left w:val="single" w:sz="8" w:color="auto"/>
            </w:tcBorders>
          </w:tcPr>
          <w:p>
            <w:pPr>
              <w:spacing w:after="0"/>
              <w:rPr>
                <w:sz w:val="24"/>
                <w:szCs w:val="24"/>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3"/>
              </w:rPr>
              <w:t>If the underwriters exercise their option to purchase additional Class</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8"/>
              </w:rPr>
              <w:t>A shares in full, the additional net proceeds will be approximately</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3"/>
              </w:rPr>
              <w:t>$42.4 million. The net proceeds from any exercise of such option will</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be contributed to NFI in exchange for NFI’s issuance to us of</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7"/>
              </w:rPr>
              <w:t>additional NFI LLC Units. After the application of the net proceeds</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6"/>
              </w:rPr>
              <w:t>from this offering, we will own a 12.0% membership interest in NFI</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(or a 13.5% membership interest if the underwriters’ option to</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3"/>
              </w:rPr>
              <w:t>purchase additional Class A shares is exercised in full). Please read</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“Security Ownership of Certain Beneficial Owners and</w:t>
            </w:r>
          </w:p>
        </w:tc>
      </w:tr>
      <w:tr>
        <w:trPr>
          <w:trHeight w:val="229"/>
        </w:trPr>
        <w:tc>
          <w:tcPr>
            <w:tcW w:w="2920" w:type="dxa"/>
            <w:vAlign w:val="bottom"/>
            <w:tcBorders>
              <w:left w:val="single" w:sz="8" w:color="auto"/>
            </w:tcBorders>
          </w:tcPr>
          <w:p>
            <w:pPr>
              <w:spacing w:after="0"/>
              <w:rPr>
                <w:sz w:val="19"/>
                <w:szCs w:val="19"/>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Management.”</w:t>
            </w:r>
          </w:p>
        </w:tc>
      </w:tr>
      <w:tr>
        <w:trPr>
          <w:trHeight w:val="307"/>
        </w:trPr>
        <w:tc>
          <w:tcPr>
            <w:tcW w:w="29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Dividend policy</w:t>
            </w: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0"/>
              </w:rPr>
              <w:t>We do not anticipate paying any dividends on our Class A shares. See</w:t>
            </w:r>
          </w:p>
        </w:tc>
      </w:tr>
      <w:tr>
        <w:trPr>
          <w:trHeight w:val="229"/>
        </w:trPr>
        <w:tc>
          <w:tcPr>
            <w:tcW w:w="2920" w:type="dxa"/>
            <w:vAlign w:val="bottom"/>
            <w:tcBorders>
              <w:left w:val="single" w:sz="8" w:color="auto"/>
            </w:tcBorders>
          </w:tcPr>
          <w:p>
            <w:pPr>
              <w:spacing w:after="0"/>
              <w:rPr>
                <w:sz w:val="19"/>
                <w:szCs w:val="19"/>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“Dividend Policy.”</w:t>
            </w:r>
          </w:p>
        </w:tc>
      </w:tr>
      <w:tr>
        <w:trPr>
          <w:trHeight w:val="307"/>
        </w:trPr>
        <w:tc>
          <w:tcPr>
            <w:tcW w:w="29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Redemption Right</w:t>
            </w: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5"/>
              </w:rPr>
              <w:t>Under the NFI LLC Agreement, New Fortress Energy Holdings and</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9"/>
              </w:rPr>
              <w:t>any permitted transferees of New Fortress Energy Holdings’ NFI</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4"/>
              </w:rPr>
              <w:t>LLC Units will, subject to certain limitations, have the right, pursuant</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5"/>
              </w:rPr>
              <w:t>to the Redemption Right, to cause NFI to acquire all or a portion of</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their NFI LLC Units for, at NFI’s election, (i) Class A shares at a</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redemption ratio of one Class A share for each NFI LLC Unit</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6"/>
              </w:rPr>
              <w:t>redeemed, subject to conversion rate adjustments for equity splits,</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2"/>
              </w:rPr>
              <w:t>equity dividends and reclassification and other similar transactions or</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4"/>
              </w:rPr>
              <w:t>(ii) an equivalent amount of cash. Alternatively, upon the exercise of</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the Redemption Right, NFE (instead of NFI) will have the right,</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7"/>
              </w:rPr>
              <w:t>pursuant to the Call Right, to acquire each tendered NFI LLC Unit</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4"/>
              </w:rPr>
              <w:t>directly from the redeeming NFI unitholder for, at NFE’s election, (x)</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3"/>
              </w:rPr>
              <w:t>one Class A share, subject to conversion rate adjustments for equity</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splits, equity dividends and reclassification and other similar</w:t>
            </w:r>
          </w:p>
        </w:tc>
      </w:tr>
      <w:tr>
        <w:trPr>
          <w:trHeight w:val="229"/>
        </w:trPr>
        <w:tc>
          <w:tcPr>
            <w:tcW w:w="2920" w:type="dxa"/>
            <w:vAlign w:val="bottom"/>
            <w:tcBorders>
              <w:left w:val="single" w:sz="8" w:color="auto"/>
            </w:tcBorders>
          </w:tcPr>
          <w:p>
            <w:pPr>
              <w:spacing w:after="0"/>
              <w:rPr>
                <w:sz w:val="19"/>
                <w:szCs w:val="19"/>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transactions or (y) an equivalent amount of cash.</w:t>
            </w:r>
          </w:p>
        </w:tc>
      </w:tr>
      <w:tr>
        <w:trPr>
          <w:trHeight w:val="265"/>
        </w:trPr>
        <w:tc>
          <w:tcPr>
            <w:tcW w:w="2920" w:type="dxa"/>
            <w:vAlign w:val="bottom"/>
            <w:tcBorders>
              <w:left w:val="single" w:sz="8" w:color="auto"/>
              <w:bottom w:val="single" w:sz="8" w:color="auto"/>
            </w:tcBorders>
          </w:tcPr>
          <w:p>
            <w:pPr>
              <w:spacing w:after="0"/>
              <w:rPr>
                <w:sz w:val="23"/>
                <w:szCs w:val="23"/>
                <w:color w:val="auto"/>
              </w:rPr>
            </w:pPr>
          </w:p>
        </w:tc>
        <w:tc>
          <w:tcPr>
            <w:tcW w:w="658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r>
      <w:tr>
        <w:trPr>
          <w:trHeight w:val="426"/>
        </w:trPr>
        <w:tc>
          <w:tcPr>
            <w:tcW w:w="2920" w:type="dxa"/>
            <w:vAlign w:val="bottom"/>
          </w:tcPr>
          <w:p>
            <w:pPr>
              <w:spacing w:after="0"/>
              <w:rPr>
                <w:sz w:val="24"/>
                <w:szCs w:val="24"/>
                <w:color w:val="auto"/>
              </w:rPr>
            </w:pPr>
          </w:p>
        </w:tc>
        <w:tc>
          <w:tcPr>
            <w:tcW w:w="6580" w:type="dxa"/>
            <w:vAlign w:val="bottom"/>
          </w:tcPr>
          <w:p>
            <w:pPr>
              <w:ind w:left="174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r>
      <w:tr>
        <w:trPr>
          <w:trHeight w:val="442"/>
        </w:trPr>
        <w:tc>
          <w:tcPr>
            <w:tcW w:w="29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7"/>
        </w:trPr>
        <w:tc>
          <w:tcPr>
            <w:tcW w:w="2920" w:type="dxa"/>
            <w:vAlign w:val="bottom"/>
            <w:tcBorders>
              <w:left w:val="single" w:sz="8" w:color="auto"/>
            </w:tcBorders>
            <w:shd w:val="clear" w:color="auto" w:fill="000000"/>
          </w:tcPr>
          <w:p>
            <w:pPr>
              <w:spacing w:after="0"/>
              <w:rPr>
                <w:sz w:val="5"/>
                <w:szCs w:val="5"/>
                <w:color w:val="auto"/>
              </w:rPr>
            </w:pPr>
          </w:p>
        </w:tc>
        <w:tc>
          <w:tcPr>
            <w:tcW w:w="658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2240" w:h="15840" w:orient="portrait"/>
          <w:cols w:equalWidth="0" w:num="1">
            <w:col w:w="9540"/>
          </w:cols>
          <w:pgMar w:left="1360" w:top="138" w:right="13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60" w:type="dxa"/>
            <w:vAlign w:val="bottom"/>
            <w:tcBorders>
              <w:top w:val="single" w:sz="8" w:color="auto"/>
              <w:left w:val="single" w:sz="8" w:color="auto"/>
            </w:tcBorders>
          </w:tcPr>
          <w:p>
            <w:pPr>
              <w:spacing w:after="0"/>
              <w:rPr>
                <w:sz w:val="20"/>
                <w:szCs w:val="20"/>
                <w:color w:val="auto"/>
              </w:rPr>
            </w:pPr>
          </w:p>
        </w:tc>
        <w:tc>
          <w:tcPr>
            <w:tcW w:w="6680" w:type="dxa"/>
            <w:vAlign w:val="bottom"/>
            <w:tcBorders>
              <w:top w:val="single" w:sz="8" w:color="auto"/>
              <w:right w:val="single" w:sz="8" w:color="auto"/>
            </w:tcBorders>
            <w:gridSpan w:val="2"/>
          </w:tcPr>
          <w:p>
            <w:pPr>
              <w:ind w:left="1560"/>
              <w:spacing w:after="0"/>
              <w:rPr>
                <w:sz w:val="20"/>
                <w:szCs w:val="20"/>
                <w:color w:val="auto"/>
              </w:rPr>
            </w:pPr>
            <w:r>
              <w:rPr>
                <w:rFonts w:ascii="Arial" w:cs="Arial" w:eastAsia="Arial" w:hAnsi="Arial"/>
                <w:sz w:val="18"/>
                <w:szCs w:val="18"/>
                <w:color w:val="auto"/>
                <w:w w:val="94"/>
              </w:rPr>
              <w:t>In connection with any redemption of NFI LLC Units pursuant to the</w:t>
            </w:r>
          </w:p>
        </w:tc>
      </w:tr>
      <w:tr>
        <w:trPr>
          <w:trHeight w:val="215"/>
        </w:trPr>
        <w:tc>
          <w:tcPr>
            <w:tcW w:w="286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Redemption Right or our Call Right, the corresponding number of</w:t>
            </w:r>
          </w:p>
        </w:tc>
      </w:tr>
      <w:tr>
        <w:trPr>
          <w:trHeight w:val="215"/>
        </w:trPr>
        <w:tc>
          <w:tcPr>
            <w:tcW w:w="286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Class B shares will be cancelled. For additional information, please</w:t>
            </w:r>
          </w:p>
        </w:tc>
      </w:tr>
      <w:tr>
        <w:trPr>
          <w:trHeight w:val="215"/>
        </w:trPr>
        <w:tc>
          <w:tcPr>
            <w:tcW w:w="286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3"/>
              </w:rPr>
              <w:t>read “Certain Relationships and Related Transactions—Agreements</w:t>
            </w:r>
          </w:p>
        </w:tc>
      </w:tr>
      <w:tr>
        <w:trPr>
          <w:trHeight w:val="215"/>
        </w:trPr>
        <w:tc>
          <w:tcPr>
            <w:tcW w:w="286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6"/>
              </w:rPr>
              <w:t>with Affiliates in Connection with the Transactions—Amended and</w:t>
            </w:r>
          </w:p>
        </w:tc>
      </w:tr>
      <w:tr>
        <w:trPr>
          <w:trHeight w:val="229"/>
        </w:trPr>
        <w:tc>
          <w:tcPr>
            <w:tcW w:w="2860" w:type="dxa"/>
            <w:vAlign w:val="bottom"/>
            <w:tcBorders>
              <w:left w:val="single" w:sz="8" w:color="auto"/>
            </w:tcBorders>
          </w:tcPr>
          <w:p>
            <w:pPr>
              <w:spacing w:after="0"/>
              <w:rPr>
                <w:sz w:val="19"/>
                <w:szCs w:val="19"/>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Restated Limited Liability Company Agreement of NFI.”</w:t>
            </w:r>
          </w:p>
        </w:tc>
      </w:tr>
      <w:tr>
        <w:trPr>
          <w:trHeight w:val="307"/>
        </w:trPr>
        <w:tc>
          <w:tcPr>
            <w:tcW w:w="28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Exchange listing</w:t>
            </w: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We have been authorized to list our Class A shares on NASDAQ,</w:t>
            </w:r>
          </w:p>
        </w:tc>
      </w:tr>
      <w:tr>
        <w:trPr>
          <w:trHeight w:val="229"/>
        </w:trPr>
        <w:tc>
          <w:tcPr>
            <w:tcW w:w="2860" w:type="dxa"/>
            <w:vAlign w:val="bottom"/>
            <w:tcBorders>
              <w:left w:val="single" w:sz="8" w:color="auto"/>
            </w:tcBorders>
          </w:tcPr>
          <w:p>
            <w:pPr>
              <w:spacing w:after="0"/>
              <w:rPr>
                <w:sz w:val="19"/>
                <w:szCs w:val="19"/>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under the symbol “NFE.”</w:t>
            </w:r>
          </w:p>
        </w:tc>
      </w:tr>
      <w:tr>
        <w:trPr>
          <w:trHeight w:val="307"/>
        </w:trPr>
        <w:tc>
          <w:tcPr>
            <w:tcW w:w="28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Risk Factors</w:t>
            </w: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You should carefully read and consider the information set forth</w:t>
            </w:r>
          </w:p>
        </w:tc>
      </w:tr>
      <w:tr>
        <w:trPr>
          <w:trHeight w:val="215"/>
        </w:trPr>
        <w:tc>
          <w:tcPr>
            <w:tcW w:w="286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under the heading “Risk Factors” and all other information set forth</w:t>
            </w:r>
          </w:p>
        </w:tc>
      </w:tr>
      <w:tr>
        <w:trPr>
          <w:trHeight w:val="229"/>
        </w:trPr>
        <w:tc>
          <w:tcPr>
            <w:tcW w:w="2860" w:type="dxa"/>
            <w:vAlign w:val="bottom"/>
            <w:tcBorders>
              <w:left w:val="single" w:sz="8" w:color="auto"/>
            </w:tcBorders>
          </w:tcPr>
          <w:p>
            <w:pPr>
              <w:spacing w:after="0"/>
              <w:rPr>
                <w:sz w:val="19"/>
                <w:szCs w:val="19"/>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in this prospectus before deciding to invest in our Class A shares.</w:t>
            </w:r>
          </w:p>
        </w:tc>
      </w:tr>
      <w:tr>
        <w:trPr>
          <w:trHeight w:val="265"/>
        </w:trPr>
        <w:tc>
          <w:tcPr>
            <w:tcW w:w="2860" w:type="dxa"/>
            <w:vAlign w:val="bottom"/>
            <w:tcBorders>
              <w:left w:val="single" w:sz="8" w:color="auto"/>
              <w:bottom w:val="single" w:sz="8" w:color="auto"/>
            </w:tcBorders>
          </w:tcPr>
          <w:p>
            <w:pPr>
              <w:spacing w:after="0"/>
              <w:rPr>
                <w:sz w:val="23"/>
                <w:szCs w:val="23"/>
                <w:color w:val="auto"/>
              </w:rPr>
            </w:pPr>
          </w:p>
        </w:tc>
        <w:tc>
          <w:tcPr>
            <w:tcW w:w="664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r>
      <w:tr>
        <w:trPr>
          <w:trHeight w:val="426"/>
        </w:trPr>
        <w:tc>
          <w:tcPr>
            <w:tcW w:w="2860" w:type="dxa"/>
            <w:vAlign w:val="bottom"/>
          </w:tcPr>
          <w:p>
            <w:pPr>
              <w:spacing w:after="0"/>
              <w:rPr>
                <w:sz w:val="24"/>
                <w:szCs w:val="24"/>
                <w:color w:val="auto"/>
              </w:rPr>
            </w:pPr>
          </w:p>
        </w:tc>
        <w:tc>
          <w:tcPr>
            <w:tcW w:w="6640" w:type="dxa"/>
            <w:vAlign w:val="bottom"/>
          </w:tcPr>
          <w:p>
            <w:pPr>
              <w:ind w:left="18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r>
      <w:tr>
        <w:trPr>
          <w:trHeight w:val="442"/>
        </w:trPr>
        <w:tc>
          <w:tcPr>
            <w:tcW w:w="28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7"/>
        </w:trPr>
        <w:tc>
          <w:tcPr>
            <w:tcW w:w="2860" w:type="dxa"/>
            <w:vAlign w:val="bottom"/>
            <w:tcBorders>
              <w:left w:val="single" w:sz="8" w:color="auto"/>
            </w:tcBorders>
            <w:shd w:val="clear" w:color="auto" w:fill="000000"/>
          </w:tcPr>
          <w:p>
            <w:pPr>
              <w:spacing w:after="0"/>
              <w:rPr>
                <w:sz w:val="5"/>
                <w:szCs w:val="5"/>
                <w:color w:val="auto"/>
              </w:rPr>
            </w:pPr>
          </w:p>
        </w:tc>
        <w:tc>
          <w:tcPr>
            <w:tcW w:w="664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2240" w:h="15840" w:orient="portrait"/>
          <w:cols w:equalWidth="0" w:num="1">
            <w:col w:w="9540"/>
          </w:cols>
          <w:pgMar w:left="1360" w:top="138" w:right="13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6844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60440" cy="6844030"/>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Data</w:t>
      </w:r>
    </w:p>
    <w:p>
      <w:pPr>
        <w:spacing w:after="0" w:line="119" w:lineRule="exact"/>
        <w:rPr>
          <w:sz w:val="20"/>
          <w:szCs w:val="20"/>
          <w:color w:val="auto"/>
        </w:rPr>
      </w:pPr>
    </w:p>
    <w:p>
      <w:pPr>
        <w:ind w:left="120" w:right="260" w:firstLine="358"/>
        <w:spacing w:after="0" w:line="261" w:lineRule="auto"/>
        <w:rPr>
          <w:sz w:val="20"/>
          <w:szCs w:val="20"/>
          <w:color w:val="auto"/>
        </w:rPr>
      </w:pPr>
      <w:r>
        <w:rPr>
          <w:rFonts w:ascii="Arial" w:cs="Arial" w:eastAsia="Arial" w:hAnsi="Arial"/>
          <w:sz w:val="18"/>
          <w:szCs w:val="18"/>
          <w:color w:val="auto"/>
        </w:rPr>
        <w:t>NFE was formed on August 6, 2018 and does not have historical financial results. NFE currently has no assets or liabilities and has conducted no operations. The following table shows summary historical financial information of New Fortress Energy Holdings, our predecessor, for the periods and as of the dates indicated.</w:t>
      </w:r>
    </w:p>
    <w:p>
      <w:pPr>
        <w:spacing w:after="0" w:line="76" w:lineRule="exact"/>
        <w:rPr>
          <w:sz w:val="20"/>
          <w:szCs w:val="20"/>
          <w:color w:val="auto"/>
        </w:rPr>
      </w:pPr>
    </w:p>
    <w:p>
      <w:pPr>
        <w:ind w:left="120" w:right="300" w:firstLine="358"/>
        <w:spacing w:after="0" w:line="270" w:lineRule="auto"/>
        <w:rPr>
          <w:sz w:val="20"/>
          <w:szCs w:val="20"/>
          <w:color w:val="auto"/>
        </w:rPr>
      </w:pPr>
      <w:r>
        <w:rPr>
          <w:rFonts w:ascii="Arial" w:cs="Arial" w:eastAsia="Arial" w:hAnsi="Arial"/>
          <w:sz w:val="17"/>
          <w:szCs w:val="17"/>
          <w:color w:val="auto"/>
        </w:rPr>
        <w:t>The summary historical financial data as of September 30, 2018 and for the nine months ended September 30, 2018 and 2017 was derived from the unaudited historical condensed consolidated financial statements of New Fortress Energy Holdings included elsewhere in this prospectus and which, in the opinion of management, contain all normal recurring adjustments necessary for a fair statement of the results for the unaudited interim periods and have been prepared on the same basis as the associated audited consolidated financial statements. The summary historical financial data as of and for the years ended December 31, 2017 and 2016 was derived from the audited historical consolidated financial statements of New Fortress Energy Holdings included elsewhere in this prospectus.</w:t>
      </w:r>
    </w:p>
    <w:p>
      <w:pPr>
        <w:spacing w:after="0" w:line="70" w:lineRule="exact"/>
        <w:rPr>
          <w:sz w:val="20"/>
          <w:szCs w:val="20"/>
          <w:color w:val="auto"/>
        </w:rPr>
      </w:pPr>
    </w:p>
    <w:p>
      <w:pPr>
        <w:ind w:left="120" w:right="120" w:firstLine="358"/>
        <w:spacing w:after="0" w:line="257" w:lineRule="auto"/>
        <w:rPr>
          <w:sz w:val="20"/>
          <w:szCs w:val="20"/>
          <w:color w:val="auto"/>
        </w:rPr>
      </w:pPr>
      <w:r>
        <w:rPr>
          <w:rFonts w:ascii="Arial" w:cs="Arial" w:eastAsia="Arial" w:hAnsi="Arial"/>
          <w:sz w:val="18"/>
          <w:szCs w:val="18"/>
          <w:color w:val="auto"/>
        </w:rPr>
        <w:t>You should read the information set forth below together with “Use of Proceeds,” “Selected Historical Financial Data,” “Management’s Discussion and Analysis of Financial Condition and Results of Operations,” and our consolidated financial statements and related notes included elsewhere in this prospectus. The historical financial results are not necessarily indicative of results to be expected for any future periods.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238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r>
      <w:tr>
        <w:trPr>
          <w:trHeight w:val="170"/>
        </w:trPr>
        <w:tc>
          <w:tcPr>
            <w:tcW w:w="1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38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r>
      <w:tr>
        <w:trPr>
          <w:trHeight w:val="181"/>
        </w:trPr>
        <w:tc>
          <w:tcPr>
            <w:tcW w:w="1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5"/>
        </w:trPr>
        <w:tc>
          <w:tcPr>
            <w:tcW w:w="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80" w:type="dxa"/>
            <w:vAlign w:val="bottom"/>
            <w:gridSpan w:val="13"/>
          </w:tcPr>
          <w:p>
            <w:pPr>
              <w:ind w:left="740"/>
              <w:spacing w:after="0"/>
              <w:rPr>
                <w:sz w:val="20"/>
                <w:szCs w:val="20"/>
                <w:color w:val="auto"/>
              </w:rPr>
            </w:pPr>
            <w:r>
              <w:rPr>
                <w:rFonts w:ascii="Arial" w:cs="Arial" w:eastAsia="Arial" w:hAnsi="Arial"/>
                <w:sz w:val="14"/>
                <w:szCs w:val="14"/>
                <w:b w:val="1"/>
                <w:bCs w:val="1"/>
                <w:color w:val="auto"/>
              </w:rPr>
              <w:t>(in thousands, except share and per share amounts)</w:t>
            </w:r>
          </w:p>
        </w:tc>
      </w:tr>
      <w:tr>
        <w:trPr>
          <w:trHeight w:val="241"/>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12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6"/>
        </w:trPr>
        <w:tc>
          <w:tcPr>
            <w:tcW w:w="120" w:type="dxa"/>
            <w:vAlign w:val="bottom"/>
          </w:tcPr>
          <w:p>
            <w:pPr>
              <w:spacing w:after="0"/>
              <w:rPr>
                <w:sz w:val="21"/>
                <w:szCs w:val="21"/>
                <w:color w:val="auto"/>
              </w:rPr>
            </w:pPr>
          </w:p>
        </w:tc>
        <w:tc>
          <w:tcPr>
            <w:tcW w:w="4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69,545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60,653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82,104</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8"/>
        </w:trPr>
        <w:tc>
          <w:tcPr>
            <w:tcW w:w="1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11,387</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11,357</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15,158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7"/>
        </w:trPr>
        <w:tc>
          <w:tcPr>
            <w:tcW w:w="120" w:type="dxa"/>
            <w:vAlign w:val="bottom"/>
          </w:tcPr>
          <w:p>
            <w:pPr>
              <w:spacing w:after="0"/>
              <w:rPr>
                <w:sz w:val="2"/>
                <w:szCs w:val="2"/>
                <w:color w:val="auto"/>
              </w:rPr>
            </w:pPr>
          </w:p>
        </w:tc>
        <w:tc>
          <w:tcPr>
            <w:tcW w:w="4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5"/>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80,932</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72,010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97,262</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21,395</w:t>
            </w: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1"/>
        </w:trPr>
        <w:tc>
          <w:tcPr>
            <w:tcW w:w="120" w:type="dxa"/>
            <w:vAlign w:val="bottom"/>
          </w:tcPr>
          <w:p>
            <w:pPr>
              <w:spacing w:after="0"/>
              <w:rPr>
                <w:sz w:val="20"/>
                <w:szCs w:val="20"/>
                <w:color w:val="auto"/>
              </w:rPr>
            </w:pPr>
          </w:p>
        </w:tc>
        <w:tc>
          <w:tcPr>
            <w:tcW w:w="444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1"/>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5"/>
        </w:trPr>
        <w:tc>
          <w:tcPr>
            <w:tcW w:w="12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68,625</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57,854</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78,692</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22,747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8"/>
        </w:trPr>
        <w:tc>
          <w:tcPr>
            <w:tcW w:w="120" w:type="dxa"/>
            <w:vAlign w:val="bottom"/>
          </w:tcPr>
          <w:p>
            <w:pPr>
              <w:spacing w:after="0"/>
              <w:rPr>
                <w:sz w:val="21"/>
                <w:szCs w:val="21"/>
                <w:color w:val="auto"/>
              </w:rPr>
            </w:pPr>
          </w:p>
        </w:tc>
        <w:tc>
          <w:tcPr>
            <w:tcW w:w="4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Operations and maintenance</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5,750</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7,456</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5"/>
        </w:trPr>
        <w:tc>
          <w:tcPr>
            <w:tcW w:w="12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40,827</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21,164</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33,343</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2,258</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2,761</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44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5"/>
        </w:trPr>
        <w:tc>
          <w:tcPr>
            <w:tcW w:w="12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117,460</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85,818</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122,252</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48,453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1"/>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12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(36,528)</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(13,808)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(24,990)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(27,058)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6"/>
        </w:trPr>
        <w:tc>
          <w:tcPr>
            <w:tcW w:w="120" w:type="dxa"/>
            <w:vAlign w:val="bottom"/>
          </w:tcPr>
          <w:p>
            <w:pPr>
              <w:spacing w:after="0"/>
              <w:rPr>
                <w:sz w:val="21"/>
                <w:szCs w:val="21"/>
                <w:color w:val="auto"/>
              </w:rPr>
            </w:pPr>
          </w:p>
        </w:tc>
        <w:tc>
          <w:tcPr>
            <w:tcW w:w="4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6,389</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6,456</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5"/>
        </w:trPr>
        <w:tc>
          <w:tcPr>
            <w:tcW w:w="12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44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Loss before taxes</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(43,020)</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(18,583)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(31,145)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(33,287)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2"/>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provision (benefit)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44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120" w:type="dxa"/>
            <w:vAlign w:val="bottom"/>
          </w:tcPr>
          <w:p>
            <w:pPr>
              <w:spacing w:after="0"/>
              <w:rPr>
                <w:sz w:val="19"/>
                <w:szCs w:val="19"/>
                <w:color w:val="auto"/>
              </w:rPr>
            </w:pPr>
          </w:p>
        </w:tc>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(43,419)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(19,402)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(31,671)</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(32,926)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7"/>
        </w:trPr>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1"/>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5"/>
        </w:trPr>
        <w:tc>
          <w:tcPr>
            <w:tcW w:w="12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(0.64)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120" w:type="dxa"/>
            <w:vAlign w:val="bottom"/>
          </w:tcPr>
          <w:p>
            <w:pPr>
              <w:spacing w:after="0"/>
              <w:rPr>
                <w:sz w:val="19"/>
                <w:szCs w:val="19"/>
                <w:color w:val="auto"/>
              </w:rPr>
            </w:pPr>
          </w:p>
        </w:tc>
        <w:tc>
          <w:tcPr>
            <w:tcW w:w="4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Weighted average number of shares outstanding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2"/>
        </w:trPr>
        <w:tc>
          <w:tcPr>
            <w:tcW w:w="120" w:type="dxa"/>
            <w:vAlign w:val="bottom"/>
          </w:tcPr>
          <w:p>
            <w:pPr>
              <w:spacing w:after="0"/>
              <w:rPr>
                <w:sz w:val="21"/>
                <w:szCs w:val="21"/>
                <w:color w:val="auto"/>
              </w:rPr>
            </w:pPr>
          </w:p>
        </w:tc>
        <w:tc>
          <w:tcPr>
            <w:tcW w:w="44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67,915,822</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65,000,478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65,006,140</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58,753,425</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5"/>
        </w:trPr>
        <w:tc>
          <w:tcPr>
            <w:tcW w:w="120" w:type="dxa"/>
            <w:vAlign w:val="bottom"/>
            <w:tcBorders>
              <w:bottom w:val="single" w:sz="8" w:color="auto"/>
            </w:tcBorders>
          </w:tcPr>
          <w:p>
            <w:pPr>
              <w:spacing w:after="0"/>
              <w:rPr>
                <w:sz w:val="23"/>
                <w:szCs w:val="23"/>
                <w:color w:val="auto"/>
              </w:rPr>
            </w:pPr>
          </w:p>
        </w:tc>
        <w:tc>
          <w:tcPr>
            <w:tcW w:w="4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426"/>
        </w:trPr>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74"/>
              <w:spacing w:after="0"/>
              <w:rPr>
                <w:sz w:val="20"/>
                <w:szCs w:val="20"/>
                <w:color w:val="auto"/>
              </w:rPr>
            </w:pPr>
            <w:r>
              <w:rPr>
                <w:rFonts w:ascii="Arial" w:cs="Arial" w:eastAsia="Arial" w:hAnsi="Arial"/>
                <w:sz w:val="18"/>
                <w:szCs w:val="18"/>
                <w:color w:val="auto"/>
                <w:w w:val="79"/>
              </w:rPr>
              <w:t>20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2"/>
        </w:trPr>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7"/>
        </w:trPr>
        <w:tc>
          <w:tcPr>
            <w:tcW w:w="120" w:type="dxa"/>
            <w:vAlign w:val="bottom"/>
            <w:shd w:val="clear" w:color="auto" w:fill="000000"/>
          </w:tcPr>
          <w:p>
            <w:pPr>
              <w:spacing w:after="0"/>
              <w:rPr>
                <w:sz w:val="5"/>
                <w:szCs w:val="5"/>
                <w:color w:val="auto"/>
              </w:rPr>
            </w:pPr>
          </w:p>
        </w:tc>
        <w:tc>
          <w:tcPr>
            <w:tcW w:w="444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2240" w:h="15840" w:orient="portrait"/>
          <w:cols w:equalWidth="0" w:num="1">
            <w:col w:w="9540"/>
          </w:cols>
          <w:pgMar w:left="1360" w:top="138" w:right="13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2712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60440" cy="2712720"/>
                    </a:xfrm>
                    <a:prstGeom prst="rect">
                      <a:avLst/>
                    </a:prstGeom>
                    <a:noFill/>
                  </pic:spPr>
                </pic:pic>
              </a:graphicData>
            </a:graphic>
          </wp:anchor>
        </w:drawing>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1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0"/>
              </w:rPr>
              <w:t>As of 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188"/>
        </w:trPr>
        <w:tc>
          <w:tcPr>
            <w:tcW w:w="1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6"/>
                <w:szCs w:val="16"/>
                <w:color w:val="auto"/>
              </w:rPr>
            </w:pPr>
          </w:p>
        </w:tc>
      </w:tr>
      <w:tr>
        <w:trPr>
          <w:trHeight w:val="241"/>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85,526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69,350</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70,633</w:t>
            </w:r>
          </w:p>
        </w:tc>
        <w:tc>
          <w:tcPr>
            <w:tcW w:w="80" w:type="dxa"/>
            <w:vAlign w:val="bottom"/>
          </w:tcPr>
          <w:p>
            <w:pPr>
              <w:spacing w:after="0"/>
              <w:rPr>
                <w:sz w:val="20"/>
                <w:szCs w:val="20"/>
                <w:color w:val="auto"/>
              </w:rPr>
            </w:pPr>
          </w:p>
        </w:tc>
      </w:tr>
      <w:tr>
        <w:trPr>
          <w:trHeight w:val="248"/>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485,097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381,190</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389,054</w:t>
            </w:r>
          </w:p>
        </w:tc>
        <w:tc>
          <w:tcPr>
            <w:tcW w:w="80" w:type="dxa"/>
            <w:vAlign w:val="bottom"/>
            <w:shd w:val="clear" w:color="auto" w:fill="CCEEFF"/>
          </w:tcPr>
          <w:p>
            <w:pPr>
              <w:spacing w:after="0"/>
              <w:rPr>
                <w:sz w:val="21"/>
                <w:szCs w:val="21"/>
                <w:color w:val="auto"/>
              </w:rPr>
            </w:pPr>
          </w:p>
        </w:tc>
      </w:tr>
      <w:tr>
        <w:trPr>
          <w:trHeight w:val="241"/>
        </w:trPr>
        <w:tc>
          <w:tcPr>
            <w:tcW w:w="3840" w:type="dxa"/>
            <w:vAlign w:val="bottom"/>
            <w:gridSpan w:val="2"/>
          </w:tcPr>
          <w:p>
            <w:pPr>
              <w:ind w:left="180"/>
              <w:spacing w:after="0" w:line="241" w:lineRule="exact"/>
              <w:rPr>
                <w:sz w:val="20"/>
                <w:szCs w:val="20"/>
                <w:color w:val="auto"/>
              </w:rPr>
            </w:pPr>
            <w:r>
              <w:rPr>
                <w:rFonts w:ascii="Arial" w:cs="Arial" w:eastAsia="Arial" w:hAnsi="Arial"/>
                <w:sz w:val="17"/>
                <w:szCs w:val="17"/>
                <w:color w:val="auto"/>
              </w:rPr>
              <w:t>Long-term debt (includes current portion)</w:t>
            </w:r>
            <w:r>
              <w:rPr>
                <w:rFonts w:ascii="Arial" w:cs="Arial" w:eastAsia="Arial" w:hAnsi="Arial"/>
                <w:sz w:val="27"/>
                <w:szCs w:val="27"/>
                <w:color w:val="auto"/>
                <w:vertAlign w:val="superscript"/>
              </w:rPr>
              <w:t>(1)</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121,970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75,253</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80,385</w:t>
            </w:r>
          </w:p>
        </w:tc>
        <w:tc>
          <w:tcPr>
            <w:tcW w:w="80" w:type="dxa"/>
            <w:vAlign w:val="bottom"/>
          </w:tcPr>
          <w:p>
            <w:pPr>
              <w:spacing w:after="0"/>
              <w:rPr>
                <w:sz w:val="20"/>
                <w:szCs w:val="20"/>
                <w:color w:val="auto"/>
              </w:rPr>
            </w:pPr>
          </w:p>
        </w:tc>
      </w:tr>
      <w:tr>
        <w:trPr>
          <w:trHeight w:val="24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179,013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102,280</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99,684</w:t>
            </w:r>
          </w:p>
        </w:tc>
        <w:tc>
          <w:tcPr>
            <w:tcW w:w="80" w:type="dxa"/>
            <w:vAlign w:val="bottom"/>
            <w:shd w:val="clear" w:color="auto" w:fill="CCEEFF"/>
          </w:tcPr>
          <w:p>
            <w:pPr>
              <w:spacing w:after="0"/>
              <w:rPr>
                <w:sz w:val="20"/>
                <w:szCs w:val="20"/>
                <w:color w:val="auto"/>
              </w:rPr>
            </w:pPr>
          </w:p>
        </w:tc>
      </w:tr>
      <w:tr>
        <w:trPr>
          <w:trHeight w:val="219"/>
        </w:trPr>
        <w:tc>
          <w:tcPr>
            <w:tcW w:w="1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9"/>
          </w:tcPr>
          <w:p>
            <w:pPr>
              <w:jc w:val="center"/>
              <w:ind w:right="600"/>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5"/>
          </w:tcPr>
          <w:p>
            <w:pPr>
              <w:jc w:val="center"/>
              <w:ind w:left="338"/>
              <w:spacing w:after="0"/>
              <w:rPr>
                <w:sz w:val="20"/>
                <w:szCs w:val="20"/>
                <w:color w:val="auto"/>
              </w:rPr>
            </w:pPr>
            <w:r>
              <w:rPr>
                <w:rFonts w:ascii="Arial" w:cs="Arial" w:eastAsia="Arial" w:hAnsi="Arial"/>
                <w:sz w:val="14"/>
                <w:szCs w:val="14"/>
                <w:b w:val="1"/>
                <w:bCs w:val="1"/>
                <w:color w:val="auto"/>
                <w:w w:val="93"/>
              </w:rPr>
              <w:t>Year Ended</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0"/>
        </w:trPr>
        <w:tc>
          <w:tcPr>
            <w:tcW w:w="1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center"/>
              <w:ind w:left="358"/>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ind w:left="338"/>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8"/>
        </w:trPr>
        <w:tc>
          <w:tcPr>
            <w:tcW w:w="1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6"/>
                <w:szCs w:val="16"/>
                <w:color w:val="auto"/>
              </w:rPr>
            </w:pPr>
          </w:p>
        </w:tc>
      </w:tr>
      <w:tr>
        <w:trPr>
          <w:trHeight w:val="241"/>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Cash Flow Data:</w:t>
            </w: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3840" w:type="dxa"/>
            <w:vAlign w:val="bottom"/>
            <w:gridSpan w:val="2"/>
          </w:tcPr>
          <w:p>
            <w:pPr>
              <w:spacing w:after="0"/>
              <w:rPr>
                <w:sz w:val="20"/>
                <w:szCs w:val="20"/>
                <w:color w:val="auto"/>
              </w:rPr>
            </w:pPr>
            <w:r>
              <w:rPr>
                <w:rFonts w:ascii="Arial" w:cs="Arial" w:eastAsia="Arial" w:hAnsi="Arial"/>
                <w:sz w:val="18"/>
                <w:szCs w:val="18"/>
                <w:color w:val="auto"/>
              </w:rPr>
              <w:t>Net cash provided by (used in):</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(53,156)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(35,983) $</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(54,892) $</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(43,493)</w:t>
            </w:r>
          </w:p>
        </w:tc>
      </w:tr>
      <w:tr>
        <w:trPr>
          <w:trHeight w:val="235"/>
        </w:trPr>
        <w:tc>
          <w:tcPr>
            <w:tcW w:w="3840" w:type="dxa"/>
            <w:vAlign w:val="bottom"/>
            <w:gridSpan w:val="2"/>
          </w:tcPr>
          <w:p>
            <w:pPr>
              <w:ind w:left="360"/>
              <w:spacing w:after="0"/>
              <w:rPr>
                <w:sz w:val="20"/>
                <w:szCs w:val="20"/>
                <w:color w:val="auto"/>
              </w:rPr>
            </w:pPr>
            <w:r>
              <w:rPr>
                <w:rFonts w:ascii="Arial" w:cs="Arial" w:eastAsia="Arial" w:hAnsi="Arial"/>
                <w:sz w:val="18"/>
                <w:szCs w:val="18"/>
                <w:color w:val="auto"/>
              </w:rPr>
              <w:t>Investing activities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(105,152)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(36,109)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(52,396)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(104,040)</w:t>
            </w:r>
          </w:p>
        </w:tc>
      </w:tr>
      <w:tr>
        <w:trPr>
          <w:trHeight w:val="248"/>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Financing activities</w:t>
            </w: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125,503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11,346</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277,699</w:t>
            </w:r>
          </w:p>
        </w:tc>
        <w:tc>
          <w:tcPr>
            <w:tcW w:w="80" w:type="dxa"/>
            <w:vAlign w:val="bottom"/>
            <w:shd w:val="clear" w:color="auto" w:fill="CCEEFF"/>
          </w:tcPr>
          <w:p>
            <w:pPr>
              <w:spacing w:after="0"/>
              <w:rPr>
                <w:sz w:val="21"/>
                <w:szCs w:val="21"/>
                <w:color w:val="auto"/>
              </w:rPr>
            </w:pPr>
          </w:p>
        </w:tc>
      </w:tr>
      <w:tr>
        <w:trPr>
          <w:trHeight w:val="174"/>
        </w:trPr>
        <w:tc>
          <w:tcPr>
            <w:tcW w:w="1380" w:type="dxa"/>
            <w:vAlign w:val="bottom"/>
            <w:tcBorders>
              <w:bottom w:val="single" w:sz="8" w:color="auto"/>
            </w:tcBorders>
          </w:tcPr>
          <w:p>
            <w:pPr>
              <w:spacing w:after="0"/>
              <w:rPr>
                <w:sz w:val="15"/>
                <w:szCs w:val="15"/>
                <w:color w:val="auto"/>
              </w:rPr>
            </w:pPr>
          </w:p>
        </w:tc>
        <w:tc>
          <w:tcPr>
            <w:tcW w:w="2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2" w:lineRule="exact"/>
        <w:rPr>
          <w:sz w:val="20"/>
          <w:szCs w:val="20"/>
          <w:color w:val="auto"/>
        </w:rPr>
      </w:pPr>
    </w:p>
    <w:p>
      <w:pPr>
        <w:ind w:left="460" w:hanging="342"/>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Does not include the amendment to our Term Loan Facility on December 31, 2018.</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19" w:lineRule="exact"/>
        <w:rPr>
          <w:sz w:val="20"/>
          <w:szCs w:val="20"/>
          <w:color w:val="auto"/>
        </w:rPr>
      </w:pPr>
    </w:p>
    <w:p>
      <w:pPr>
        <w:ind w:firstLine="357"/>
        <w:spacing w:after="0" w:line="294" w:lineRule="auto"/>
        <w:rPr>
          <w:sz w:val="20"/>
          <w:szCs w:val="20"/>
          <w:color w:val="auto"/>
        </w:rPr>
      </w:pPr>
      <w:r>
        <w:rPr>
          <w:rFonts w:ascii="Arial" w:cs="Arial" w:eastAsia="Arial" w:hAnsi="Arial"/>
          <w:sz w:val="16"/>
          <w:szCs w:val="16"/>
          <w:i w:val="1"/>
          <w:iCs w:val="1"/>
          <w:color w:val="auto"/>
        </w:rPr>
        <w:t>Investing in our Class A shares involves risks. You should carefully consider the following risk factors together with all of the other information included in this prospectus in evaluating an investment in our Class A shares. Additional risks not presently known to us or that we currently deem immaterial could also materially affect our business. This prospectus includes forward-looking statements regarding, among other things, our plans, strategies, prospects and projections, both business and financial. As a result, you should not place undue reliance on any such statements included in this prospectus or any other offering materials.</w:t>
      </w:r>
    </w:p>
    <w:p>
      <w:pPr>
        <w:spacing w:after="0" w:line="54" w:lineRule="exact"/>
        <w:rPr>
          <w:sz w:val="20"/>
          <w:szCs w:val="20"/>
          <w:color w:val="auto"/>
        </w:rPr>
      </w:pPr>
    </w:p>
    <w:p>
      <w:pPr>
        <w:ind w:right="480" w:firstLine="357"/>
        <w:spacing w:after="0" w:line="261" w:lineRule="auto"/>
        <w:rPr>
          <w:sz w:val="20"/>
          <w:szCs w:val="20"/>
          <w:color w:val="auto"/>
        </w:rPr>
      </w:pPr>
      <w:r>
        <w:rPr>
          <w:rFonts w:ascii="Arial" w:cs="Arial" w:eastAsia="Arial" w:hAnsi="Arial"/>
          <w:sz w:val="18"/>
          <w:szCs w:val="18"/>
          <w:i w:val="1"/>
          <w:iCs w:val="1"/>
          <w:color w:val="auto"/>
        </w:rPr>
        <w:t>If any of the following risks were to occur, our business, financial condition and results of operations could be materially adversely affected. In that case, the trading price of our Class A shares could decline and you could lose all or part of your investment.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6" w:lineRule="exact"/>
        <w:rPr>
          <w:sz w:val="20"/>
          <w:szCs w:val="20"/>
          <w:color w:val="auto"/>
        </w:rPr>
      </w:pPr>
    </w:p>
    <w:p>
      <w:pPr>
        <w:jc w:val="both"/>
        <w:ind w:left="360" w:right="20"/>
        <w:spacing w:after="0" w:line="233" w:lineRule="auto"/>
        <w:rPr>
          <w:sz w:val="20"/>
          <w:szCs w:val="20"/>
          <w:color w:val="auto"/>
        </w:rPr>
      </w:pPr>
      <w:r>
        <w:rPr>
          <w:rFonts w:ascii="Arial" w:cs="Arial" w:eastAsia="Arial" w:hAnsi="Arial"/>
          <w:sz w:val="18"/>
          <w:szCs w:val="18"/>
          <w:b w:val="1"/>
          <w:bCs w:val="1"/>
          <w:i w:val="1"/>
          <w:iCs w:val="1"/>
          <w:color w:val="auto"/>
        </w:rPr>
        <w:t>We have not yet completed contracting, construction and commissioning of all of our Terminals and Liquefaction Facilities. There can be no assurance that our Terminals and Liquefaction Facilities will operate as described in this prospectus, or at all.</w:t>
      </w:r>
    </w:p>
    <w:p>
      <w:pPr>
        <w:spacing w:after="0" w:line="81" w:lineRule="exact"/>
        <w:rPr>
          <w:sz w:val="20"/>
          <w:szCs w:val="20"/>
          <w:color w:val="auto"/>
        </w:rPr>
      </w:pPr>
    </w:p>
    <w:p>
      <w:pPr>
        <w:ind w:firstLine="357"/>
        <w:spacing w:after="0" w:line="282" w:lineRule="auto"/>
        <w:rPr>
          <w:sz w:val="20"/>
          <w:szCs w:val="20"/>
          <w:color w:val="auto"/>
        </w:rPr>
      </w:pPr>
      <w:r>
        <w:rPr>
          <w:rFonts w:ascii="Arial" w:cs="Arial" w:eastAsia="Arial" w:hAnsi="Arial"/>
          <w:sz w:val="16"/>
          <w:szCs w:val="16"/>
          <w:color w:val="auto"/>
        </w:rPr>
        <w:t>While our marine LNG storage and regasification terminal approximately three nautical miles from the Old Harbour Power Plant (the “Old Harbour Terminal” and, together with the Montego Bay Terminal, the “Jamaica Terminals”) is substantially complete, it must still undergo extensive testing and commissioning before operations can commence. There can be no assurance that we will not need to make adjustments to these facilities as a result of such testing or commissioning, which could cause delays and be costly. Additionally, we have not yet entered into binding construction contracts or obtained all necessary environmental, regulatory, construction and zoning permissions for all of our Terminals and Liquefaction Facilities. In January 2019, we entered into the EPC Agreement providing for the construction of our Pennsylvania Facility. For additional information on the EPC for our Pennsylvania Facility, see “Business—Our Liquefaction Assets—Pennsylvania EPC Agreement.” There can be no assurance that we will be able to enter into the contracts required for the development of our Terminals and Liquefaction Facilities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 from our transportation assets to our occupying vessel. If we are unable to enter into favorable contracts or to obtain the necessary regulatory and land use approvals on favorable terms, we may not be able to construct and operate these assets as described in this prospectus, or at all. Finally, the construction of facilities is inherently subject to the risks of cost overruns and delays.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Terminals and Liquefaction Facilities as described in this prospectus, or, when and if constructed, they do not accomplish the goals described in this prospectus, or if we experience delays or cost overruns in construction, our business, operating results, cash flows and liquidity could be materially and adversely affected. Expenses related to our pursuit of contracts and regulatory approvals related to our Terminals and Liquefaction Facilities still under development may be significant and will be incurred by us regardless of whether these assets are ultimately constructed and operational.</w:t>
      </w:r>
    </w:p>
    <w:p>
      <w:pPr>
        <w:spacing w:after="0" w:line="382" w:lineRule="exact"/>
        <w:rPr>
          <w:sz w:val="20"/>
          <w:szCs w:val="20"/>
          <w:color w:val="auto"/>
        </w:rPr>
      </w:pPr>
    </w:p>
    <w:p>
      <w:pPr>
        <w:ind w:left="360" w:right="440"/>
        <w:spacing w:after="0" w:line="243" w:lineRule="auto"/>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77" w:lineRule="exact"/>
        <w:rPr>
          <w:sz w:val="20"/>
          <w:szCs w:val="20"/>
          <w:color w:val="auto"/>
        </w:rPr>
      </w:pPr>
    </w:p>
    <w:p>
      <w:pPr>
        <w:ind w:right="20" w:firstLine="357"/>
        <w:spacing w:after="0" w:line="269" w:lineRule="auto"/>
        <w:rPr>
          <w:sz w:val="20"/>
          <w:szCs w:val="20"/>
          <w:color w:val="auto"/>
        </w:rPr>
      </w:pPr>
      <w:r>
        <w:rPr>
          <w:rFonts w:ascii="Arial" w:cs="Arial" w:eastAsia="Arial" w:hAnsi="Arial"/>
          <w:sz w:val="17"/>
          <w:szCs w:val="17"/>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the Dominican Republic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Old Harbour Terminal, the Pennsylvania Facility and the CHP Plant,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w:t>
      </w:r>
      <w:r>
        <w:rPr>
          <w:rFonts w:ascii="Arial" w:cs="Arial" w:eastAsia="Arial" w:hAnsi="Arial"/>
          <w:sz w:val="17"/>
          <w:szCs w:val="17"/>
          <w:b w:val="1"/>
          <w:bCs w:val="1"/>
          <w:color w:val="auto"/>
        </w:rPr>
        <w:t>-</w:t>
      </w:r>
      <w:r>
        <w:rPr>
          <w:rFonts w:ascii="Arial" w:cs="Arial" w:eastAsia="Arial" w:hAnsi="Arial"/>
          <w:sz w:val="17"/>
          <w:szCs w:val="17"/>
          <w:color w:val="auto"/>
        </w:rPr>
        <w:t>term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capital appreciation and liquidity with respect to such investments. 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59" w:lineRule="exact"/>
        <w:rPr>
          <w:sz w:val="20"/>
          <w:szCs w:val="20"/>
          <w:color w:val="auto"/>
        </w:rPr>
      </w:pPr>
    </w:p>
    <w:p>
      <w:pPr>
        <w:ind w:right="140" w:firstLine="357"/>
        <w:spacing w:after="0" w:line="257" w:lineRule="auto"/>
        <w:rPr>
          <w:sz w:val="20"/>
          <w:szCs w:val="20"/>
          <w:color w:val="auto"/>
        </w:rPr>
      </w:pPr>
      <w:r>
        <w:rPr>
          <w:rFonts w:ascii="Arial" w:cs="Arial" w:eastAsia="Arial" w:hAnsi="Arial"/>
          <w:sz w:val="18"/>
          <w:szCs w:val="18"/>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79" w:lineRule="exact"/>
        <w:rPr>
          <w:sz w:val="20"/>
          <w:szCs w:val="20"/>
          <w:color w:val="auto"/>
        </w:rPr>
      </w:pPr>
    </w:p>
    <w:p>
      <w:pPr>
        <w:ind w:left="700" w:right="38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achieve our target costs for the purchase, liquefaction and export of natural gas and/or LNG and our target pricing for long-term contracts;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develop cost-effective logistics solutions;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manage expanding operations in the projected time frame;</w:t>
      </w:r>
    </w:p>
    <w:p>
      <w:pPr>
        <w:spacing w:after="0" w:line="114" w:lineRule="exact"/>
        <w:rPr>
          <w:rFonts w:ascii="Arial" w:cs="Arial" w:eastAsia="Arial" w:hAnsi="Arial"/>
          <w:sz w:val="18"/>
          <w:szCs w:val="18"/>
          <w:color w:val="auto"/>
        </w:rPr>
      </w:pPr>
    </w:p>
    <w:p>
      <w:pPr>
        <w:ind w:left="700" w:right="2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structure innovative and profitable energy-related transactions as part of our sales and trading operations and to optimally price and manage position, performance and counter-party risks;</w:t>
      </w:r>
    </w:p>
    <w:p>
      <w:pPr>
        <w:spacing w:after="0" w:line="63" w:lineRule="exact"/>
        <w:rPr>
          <w:rFonts w:ascii="Arial" w:cs="Arial" w:eastAsia="Arial" w:hAnsi="Arial"/>
          <w:sz w:val="18"/>
          <w:szCs w:val="18"/>
          <w:color w:val="auto"/>
        </w:rPr>
      </w:pPr>
    </w:p>
    <w:p>
      <w:pPr>
        <w:ind w:left="70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develop infrastructure, including our Terminals and Liquefaction Facilities, as well as other future projects, in a timely and cost-effective manner;</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attract and retain personnel in a timely and cost-effective manner;</w:t>
      </w:r>
    </w:p>
    <w:p>
      <w:pPr>
        <w:spacing w:after="0" w:line="114" w:lineRule="exact"/>
        <w:rPr>
          <w:rFonts w:ascii="Arial" w:cs="Arial" w:eastAsia="Arial" w:hAnsi="Arial"/>
          <w:sz w:val="18"/>
          <w:szCs w:val="18"/>
          <w:color w:val="auto"/>
        </w:rPr>
      </w:pPr>
    </w:p>
    <w:p>
      <w:pPr>
        <w:ind w:left="700" w:right="36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investments in technology and machinery, such as liquefaction technology or LNG tank truck technology, to perform as expected;</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competition which could increase our costs and undermine our profits;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source LNG and/or natural gas in sufficient quantities and/or at economically attractive prices;</w:t>
      </w:r>
    </w:p>
    <w:p>
      <w:pPr>
        <w:spacing w:after="0" w:line="114" w:lineRule="exact"/>
        <w:rPr>
          <w:rFonts w:ascii="Arial" w:cs="Arial" w:eastAsia="Arial" w:hAnsi="Arial"/>
          <w:sz w:val="18"/>
          <w:szCs w:val="18"/>
          <w:color w:val="auto"/>
        </w:rPr>
      </w:pPr>
    </w:p>
    <w:p>
      <w:pPr>
        <w:ind w:left="700" w:right="12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anticipate and adapt to new trends in the energy sector in the U.S., Jamaica, the Caribbean, Mexico, Ireland and elsewhere;</w:t>
      </w:r>
    </w:p>
    <w:p>
      <w:pPr>
        <w:spacing w:after="0" w:line="63" w:lineRule="exact"/>
        <w:rPr>
          <w:rFonts w:ascii="Arial" w:cs="Arial" w:eastAsia="Arial" w:hAnsi="Arial"/>
          <w:sz w:val="18"/>
          <w:szCs w:val="18"/>
          <w:color w:val="auto"/>
        </w:rPr>
      </w:pPr>
    </w:p>
    <w:p>
      <w:pPr>
        <w:ind w:left="700" w:right="22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operating costs, including the need for capital improvements, insurance premiums, general taxes, real estate taxes and utilities, affecting our profit margins;</w:t>
      </w:r>
    </w:p>
    <w:p>
      <w:pPr>
        <w:spacing w:after="0" w:line="63" w:lineRule="exact"/>
        <w:rPr>
          <w:rFonts w:ascii="Arial" w:cs="Arial" w:eastAsia="Arial" w:hAnsi="Arial"/>
          <w:sz w:val="18"/>
          <w:szCs w:val="18"/>
          <w:color w:val="auto"/>
        </w:rPr>
      </w:pPr>
    </w:p>
    <w:p>
      <w:pPr>
        <w:ind w:left="700" w:right="10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raise significant additional debt and equity capital in the future to implement our strategy as well as to operate and expand our business;</w:t>
      </w:r>
    </w:p>
    <w:p>
      <w:pPr>
        <w:spacing w:after="0" w:line="63" w:lineRule="exact"/>
        <w:rPr>
          <w:rFonts w:ascii="Arial" w:cs="Arial" w:eastAsia="Arial" w:hAnsi="Arial"/>
          <w:sz w:val="18"/>
          <w:szCs w:val="18"/>
          <w:color w:val="auto"/>
        </w:rPr>
      </w:pPr>
    </w:p>
    <w:p>
      <w:pPr>
        <w:ind w:left="700" w:right="16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the U.S., Jamaica, the Caribbean, Mexico, Ireland and in the other geographic areas in which we intend to operate;</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inflation, depreciation of the currencies of the countries in which we operate and fluctuations in interest rates;</w:t>
      </w:r>
    </w:p>
    <w:p>
      <w:pPr>
        <w:spacing w:after="0" w:line="114" w:lineRule="exact"/>
        <w:rPr>
          <w:rFonts w:ascii="Arial" w:cs="Arial" w:eastAsia="Arial" w:hAnsi="Arial"/>
          <w:sz w:val="18"/>
          <w:szCs w:val="18"/>
          <w:color w:val="auto"/>
        </w:rPr>
      </w:pPr>
    </w:p>
    <w:p>
      <w:pPr>
        <w:ind w:left="700" w:right="18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obtain approvals from the Pennsylvania Department of Environmental Protection and relevant local authorities for the construction and operation of the Pennsylvania Facility and other relevant approvals;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win new bids or contracts;</w:t>
      </w:r>
    </w:p>
    <w:p>
      <w:pPr>
        <w:spacing w:after="0" w:line="114" w:lineRule="exact"/>
        <w:rPr>
          <w:rFonts w:ascii="Arial" w:cs="Arial" w:eastAsia="Arial" w:hAnsi="Arial"/>
          <w:sz w:val="18"/>
          <w:szCs w:val="18"/>
          <w:color w:val="auto"/>
        </w:rPr>
      </w:pPr>
    </w:p>
    <w:p>
      <w:pPr>
        <w:ind w:left="700" w:right="16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obtain approvals from governmental regulators and relevant local authorities for the construction and operation of potential future projects and other relevant approvals;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existing and future governmental laws and regulations; or</w:t>
      </w:r>
    </w:p>
    <w:p>
      <w:pPr>
        <w:spacing w:after="0" w:line="114" w:lineRule="exact"/>
        <w:rPr>
          <w:rFonts w:ascii="Arial" w:cs="Arial" w:eastAsia="Arial" w:hAnsi="Arial"/>
          <w:sz w:val="18"/>
          <w:szCs w:val="18"/>
          <w:color w:val="auto"/>
        </w:rPr>
      </w:pPr>
    </w:p>
    <w:p>
      <w:pPr>
        <w:ind w:left="700" w:right="380" w:hanging="346"/>
        <w:spacing w:after="0" w:line="261"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or failure, of any customer or contract counterparty to perform their contractual obligations to us (for further discussion of counterparty risk, see “—Risks Related to Our Business—Our current ability to generate cash is substantially dependent upon the entry into and performance by customers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left="720" w:right="200"/>
        <w:spacing w:after="0" w:line="261" w:lineRule="auto"/>
        <w:rPr>
          <w:sz w:val="20"/>
          <w:szCs w:val="20"/>
          <w:color w:val="auto"/>
        </w:rPr>
      </w:pPr>
      <w:r>
        <w:rPr>
          <w:rFonts w:ascii="Arial" w:cs="Arial" w:eastAsia="Arial" w:hAnsi="Arial"/>
          <w:sz w:val="18"/>
          <w:szCs w:val="18"/>
          <w:color w:val="auto"/>
        </w:rPr>
        <w:t>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76" w:lineRule="exact"/>
        <w:rPr>
          <w:sz w:val="20"/>
          <w:szCs w:val="20"/>
          <w:color w:val="auto"/>
        </w:rPr>
      </w:pPr>
    </w:p>
    <w:p>
      <w:pPr>
        <w:ind w:right="480" w:firstLine="357"/>
        <w:spacing w:after="0" w:line="274" w:lineRule="auto"/>
        <w:rPr>
          <w:sz w:val="20"/>
          <w:szCs w:val="20"/>
          <w:color w:val="auto"/>
        </w:rPr>
      </w:pPr>
      <w:r>
        <w:rPr>
          <w:rFonts w:ascii="Arial" w:cs="Arial" w:eastAsia="Arial" w:hAnsi="Arial"/>
          <w:sz w:val="18"/>
          <w:szCs w:val="18"/>
          <w:color w:val="auto"/>
        </w:rPr>
        <w:t>If we experience any of these failures, such failure may adversely affect our financial condition, results of operations and ability to execute our business strategy.</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have a limited operating history, and an investment in our Class A shares is highly speculative.</w:t>
      </w:r>
    </w:p>
    <w:p>
      <w:pPr>
        <w:spacing w:after="0" w:line="115" w:lineRule="exact"/>
        <w:rPr>
          <w:sz w:val="20"/>
          <w:szCs w:val="20"/>
          <w:color w:val="auto"/>
        </w:rPr>
      </w:pPr>
    </w:p>
    <w:p>
      <w:pPr>
        <w:ind w:right="60" w:firstLine="357"/>
        <w:spacing w:after="0" w:line="268" w:lineRule="auto"/>
        <w:rPr>
          <w:sz w:val="20"/>
          <w:szCs w:val="20"/>
          <w:color w:val="auto"/>
        </w:rPr>
      </w:pPr>
      <w:r>
        <w:rPr>
          <w:rFonts w:ascii="Arial" w:cs="Arial" w:eastAsia="Arial" w:hAnsi="Arial"/>
          <w:sz w:val="17"/>
          <w:szCs w:val="17"/>
          <w:color w:val="auto"/>
        </w:rPr>
        <w:t>We have a limited operating history and track record. As a result, our prior operating history and historical financial statements may not be a reliable basis for evaluating our business prospects or the future value of our Class A shares. We commenced operations on February 25, 2014, and we had net losses of approximately $1.6 million in 2014, $14.2 million in 2015, $32.9 million in 2016 and $31.7 million in 2017.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Accordingly, your investment in our Class A shares is speculative and subject to a high degree of risk. Prior to investing in our Class A shares, you should understand that there is a possibility of the loss of your entire investment. Our limited history also means that we continue to develop and implement various policies and procedures including those related to data privacy and other matters. We will need to continue to build our team to implement our strategies.</w:t>
      </w:r>
    </w:p>
    <w:p>
      <w:pPr>
        <w:spacing w:after="0" w:line="71" w:lineRule="exact"/>
        <w:rPr>
          <w:sz w:val="20"/>
          <w:szCs w:val="20"/>
          <w:color w:val="auto"/>
        </w:rPr>
      </w:pPr>
    </w:p>
    <w:p>
      <w:pPr>
        <w:ind w:right="20" w:firstLine="357"/>
        <w:spacing w:after="0" w:line="267" w:lineRule="auto"/>
        <w:rPr>
          <w:sz w:val="20"/>
          <w:szCs w:val="20"/>
          <w:color w:val="auto"/>
        </w:rPr>
      </w:pPr>
      <w:r>
        <w:rPr>
          <w:rFonts w:ascii="Arial" w:cs="Arial" w:eastAsia="Arial" w:hAnsi="Arial"/>
          <w:sz w:val="17"/>
          <w:szCs w:val="17"/>
          <w:color w:val="auto"/>
        </w:rPr>
        <w:t>We will continue to incur significant capital and operating expenditures while we develop infrastructure for our supply chain, including for the completion of our Terminals and Liquefaction Facilities under construction, as well as other future projects. We will need to invest significant amounts of additional capital to implement our strategy. We have not yet entered into all arrangements necessary to obtain and ship LNG to the Jamaica Terminals, and we have not completed constructing all of our Terminals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and successfully and timely complete necessary infrastructure, including our Terminals and Liquefaction Facilities under construction, and fulfill our gas delivery obligations under our customer contracts.</w:t>
      </w:r>
    </w:p>
    <w:p>
      <w:pPr>
        <w:spacing w:after="0" w:line="167" w:lineRule="exact"/>
        <w:rPr>
          <w:sz w:val="20"/>
          <w:szCs w:val="20"/>
          <w:color w:val="auto"/>
        </w:rPr>
      </w:pPr>
    </w:p>
    <w:p>
      <w:pPr>
        <w:ind w:left="360" w:right="80"/>
        <w:spacing w:after="0" w:line="243"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77" w:lineRule="exact"/>
        <w:rPr>
          <w:sz w:val="20"/>
          <w:szCs w:val="20"/>
          <w:color w:val="auto"/>
        </w:rPr>
      </w:pPr>
    </w:p>
    <w:p>
      <w:pPr>
        <w:ind w:firstLine="357"/>
        <w:spacing w:after="0" w:line="283" w:lineRule="auto"/>
        <w:rPr>
          <w:sz w:val="20"/>
          <w:szCs w:val="20"/>
          <w:color w:val="auto"/>
        </w:rPr>
      </w:pPr>
      <w:r>
        <w:rPr>
          <w:rFonts w:ascii="Arial" w:cs="Arial" w:eastAsia="Arial" w:hAnsi="Arial"/>
          <w:sz w:val="16"/>
          <w:szCs w:val="16"/>
          <w:color w:val="auto"/>
        </w:rPr>
        <w:t>The net proceeds from this offering will not be sufficient to fully execute our business plan. After giving effect to this offering, assuming the accuracy of our assumptions relating to construction, we believe that our cash resources will be sufficient to meet projected capital expenditures, financing obligations and operating requirements related to the construction and development of our Pennsylvania Facility, the San Juan Facility and the La Paz Terminal, which are further described in “Business.” In the future, we expect to incur additional indebtedness to assist us in developing our operations, including opportunistically refinancing and/or upsizing our Term Loan Facility following the consummation of this offering. If we are unable to secure additional funding, or if it is only available on terms that we determine are not acceptable to us, we may be unable to fully execute our business plan and our business, financial condition or results of operations may be adversely affected. Additionally, we may need to adjust the timing of our planned capital expenditures and facilities development depending on the availability of such additional funding. Our ability to raise additional capital will depend on financial, economic and market conditions and other factors, many of which are beyond our control. We cannot assure you that such additional funding will be available on acceptable terms, or at all. To the extent that we raise additional equity capital by issuing additional securities at any point in the future, our then-existing shareholders may experience dilution. Debt financing, if available, may subject us to restrictive covenants that could limit our flexibility in conducting future business activities and could result in us expending significant resources to service our obligations. If we are unable to comply with these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 and reduce the value of your investment.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0" w:firstLine="357"/>
        <w:spacing w:after="0" w:line="287" w:lineRule="auto"/>
        <w:rPr>
          <w:sz w:val="20"/>
          <w:szCs w:val="20"/>
          <w:color w:val="auto"/>
        </w:rPr>
      </w:pPr>
      <w:r>
        <w:rPr>
          <w:rFonts w:ascii="Arial" w:cs="Arial" w:eastAsia="Arial" w:hAnsi="Arial"/>
          <w:sz w:val="16"/>
          <w:szCs w:val="16"/>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rely on borrowings under our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not be profitable for an indeterminate period of time.</w:t>
      </w:r>
    </w:p>
    <w:p>
      <w:pPr>
        <w:spacing w:after="0" w:line="115" w:lineRule="exact"/>
        <w:rPr>
          <w:sz w:val="20"/>
          <w:szCs w:val="20"/>
          <w:color w:val="auto"/>
        </w:rPr>
      </w:pPr>
    </w:p>
    <w:p>
      <w:pPr>
        <w:ind w:right="160" w:firstLine="357"/>
        <w:spacing w:after="0" w:line="252" w:lineRule="auto"/>
        <w:rPr>
          <w:sz w:val="20"/>
          <w:szCs w:val="20"/>
          <w:color w:val="auto"/>
        </w:rPr>
      </w:pPr>
      <w:r>
        <w:rPr>
          <w:rFonts w:ascii="Arial" w:cs="Arial" w:eastAsia="Arial" w:hAnsi="Arial"/>
          <w:sz w:val="18"/>
          <w:szCs w:val="18"/>
          <w:color w:val="auto"/>
        </w:rPr>
        <w:t>We have a limited operating history and did not commence revenue-generating activities until 2016, and therefore did not achieve profitability as of December 31, 2017. We will invest a substantial portion of the proceeds of this offering in capital expenditures or in pursuit of development opportunities. We will need to make a significant initial investment to complete construction and begin operations of all of our Terminals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 We will need to raise significant additional debt and equity capital to achieve our goals.</w:t>
      </w:r>
    </w:p>
    <w:p>
      <w:pPr>
        <w:spacing w:after="0" w:line="83"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We may not be able to achieve profitability, and if we do, we cannot assure you that we would be able to sustain such profitability in the future. Our failure to achieve or sustain profitability would have a material adverse effect on our business and the value of our Class A shares.</w:t>
      </w:r>
    </w:p>
    <w:p>
      <w:pPr>
        <w:spacing w:after="0" w:line="170" w:lineRule="exact"/>
        <w:rPr>
          <w:sz w:val="20"/>
          <w:szCs w:val="20"/>
          <w:color w:val="auto"/>
        </w:rPr>
      </w:pPr>
    </w:p>
    <w:p>
      <w:pPr>
        <w:ind w:left="360" w:right="120"/>
        <w:spacing w:after="0" w:line="243" w:lineRule="auto"/>
        <w:rPr>
          <w:sz w:val="20"/>
          <w:szCs w:val="20"/>
          <w:color w:val="auto"/>
        </w:rPr>
      </w:pPr>
      <w:r>
        <w:rPr>
          <w:rFonts w:ascii="Arial" w:cs="Arial" w:eastAsia="Arial" w:hAnsi="Arial"/>
          <w:sz w:val="18"/>
          <w:szCs w:val="18"/>
          <w:b w:val="1"/>
          <w:bCs w:val="1"/>
          <w:i w:val="1"/>
          <w:iCs w:val="1"/>
          <w:color w:val="auto"/>
        </w:rPr>
        <w:t>Our business is heavily dependent upon our international operations, particularly in Jamaica, and any disruption to those operations would adversely affect us.</w:t>
      </w:r>
    </w:p>
    <w:p>
      <w:pPr>
        <w:spacing w:after="0" w:line="77" w:lineRule="exact"/>
        <w:rPr>
          <w:sz w:val="20"/>
          <w:szCs w:val="20"/>
          <w:color w:val="auto"/>
        </w:rPr>
      </w:pPr>
    </w:p>
    <w:p>
      <w:pPr>
        <w:ind w:right="20" w:firstLine="357"/>
        <w:spacing w:after="0" w:line="285" w:lineRule="auto"/>
        <w:rPr>
          <w:sz w:val="20"/>
          <w:szCs w:val="20"/>
          <w:color w:val="auto"/>
        </w:rPr>
      </w:pPr>
      <w:r>
        <w:rPr>
          <w:rFonts w:ascii="Arial" w:cs="Arial" w:eastAsia="Arial" w:hAnsi="Arial"/>
          <w:sz w:val="16"/>
          <w:szCs w:val="16"/>
          <w:color w:val="auto"/>
        </w:rPr>
        <w:t>Our operations in Jamaica began in October 2016, when our Montego Bay Terminal commenced commercial operations, and continue to grow. Jamaica is subject to political instability, acts of terrorism,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As a result, tourism directly and indirectly affects local demand for our LNG and therefore our results of operations. Trends in tourism in the Caribbean are primarily driven by the economic condition of the tourists' home country or territory, the condition of their destination, and the affordability and desirability of air travel and cruises. Additionally, unexpected factors could reduce tourism at any time, including, local or global economic recessions, terrorism,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159" w:lineRule="exact"/>
        <w:rPr>
          <w:sz w:val="20"/>
          <w:szCs w:val="20"/>
          <w:color w:val="auto"/>
        </w:rPr>
      </w:pPr>
    </w:p>
    <w:p>
      <w:pPr>
        <w:ind w:left="360" w:right="20"/>
        <w:spacing w:after="0" w:line="243" w:lineRule="auto"/>
        <w:rPr>
          <w:sz w:val="20"/>
          <w:szCs w:val="20"/>
          <w:color w:val="auto"/>
        </w:rPr>
      </w:pPr>
      <w:r>
        <w:rPr>
          <w:rFonts w:ascii="Arial" w:cs="Arial" w:eastAsia="Arial" w:hAnsi="Arial"/>
          <w:sz w:val="18"/>
          <w:szCs w:val="18"/>
          <w:b w:val="1"/>
          <w:bCs w:val="1"/>
          <w:i w:val="1"/>
          <w:iCs w:val="1"/>
          <w:color w:val="auto"/>
        </w:rPr>
        <w:t>Because we are currently dependent upon a limited number of customers, the loss of a significant customer could adversely affect our operating results.</w:t>
      </w:r>
    </w:p>
    <w:p>
      <w:pPr>
        <w:spacing w:after="0" w:line="77" w:lineRule="exact"/>
        <w:rPr>
          <w:sz w:val="20"/>
          <w:szCs w:val="20"/>
          <w:color w:val="auto"/>
        </w:rPr>
      </w:pPr>
    </w:p>
    <w:p>
      <w:pPr>
        <w:ind w:right="220" w:firstLine="357"/>
        <w:spacing w:after="0" w:line="289" w:lineRule="auto"/>
        <w:rPr>
          <w:sz w:val="20"/>
          <w:szCs w:val="20"/>
          <w:color w:val="auto"/>
        </w:rPr>
      </w:pPr>
      <w:r>
        <w:rPr>
          <w:rFonts w:ascii="Arial" w:cs="Arial" w:eastAsia="Arial" w:hAnsi="Arial"/>
          <w:sz w:val="16"/>
          <w:szCs w:val="16"/>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JPS, JPC and Jamalco and as a result, are subject to any risks specific to those entities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ind w:left="360" w:right="60"/>
        <w:spacing w:after="0" w:line="241" w:lineRule="auto"/>
        <w:rPr>
          <w:sz w:val="20"/>
          <w:szCs w:val="20"/>
          <w:color w:val="auto"/>
        </w:rPr>
      </w:pPr>
      <w:r>
        <w:rPr>
          <w:rFonts w:ascii="Arial" w:cs="Arial" w:eastAsia="Arial" w:hAnsi="Arial"/>
          <w:sz w:val="18"/>
          <w:szCs w:val="18"/>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81" w:lineRule="exact"/>
        <w:rPr>
          <w:sz w:val="20"/>
          <w:szCs w:val="20"/>
          <w:color w:val="auto"/>
        </w:rPr>
      </w:pPr>
    </w:p>
    <w:p>
      <w:pPr>
        <w:ind w:right="20" w:firstLine="357"/>
        <w:spacing w:after="0" w:line="267" w:lineRule="auto"/>
        <w:rPr>
          <w:sz w:val="20"/>
          <w:szCs w:val="20"/>
          <w:color w:val="auto"/>
        </w:rPr>
      </w:pPr>
      <w:r>
        <w:rPr>
          <w:rFonts w:ascii="Arial" w:cs="Arial" w:eastAsia="Arial" w:hAnsi="Arial"/>
          <w:sz w:val="17"/>
          <w:szCs w:val="17"/>
          <w:color w:val="auto"/>
        </w:rPr>
        <w:t>Our current results of operations and liquidity are, and will continue to be in the near future, substantially dependent upon performance by JPS and JPC, which have each entered into long-term GSAs and, in the case of JPS, a PPA in relation to the power produced at the CHP Plant, with us, and Jamalco, which has entered into a long-term SSA with us. As of January 9, 2019, our GSAs, PPA and SSA have a weighted average of 12.4 years remaining under such contracts, weighted based on contracted volumes. While certain of our long-term contracts contain minimum volume commitments, our expected sales to customers under existing contracts is substantially in excess of such minimum volume commitments. Our near term ability to generate cash is dependent on JPS’s, JPC’s and Jamalco’s continued willingness and ability to continue purchasing our products and services and to perform their obligations under their respective contracts. If any of JPS, JPC or Jamalco fails to perform its obligations under its contract, our operating results, cash flow and liquidity could be materially and adversely affected, even if we were ultimately successful in seeking damages from JPS, JPC or Jamalco for a breach of the contract. Additionally, as many of our facilities are still in developmental stage, our entry into long-term contracts before such facilities are fully operational exposes us to extended counter-party credit risk.</w:t>
      </w:r>
    </w:p>
    <w:p>
      <w:pPr>
        <w:spacing w:after="0" w:line="73" w:lineRule="exact"/>
        <w:rPr>
          <w:sz w:val="20"/>
          <w:szCs w:val="20"/>
          <w:color w:val="auto"/>
        </w:rPr>
      </w:pPr>
    </w:p>
    <w:p>
      <w:pPr>
        <w:ind w:firstLine="357"/>
        <w:spacing w:after="0" w:line="281" w:lineRule="auto"/>
        <w:rPr>
          <w:sz w:val="20"/>
          <w:szCs w:val="20"/>
          <w:color w:val="auto"/>
        </w:rPr>
      </w:pPr>
      <w:r>
        <w:rPr>
          <w:rFonts w:ascii="Arial" w:cs="Arial" w:eastAsia="Arial" w:hAnsi="Arial"/>
          <w:sz w:val="16"/>
          <w:szCs w:val="16"/>
          <w:color w:val="auto"/>
        </w:rPr>
        <w:t>Risks of nonpayment and nonperformance by customers are a consideration in our businesses, and our credit procedures and policies may be inadequate to sufficiently eliminate customer credit risk. In assessing customer credit risk, we perform background checks on our potential customers before we enter into a long-term contract with them. As part of the background check, we assess a potential customer’s credit profile and financial position, including their operating results, liquidity and outstanding debt, as well as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In particular, JPS and 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JPC’s ability to make payments under their long-term GSAs and, in the case of JPS, its ability to make payments under its PPA, with us. In addition, our ability to operate the CHP Plant is dependent on our ability to enforce the related lease. General Alumina Jamaica (“GAJ”), one of the lessors, is a subsidiary of Noble Group, which is undergoing a financial restructuring that was recently approved by its shareholders.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We are in advanced stages of finalizing an agreement with PREPA for the conversion of the San Juan Power Plant and the right to provide natural gas to PREPA for use as fuel for Units 5 and 6 of the San Juan Power Plant. On January 25, 2019, the PREB approved our proposed agreement with PREPA, and the agreement is currently under review in Puerto Rico by FOMB, which review must be completed in a satisfactory manner prior to our entry into a final contract with PREPA. Although we have a general agreement on the proposed terms of such contract, subject to regulatory review, we have not entered into a final contract with PREPA and can give no guarantee that we will be able to do so on substantially the terms negotiated or enter into such contract at all. Although we expect such review to be completed by the end of January 2019, there can be no assurance that such regulatory review will be completed on this timeline or that we will not need to make adjustments to the agreement as a result of such regulatory review, or that we will be able to enter into such contract at all.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right="120"/>
        <w:spacing w:after="0" w:line="309" w:lineRule="auto"/>
        <w:rPr>
          <w:sz w:val="20"/>
          <w:szCs w:val="20"/>
          <w:color w:val="auto"/>
        </w:rPr>
      </w:pPr>
      <w:r>
        <w:rPr>
          <w:rFonts w:ascii="Arial" w:cs="Arial" w:eastAsia="Arial" w:hAnsi="Arial"/>
          <w:sz w:val="16"/>
          <w:szCs w:val="16"/>
          <w:color w:val="auto"/>
        </w:rPr>
        <w:t>agreement we are negotiating with PREPA or terminates the agreement prior to the end of the agreed term, our financial condition, results of operations and cash flows could be materially and adversely affected. Additionally, we may face difficulties in enforcing our contractual rights against contractual counterparties that have not submitted to the jurisdiction of U.S. courts.</w:t>
      </w:r>
    </w:p>
    <w:p>
      <w:pPr>
        <w:spacing w:after="0" w:line="41" w:lineRule="exact"/>
        <w:rPr>
          <w:sz w:val="20"/>
          <w:szCs w:val="20"/>
          <w:color w:val="auto"/>
        </w:rPr>
      </w:pPr>
    </w:p>
    <w:p>
      <w:pPr>
        <w:ind w:right="20" w:firstLine="357"/>
        <w:spacing w:after="0" w:line="289" w:lineRule="auto"/>
        <w:rPr>
          <w:sz w:val="20"/>
          <w:szCs w:val="20"/>
          <w:color w:val="auto"/>
        </w:rPr>
      </w:pPr>
      <w:r>
        <w:rPr>
          <w:rFonts w:ascii="Arial" w:cs="Arial" w:eastAsia="Arial" w:hAnsi="Arial"/>
          <w:sz w:val="16"/>
          <w:szCs w:val="16"/>
          <w:color w:val="auto"/>
        </w:rPr>
        <w:t>PREPA has commenced a bidding process through which potential bidders could take control and ownership of PREPA’s transmission and distribution system. PREPA will solicit proposals from four selected bidders and expects to select a winner in the third quarter of 2019. We cannot predict how our relationship with PREPA could change if PREPA’s transmission and distribution system were to become privatized. If such event were to occur, PREPA may seek to find alternative power sources or purchase substantially less natural gas from us than what we currently expect to sell to PREPA, which could have a material adverse effect on our financial condition, results of operations and cash flows. There can be no assurance as to whether or how this bidding process may impact the ongoing review by FOMB of our agreement with PREPA.</w:t>
      </w:r>
    </w:p>
    <w:p>
      <w:pPr>
        <w:spacing w:after="0" w:line="59" w:lineRule="exact"/>
        <w:rPr>
          <w:sz w:val="20"/>
          <w:szCs w:val="20"/>
          <w:color w:val="auto"/>
        </w:rPr>
      </w:pPr>
    </w:p>
    <w:p>
      <w:pPr>
        <w:ind w:right="460" w:firstLine="357"/>
        <w:spacing w:after="0" w:line="274" w:lineRule="auto"/>
        <w:rPr>
          <w:sz w:val="20"/>
          <w:szCs w:val="20"/>
          <w:color w:val="auto"/>
        </w:rPr>
      </w:pPr>
      <w:r>
        <w:rPr>
          <w:rFonts w:ascii="Arial" w:cs="Arial" w:eastAsia="Arial" w:hAnsi="Arial"/>
          <w:sz w:val="18"/>
          <w:szCs w:val="18"/>
          <w:color w:val="auto"/>
        </w:rPr>
        <w:t>Further, adverse economic conditions in our industry increase the risk of nonpayment and nonperformance by customers, particularly customers that have sub-investment grade credit ratings.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115" w:lineRule="exact"/>
        <w:rPr>
          <w:sz w:val="20"/>
          <w:szCs w:val="20"/>
          <w:color w:val="auto"/>
        </w:rPr>
      </w:pPr>
    </w:p>
    <w:p>
      <w:pPr>
        <w:ind w:right="200" w:firstLine="357"/>
        <w:spacing w:after="0" w:line="261" w:lineRule="auto"/>
        <w:rPr>
          <w:sz w:val="20"/>
          <w:szCs w:val="20"/>
          <w:color w:val="auto"/>
        </w:rPr>
      </w:pPr>
      <w:r>
        <w:rPr>
          <w:rFonts w:ascii="Arial" w:cs="Arial" w:eastAsia="Arial" w:hAnsi="Arial"/>
          <w:sz w:val="18"/>
          <w:szCs w:val="18"/>
          <w:color w:val="auto"/>
        </w:rPr>
        <w:t>Our contracts with our customers contain various termination rights. For example, each of our long-term customer contracts, including the contracts with JPS, JPC and Jamalco, contains various termination rights allowing our customers to terminate the contract, including, without limitation:</w:t>
      </w:r>
    </w:p>
    <w:p>
      <w:pPr>
        <w:spacing w:after="0" w:line="76" w:lineRule="exact"/>
        <w:rPr>
          <w:sz w:val="20"/>
          <w:szCs w:val="20"/>
          <w:color w:val="auto"/>
        </w:rPr>
      </w:pPr>
    </w:p>
    <w:p>
      <w:pPr>
        <w:ind w:left="700" w:hanging="3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commence commercial operations or achieve financial close within the agreed timeframes.</w:t>
      </w:r>
    </w:p>
    <w:p>
      <w:pPr>
        <w:spacing w:after="0" w:line="115" w:lineRule="exact"/>
        <w:rPr>
          <w:sz w:val="20"/>
          <w:szCs w:val="20"/>
          <w:color w:val="auto"/>
        </w:rPr>
      </w:pPr>
    </w:p>
    <w:p>
      <w:pPr>
        <w:ind w:firstLine="357"/>
        <w:spacing w:after="0" w:line="309" w:lineRule="auto"/>
        <w:rPr>
          <w:sz w:val="20"/>
          <w:szCs w:val="20"/>
          <w:color w:val="auto"/>
        </w:rPr>
      </w:pPr>
      <w:r>
        <w:rPr>
          <w:rFonts w:ascii="Arial" w:cs="Arial" w:eastAsia="Arial" w:hAnsi="Arial"/>
          <w:sz w:val="16"/>
          <w:szCs w:val="16"/>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34" w:lineRule="exact"/>
        <w:rPr>
          <w:sz w:val="20"/>
          <w:szCs w:val="20"/>
          <w:color w:val="auto"/>
        </w:rPr>
      </w:pPr>
    </w:p>
    <w:p>
      <w:pPr>
        <w:ind w:left="360" w:right="220"/>
        <w:spacing w:after="0" w:line="233" w:lineRule="auto"/>
        <w:rPr>
          <w:sz w:val="20"/>
          <w:szCs w:val="20"/>
          <w:color w:val="auto"/>
        </w:rPr>
      </w:pPr>
      <w:r>
        <w:rPr>
          <w:rFonts w:ascii="Arial" w:cs="Arial" w:eastAsia="Arial" w:hAnsi="Arial"/>
          <w:sz w:val="18"/>
          <w:szCs w:val="18"/>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81" w:lineRule="exact"/>
        <w:rPr>
          <w:sz w:val="20"/>
          <w:szCs w:val="20"/>
          <w:color w:val="auto"/>
        </w:rPr>
      </w:pPr>
    </w:p>
    <w:p>
      <w:pPr>
        <w:jc w:val="both"/>
        <w:ind w:right="220" w:firstLine="357"/>
        <w:spacing w:after="0" w:line="309" w:lineRule="auto"/>
        <w:rPr>
          <w:sz w:val="20"/>
          <w:szCs w:val="20"/>
          <w:color w:val="auto"/>
        </w:rPr>
      </w:pPr>
      <w:r>
        <w:rPr>
          <w:rFonts w:ascii="Arial" w:cs="Arial" w:eastAsia="Arial" w:hAnsi="Arial"/>
          <w:sz w:val="16"/>
          <w:szCs w:val="16"/>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41" w:lineRule="exact"/>
        <w:rPr>
          <w:sz w:val="20"/>
          <w:szCs w:val="20"/>
          <w:color w:val="auto"/>
        </w:rPr>
      </w:pPr>
    </w:p>
    <w:p>
      <w:pPr>
        <w:ind w:left="700" w:right="300" w:hanging="346"/>
        <w:spacing w:after="0" w:line="274"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Europe, Asia and other markets, which could divert LNG or natural gas from our business;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natural gas production deliverable by pipelines, which could suppress demand for LNG;</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oil and natural gas exploration activities, which may decrease the production of natural gas;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right="220" w:hanging="346"/>
        <w:spacing w:after="0" w:line="27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spacing w:after="0" w:line="63" w:lineRule="exact"/>
        <w:rPr>
          <w:rFonts w:ascii="Arial" w:cs="Arial" w:eastAsia="Arial" w:hAnsi="Arial"/>
          <w:sz w:val="18"/>
          <w:szCs w:val="18"/>
          <w:color w:val="auto"/>
        </w:rPr>
      </w:pPr>
    </w:p>
    <w:p>
      <w:pPr>
        <w:ind w:left="700" w:right="180" w:hanging="346"/>
        <w:spacing w:after="0" w:line="305" w:lineRule="auto"/>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regulatory, tax or other governmental policies regarding imported or exported LNG, natural gas or alternative energy sources, which may reduce the demand for imported or exported LNG and/or natural gas;</w:t>
      </w:r>
    </w:p>
    <w:p>
      <w:pPr>
        <w:spacing w:after="0" w:line="39" w:lineRule="exact"/>
        <w:rPr>
          <w:rFonts w:ascii="Arial" w:cs="Arial" w:eastAsia="Arial" w:hAnsi="Arial"/>
          <w:sz w:val="17"/>
          <w:szCs w:val="17"/>
          <w:color w:val="auto"/>
        </w:rPr>
      </w:pPr>
    </w:p>
    <w:p>
      <w:pPr>
        <w:ind w:left="700" w:hanging="34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spacing w:after="0" w:line="114" w:lineRule="exact"/>
        <w:rPr>
          <w:rFonts w:ascii="Arial" w:cs="Arial" w:eastAsia="Arial" w:hAnsi="Arial"/>
          <w:sz w:val="18"/>
          <w:szCs w:val="18"/>
          <w:color w:val="auto"/>
        </w:rPr>
      </w:pPr>
    </w:p>
    <w:p>
      <w:pPr>
        <w:ind w:left="700" w:right="420" w:hanging="346"/>
        <w:spacing w:after="0" w:line="27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relative demand for LNG compared to other markets, which may decrease LNG imports into or exports from North America; and</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cyclical trends in general business and economic conditions that cause changes in the demand for natural gas.</w:t>
      </w:r>
    </w:p>
    <w:p>
      <w:pPr>
        <w:spacing w:after="0" w:line="126" w:lineRule="exact"/>
        <w:rPr>
          <w:sz w:val="20"/>
          <w:szCs w:val="20"/>
          <w:color w:val="auto"/>
        </w:rPr>
      </w:pPr>
    </w:p>
    <w:p>
      <w:pPr>
        <w:ind w:right="20" w:firstLine="357"/>
        <w:spacing w:after="0" w:line="267" w:lineRule="auto"/>
        <w:rPr>
          <w:sz w:val="20"/>
          <w:szCs w:val="20"/>
          <w:color w:val="auto"/>
        </w:rPr>
      </w:pPr>
      <w:r>
        <w:rPr>
          <w:rFonts w:ascii="Arial" w:cs="Arial" w:eastAsia="Arial" w:hAnsi="Arial"/>
          <w:sz w:val="17"/>
          <w:szCs w:val="17"/>
          <w:color w:val="auto"/>
        </w:rPr>
        <w:t>Adverse trends or developments affecting any of these factors – in particular prior to our Pennsylvania Facility becoming operational – could result in decreases in the prices at which we are able to sell LNG and natural gas or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There can be no assurance we will achieve our target cost or pricing goals. In particular, because we have not currently procured fixed-price, long-term LNG supply (our plan being to liquefy natural gas ourselves in our Liquefaction Facilities), increases in LNG prices and/or shortages of LNG supply could be material and adverse to our business. Additionally, we intend to rely on long 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170" w:lineRule="exact"/>
        <w:rPr>
          <w:sz w:val="20"/>
          <w:szCs w:val="20"/>
          <w:color w:val="auto"/>
        </w:rPr>
      </w:pPr>
    </w:p>
    <w:p>
      <w:pPr>
        <w:ind w:left="360" w:right="160"/>
        <w:spacing w:after="0" w:line="243"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77" w:lineRule="exact"/>
        <w:rPr>
          <w:sz w:val="20"/>
          <w:szCs w:val="20"/>
          <w:color w:val="auto"/>
        </w:rPr>
      </w:pPr>
    </w:p>
    <w:p>
      <w:pPr>
        <w:ind w:right="80" w:firstLine="357"/>
        <w:spacing w:after="0" w:line="289" w:lineRule="auto"/>
        <w:rPr>
          <w:sz w:val="20"/>
          <w:szCs w:val="20"/>
          <w:color w:val="auto"/>
        </w:rPr>
      </w:pPr>
      <w:r>
        <w:rPr>
          <w:rFonts w:ascii="Arial" w:cs="Arial" w:eastAsia="Arial" w:hAnsi="Arial"/>
          <w:sz w:val="16"/>
          <w:szCs w:val="16"/>
          <w:color w:val="auto"/>
        </w:rPr>
        <w:t>Our ability to make scheduled payments on or to refinance our existing or future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 As of September 30, 2018, we had $130 million of total indebtedness outstanding, excluding deferred financing costs, and, as of the closing of this offering, we expect to have $280 million of total indebtedness outstanding (which does not give effect to additional indebtedness we may incur following the consummation of this offering).</w:t>
      </w:r>
    </w:p>
    <w:p>
      <w:pPr>
        <w:spacing w:after="0" w:line="59" w:lineRule="exact"/>
        <w:rPr>
          <w:sz w:val="20"/>
          <w:szCs w:val="20"/>
          <w:color w:val="auto"/>
        </w:rPr>
      </w:pPr>
    </w:p>
    <w:p>
      <w:pPr>
        <w:ind w:right="120" w:firstLine="357"/>
        <w:spacing w:after="0" w:line="269" w:lineRule="auto"/>
        <w:rPr>
          <w:sz w:val="20"/>
          <w:szCs w:val="20"/>
          <w:color w:val="auto"/>
        </w:rPr>
      </w:pPr>
      <w:r>
        <w:rPr>
          <w:rFonts w:ascii="Arial" w:cs="Arial" w:eastAsia="Arial" w:hAnsi="Arial"/>
          <w:sz w:val="17"/>
          <w:szCs w:val="17"/>
          <w:color w:val="auto"/>
        </w:rPr>
        <w:t>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indebtedness or operations. We may not be able to affect any such alternative measures, if necessary, on commercially reasonable terms or at all and, even if successful, such alternative actions may not allow us to meet our scheduled debt service obligations. The agreements that govern our indebtedness restrict our ability to dispose of assets and use the proceeds from any such dispositions and our ability to raise debt capital to be used to repay our indebtedness when it becomes due. We may not be able to consummate those dispositions or to obtain proceeds in an amount sufficient to meet any debt service obligations then due.</w:t>
      </w:r>
    </w:p>
    <w:p>
      <w:pPr>
        <w:spacing w:after="0" w:line="72" w:lineRule="exact"/>
        <w:rPr>
          <w:sz w:val="20"/>
          <w:szCs w:val="20"/>
          <w:color w:val="auto"/>
        </w:rPr>
      </w:pPr>
    </w:p>
    <w:p>
      <w:pPr>
        <w:ind w:right="60" w:firstLine="357"/>
        <w:spacing w:after="0" w:line="261" w:lineRule="auto"/>
        <w:rPr>
          <w:sz w:val="20"/>
          <w:szCs w:val="20"/>
          <w:color w:val="auto"/>
        </w:rPr>
      </w:pPr>
      <w:r>
        <w:rPr>
          <w:rFonts w:ascii="Arial" w:cs="Arial" w:eastAsia="Arial" w:hAnsi="Arial"/>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w:t>
      </w:r>
    </w:p>
    <w:p>
      <w:pPr>
        <w:spacing w:after="0" w:line="76" w:lineRule="exact"/>
        <w:rPr>
          <w:sz w:val="20"/>
          <w:szCs w:val="20"/>
          <w:color w:val="auto"/>
        </w:rPr>
      </w:pPr>
    </w:p>
    <w:p>
      <w:pPr>
        <w:ind w:firstLine="357"/>
        <w:spacing w:after="0" w:line="299" w:lineRule="auto"/>
        <w:rPr>
          <w:sz w:val="20"/>
          <w:szCs w:val="20"/>
          <w:color w:val="auto"/>
        </w:rPr>
      </w:pPr>
      <w:r>
        <w:rPr>
          <w:rFonts w:ascii="Arial" w:cs="Arial" w:eastAsia="Arial" w:hAnsi="Arial"/>
          <w:sz w:val="16"/>
          <w:szCs w:val="16"/>
          <w:color w:val="auto"/>
        </w:rPr>
        <w:t>If we cannot make scheduled payments on our debt, we will be in default and, as a result, lenders under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 in each case, which could result in your losing your investment.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360" w:right="500"/>
        <w:spacing w:after="0" w:line="243" w:lineRule="auto"/>
        <w:rPr>
          <w:sz w:val="20"/>
          <w:szCs w:val="20"/>
          <w:color w:val="auto"/>
        </w:rPr>
      </w:pPr>
      <w:r>
        <w:rPr>
          <w:rFonts w:ascii="Arial" w:cs="Arial" w:eastAsia="Arial" w:hAnsi="Arial"/>
          <w:sz w:val="18"/>
          <w:szCs w:val="18"/>
          <w:b w:val="1"/>
          <w:bCs w:val="1"/>
          <w:i w:val="1"/>
          <w:iCs w:val="1"/>
          <w:color w:val="auto"/>
        </w:rPr>
        <w:t>Failure to maintain sufficient working capital could limit our growth and harm our business, financial condition and results of operations.</w:t>
      </w:r>
    </w:p>
    <w:p>
      <w:pPr>
        <w:spacing w:after="0" w:line="77" w:lineRule="exact"/>
        <w:rPr>
          <w:sz w:val="20"/>
          <w:szCs w:val="20"/>
          <w:color w:val="auto"/>
        </w:rPr>
      </w:pPr>
    </w:p>
    <w:p>
      <w:pPr>
        <w:ind w:right="40" w:firstLine="357"/>
        <w:spacing w:after="0" w:line="271" w:lineRule="auto"/>
        <w:rPr>
          <w:sz w:val="20"/>
          <w:szCs w:val="20"/>
          <w:color w:val="auto"/>
        </w:rPr>
      </w:pPr>
      <w:r>
        <w:rPr>
          <w:rFonts w:ascii="Arial" w:cs="Arial" w:eastAsia="Arial" w:hAnsi="Arial"/>
          <w:sz w:val="17"/>
          <w:szCs w:val="17"/>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Operation of our LNG infrastructure and other facilities that we may construct involves significant risks.</w:t>
      </w:r>
    </w:p>
    <w:p>
      <w:pPr>
        <w:spacing w:after="0" w:line="115" w:lineRule="exact"/>
        <w:rPr>
          <w:sz w:val="20"/>
          <w:szCs w:val="20"/>
          <w:color w:val="auto"/>
        </w:rPr>
      </w:pPr>
    </w:p>
    <w:p>
      <w:pPr>
        <w:ind w:right="60" w:firstLine="357"/>
        <w:spacing w:after="0" w:line="277" w:lineRule="auto"/>
        <w:rPr>
          <w:sz w:val="20"/>
          <w:szCs w:val="20"/>
          <w:color w:val="auto"/>
        </w:rPr>
      </w:pPr>
      <w:r>
        <w:rPr>
          <w:rFonts w:ascii="Arial" w:cs="Arial" w:eastAsia="Arial" w:hAnsi="Arial"/>
          <w:sz w:val="17"/>
          <w:szCs w:val="17"/>
          <w:color w:val="auto"/>
        </w:rPr>
        <w:t>As more fully discussed in this prospectus, our existing facilities and expected future facilities face operational risks, including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63" w:lineRule="exact"/>
        <w:rPr>
          <w:sz w:val="20"/>
          <w:szCs w:val="20"/>
          <w:color w:val="auto"/>
        </w:rPr>
      </w:pPr>
    </w:p>
    <w:p>
      <w:pPr>
        <w:ind w:right="280" w:firstLine="357"/>
        <w:spacing w:after="0" w:line="274" w:lineRule="auto"/>
        <w:rPr>
          <w:sz w:val="20"/>
          <w:szCs w:val="20"/>
          <w:color w:val="auto"/>
        </w:rPr>
      </w:pPr>
      <w:r>
        <w:rPr>
          <w:rFonts w:ascii="Arial" w:cs="Arial" w:eastAsia="Arial" w:hAnsi="Arial"/>
          <w:sz w:val="18"/>
          <w:szCs w:val="18"/>
          <w:color w:val="auto"/>
        </w:rPr>
        <w:t>Any of these risks could disrupt our operations and increase our costs, which would adversely affect our business, operating results, cash flows and liquidity.</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operation of the CHP Plant will involve particular, significant risks.</w:t>
      </w:r>
    </w:p>
    <w:p>
      <w:pPr>
        <w:spacing w:after="0" w:line="115" w:lineRule="exact"/>
        <w:rPr>
          <w:sz w:val="20"/>
          <w:szCs w:val="20"/>
          <w:color w:val="auto"/>
        </w:rPr>
      </w:pPr>
    </w:p>
    <w:p>
      <w:pPr>
        <w:ind w:firstLine="357"/>
        <w:spacing w:after="0" w:line="283" w:lineRule="auto"/>
        <w:rPr>
          <w:sz w:val="20"/>
          <w:szCs w:val="20"/>
          <w:color w:val="auto"/>
        </w:rPr>
      </w:pPr>
      <w:r>
        <w:rPr>
          <w:rFonts w:ascii="Arial" w:cs="Arial" w:eastAsia="Arial" w:hAnsi="Arial"/>
          <w:sz w:val="16"/>
          <w:szCs w:val="16"/>
          <w:color w:val="auto"/>
        </w:rPr>
        <w:t>The operation of the CHP Plant will involve particular, significant risks, including, among others: failure to maintain the required power generation license(s) or other permits required to operate the CHP Plant; pollution or environmental contamination affecting operation of the CHP Plant; the inability, or failure, of any counterparty to any plant-related agreements to perform their contractual obligations to us including, but not limited to, the Lessor’s obligations to us under the CHP Plant Lease;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If the CHP Plant is unable to generate or deliver power to JPS, pursuant to the PPA, or steam (or gas to power Jamalco’s boilers in lieu of steam) to Jamalco, pursuant to the SSA, JPS or Jamalco, as applicable, may not be required to make payments under their respective agreements so long as the event continues. JPS and Jamalco, as counterparties to the PPA and SSA, respectively, and the counterparties to any other key plant-related agreements may have the right to terminate those agreements for certain failures to generate or deliver power or steam, as applicable. As a consequence, there may be reduced or no revenues from the CHP Plant which could have a material adverse effect on our business, contracts, financial condition, operating results, cash flow, liquidity and prospects. In addition, termination of the SSA may give rise to termination rights under the CHP Plant Lease. If JPS terminates the PPA, Jamalco terminates the SSA, or any counterparty to any other key plant-related agreement terminates such agreement, we may not be able to enter into a replacement agreement with respect to the CHP Plant on terms as favorable as the terminated agreement.</w:t>
      </w:r>
    </w:p>
    <w:p>
      <w:pPr>
        <w:spacing w:after="0" w:line="164" w:lineRule="exact"/>
        <w:rPr>
          <w:sz w:val="20"/>
          <w:szCs w:val="20"/>
          <w:color w:val="auto"/>
        </w:rPr>
      </w:pPr>
    </w:p>
    <w:p>
      <w:pPr>
        <w:jc w:val="both"/>
        <w:ind w:left="360" w:right="420"/>
        <w:spacing w:after="0" w:line="233" w:lineRule="auto"/>
        <w:rPr>
          <w:sz w:val="20"/>
          <w:szCs w:val="20"/>
          <w:color w:val="auto"/>
        </w:rPr>
      </w:pPr>
      <w:r>
        <w:rPr>
          <w:rFonts w:ascii="Arial" w:cs="Arial" w:eastAsia="Arial" w:hAnsi="Arial"/>
          <w:sz w:val="18"/>
          <w:szCs w:val="18"/>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81" w:lineRule="exact"/>
        <w:rPr>
          <w:sz w:val="20"/>
          <w:szCs w:val="20"/>
          <w:color w:val="auto"/>
        </w:rPr>
      </w:pPr>
    </w:p>
    <w:p>
      <w:pPr>
        <w:ind w:right="20" w:firstLine="357"/>
        <w:spacing w:after="0" w:line="268" w:lineRule="auto"/>
        <w:rPr>
          <w:sz w:val="20"/>
          <w:szCs w:val="20"/>
          <w:color w:val="auto"/>
        </w:rPr>
      </w:pPr>
      <w:r>
        <w:rPr>
          <w:rFonts w:ascii="Arial" w:cs="Arial" w:eastAsia="Arial" w:hAnsi="Arial"/>
          <w:sz w:val="17"/>
          <w:szCs w:val="17"/>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terminals are operating or under development is impacted by such a natural catastrophe in the future, it could have a material adverse effect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our business. Further, the economies of such impacted areas may require significant time to recover and there is no assurance that a full recovery will occur. Even the threat of a severe weather event could impact our business, financial condition or the price of our Class A shares.</w:t>
      </w:r>
    </w:p>
    <w:p>
      <w:pPr>
        <w:spacing w:after="0" w:line="170" w:lineRule="exact"/>
        <w:rPr>
          <w:sz w:val="20"/>
          <w:szCs w:val="20"/>
          <w:color w:val="auto"/>
        </w:rPr>
      </w:pPr>
    </w:p>
    <w:p>
      <w:pPr>
        <w:ind w:left="360" w:right="120"/>
        <w:spacing w:after="0" w:line="233" w:lineRule="auto"/>
        <w:rPr>
          <w:sz w:val="20"/>
          <w:szCs w:val="20"/>
          <w:color w:val="auto"/>
        </w:rPr>
      </w:pPr>
      <w:r>
        <w:rPr>
          <w:rFonts w:ascii="Arial" w:cs="Arial" w:eastAsia="Arial" w:hAnsi="Arial"/>
          <w:sz w:val="18"/>
          <w:szCs w:val="18"/>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81" w:lineRule="exact"/>
        <w:rPr>
          <w:sz w:val="20"/>
          <w:szCs w:val="20"/>
          <w:color w:val="auto"/>
        </w:rPr>
      </w:pPr>
    </w:p>
    <w:p>
      <w:pPr>
        <w:ind w:right="220" w:firstLine="357"/>
        <w:spacing w:after="0" w:line="287" w:lineRule="auto"/>
        <w:rPr>
          <w:sz w:val="20"/>
          <w:szCs w:val="20"/>
          <w:color w:val="auto"/>
        </w:rPr>
      </w:pPr>
      <w:r>
        <w:rPr>
          <w:rFonts w:ascii="Arial" w:cs="Arial" w:eastAsia="Arial" w:hAnsi="Arial"/>
          <w:sz w:val="16"/>
          <w:szCs w:val="16"/>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We are unable to predict with certainty the impact of future storms on our customers, our infrastructure or our operations.</w:t>
      </w:r>
    </w:p>
    <w:p>
      <w:pPr>
        <w:spacing w:after="0" w:line="59"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If one or more tankers, terminals,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and could have a material adverse effect on our business, contracts, financial condition, operating results, cash flow, liquidity and prospects.</w:t>
      </w:r>
    </w:p>
    <w:p>
      <w:pPr>
        <w:spacing w:after="0" w:line="86" w:lineRule="exact"/>
        <w:rPr>
          <w:sz w:val="20"/>
          <w:szCs w:val="20"/>
          <w:color w:val="auto"/>
        </w:rPr>
      </w:pPr>
    </w:p>
    <w:p>
      <w:pPr>
        <w:ind w:right="20" w:firstLine="357"/>
        <w:spacing w:after="0" w:line="257" w:lineRule="auto"/>
        <w:rPr>
          <w:sz w:val="20"/>
          <w:szCs w:val="20"/>
          <w:color w:val="auto"/>
        </w:rPr>
      </w:pPr>
      <w:r>
        <w:rPr>
          <w:rFonts w:ascii="Arial" w:cs="Arial" w:eastAsia="Arial" w:hAnsi="Arial"/>
          <w:sz w:val="18"/>
          <w:szCs w:val="18"/>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insurance may be insufficient to cover losses that may occur to our property or result from our operations.</w:t>
      </w:r>
    </w:p>
    <w:p>
      <w:pPr>
        <w:spacing w:after="0" w:line="113" w:lineRule="exact"/>
        <w:rPr>
          <w:sz w:val="20"/>
          <w:szCs w:val="20"/>
          <w:color w:val="auto"/>
        </w:rPr>
      </w:pPr>
    </w:p>
    <w:p>
      <w:pPr>
        <w:ind w:right="120" w:firstLine="357"/>
        <w:spacing w:after="0" w:line="286" w:lineRule="auto"/>
        <w:rPr>
          <w:sz w:val="20"/>
          <w:szCs w:val="20"/>
          <w:color w:val="auto"/>
        </w:rPr>
      </w:pPr>
      <w:r>
        <w:rPr>
          <w:rFonts w:ascii="Arial" w:cs="Arial" w:eastAsia="Arial" w:hAnsi="Arial"/>
          <w:sz w:val="16"/>
          <w:szCs w:val="16"/>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61" w:lineRule="exact"/>
        <w:rPr>
          <w:sz w:val="20"/>
          <w:szCs w:val="20"/>
          <w:color w:val="auto"/>
        </w:rPr>
      </w:pPr>
    </w:p>
    <w:p>
      <w:pPr>
        <w:ind w:right="20" w:firstLine="357"/>
        <w:spacing w:after="0" w:line="254"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80" w:firstLine="357"/>
        <w:spacing w:after="0" w:line="261"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From time to time, we may be involved in legal proceedings and may experience unfavorable outcomes.</w:t>
      </w:r>
    </w:p>
    <w:p>
      <w:pPr>
        <w:spacing w:after="0" w:line="115" w:lineRule="exact"/>
        <w:rPr>
          <w:sz w:val="20"/>
          <w:szCs w:val="20"/>
          <w:color w:val="auto"/>
        </w:rPr>
      </w:pPr>
    </w:p>
    <w:p>
      <w:pPr>
        <w:ind w:firstLine="357"/>
        <w:spacing w:after="0" w:line="294" w:lineRule="auto"/>
        <w:rPr>
          <w:sz w:val="20"/>
          <w:szCs w:val="20"/>
          <w:color w:val="auto"/>
        </w:rPr>
      </w:pPr>
      <w:r>
        <w:rPr>
          <w:rFonts w:ascii="Arial" w:cs="Arial" w:eastAsia="Arial" w:hAnsi="Arial"/>
          <w:sz w:val="16"/>
          <w:szCs w:val="16"/>
          <w:color w:val="auto"/>
        </w:rPr>
        <w:t>In the future we may be subject to material legal proceedings in the course of our business, including, but not limited to, actions relating to contract disputes, business practices, intellectual property and other commercial and tax matters. Such legal proceedings may involve claims for substantial amounts of money or for other relief or might necessitate changes to our business or operations, and the defense of such actions may be both time consuming and expensive. Further, if any such proceedings were to result in an unfavorable outcome, it could have a material adverse effect on our business, financial position and results of operations.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success depends on key members of our management, the loss of any of whom could disrupt our business operations.</w:t>
      </w:r>
    </w:p>
    <w:p>
      <w:pPr>
        <w:spacing w:after="0" w:line="136" w:lineRule="exact"/>
        <w:rPr>
          <w:sz w:val="20"/>
          <w:szCs w:val="20"/>
          <w:color w:val="auto"/>
        </w:rPr>
      </w:pPr>
    </w:p>
    <w:p>
      <w:pPr>
        <w:ind w:right="220" w:firstLine="357"/>
        <w:spacing w:after="0" w:line="255" w:lineRule="auto"/>
        <w:rPr>
          <w:sz w:val="20"/>
          <w:szCs w:val="20"/>
          <w:color w:val="auto"/>
        </w:rPr>
      </w:pPr>
      <w:r>
        <w:rPr>
          <w:rFonts w:ascii="Arial" w:cs="Arial" w:eastAsia="Arial" w:hAnsi="Arial"/>
          <w:sz w:val="18"/>
          <w:szCs w:val="18"/>
          <w:color w:val="auto"/>
        </w:rPr>
        <w:t>We depend to a large extent on the services of our chief executive officer, Wesley R. Edens, and some of our other executive officers. Mr. Edens does not have an employment agreement with us. The loss of the services of Mr. Edens or one or more of our other key executives could disrupt our operations and increase our exposure to the other risks described in this “Risk Factors” section. We do not maintain key man insurance on Mr. Edens or any of our employees. As a result, we are not insured against any losses resulting from the death of our key employees.</w:t>
      </w:r>
    </w:p>
    <w:p>
      <w:pPr>
        <w:spacing w:after="0" w:line="175" w:lineRule="exact"/>
        <w:rPr>
          <w:sz w:val="20"/>
          <w:szCs w:val="20"/>
          <w:color w:val="auto"/>
        </w:rPr>
      </w:pPr>
    </w:p>
    <w:p>
      <w:pPr>
        <w:ind w:left="360" w:right="220"/>
        <w:spacing w:after="0" w:line="272" w:lineRule="auto"/>
        <w:rPr>
          <w:sz w:val="20"/>
          <w:szCs w:val="20"/>
          <w:color w:val="auto"/>
        </w:rPr>
      </w:pPr>
      <w:r>
        <w:rPr>
          <w:rFonts w:ascii="Arial" w:cs="Arial" w:eastAsia="Arial" w:hAnsi="Arial"/>
          <w:sz w:val="17"/>
          <w:szCs w:val="17"/>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53" w:lineRule="exact"/>
        <w:rPr>
          <w:sz w:val="20"/>
          <w:szCs w:val="20"/>
          <w:color w:val="auto"/>
        </w:rPr>
      </w:pPr>
    </w:p>
    <w:p>
      <w:pPr>
        <w:ind w:right="100" w:firstLine="357"/>
        <w:spacing w:after="0" w:line="257" w:lineRule="auto"/>
        <w:rPr>
          <w:sz w:val="20"/>
          <w:szCs w:val="20"/>
          <w:color w:val="auto"/>
        </w:rPr>
      </w:pPr>
      <w:r>
        <w:rPr>
          <w:rFonts w:ascii="Arial" w:cs="Arial" w:eastAsia="Arial" w:hAnsi="Arial"/>
          <w:sz w:val="18"/>
          <w:szCs w:val="18"/>
          <w:color w:val="auto"/>
        </w:rPr>
        <w:t>The construction of energy-related infrastructure, including our Terminals and Liquefaction Facilities,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79" w:lineRule="exact"/>
        <w:rPr>
          <w:sz w:val="20"/>
          <w:szCs w:val="20"/>
          <w:color w:val="auto"/>
        </w:rPr>
      </w:pPr>
    </w:p>
    <w:p>
      <w:pPr>
        <w:ind w:left="700" w:right="560" w:hanging="346"/>
        <w:spacing w:after="0" w:line="27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complete construction projects on schedule or at the budgeted cost due to the unavailability of required construction personnel or materials, accidents or weather conditions;</w:t>
      </w:r>
    </w:p>
    <w:p>
      <w:pPr>
        <w:spacing w:after="0" w:line="63" w:lineRule="exact"/>
        <w:rPr>
          <w:rFonts w:ascii="Arial" w:cs="Arial" w:eastAsia="Arial" w:hAnsi="Arial"/>
          <w:sz w:val="18"/>
          <w:szCs w:val="18"/>
          <w:color w:val="auto"/>
        </w:rPr>
      </w:pPr>
    </w:p>
    <w:p>
      <w:pPr>
        <w:ind w:left="700" w:right="20" w:hanging="346"/>
        <w:spacing w:after="0" w:line="261"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change orders under existing or future EPC contracts resulting from the occurrence of certain specified events that may give our customers the right to cause us to enter into change orders or resulting from changes with which we otherwise agree;</w:t>
      </w:r>
    </w:p>
    <w:p>
      <w:pPr>
        <w:spacing w:after="0" w:line="75" w:lineRule="exact"/>
        <w:rPr>
          <w:rFonts w:ascii="Arial" w:cs="Arial" w:eastAsia="Arial" w:hAnsi="Arial"/>
          <w:sz w:val="18"/>
          <w:szCs w:val="18"/>
          <w:color w:val="auto"/>
        </w:rPr>
      </w:pPr>
    </w:p>
    <w:p>
      <w:pPr>
        <w:ind w:left="700" w:right="220" w:hanging="346"/>
        <w:spacing w:after="0" w:line="27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not receive any material increase in operating cash flows until a project is completed, even though we may have expended considerable funds during the construction phase, which may be prolonged;</w:t>
      </w:r>
    </w:p>
    <w:p>
      <w:pPr>
        <w:spacing w:after="0" w:line="63" w:lineRule="exact"/>
        <w:rPr>
          <w:rFonts w:ascii="Arial" w:cs="Arial" w:eastAsia="Arial" w:hAnsi="Arial"/>
          <w:sz w:val="18"/>
          <w:szCs w:val="18"/>
          <w:color w:val="auto"/>
        </w:rPr>
      </w:pPr>
    </w:p>
    <w:p>
      <w:pPr>
        <w:ind w:left="700" w:hanging="346"/>
        <w:spacing w:after="0" w:line="27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construct facilities to capture anticipated future energy consumption growth in a region in which such growth does not materialize;</w:t>
      </w:r>
    </w:p>
    <w:p>
      <w:pPr>
        <w:spacing w:after="0" w:line="63" w:lineRule="exact"/>
        <w:rPr>
          <w:rFonts w:ascii="Arial" w:cs="Arial" w:eastAsia="Arial" w:hAnsi="Arial"/>
          <w:sz w:val="18"/>
          <w:szCs w:val="18"/>
          <w:color w:val="auto"/>
        </w:rPr>
      </w:pPr>
    </w:p>
    <w:p>
      <w:pPr>
        <w:ind w:left="700" w:right="160" w:hanging="346"/>
        <w:spacing w:after="0" w:line="261"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completion or success of our construction project may depend on the completion of a third-party construction project (e.g., additional public utility infrastructure projects) that we do not control and that may be subject to numerous additional potential risks, delays and complexities;</w:t>
      </w:r>
    </w:p>
    <w:p>
      <w:pPr>
        <w:spacing w:after="0" w:line="75" w:lineRule="exact"/>
        <w:rPr>
          <w:rFonts w:ascii="Arial" w:cs="Arial" w:eastAsia="Arial" w:hAnsi="Arial"/>
          <w:sz w:val="18"/>
          <w:szCs w:val="18"/>
          <w:color w:val="auto"/>
        </w:rPr>
      </w:pPr>
    </w:p>
    <w:p>
      <w:pPr>
        <w:jc w:val="both"/>
        <w:ind w:left="700" w:right="120" w:hanging="346"/>
        <w:spacing w:after="0" w:line="261"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of the project company holding the rights to develop and operate the Ireland Terminal is subject to a number of contingencies, many of which are beyond our control and could cause us to not complete the acquisition of the project company or delay construction of our Ireland Terminal;</w:t>
      </w:r>
    </w:p>
    <w:p>
      <w:pPr>
        <w:spacing w:after="0" w:line="75" w:lineRule="exact"/>
        <w:rPr>
          <w:rFonts w:ascii="Arial" w:cs="Arial" w:eastAsia="Arial" w:hAnsi="Arial"/>
          <w:sz w:val="18"/>
          <w:szCs w:val="18"/>
          <w:color w:val="auto"/>
        </w:rPr>
      </w:pPr>
    </w:p>
    <w:p>
      <w:pPr>
        <w:ind w:left="700" w:right="240" w:hanging="346"/>
        <w:spacing w:after="0" w:line="277" w:lineRule="auto"/>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63" w:lineRule="exact"/>
        <w:rPr>
          <w:rFonts w:ascii="Arial" w:cs="Arial" w:eastAsia="Arial" w:hAnsi="Arial"/>
          <w:sz w:val="17"/>
          <w:szCs w:val="17"/>
          <w:color w:val="auto"/>
        </w:rPr>
      </w:pPr>
    </w:p>
    <w:p>
      <w:pPr>
        <w:ind w:left="700" w:right="380" w:hanging="346"/>
        <w:spacing w:after="0" w:line="305" w:lineRule="auto"/>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(and have been in select circumstances) subject to local opposition, including the efforts by environmental groups, which may attract negative publicity or have an adverse impact on our reputation;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right="120" w:hanging="346"/>
        <w:spacing w:after="0" w:line="27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obtain rights-of-way to construct additional energy-related infrastructure or the cost to do so may be uneconomical.</w:t>
      </w:r>
    </w:p>
    <w:p>
      <w:pPr>
        <w:spacing w:after="0" w:line="64" w:lineRule="exact"/>
        <w:rPr>
          <w:sz w:val="20"/>
          <w:szCs w:val="20"/>
          <w:color w:val="auto"/>
        </w:rPr>
      </w:pPr>
    </w:p>
    <w:p>
      <w:pPr>
        <w:ind w:right="180" w:firstLine="357"/>
        <w:spacing w:after="0" w:line="261"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70" w:lineRule="exact"/>
        <w:rPr>
          <w:sz w:val="20"/>
          <w:szCs w:val="20"/>
          <w:color w:val="auto"/>
        </w:rPr>
      </w:pPr>
    </w:p>
    <w:p>
      <w:pPr>
        <w:ind w:left="360" w:right="240"/>
        <w:spacing w:after="0" w:line="243" w:lineRule="auto"/>
        <w:rPr>
          <w:sz w:val="20"/>
          <w:szCs w:val="20"/>
          <w:color w:val="auto"/>
        </w:rPr>
      </w:pPr>
      <w:r>
        <w:rPr>
          <w:rFonts w:ascii="Arial" w:cs="Arial" w:eastAsia="Arial" w:hAnsi="Arial"/>
          <w:sz w:val="18"/>
          <w:szCs w:val="18"/>
          <w:b w:val="1"/>
          <w:bCs w:val="1"/>
          <w:i w:val="1"/>
          <w:iCs w:val="1"/>
          <w:color w:val="auto"/>
        </w:rPr>
        <w:t>We expect to be dependent on our primary building contractor and other contractors for the successful completion of our energy-related infrastructure.</w:t>
      </w:r>
    </w:p>
    <w:p>
      <w:pPr>
        <w:spacing w:after="0" w:line="77" w:lineRule="exact"/>
        <w:rPr>
          <w:sz w:val="20"/>
          <w:szCs w:val="20"/>
          <w:color w:val="auto"/>
        </w:rPr>
      </w:pPr>
    </w:p>
    <w:p>
      <w:pPr>
        <w:ind w:right="60" w:firstLine="357"/>
        <w:spacing w:after="0" w:line="255" w:lineRule="auto"/>
        <w:rPr>
          <w:sz w:val="20"/>
          <w:szCs w:val="20"/>
          <w:color w:val="auto"/>
        </w:rPr>
      </w:pPr>
      <w:r>
        <w:rPr>
          <w:rFonts w:ascii="Arial" w:cs="Arial" w:eastAsia="Arial" w:hAnsi="Arial"/>
          <w:sz w:val="18"/>
          <w:szCs w:val="18"/>
          <w:color w:val="auto"/>
        </w:rPr>
        <w:t>Timely and cost-effective completion of our energy-related infrastructure, including our Terminals and Liquefaction Facilities,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81" w:lineRule="exact"/>
        <w:rPr>
          <w:sz w:val="20"/>
          <w:szCs w:val="20"/>
          <w:color w:val="auto"/>
        </w:rPr>
      </w:pPr>
    </w:p>
    <w:p>
      <w:pPr>
        <w:ind w:left="700" w:hanging="3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 and engineer each of our facilities to operate in accordance with specifications;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and retain third-party subcontractors and procure equipment and supplies;</w:t>
      </w:r>
    </w:p>
    <w:p>
      <w:pPr>
        <w:spacing w:after="0" w:line="114" w:lineRule="exact"/>
        <w:rPr>
          <w:rFonts w:ascii="Arial" w:cs="Arial" w:eastAsia="Arial" w:hAnsi="Arial"/>
          <w:sz w:val="18"/>
          <w:szCs w:val="18"/>
          <w:color w:val="auto"/>
        </w:rPr>
      </w:pPr>
    </w:p>
    <w:p>
      <w:pPr>
        <w:ind w:left="700" w:right="940" w:hanging="346"/>
        <w:spacing w:after="0" w:line="274"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respond to difficulties such as equipment failure, delivery delays, schedule changes and failures to perform by subcontractors, some of which are beyond their control;</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develop and retain skilled personnel, including engineers;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post required construction bonds and comply with the terms thereof;</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 the construction process generally, including coordinating with other contractors and regulatory agencies; and</w:t>
      </w:r>
    </w:p>
    <w:p>
      <w:pPr>
        <w:spacing w:after="0" w:line="137" w:lineRule="exact"/>
        <w:rPr>
          <w:rFonts w:ascii="Arial" w:cs="Arial" w:eastAsia="Arial" w:hAnsi="Arial"/>
          <w:sz w:val="16"/>
          <w:szCs w:val="16"/>
          <w:color w:val="auto"/>
        </w:rPr>
      </w:pPr>
    </w:p>
    <w:p>
      <w:pPr>
        <w:ind w:left="700" w:hanging="3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their own financial condition, including adequate working capital.</w:t>
      </w:r>
    </w:p>
    <w:p>
      <w:pPr>
        <w:spacing w:after="0" w:line="115" w:lineRule="exact"/>
        <w:rPr>
          <w:sz w:val="20"/>
          <w:szCs w:val="20"/>
          <w:color w:val="auto"/>
        </w:rPr>
      </w:pPr>
    </w:p>
    <w:p>
      <w:pPr>
        <w:ind w:right="20" w:firstLine="357"/>
        <w:spacing w:after="0" w:line="284" w:lineRule="auto"/>
        <w:rPr>
          <w:sz w:val="20"/>
          <w:szCs w:val="20"/>
          <w:color w:val="auto"/>
        </w:rPr>
      </w:pPr>
      <w:r>
        <w:rPr>
          <w:rFonts w:ascii="Arial" w:cs="Arial" w:eastAsia="Arial" w:hAnsi="Arial"/>
          <w:sz w:val="16"/>
          <w:szCs w:val="16"/>
          <w:color w:val="auto"/>
        </w:rPr>
        <w:t>Until we have entered into an EPC contract for a particular project, in which the EPC contractor agrees to meet our planned schedule and projected total costs for a project, we are subject to potential fluctuations in construction costs and other related project costs. We entered into an EPC contract for our Pennsylvania Facility in the first quarter of 2019. See “Business—Our Liquefaction Assets—Pennsylvania EPC Agreement.”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155" w:lineRule="exact"/>
        <w:rPr>
          <w:sz w:val="20"/>
          <w:szCs w:val="20"/>
          <w:color w:val="auto"/>
        </w:rPr>
      </w:pPr>
    </w:p>
    <w:p>
      <w:pPr>
        <w:ind w:left="360" w:right="260"/>
        <w:spacing w:after="0" w:line="243" w:lineRule="auto"/>
        <w:rPr>
          <w:sz w:val="20"/>
          <w:szCs w:val="20"/>
          <w:color w:val="auto"/>
        </w:rPr>
      </w:pPr>
      <w:r>
        <w:rPr>
          <w:rFonts w:ascii="Arial" w:cs="Arial" w:eastAsia="Arial" w:hAnsi="Arial"/>
          <w:sz w:val="18"/>
          <w:szCs w:val="18"/>
          <w:b w:val="1"/>
          <w:bCs w:val="1"/>
          <w:i w:val="1"/>
          <w:iCs w:val="1"/>
          <w:color w:val="auto"/>
        </w:rPr>
        <w:t>We are relying on third party engineers to estimate the future rated capacity and performance capabilities of our existing and future facilities, and these estimates may prove to be inaccurate.</w:t>
      </w:r>
    </w:p>
    <w:p>
      <w:pPr>
        <w:spacing w:after="0" w:line="77"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We are relying on third parties for the design and engineering services underlying our estimates of the future rated capacity and performance capabilities of our Terminals and Liquefaction Facilities, as well as other future projects. If any of these facilities, when actually constructed, fails to have the rated capacity and performance capabilities that we intend, our estimates may not be accurate. Failure of any of our existing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360" w:right="240"/>
        <w:spacing w:after="0" w:line="233" w:lineRule="auto"/>
        <w:rPr>
          <w:sz w:val="20"/>
          <w:szCs w:val="20"/>
          <w:color w:val="auto"/>
        </w:rPr>
      </w:pPr>
      <w:r>
        <w:rPr>
          <w:rFonts w:ascii="Arial" w:cs="Arial" w:eastAsia="Arial" w:hAnsi="Arial"/>
          <w:sz w:val="18"/>
          <w:szCs w:val="18"/>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81" w:lineRule="exact"/>
        <w:rPr>
          <w:sz w:val="20"/>
          <w:szCs w:val="20"/>
          <w:color w:val="auto"/>
        </w:rPr>
      </w:pPr>
    </w:p>
    <w:p>
      <w:pPr>
        <w:ind w:right="120" w:firstLine="357"/>
        <w:spacing w:after="0" w:line="271" w:lineRule="auto"/>
        <w:rPr>
          <w:sz w:val="20"/>
          <w:szCs w:val="20"/>
          <w:color w:val="auto"/>
        </w:rPr>
      </w:pPr>
      <w:r>
        <w:rPr>
          <w:rFonts w:ascii="Arial" w:cs="Arial" w:eastAsia="Arial" w:hAnsi="Arial"/>
          <w:sz w:val="17"/>
          <w:szCs w:val="17"/>
          <w:color w:val="auto"/>
        </w:rPr>
        <w:t>Under the GSAs with JPS and JPC, we are required to deliver to JPS and JPC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JPC or Jamalco with the right to terminate its GSA, PPA or SSA, as applicable. In addition, price fluctuations in natural gas and LNG may make it expensive or uneconomical for us to acquire adequate supply of these items.</w:t>
      </w:r>
    </w:p>
    <w:p>
      <w:pPr>
        <w:spacing w:after="0" w:line="71" w:lineRule="exact"/>
        <w:rPr>
          <w:sz w:val="20"/>
          <w:szCs w:val="20"/>
          <w:color w:val="auto"/>
        </w:rPr>
      </w:pPr>
    </w:p>
    <w:p>
      <w:pPr>
        <w:ind w:firstLine="357"/>
        <w:spacing w:after="0" w:line="267" w:lineRule="auto"/>
        <w:rPr>
          <w:sz w:val="20"/>
          <w:szCs w:val="20"/>
          <w:color w:val="auto"/>
        </w:rPr>
      </w:pPr>
      <w:r>
        <w:rPr>
          <w:rFonts w:ascii="Arial" w:cs="Arial" w:eastAsia="Arial" w:hAnsi="Arial"/>
          <w:sz w:val="17"/>
          <w:szCs w:val="17"/>
          <w:color w:val="auto"/>
        </w:rPr>
        <w:t>We are dependent upon third 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such as an affiliate of Chesapeake Energy Corporation (“Chesapeake”), were to default on their obligations under our contracts or seek bankruptcy protection, we may not be able to purchase or receive a sufficient quantity of natural gas in order to satisfy our delivery obligations under our GSAs, PPA and SSA with LNG produced at our own liquefaction facilities.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73" w:lineRule="exact"/>
        <w:rPr>
          <w:sz w:val="20"/>
          <w:szCs w:val="20"/>
          <w:color w:val="auto"/>
        </w:rPr>
      </w:pPr>
    </w:p>
    <w:p>
      <w:pPr>
        <w:ind w:right="220" w:firstLine="357"/>
        <w:spacing w:after="0" w:line="257" w:lineRule="auto"/>
        <w:rPr>
          <w:sz w:val="20"/>
          <w:szCs w:val="20"/>
          <w:color w:val="auto"/>
        </w:rPr>
      </w:pPr>
      <w:r>
        <w:rPr>
          <w:rFonts w:ascii="Arial" w:cs="Arial" w:eastAsia="Arial" w:hAnsi="Arial"/>
          <w:sz w:val="18"/>
          <w:szCs w:val="18"/>
          <w:color w:val="auto"/>
        </w:rPr>
        <w:t>While we have entered into contracts with Centrica to purchase a substantial portion of our expected LNG volumes for 2019 and 2020, we will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79" w:lineRule="exact"/>
        <w:rPr>
          <w:sz w:val="20"/>
          <w:szCs w:val="20"/>
          <w:color w:val="auto"/>
        </w:rPr>
      </w:pPr>
    </w:p>
    <w:p>
      <w:pPr>
        <w:ind w:right="40" w:firstLine="357"/>
        <w:spacing w:after="0" w:line="271" w:lineRule="auto"/>
        <w:rPr>
          <w:sz w:val="20"/>
          <w:szCs w:val="20"/>
          <w:color w:val="auto"/>
        </w:rPr>
      </w:pPr>
      <w:r>
        <w:rPr>
          <w:rFonts w:ascii="Arial" w:cs="Arial" w:eastAsia="Arial" w:hAnsi="Arial"/>
          <w:sz w:val="17"/>
          <w:szCs w:val="17"/>
          <w:color w:val="auto"/>
        </w:rPr>
        <w:t>Recently, the LNG industry has experienced increased volatility. If market disruptions and bankruptcies of third 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facilities. Even if we do complete the Pennsylvania Facility, there can be no assurance that it will operate as we expect or that we will succeed in our goal of reducing the risk to our operations of future LNG price variations.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face competition based upon the international market price for LNG or natural gas.</w:t>
      </w:r>
    </w:p>
    <w:p>
      <w:pPr>
        <w:spacing w:after="0" w:line="115"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81" w:lineRule="exact"/>
        <w:rPr>
          <w:sz w:val="20"/>
          <w:szCs w:val="20"/>
          <w:color w:val="auto"/>
        </w:rPr>
      </w:pPr>
    </w:p>
    <w:p>
      <w:pPr>
        <w:ind w:left="700" w:hanging="3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spacing w:after="0" w:line="114" w:lineRule="exact"/>
        <w:rPr>
          <w:rFonts w:ascii="Arial" w:cs="Arial" w:eastAsia="Arial" w:hAnsi="Arial"/>
          <w:sz w:val="18"/>
          <w:szCs w:val="18"/>
          <w:color w:val="auto"/>
        </w:rPr>
      </w:pPr>
    </w:p>
    <w:p>
      <w:pPr>
        <w:ind w:left="700" w:right="20" w:hanging="346"/>
        <w:spacing w:after="0" w:line="274"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decreases in the cost of competing sources of natural gas, LNG or alternate fuels such as coal, HFO and diesel;</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hanging="3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spacing w:after="0" w:line="114" w:lineRule="exact"/>
        <w:rPr>
          <w:rFonts w:ascii="Arial" w:cs="Arial" w:eastAsia="Arial" w:hAnsi="Arial"/>
          <w:sz w:val="18"/>
          <w:szCs w:val="18"/>
          <w:color w:val="auto"/>
        </w:rPr>
      </w:pPr>
    </w:p>
    <w:p>
      <w:pPr>
        <w:ind w:left="700" w:right="180" w:hanging="346"/>
        <w:spacing w:after="0" w:line="261"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76" w:lineRule="exact"/>
        <w:rPr>
          <w:sz w:val="20"/>
          <w:szCs w:val="20"/>
          <w:color w:val="auto"/>
        </w:rPr>
      </w:pPr>
    </w:p>
    <w:p>
      <w:pPr>
        <w:ind w:right="160" w:firstLine="357"/>
        <w:spacing w:after="0" w:line="299" w:lineRule="auto"/>
        <w:rPr>
          <w:sz w:val="20"/>
          <w:szCs w:val="20"/>
          <w:color w:val="auto"/>
        </w:rPr>
      </w:pPr>
      <w:r>
        <w:rPr>
          <w:rFonts w:ascii="Arial" w:cs="Arial" w:eastAsia="Arial" w:hAnsi="Arial"/>
          <w:sz w:val="16"/>
          <w:szCs w:val="16"/>
          <w:color w:val="auto"/>
        </w:rPr>
        <w:t>In addition, we may not be able to successfully execute on our strategy to supply our existing and future customers with LNG produced primarily at our own facilities upon completion of the Pennsylvania Facility. See “Risk Related to Our Business—We have not yet completed construction and commissioning of all of our Terminals and Liquefaction Facilities. There can be no assurance that our Terminals and Liquefaction Facilities will operate as described in this prospectus, or at all.”</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Technological innovation may render our processes obsolete.</w:t>
      </w:r>
    </w:p>
    <w:p>
      <w:pPr>
        <w:spacing w:after="0" w:line="115" w:lineRule="exact"/>
        <w:rPr>
          <w:sz w:val="20"/>
          <w:szCs w:val="20"/>
          <w:color w:val="auto"/>
        </w:rPr>
      </w:pPr>
    </w:p>
    <w:p>
      <w:pPr>
        <w:ind w:right="20" w:firstLine="357"/>
        <w:spacing w:after="0" w:line="289" w:lineRule="auto"/>
        <w:rPr>
          <w:sz w:val="20"/>
          <w:szCs w:val="20"/>
          <w:color w:val="auto"/>
        </w:rPr>
      </w:pPr>
      <w:r>
        <w:rPr>
          <w:rFonts w:ascii="Arial" w:cs="Arial" w:eastAsia="Arial" w:hAnsi="Arial"/>
          <w:sz w:val="16"/>
          <w:szCs w:val="16"/>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53" w:lineRule="exact"/>
        <w:rPr>
          <w:sz w:val="20"/>
          <w:szCs w:val="20"/>
          <w:color w:val="auto"/>
        </w:rPr>
      </w:pPr>
    </w:p>
    <w:p>
      <w:pPr>
        <w:ind w:left="360" w:right="660"/>
        <w:spacing w:after="0" w:line="243" w:lineRule="auto"/>
        <w:rPr>
          <w:sz w:val="20"/>
          <w:szCs w:val="20"/>
          <w:color w:val="auto"/>
        </w:rPr>
      </w:pPr>
      <w:r>
        <w:rPr>
          <w:rFonts w:ascii="Arial" w:cs="Arial" w:eastAsia="Arial" w:hAnsi="Arial"/>
          <w:sz w:val="18"/>
          <w:szCs w:val="18"/>
          <w:b w:val="1"/>
          <w:bCs w:val="1"/>
          <w:i w:val="1"/>
          <w:iCs w:val="1"/>
          <w:color w:val="auto"/>
        </w:rPr>
        <w:t>Changes in legislation and regulations could have a material adverse impact on our business, results of operations, financial condition, liquidity and prospects.</w:t>
      </w:r>
    </w:p>
    <w:p>
      <w:pPr>
        <w:spacing w:after="0" w:line="77" w:lineRule="exact"/>
        <w:rPr>
          <w:sz w:val="20"/>
          <w:szCs w:val="20"/>
          <w:color w:val="auto"/>
        </w:rPr>
      </w:pPr>
    </w:p>
    <w:p>
      <w:pPr>
        <w:ind w:firstLine="357"/>
        <w:spacing w:after="0" w:line="285" w:lineRule="auto"/>
        <w:rPr>
          <w:sz w:val="20"/>
          <w:szCs w:val="20"/>
          <w:color w:val="auto"/>
        </w:rPr>
      </w:pPr>
      <w:r>
        <w:rPr>
          <w:rFonts w:ascii="Arial" w:cs="Arial" w:eastAsia="Arial" w:hAnsi="Arial"/>
          <w:sz w:val="16"/>
          <w:szCs w:val="16"/>
          <w:color w:val="auto"/>
        </w:rPr>
        <w:t>Our business is subject to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Increasing trucking regulations may increase our costs and negatively impact our results of operations.</w:t>
      </w:r>
    </w:p>
    <w:p>
      <w:pPr>
        <w:spacing w:after="0" w:line="115" w:lineRule="exact"/>
        <w:rPr>
          <w:sz w:val="20"/>
          <w:szCs w:val="20"/>
          <w:color w:val="auto"/>
        </w:rPr>
      </w:pPr>
    </w:p>
    <w:p>
      <w:pPr>
        <w:ind w:right="160" w:firstLine="357"/>
        <w:spacing w:after="0" w:line="288" w:lineRule="auto"/>
        <w:rPr>
          <w:sz w:val="20"/>
          <w:szCs w:val="20"/>
          <w:color w:val="auto"/>
        </w:rPr>
      </w:pPr>
      <w:r>
        <w:rPr>
          <w:rFonts w:ascii="Arial" w:cs="Arial" w:eastAsia="Arial" w:hAnsi="Arial"/>
          <w:sz w:val="16"/>
          <w:szCs w:val="16"/>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58" w:lineRule="exact"/>
        <w:rPr>
          <w:sz w:val="20"/>
          <w:szCs w:val="20"/>
          <w:color w:val="auto"/>
        </w:rPr>
      </w:pPr>
    </w:p>
    <w:p>
      <w:pPr>
        <w:ind w:right="200" w:firstLine="357"/>
        <w:spacing w:after="0" w:line="254" w:lineRule="auto"/>
        <w:rPr>
          <w:sz w:val="20"/>
          <w:szCs w:val="20"/>
          <w:color w:val="auto"/>
        </w:rPr>
      </w:pPr>
      <w:r>
        <w:rPr>
          <w:rFonts w:ascii="Arial" w:cs="Arial" w:eastAsia="Arial" w:hAnsi="Arial"/>
          <w:sz w:val="18"/>
          <w:szCs w:val="18"/>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79" w:lineRule="exact"/>
        <w:rPr>
          <w:sz w:val="20"/>
          <w:szCs w:val="20"/>
          <w:color w:val="auto"/>
        </w:rPr>
      </w:pPr>
    </w:p>
    <w:p>
      <w:pPr>
        <w:ind w:right="160" w:firstLine="357"/>
        <w:spacing w:after="0" w:line="257"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173" w:lineRule="exact"/>
        <w:rPr>
          <w:sz w:val="20"/>
          <w:szCs w:val="20"/>
          <w:color w:val="auto"/>
        </w:rPr>
      </w:pPr>
    </w:p>
    <w:p>
      <w:pPr>
        <w:ind w:left="360" w:right="500"/>
        <w:spacing w:after="0" w:line="243"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77"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We have obtained long-term leases and corresponding rights-of-way agreements with respect to the land on which the Jamaica Terminals, the pipeline connecting the Montego Bay Terminal to the Bogue Power Plant, the Miami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Terminals.</w:t>
      </w:r>
    </w:p>
    <w:p>
      <w:pPr>
        <w:spacing w:after="0" w:line="59" w:lineRule="exact"/>
        <w:rPr>
          <w:sz w:val="20"/>
          <w:szCs w:val="20"/>
          <w:color w:val="auto"/>
        </w:rPr>
      </w:pPr>
    </w:p>
    <w:p>
      <w:pPr>
        <w:ind w:right="160" w:firstLine="357"/>
        <w:spacing w:after="0" w:line="270" w:lineRule="auto"/>
        <w:rPr>
          <w:sz w:val="20"/>
          <w:szCs w:val="20"/>
          <w:color w:val="auto"/>
        </w:rPr>
      </w:pPr>
      <w:r>
        <w:rPr>
          <w:rFonts w:ascii="Arial" w:cs="Arial" w:eastAsia="Arial" w:hAnsi="Arial"/>
          <w:sz w:val="17"/>
          <w:szCs w:val="17"/>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37" w:lineRule="exact"/>
        <w:rPr>
          <w:sz w:val="20"/>
          <w:szCs w:val="20"/>
          <w:color w:val="auto"/>
        </w:rPr>
      </w:pPr>
    </w:p>
    <w:p>
      <w:pPr>
        <w:ind w:left="360"/>
        <w:spacing w:after="0" w:line="272" w:lineRule="auto"/>
        <w:rPr>
          <w:sz w:val="20"/>
          <w:szCs w:val="20"/>
          <w:color w:val="auto"/>
        </w:rPr>
      </w:pPr>
      <w:r>
        <w:rPr>
          <w:rFonts w:ascii="Arial" w:cs="Arial" w:eastAsia="Arial" w:hAnsi="Arial"/>
          <w:sz w:val="17"/>
          <w:szCs w:val="17"/>
          <w:b w:val="1"/>
          <w:bCs w:val="1"/>
          <w:i w:val="1"/>
          <w:iCs w:val="1"/>
          <w:color w:val="auto"/>
        </w:rPr>
        <w:t>We may not be able to successfully enter into contracts or renew existing contracts to charter tankers and to lease or acquire ship-to-ship kits in the future, which may result in us not being able to meet our obligations.</w:t>
      </w:r>
    </w:p>
    <w:p>
      <w:pPr>
        <w:spacing w:after="0" w:line="53"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color w:val="auto"/>
        </w:rPr>
        <w:t>We enter into time charters of ocean-going tankers for the transportation of LNG, which extend for varying lengths of time. We also rely on two ship-to-ship kits, one of which we currently own and one of which we currently lease, and one ship-to-shore kit, which we currently own, to transmit LNG between ships and to transport it onshore. We may need to purchase additional kits, or upgrade our existing kits, in the future. We may not be able to successfully enter into contracts or renew existing contracts to charter tankers and to lease or acquire kits in the future, which may result in us not being able to meet our obligations. We are also exposed to changes in market rates and availability for tankers and kits,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74" w:lineRule="exact"/>
        <w:rPr>
          <w:sz w:val="20"/>
          <w:szCs w:val="20"/>
          <w:color w:val="auto"/>
        </w:rPr>
      </w:pPr>
    </w:p>
    <w:p>
      <w:pPr>
        <w:ind w:right="260" w:firstLine="357"/>
        <w:spacing w:after="0" w:line="274" w:lineRule="auto"/>
        <w:rPr>
          <w:sz w:val="20"/>
          <w:szCs w:val="20"/>
          <w:color w:val="auto"/>
        </w:rPr>
      </w:pPr>
      <w:r>
        <w:rPr>
          <w:rFonts w:ascii="Arial" w:cs="Arial" w:eastAsia="Arial" w:hAnsi="Arial"/>
          <w:sz w:val="18"/>
          <w:szCs w:val="18"/>
          <w:color w:val="auto"/>
        </w:rPr>
        <w:t>We rely on the operation of tankers under our time charters and kits to transfer LNG between ships. The operation of ocean-going tankers and kits carries inherent risks. These risks include the possibility of:</w:t>
      </w:r>
    </w:p>
    <w:p>
      <w:pPr>
        <w:spacing w:after="0" w:line="64" w:lineRule="exact"/>
        <w:rPr>
          <w:sz w:val="20"/>
          <w:szCs w:val="20"/>
          <w:color w:val="auto"/>
        </w:rPr>
      </w:pPr>
    </w:p>
    <w:p>
      <w:pPr>
        <w:ind w:left="700" w:hanging="3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piracy;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15" w:lineRule="exact"/>
        <w:rPr>
          <w:sz w:val="20"/>
          <w:szCs w:val="20"/>
          <w:color w:val="auto"/>
        </w:rPr>
      </w:pPr>
    </w:p>
    <w:p>
      <w:pPr>
        <w:ind w:right="500" w:firstLine="357"/>
        <w:spacing w:after="0" w:line="274" w:lineRule="auto"/>
        <w:rPr>
          <w:sz w:val="20"/>
          <w:szCs w:val="20"/>
          <w:color w:val="auto"/>
        </w:rPr>
      </w:pPr>
      <w:r>
        <w:rPr>
          <w:rFonts w:ascii="Arial" w:cs="Arial" w:eastAsia="Arial" w:hAnsi="Arial"/>
          <w:sz w:val="18"/>
          <w:szCs w:val="18"/>
          <w:color w:val="auto"/>
        </w:rPr>
        <w:t>We do not currently maintain a redundant supply of ships, ship-to-ship kits or other equipment. As a result, if our current equipment fails, is unavailable or insufficient to service our LNG production, we may need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procure new equipment, which may not be available or be expensive to obtain. Any such occurrence could interrupt our operations and increase our operating costs. Any of these results could have a material adverse effect on our business, financial condition and operating results.</w:t>
      </w:r>
    </w:p>
    <w:p>
      <w:pPr>
        <w:spacing w:after="0" w:line="156" w:lineRule="exact"/>
        <w:rPr>
          <w:sz w:val="20"/>
          <w:szCs w:val="20"/>
          <w:color w:val="auto"/>
        </w:rPr>
      </w:pPr>
    </w:p>
    <w:p>
      <w:pPr>
        <w:ind w:left="360" w:right="840"/>
        <w:spacing w:after="0" w:line="259" w:lineRule="auto"/>
        <w:rPr>
          <w:sz w:val="20"/>
          <w:szCs w:val="20"/>
          <w:color w:val="auto"/>
        </w:rPr>
      </w:pPr>
      <w:r>
        <w:rPr>
          <w:rFonts w:ascii="Arial" w:cs="Arial" w:eastAsia="Arial" w:hAnsi="Arial"/>
          <w:sz w:val="18"/>
          <w:szCs w:val="18"/>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Cargoes of LNG and our chartered vessels are at risk of being damaged or lost because of events such as:</w:t>
      </w:r>
    </w:p>
    <w:p>
      <w:pPr>
        <w:spacing w:after="0" w:line="115" w:lineRule="exact"/>
        <w:rPr>
          <w:sz w:val="20"/>
          <w:szCs w:val="20"/>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piracy;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accident involving our cargoes or any of our chartered vessels could result in any of the following:</w:t>
      </w:r>
    </w:p>
    <w:p>
      <w:pPr>
        <w:spacing w:after="0" w:line="115" w:lineRule="exact"/>
        <w:rPr>
          <w:sz w:val="20"/>
          <w:szCs w:val="20"/>
          <w:color w:val="auto"/>
        </w:rPr>
      </w:pPr>
    </w:p>
    <w:p>
      <w:pPr>
        <w:ind w:left="700" w:hanging="3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death or injury to persons, loss of property or environmental damage;</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charter contracts;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Any of these circumstances or events could increase our costs or lower our revenues.</w:t>
      </w:r>
    </w:p>
    <w:p>
      <w:pPr>
        <w:spacing w:after="0" w:line="115" w:lineRule="exact"/>
        <w:rPr>
          <w:sz w:val="20"/>
          <w:szCs w:val="20"/>
          <w:color w:val="auto"/>
        </w:rPr>
      </w:pPr>
    </w:p>
    <w:p>
      <w:pPr>
        <w:ind w:right="60" w:firstLine="357"/>
        <w:spacing w:after="0" w:line="299" w:lineRule="auto"/>
        <w:rPr>
          <w:sz w:val="20"/>
          <w:szCs w:val="20"/>
          <w:color w:val="auto"/>
        </w:rPr>
      </w:pPr>
      <w:r>
        <w:rPr>
          <w:rFonts w:ascii="Arial" w:cs="Arial" w:eastAsia="Arial" w:hAnsi="Arial"/>
          <w:sz w:val="16"/>
          <w:szCs w:val="16"/>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w:t>
      </w:r>
    </w:p>
    <w:p>
      <w:pPr>
        <w:spacing w:after="0" w:line="156" w:lineRule="exact"/>
        <w:rPr>
          <w:sz w:val="20"/>
          <w:szCs w:val="20"/>
          <w:color w:val="auto"/>
        </w:rPr>
      </w:pPr>
    </w:p>
    <w:p>
      <w:pPr>
        <w:ind w:left="360" w:right="200"/>
        <w:spacing w:after="0" w:line="259" w:lineRule="auto"/>
        <w:rPr>
          <w:sz w:val="20"/>
          <w:szCs w:val="20"/>
          <w:color w:val="auto"/>
        </w:rPr>
      </w:pPr>
      <w:r>
        <w:rPr>
          <w:rFonts w:ascii="Arial" w:cs="Arial" w:eastAsia="Arial" w:hAnsi="Arial"/>
          <w:sz w:val="18"/>
          <w:szCs w:val="18"/>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63" w:lineRule="exact"/>
        <w:rPr>
          <w:sz w:val="20"/>
          <w:szCs w:val="20"/>
          <w:color w:val="auto"/>
        </w:rPr>
      </w:pPr>
    </w:p>
    <w:p>
      <w:pPr>
        <w:ind w:firstLine="357"/>
        <w:spacing w:after="0" w:line="285" w:lineRule="auto"/>
        <w:rPr>
          <w:sz w:val="20"/>
          <w:szCs w:val="20"/>
          <w:color w:val="auto"/>
        </w:rPr>
      </w:pPr>
      <w:r>
        <w:rPr>
          <w:rFonts w:ascii="Arial" w:cs="Arial" w:eastAsia="Arial" w:hAnsi="Arial"/>
          <w:sz w:val="16"/>
          <w:szCs w:val="16"/>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and the handling and disposal of hazardous substances and wastes.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(“ECAs”)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International Safety Management Code for the Safe Operation of Ships and for Pollution Prevention (the “ISM Code”), the IMO International Convention on Load Lines of 1966, as amended from time to time and the International Convention for the Control and Management of Ships’ Ballast Water and Sediments in February 2004.</w:t>
      </w:r>
    </w:p>
    <w:p>
      <w:pPr>
        <w:spacing w:after="0" w:line="76" w:lineRule="exact"/>
        <w:rPr>
          <w:sz w:val="20"/>
          <w:szCs w:val="20"/>
          <w:color w:val="auto"/>
        </w:rPr>
      </w:pPr>
    </w:p>
    <w:p>
      <w:pPr>
        <w:ind w:right="20" w:firstLine="357"/>
        <w:spacing w:after="0" w:line="273" w:lineRule="auto"/>
        <w:rPr>
          <w:sz w:val="20"/>
          <w:szCs w:val="20"/>
          <w:color w:val="auto"/>
        </w:rPr>
      </w:pPr>
      <w:r>
        <w:rPr>
          <w:rFonts w:ascii="Arial" w:cs="Arial" w:eastAsia="Arial" w:hAnsi="Arial"/>
          <w:sz w:val="17"/>
          <w:szCs w:val="17"/>
          <w:color w:val="auto"/>
        </w:rPr>
        <w:t>Moreover, the overall trends are towards more regulations and more stringent requirements which are likely to add to our costs of doing business.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69" w:lineRule="exact"/>
        <w:rPr>
          <w:sz w:val="20"/>
          <w:szCs w:val="20"/>
          <w:color w:val="auto"/>
        </w:rPr>
      </w:pPr>
    </w:p>
    <w:p>
      <w:pPr>
        <w:ind w:right="20" w:firstLine="357"/>
        <w:spacing w:after="0" w:line="289" w:lineRule="auto"/>
        <w:rPr>
          <w:sz w:val="20"/>
          <w:szCs w:val="20"/>
          <w:color w:val="auto"/>
        </w:rPr>
      </w:pPr>
      <w:r>
        <w:rPr>
          <w:rFonts w:ascii="Arial" w:cs="Arial" w:eastAsia="Arial" w:hAnsi="Arial"/>
          <w:sz w:val="16"/>
          <w:szCs w:val="16"/>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53" w:lineRule="exact"/>
        <w:rPr>
          <w:sz w:val="20"/>
          <w:szCs w:val="20"/>
          <w:color w:val="auto"/>
        </w:rPr>
      </w:pPr>
    </w:p>
    <w:p>
      <w:pPr>
        <w:ind w:left="360" w:right="100"/>
        <w:spacing w:after="0" w:line="243" w:lineRule="auto"/>
        <w:rPr>
          <w:sz w:val="20"/>
          <w:szCs w:val="20"/>
          <w:color w:val="auto"/>
        </w:rPr>
      </w:pPr>
      <w:r>
        <w:rPr>
          <w:rFonts w:ascii="Arial" w:cs="Arial" w:eastAsia="Arial" w:hAnsi="Arial"/>
          <w:sz w:val="18"/>
          <w:szCs w:val="18"/>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77"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81" w:lineRule="exact"/>
        <w:rPr>
          <w:sz w:val="20"/>
          <w:szCs w:val="20"/>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inadequate number of shipyards constructing LNG tankers and a backlog of orders at these shipyards;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or economic disturbances in the countries where the tankers are being constructed;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bankruptcy or other financial crisis of shipbuilders;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tsunami or fire; or</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w:t>
      </w:r>
    </w:p>
    <w:p>
      <w:pPr>
        <w:spacing w:after="0" w:line="115" w:lineRule="exact"/>
        <w:rPr>
          <w:sz w:val="20"/>
          <w:szCs w:val="20"/>
          <w:color w:val="auto"/>
        </w:rPr>
      </w:pPr>
    </w:p>
    <w:p>
      <w:pPr>
        <w:ind w:firstLine="357"/>
        <w:spacing w:after="0" w:line="277" w:lineRule="auto"/>
        <w:rPr>
          <w:sz w:val="20"/>
          <w:szCs w:val="20"/>
          <w:color w:val="auto"/>
        </w:rPr>
      </w:pPr>
      <w:r>
        <w:rPr>
          <w:rFonts w:ascii="Arial" w:cs="Arial" w:eastAsia="Arial" w:hAnsi="Arial"/>
          <w:sz w:val="17"/>
          <w:szCs w:val="17"/>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157" w:lineRule="exact"/>
        <w:rPr>
          <w:sz w:val="20"/>
          <w:szCs w:val="20"/>
          <w:color w:val="auto"/>
        </w:rPr>
      </w:pPr>
    </w:p>
    <w:p>
      <w:pPr>
        <w:ind w:left="360" w:right="240"/>
        <w:spacing w:after="0" w:line="243"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77" w:lineRule="exact"/>
        <w:rPr>
          <w:sz w:val="20"/>
          <w:szCs w:val="20"/>
          <w:color w:val="auto"/>
        </w:rPr>
      </w:pPr>
    </w:p>
    <w:p>
      <w:pPr>
        <w:ind w:right="20" w:firstLine="357"/>
        <w:spacing w:after="0" w:line="261" w:lineRule="auto"/>
        <w:rPr>
          <w:sz w:val="20"/>
          <w:szCs w:val="20"/>
          <w:color w:val="auto"/>
        </w:rPr>
      </w:pPr>
      <w:r>
        <w:rPr>
          <w:rFonts w:ascii="Arial" w:cs="Arial" w:eastAsia="Arial" w:hAnsi="Arial"/>
          <w:sz w:val="18"/>
          <w:szCs w:val="18"/>
          <w:color w:val="auto"/>
        </w:rPr>
        <w:t>We plan to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76" w:lineRule="exact"/>
        <w:rPr>
          <w:sz w:val="20"/>
          <w:szCs w:val="20"/>
          <w:color w:val="auto"/>
        </w:rPr>
      </w:pPr>
    </w:p>
    <w:p>
      <w:pPr>
        <w:ind w:right="300" w:firstLine="357"/>
        <w:spacing w:after="0" w:line="274" w:lineRule="auto"/>
        <w:rPr>
          <w:sz w:val="20"/>
          <w:szCs w:val="20"/>
          <w:color w:val="auto"/>
        </w:rPr>
      </w:pPr>
      <w:r>
        <w:rPr>
          <w:rFonts w:ascii="Arial" w:cs="Arial" w:eastAsia="Arial" w:hAnsi="Arial"/>
          <w:sz w:val="18"/>
          <w:szCs w:val="18"/>
          <w:color w:val="auto"/>
        </w:rPr>
        <w:t>Many competing companies have secured access to, or are pursuing development or acquisition of, LNG facilities in North America. We may face competition from major energy companies and others in pursuing our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proposed business strategy to provide liquefaction and export products and services. In addition, competitors have and are developing LNG terminals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64" w:lineRule="exact"/>
        <w:rPr>
          <w:sz w:val="20"/>
          <w:szCs w:val="20"/>
          <w:color w:val="auto"/>
        </w:rPr>
      </w:pPr>
    </w:p>
    <w:p>
      <w:pPr>
        <w:ind w:left="360" w:right="680"/>
        <w:spacing w:after="0" w:line="243"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77"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w:t>
      </w:r>
    </w:p>
    <w:p>
      <w:pPr>
        <w:spacing w:after="0" w:line="57" w:lineRule="exact"/>
        <w:rPr>
          <w:sz w:val="20"/>
          <w:szCs w:val="20"/>
          <w:color w:val="auto"/>
        </w:rPr>
      </w:pPr>
    </w:p>
    <w:p>
      <w:pPr>
        <w:ind w:right="20" w:firstLine="357"/>
        <w:spacing w:after="0" w:line="254" w:lineRule="auto"/>
        <w:rPr>
          <w:sz w:val="20"/>
          <w:szCs w:val="20"/>
          <w:color w:val="auto"/>
        </w:rPr>
      </w:pPr>
      <w:r>
        <w:rPr>
          <w:rFonts w:ascii="Arial" w:cs="Arial" w:eastAsia="Arial" w:hAnsi="Arial"/>
          <w:sz w:val="18"/>
          <w:szCs w:val="18"/>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81" w:lineRule="exact"/>
        <w:rPr>
          <w:sz w:val="20"/>
          <w:szCs w:val="20"/>
          <w:color w:val="auto"/>
        </w:rPr>
      </w:pPr>
    </w:p>
    <w:p>
      <w:pPr>
        <w:ind w:right="80" w:firstLine="357"/>
        <w:spacing w:after="0" w:line="294" w:lineRule="auto"/>
        <w:rPr>
          <w:sz w:val="20"/>
          <w:szCs w:val="20"/>
          <w:color w:val="auto"/>
        </w:rPr>
      </w:pPr>
      <w:r>
        <w:rPr>
          <w:rFonts w:ascii="Arial" w:cs="Arial" w:eastAsia="Arial" w:hAnsi="Arial"/>
          <w:sz w:val="16"/>
          <w:szCs w:val="16"/>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54" w:lineRule="exact"/>
        <w:rPr>
          <w:sz w:val="20"/>
          <w:szCs w:val="20"/>
          <w:color w:val="auto"/>
        </w:rPr>
      </w:pPr>
    </w:p>
    <w:p>
      <w:pPr>
        <w:ind w:right="160" w:firstLine="357"/>
        <w:spacing w:after="0" w:line="257" w:lineRule="auto"/>
        <w:rPr>
          <w:sz w:val="20"/>
          <w:szCs w:val="20"/>
          <w:color w:val="auto"/>
        </w:rPr>
      </w:pPr>
      <w:r>
        <w:rPr>
          <w:rFonts w:ascii="Arial" w:cs="Arial" w:eastAsia="Arial" w:hAnsi="Arial"/>
          <w:sz w:val="18"/>
          <w:szCs w:val="18"/>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115" w:lineRule="exact"/>
        <w:rPr>
          <w:sz w:val="20"/>
          <w:szCs w:val="20"/>
          <w:color w:val="auto"/>
        </w:rPr>
      </w:pPr>
    </w:p>
    <w:p>
      <w:pPr>
        <w:ind w:right="20" w:firstLine="357"/>
        <w:spacing w:after="0" w:line="277" w:lineRule="auto"/>
        <w:rPr>
          <w:sz w:val="20"/>
          <w:szCs w:val="20"/>
          <w:color w:val="auto"/>
        </w:rPr>
      </w:pPr>
      <w:r>
        <w:rPr>
          <w:rFonts w:ascii="Arial" w:cs="Arial" w:eastAsia="Arial" w:hAnsi="Arial"/>
          <w:sz w:val="17"/>
          <w:szCs w:val="17"/>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63" w:lineRule="exact"/>
        <w:rPr>
          <w:sz w:val="20"/>
          <w:szCs w:val="20"/>
          <w:color w:val="auto"/>
        </w:rPr>
      </w:pPr>
    </w:p>
    <w:p>
      <w:pPr>
        <w:ind w:left="700" w:hanging="3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supply is less than the amount hedged;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counterparty to the hedging contract defaults on its contractual obligations; or</w:t>
      </w:r>
    </w:p>
    <w:p>
      <w:pPr>
        <w:spacing w:after="0" w:line="114" w:lineRule="exact"/>
        <w:rPr>
          <w:rFonts w:ascii="Arial" w:cs="Arial" w:eastAsia="Arial" w:hAnsi="Arial"/>
          <w:sz w:val="18"/>
          <w:szCs w:val="18"/>
          <w:color w:val="auto"/>
        </w:rPr>
      </w:pPr>
    </w:p>
    <w:p>
      <w:pPr>
        <w:ind w:left="700" w:right="420" w:hanging="346"/>
        <w:spacing w:after="0" w:line="274"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is a change in the expected differential between the underlying price in the hedging agreement and actual prices received.</w:t>
      </w:r>
    </w:p>
    <w:p>
      <w:pPr>
        <w:spacing w:after="0" w:line="64" w:lineRule="exact"/>
        <w:rPr>
          <w:sz w:val="20"/>
          <w:szCs w:val="20"/>
          <w:color w:val="auto"/>
        </w:rPr>
      </w:pPr>
    </w:p>
    <w:p>
      <w:pPr>
        <w:ind w:right="240" w:firstLine="357"/>
        <w:spacing w:after="0" w:line="257" w:lineRule="auto"/>
        <w:rPr>
          <w:sz w:val="20"/>
          <w:szCs w:val="20"/>
          <w:color w:val="auto"/>
        </w:rPr>
      </w:pPr>
      <w:r>
        <w:rPr>
          <w:rFonts w:ascii="Arial" w:cs="Arial" w:eastAsia="Arial" w:hAnsi="Arial"/>
          <w:sz w:val="18"/>
          <w:szCs w:val="18"/>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have a material adverse effect on our business, financial condition and operating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360" w:right="40"/>
        <w:spacing w:after="0" w:line="243"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77" w:lineRule="exact"/>
        <w:rPr>
          <w:sz w:val="20"/>
          <w:szCs w:val="20"/>
          <w:color w:val="auto"/>
        </w:rPr>
      </w:pPr>
    </w:p>
    <w:p>
      <w:pPr>
        <w:ind w:right="20" w:firstLine="357"/>
        <w:spacing w:after="0" w:line="283" w:lineRule="auto"/>
        <w:rPr>
          <w:sz w:val="20"/>
          <w:szCs w:val="20"/>
          <w:color w:val="auto"/>
        </w:rPr>
      </w:pPr>
      <w:r>
        <w:rPr>
          <w:rFonts w:ascii="Arial" w:cs="Arial" w:eastAsia="Arial" w:hAnsi="Arial"/>
          <w:sz w:val="16"/>
          <w:szCs w:val="16"/>
          <w:color w:val="auto"/>
        </w:rPr>
        <w:t>When engaged in marketing activities, it is our strategy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diesel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In addition, our marketing operations involve the risk of non-compliance with our risk management policies. We cannot assure you that our processes and procedures will detect and prevent all violations of our risk management strategies, particularly if deception or other intentional misconduct is involved. If we were to incur a material loss related to commodity price risks, including non-compliance with our risk management strategies, it could have a material adverse effect on our financial position, results of operations and cash flows. There can be no assurance that we will complete the Pennsylvania Facility or be able to supply our facilities and the CHP Plant with LNG produced at our own facilities. Even if we do complete the Pennsylvania Facility, there can be no assurance that it will operate as described in this prospectus or that we will succeed in our goal of reducing the risk to our operations of future LNG price variations.</w:t>
      </w:r>
    </w:p>
    <w:p>
      <w:pPr>
        <w:spacing w:after="0" w:line="164" w:lineRule="exact"/>
        <w:rPr>
          <w:sz w:val="20"/>
          <w:szCs w:val="20"/>
          <w:color w:val="auto"/>
        </w:rPr>
      </w:pPr>
    </w:p>
    <w:p>
      <w:pPr>
        <w:ind w:left="360" w:right="540"/>
        <w:spacing w:after="0" w:line="243" w:lineRule="auto"/>
        <w:rPr>
          <w:sz w:val="20"/>
          <w:szCs w:val="20"/>
          <w:color w:val="auto"/>
        </w:rPr>
      </w:pPr>
      <w:r>
        <w:rPr>
          <w:rFonts w:ascii="Arial" w:cs="Arial" w:eastAsia="Arial" w:hAnsi="Arial"/>
          <w:sz w:val="18"/>
          <w:szCs w:val="18"/>
          <w:b w:val="1"/>
          <w:bCs w:val="1"/>
          <w:i w:val="1"/>
          <w:iCs w:val="1"/>
          <w:color w:val="auto"/>
        </w:rPr>
        <w:t>We may experience increased labor costs, and the unavailability of skilled workers or our failure to attract and retain qualified personnel could adversely affect us.</w:t>
      </w:r>
    </w:p>
    <w:p>
      <w:pPr>
        <w:spacing w:after="0" w:line="77" w:lineRule="exact"/>
        <w:rPr>
          <w:sz w:val="20"/>
          <w:szCs w:val="20"/>
          <w:color w:val="auto"/>
        </w:rPr>
      </w:pPr>
    </w:p>
    <w:p>
      <w:pPr>
        <w:ind w:firstLine="357"/>
        <w:spacing w:after="0" w:line="285" w:lineRule="auto"/>
        <w:rPr>
          <w:sz w:val="20"/>
          <w:szCs w:val="20"/>
          <w:color w:val="auto"/>
        </w:rPr>
      </w:pPr>
      <w:r>
        <w:rPr>
          <w:rFonts w:ascii="Arial" w:cs="Arial" w:eastAsia="Arial" w:hAnsi="Arial"/>
          <w:sz w:val="16"/>
          <w:szCs w:val="16"/>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55" w:lineRule="exact"/>
        <w:rPr>
          <w:sz w:val="20"/>
          <w:szCs w:val="20"/>
          <w:color w:val="auto"/>
        </w:rPr>
      </w:pPr>
    </w:p>
    <w:p>
      <w:pPr>
        <w:ind w:left="360" w:right="160"/>
        <w:spacing w:after="0" w:line="243" w:lineRule="auto"/>
        <w:rPr>
          <w:sz w:val="20"/>
          <w:szCs w:val="20"/>
          <w:color w:val="auto"/>
        </w:rPr>
      </w:pPr>
      <w:r>
        <w:rPr>
          <w:rFonts w:ascii="Arial" w:cs="Arial" w:eastAsia="Arial" w:hAnsi="Arial"/>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77"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The substantial majority of our anticipated revenue in 2019 will be dependent upon our assets and customers in Jamaica. Jamaica has historically experienced economic volatility and the general condition and performance of the Jamaican economy, over which we have no control, may affect our business, financial condition and results of operations. Due to our current lack of asset and geographic diversification, an adverse development at the Jamaica Terminals, in the energy industry or in the economic conditions in Jamaica, would have a significantly greater impact on our financial condition and operating results than if we maintained more diverse assets and operating areas.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incur impairments to goodwill or long-lived assets.</w:t>
      </w:r>
    </w:p>
    <w:p>
      <w:pPr>
        <w:spacing w:after="0" w:line="115" w:lineRule="exact"/>
        <w:rPr>
          <w:sz w:val="20"/>
          <w:szCs w:val="20"/>
          <w:color w:val="auto"/>
        </w:rPr>
      </w:pPr>
    </w:p>
    <w:p>
      <w:pPr>
        <w:ind w:right="60" w:firstLine="357"/>
        <w:spacing w:after="0" w:line="257" w:lineRule="auto"/>
        <w:rPr>
          <w:sz w:val="20"/>
          <w:szCs w:val="20"/>
          <w:color w:val="auto"/>
        </w:rPr>
      </w:pPr>
      <w:r>
        <w:rPr>
          <w:rFonts w:ascii="Arial" w:cs="Arial" w:eastAsia="Arial" w:hAnsi="Arial"/>
          <w:sz w:val="18"/>
          <w:szCs w:val="18"/>
          <w:color w:val="auto"/>
        </w:rPr>
        <w:t>We test our long-lived assets for impairment whenever events or changes in circumstances indicate that the carrying amount of these assets may not be recoverable. We currently intend to test goodwill for impairment annually, or more frequently as circumstances dictate. Significant negative industry or economic trends, and decline of our market capitalization, reduced estimates of future cash flows for our business segments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disruptions to our business could lead to an impairment charge of our long-lived assets, including goodwill.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goodwill or long-lived assets, we may be required to record a charge to earnings in our consolidated financial statements during a period in which such impairment is determined to exist, which may negatively impact our operating results.</w:t>
      </w:r>
    </w:p>
    <w:p>
      <w:pPr>
        <w:spacing w:after="0" w:line="165" w:lineRule="exact"/>
        <w:rPr>
          <w:sz w:val="20"/>
          <w:szCs w:val="20"/>
          <w:color w:val="auto"/>
        </w:rPr>
      </w:pPr>
    </w:p>
    <w:p>
      <w:pPr>
        <w:ind w:left="360" w:right="20"/>
        <w:spacing w:after="0" w:line="229" w:lineRule="auto"/>
        <w:rPr>
          <w:sz w:val="20"/>
          <w:szCs w:val="20"/>
          <w:color w:val="auto"/>
        </w:rPr>
      </w:pPr>
      <w:r>
        <w:rPr>
          <w:rFonts w:ascii="Arial" w:cs="Arial" w:eastAsia="Arial" w:hAnsi="Arial"/>
          <w:sz w:val="18"/>
          <w:szCs w:val="18"/>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82" w:lineRule="exact"/>
        <w:rPr>
          <w:sz w:val="20"/>
          <w:szCs w:val="20"/>
          <w:color w:val="auto"/>
        </w:rPr>
      </w:pPr>
    </w:p>
    <w:p>
      <w:pPr>
        <w:ind w:right="40" w:firstLine="357"/>
        <w:spacing w:after="0" w:line="267" w:lineRule="auto"/>
        <w:rPr>
          <w:sz w:val="20"/>
          <w:szCs w:val="20"/>
          <w:color w:val="auto"/>
        </w:rPr>
      </w:pPr>
      <w:r>
        <w:rPr>
          <w:rFonts w:ascii="Arial" w:cs="Arial" w:eastAsia="Arial" w:hAnsi="Arial"/>
          <w:sz w:val="17"/>
          <w:szCs w:val="17"/>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167" w:lineRule="exact"/>
        <w:rPr>
          <w:sz w:val="20"/>
          <w:szCs w:val="20"/>
          <w:color w:val="auto"/>
        </w:rPr>
      </w:pPr>
    </w:p>
    <w:p>
      <w:pPr>
        <w:ind w:left="360" w:right="280"/>
        <w:spacing w:after="0" w:line="287" w:lineRule="auto"/>
        <w:rPr>
          <w:sz w:val="20"/>
          <w:szCs w:val="20"/>
          <w:color w:val="auto"/>
        </w:rPr>
      </w:pPr>
      <w:r>
        <w:rPr>
          <w:rFonts w:ascii="Arial" w:cs="Arial" w:eastAsia="Arial" w:hAnsi="Arial"/>
          <w:sz w:val="15"/>
          <w:szCs w:val="15"/>
          <w:b w:val="1"/>
          <w:bCs w:val="1"/>
          <w:i w:val="1"/>
          <w:iCs w:val="1"/>
          <w:color w:val="auto"/>
        </w:rPr>
        <w:t>The swaps regulatory and other provisions of the Dodd-Frank Wall Street Reform and Consumer Protection Act (the “Dodd-Frank Act”) and the rules adopted thereunder and other regulations, including European Market Infrastructure Regulation (“EMIR”) and Regulation on Wholesale Energy Market Integrity and Transparency (“REMIT”), could adversely affect our ability to hedge risks associated with our business and our operating results and cash flows.</w:t>
      </w:r>
    </w:p>
    <w:p>
      <w:pPr>
        <w:spacing w:after="0" w:line="47" w:lineRule="exact"/>
        <w:rPr>
          <w:sz w:val="20"/>
          <w:szCs w:val="20"/>
          <w:color w:val="auto"/>
        </w:rPr>
      </w:pPr>
    </w:p>
    <w:p>
      <w:pPr>
        <w:ind w:right="40" w:firstLine="357"/>
        <w:spacing w:after="0" w:line="289" w:lineRule="auto"/>
        <w:rPr>
          <w:sz w:val="20"/>
          <w:szCs w:val="20"/>
          <w:color w:val="auto"/>
        </w:rPr>
      </w:pPr>
      <w:r>
        <w:rPr>
          <w:rFonts w:ascii="Arial" w:cs="Arial" w:eastAsia="Arial" w:hAnsi="Arial"/>
          <w:sz w:val="16"/>
          <w:szCs w:val="16"/>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the Liquefaction Facilities.</w:t>
      </w:r>
    </w:p>
    <w:p>
      <w:pPr>
        <w:spacing w:after="0" w:line="59" w:lineRule="exact"/>
        <w:rPr>
          <w:sz w:val="20"/>
          <w:szCs w:val="20"/>
          <w:color w:val="auto"/>
        </w:rPr>
      </w:pPr>
    </w:p>
    <w:p>
      <w:pPr>
        <w:ind w:firstLine="357"/>
        <w:spacing w:after="0" w:line="286" w:lineRule="auto"/>
        <w:rPr>
          <w:sz w:val="20"/>
          <w:szCs w:val="20"/>
          <w:color w:val="auto"/>
        </w:rPr>
      </w:pPr>
      <w:r>
        <w:rPr>
          <w:rFonts w:ascii="Arial" w:cs="Arial" w:eastAsia="Arial" w:hAnsi="Arial"/>
          <w:sz w:val="16"/>
          <w:szCs w:val="16"/>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relief—until August 12, 2019—from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61" w:lineRule="exact"/>
        <w:rPr>
          <w:sz w:val="20"/>
          <w:szCs w:val="20"/>
          <w:color w:val="auto"/>
        </w:rPr>
      </w:pPr>
    </w:p>
    <w:p>
      <w:pPr>
        <w:ind w:right="560" w:firstLine="357"/>
        <w:spacing w:after="0" w:line="274" w:lineRule="auto"/>
        <w:rPr>
          <w:sz w:val="20"/>
          <w:szCs w:val="20"/>
          <w:color w:val="auto"/>
        </w:rPr>
      </w:pPr>
      <w:r>
        <w:rPr>
          <w:rFonts w:ascii="Arial" w:cs="Arial" w:eastAsia="Arial" w:hAnsi="Arial"/>
          <w:sz w:val="18"/>
          <w:szCs w:val="18"/>
          <w:color w:val="auto"/>
        </w:rPr>
        <w:t>Under the Dodd-Frank Act and the rules adopted thereunder, we may be required to clear through a derivatives clearing organization any swaps into which we enter that fall within a class of swaps designated by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enter. Moreover, the application of the mandatory clearing and trade execution requirements to other market participants, such as Swap Dealers, may change the cost and availability of the swaps that we use for hedging.</w:t>
      </w:r>
    </w:p>
    <w:p>
      <w:pPr>
        <w:spacing w:after="0" w:line="59" w:lineRule="exact"/>
        <w:rPr>
          <w:sz w:val="20"/>
          <w:szCs w:val="20"/>
          <w:color w:val="auto"/>
        </w:rPr>
      </w:pPr>
    </w:p>
    <w:p>
      <w:pPr>
        <w:ind w:right="20" w:firstLine="357"/>
        <w:spacing w:after="0" w:line="268" w:lineRule="auto"/>
        <w:rPr>
          <w:sz w:val="20"/>
          <w:szCs w:val="20"/>
          <w:color w:val="auto"/>
        </w:rPr>
      </w:pPr>
      <w:r>
        <w:rPr>
          <w:rFonts w:ascii="Arial" w:cs="Arial" w:eastAsia="Arial" w:hAnsi="Arial"/>
          <w:sz w:val="17"/>
          <w:szCs w:val="17"/>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74" w:lineRule="exact"/>
        <w:rPr>
          <w:sz w:val="20"/>
          <w:szCs w:val="20"/>
          <w:color w:val="auto"/>
        </w:rPr>
      </w:pPr>
    </w:p>
    <w:p>
      <w:pPr>
        <w:ind w:right="100" w:firstLine="357"/>
        <w:spacing w:after="0" w:line="305" w:lineRule="auto"/>
        <w:rPr>
          <w:sz w:val="20"/>
          <w:szCs w:val="20"/>
          <w:color w:val="auto"/>
        </w:rPr>
      </w:pPr>
      <w:r>
        <w:rPr>
          <w:rFonts w:ascii="Arial" w:cs="Arial" w:eastAsia="Arial" w:hAnsi="Arial"/>
          <w:sz w:val="15"/>
          <w:szCs w:val="15"/>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w:t>
      </w:r>
    </w:p>
    <w:p>
      <w:pPr>
        <w:spacing w:after="0" w:line="1" w:lineRule="exact"/>
        <w:rPr>
          <w:sz w:val="20"/>
          <w:szCs w:val="20"/>
          <w:color w:val="auto"/>
        </w:rPr>
      </w:pPr>
    </w:p>
    <w:p>
      <w:pPr>
        <w:ind w:firstLine="5"/>
        <w:spacing w:after="0" w:line="287" w:lineRule="auto"/>
        <w:tabs>
          <w:tab w:leader="none" w:pos="223"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our existing derivative contracts and to execute our hedging strategies. If, as a result of the swaps regulatory regime discussed above, we were to forgo or reduce our use of swaps to hedge our risks, such as commodity price risks that we encounter in our operations, our operating results and cash flows may become more volatile and could be otherwise adversely affected.</w:t>
      </w:r>
    </w:p>
    <w:p>
      <w:pPr>
        <w:spacing w:after="0" w:line="60" w:lineRule="exact"/>
        <w:rPr>
          <w:sz w:val="20"/>
          <w:szCs w:val="20"/>
          <w:color w:val="auto"/>
        </w:rPr>
      </w:pPr>
    </w:p>
    <w:p>
      <w:pPr>
        <w:ind w:right="20" w:firstLine="357"/>
        <w:spacing w:after="0" w:line="288" w:lineRule="auto"/>
        <w:rPr>
          <w:sz w:val="20"/>
          <w:szCs w:val="20"/>
          <w:color w:val="auto"/>
        </w:rPr>
      </w:pPr>
      <w:r>
        <w:rPr>
          <w:rFonts w:ascii="Arial" w:cs="Arial" w:eastAsia="Arial" w:hAnsi="Arial"/>
          <w:sz w:val="16"/>
          <w:szCs w:val="16"/>
          <w:color w:val="auto"/>
        </w:rPr>
        <w:t>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58" w:lineRule="exact"/>
        <w:rPr>
          <w:sz w:val="20"/>
          <w:szCs w:val="20"/>
          <w:color w:val="auto"/>
        </w:rPr>
      </w:pPr>
    </w:p>
    <w:p>
      <w:pPr>
        <w:ind w:right="20" w:firstLine="357"/>
        <w:spacing w:after="0" w:line="255" w:lineRule="auto"/>
        <w:rPr>
          <w:sz w:val="20"/>
          <w:szCs w:val="20"/>
          <w:color w:val="auto"/>
        </w:rPr>
      </w:pPr>
      <w:r>
        <w:rPr>
          <w:rFonts w:ascii="Arial" w:cs="Arial" w:eastAsia="Arial" w:hAnsi="Arial"/>
          <w:sz w:val="18"/>
          <w:szCs w:val="18"/>
          <w:color w:val="auto"/>
        </w:rPr>
        <w:t>Our subsidiaries and affiliates operating in the Caribbean may be subject to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175" w:lineRule="exact"/>
        <w:rPr>
          <w:sz w:val="20"/>
          <w:szCs w:val="20"/>
          <w:color w:val="auto"/>
        </w:rPr>
      </w:pPr>
    </w:p>
    <w:p>
      <w:pPr>
        <w:ind w:left="360" w:right="520"/>
        <w:spacing w:after="0" w:line="251" w:lineRule="auto"/>
        <w:rPr>
          <w:sz w:val="20"/>
          <w:szCs w:val="20"/>
          <w:color w:val="auto"/>
        </w:rPr>
      </w:pPr>
      <w:r>
        <w:rPr>
          <w:rFonts w:ascii="Arial" w:cs="Arial" w:eastAsia="Arial" w:hAnsi="Arial"/>
          <w:sz w:val="17"/>
          <w:szCs w:val="17"/>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71" w:lineRule="exact"/>
        <w:rPr>
          <w:sz w:val="20"/>
          <w:szCs w:val="20"/>
          <w:color w:val="auto"/>
        </w:rPr>
      </w:pPr>
    </w:p>
    <w:p>
      <w:pPr>
        <w:ind w:right="440" w:firstLine="357"/>
        <w:spacing w:after="0" w:line="274" w:lineRule="auto"/>
        <w:rPr>
          <w:sz w:val="20"/>
          <w:szCs w:val="20"/>
          <w:color w:val="auto"/>
        </w:rPr>
      </w:pPr>
      <w:r>
        <w:rPr>
          <w:rFonts w:ascii="Arial" w:cs="Arial" w:eastAsia="Arial" w:hAnsi="Arial"/>
          <w:sz w:val="18"/>
          <w:szCs w:val="18"/>
          <w:color w:val="auto"/>
        </w:rPr>
        <w:t>The design, construction and operation of energy-related infrastructure, including our existing and proposed facilities, the import and export of LNG and the transportation of natural gas, are highly regulated activities at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FERC,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We may also be subject to yet additional requirements in Jamaica, Bermuda, Mexico, Ireland or other jurisdictions, including with respect to land use approvals needed to construct and operate our facilities.</w:t>
      </w:r>
    </w:p>
    <w:p>
      <w:pPr>
        <w:spacing w:after="0" w:line="65" w:lineRule="exact"/>
        <w:rPr>
          <w:sz w:val="20"/>
          <w:szCs w:val="20"/>
          <w:color w:val="auto"/>
        </w:rPr>
      </w:pPr>
    </w:p>
    <w:p>
      <w:pPr>
        <w:ind w:right="40" w:firstLine="357"/>
        <w:spacing w:after="0" w:line="285" w:lineRule="auto"/>
        <w:rPr>
          <w:sz w:val="20"/>
          <w:szCs w:val="20"/>
          <w:color w:val="auto"/>
        </w:rPr>
      </w:pPr>
      <w:r>
        <w:rPr>
          <w:rFonts w:ascii="Arial" w:cs="Arial" w:eastAsia="Arial" w:hAnsi="Arial"/>
          <w:sz w:val="16"/>
          <w:szCs w:val="16"/>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159" w:lineRule="exact"/>
        <w:rPr>
          <w:sz w:val="20"/>
          <w:szCs w:val="20"/>
          <w:color w:val="auto"/>
        </w:rPr>
      </w:pPr>
    </w:p>
    <w:p>
      <w:pPr>
        <w:ind w:left="360" w:right="300"/>
        <w:spacing w:after="0" w:line="243" w:lineRule="auto"/>
        <w:rPr>
          <w:sz w:val="20"/>
          <w:szCs w:val="20"/>
          <w:color w:val="auto"/>
        </w:rPr>
      </w:pPr>
      <w:r>
        <w:rPr>
          <w:rFonts w:ascii="Arial" w:cs="Arial" w:eastAsia="Arial" w:hAnsi="Arial"/>
          <w:sz w:val="18"/>
          <w:szCs w:val="18"/>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77" w:lineRule="exact"/>
        <w:rPr>
          <w:sz w:val="20"/>
          <w:szCs w:val="20"/>
          <w:color w:val="auto"/>
        </w:rPr>
      </w:pPr>
    </w:p>
    <w:p>
      <w:pPr>
        <w:ind w:right="120" w:firstLine="357"/>
        <w:spacing w:after="0" w:line="268" w:lineRule="auto"/>
        <w:rPr>
          <w:sz w:val="20"/>
          <w:szCs w:val="20"/>
          <w:color w:val="auto"/>
        </w:rPr>
      </w:pPr>
      <w:r>
        <w:rPr>
          <w:rFonts w:ascii="Arial" w:cs="Arial" w:eastAsia="Arial" w:hAnsi="Arial"/>
          <w:sz w:val="17"/>
          <w:szCs w:val="17"/>
          <w:color w:val="auto"/>
        </w:rPr>
        <w:t>Our business is now and will in the future be subject to extensive federal, state and local laws and regulations both in the United States and in other jurisdictions where we operate that regulate and restrict, among other things, the siting and design of our facilities, discharges to air, land and water, with particular respect to the protection of human health, the environment and natural resources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LNG facility siting, design, construction, equipment, operations, maintenance, personnel qualifications and training, fire protection and security. None of our LNG facilities are subject to PHMSA’s jurisdiction, but state and local regulators can impose similar siting, design, construction and operational requirements.</w:t>
      </w:r>
    </w:p>
    <w:p>
      <w:pPr>
        <w:spacing w:after="0" w:line="74" w:lineRule="exact"/>
        <w:rPr>
          <w:sz w:val="20"/>
          <w:szCs w:val="20"/>
          <w:color w:val="auto"/>
        </w:rPr>
      </w:pPr>
    </w:p>
    <w:p>
      <w:pPr>
        <w:ind w:right="120" w:firstLine="357"/>
        <w:spacing w:after="0" w:line="257" w:lineRule="auto"/>
        <w:rPr>
          <w:sz w:val="20"/>
          <w:szCs w:val="20"/>
          <w:color w:val="auto"/>
        </w:rPr>
      </w:pPr>
      <w:r>
        <w:rPr>
          <w:rFonts w:ascii="Arial" w:cs="Arial" w:eastAsia="Arial" w:hAnsi="Arial"/>
          <w:sz w:val="18"/>
          <w:szCs w:val="18"/>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resulting damage to natural resources.</w:t>
      </w:r>
    </w:p>
    <w:p>
      <w:pPr>
        <w:spacing w:after="0" w:line="79"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color w:val="auto"/>
        </w:rPr>
        <w:t>Many of these laws and regulations, such as the CAA and the CWA, and analogous state laws and regulations, restrict or prohibit the types, quantities and concentration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00" w:firstLine="357"/>
        <w:spacing w:after="0" w:line="268" w:lineRule="auto"/>
        <w:rPr>
          <w:sz w:val="20"/>
          <w:szCs w:val="20"/>
          <w:color w:val="auto"/>
        </w:rPr>
      </w:pPr>
      <w:r>
        <w:rPr>
          <w:rFonts w:ascii="Arial" w:cs="Arial" w:eastAsia="Arial" w:hAnsi="Arial"/>
          <w:sz w:val="17"/>
          <w:szCs w:val="17"/>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74" w:lineRule="exact"/>
        <w:rPr>
          <w:sz w:val="20"/>
          <w:szCs w:val="20"/>
          <w:color w:val="auto"/>
        </w:rPr>
      </w:pPr>
    </w:p>
    <w:p>
      <w:pPr>
        <w:ind w:firstLine="357"/>
        <w:spacing w:after="0" w:line="277" w:lineRule="auto"/>
        <w:rPr>
          <w:sz w:val="20"/>
          <w:szCs w:val="20"/>
          <w:color w:val="auto"/>
        </w:rPr>
      </w:pPr>
      <w:r>
        <w:rPr>
          <w:rFonts w:ascii="Arial" w:cs="Arial" w:eastAsia="Arial" w:hAnsi="Arial"/>
          <w:sz w:val="17"/>
          <w:szCs w:val="17"/>
          <w:i w:val="1"/>
          <w:iCs w:val="1"/>
          <w:color w:val="auto"/>
        </w:rPr>
        <w:t>Greenhouse Gases/Climate Change</w:t>
      </w:r>
      <w:r>
        <w:rPr>
          <w:rFonts w:ascii="Arial" w:cs="Arial" w:eastAsia="Arial" w:hAnsi="Arial"/>
          <w:sz w:val="17"/>
          <w:szCs w:val="17"/>
          <w:color w:val="auto"/>
        </w:rPr>
        <w:t>. From time to time, there may be federal and state regulatory and policy initiatives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GHG emissions in the United States from a variety of sources. Other federal and state initiatives are being considered or may be considered in the future to address GHG emissions through, for example, United States treaty commitments or other international agreements, direct regulation, a carbon emissions tax, or cap-and-trade programs.</w:t>
      </w:r>
    </w:p>
    <w:p>
      <w:pPr>
        <w:spacing w:after="0" w:line="63" w:lineRule="exact"/>
        <w:rPr>
          <w:sz w:val="20"/>
          <w:szCs w:val="20"/>
          <w:color w:val="auto"/>
        </w:rPr>
      </w:pPr>
    </w:p>
    <w:p>
      <w:pPr>
        <w:ind w:right="20" w:firstLine="357"/>
        <w:spacing w:after="0" w:line="255" w:lineRule="auto"/>
        <w:rPr>
          <w:sz w:val="20"/>
          <w:szCs w:val="20"/>
          <w:color w:val="auto"/>
        </w:rPr>
      </w:pPr>
      <w:r>
        <w:rPr>
          <w:rFonts w:ascii="Arial" w:cs="Arial" w:eastAsia="Arial" w:hAnsi="Arial"/>
          <w:sz w:val="18"/>
          <w:szCs w:val="18"/>
          <w:color w:val="auto"/>
        </w:rPr>
        <w:t>Responding to scientific reports regarding threats posed by global climate change, the U.S. Congress has in the past considered legislation to reduce emissions of GHGs. In addition, some states and foreign jurisdictions have individually or in regional cooperation, imposed restrictions on GHG emissions under various policies and approaches, including establishing a cap on emissions, requiring efficiency measures, or providing incentives for pollution reduction, use of renewable energy sources, or use of replacement fuels with lower carbon content.</w:t>
      </w:r>
    </w:p>
    <w:p>
      <w:pPr>
        <w:spacing w:after="0" w:line="81" w:lineRule="exact"/>
        <w:rPr>
          <w:sz w:val="20"/>
          <w:szCs w:val="20"/>
          <w:color w:val="auto"/>
        </w:rPr>
      </w:pPr>
    </w:p>
    <w:p>
      <w:pPr>
        <w:ind w:right="20" w:firstLine="357"/>
        <w:spacing w:after="0" w:line="287" w:lineRule="auto"/>
        <w:rPr>
          <w:sz w:val="20"/>
          <w:szCs w:val="20"/>
          <w:color w:val="auto"/>
        </w:rPr>
      </w:pPr>
      <w:r>
        <w:rPr>
          <w:rFonts w:ascii="Arial" w:cs="Arial" w:eastAsia="Arial" w:hAnsi="Arial"/>
          <w:sz w:val="16"/>
          <w:szCs w:val="16"/>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59" w:lineRule="exact"/>
        <w:rPr>
          <w:sz w:val="20"/>
          <w:szCs w:val="20"/>
          <w:color w:val="auto"/>
        </w:rPr>
      </w:pPr>
    </w:p>
    <w:p>
      <w:pPr>
        <w:ind w:right="40" w:firstLine="357"/>
        <w:spacing w:after="0" w:line="272" w:lineRule="auto"/>
        <w:rPr>
          <w:sz w:val="20"/>
          <w:szCs w:val="20"/>
          <w:color w:val="auto"/>
        </w:rPr>
      </w:pPr>
      <w:r>
        <w:rPr>
          <w:rFonts w:ascii="Arial" w:cs="Arial" w:eastAsia="Arial" w:hAnsi="Arial"/>
          <w:sz w:val="16"/>
          <w:szCs w:val="16"/>
          <w:color w:val="auto"/>
        </w:rPr>
        <w:t>In addition, due to concerns over climate change, numerous countries around the world have adopted or are considering adopting laws or regulations to reduce GHG emissions. In December 2015, the U.S. and 195 other nations attending the United Nations Climate Change Conference adopted the Paris Agreement on global climate change, which establishes a universal framework for addressing GHG emissions based on nationally determined contributions. The Paris Agreement calls for zero net anthropogenic GHG emission to be reached during the second half of the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century. Each party is to prepare a plan on its contributions to reach this goal; each plan is to be filed in a publicly available registry. The Paris Agreement does not create any binding obligations for nations to limit their GHG emissions but rather includes pledges to voluntarily limit or reduce future emissions. It also creates a process for participating countries to review and increase their intended emissions reduction goals every five years. The ultimate impact of the Paris Agreement depends on its ratification and implementation by participating countries, and cannot be determined at this time. Although the United States became a party to the Paris Agreement in April 2016, the Trump administration subsequently announced in June 2017 its intention either to withdraw from the Paris Agreement or renegotiate more favorable terms. However, the Paris Agreement stipulates that participating countries must wait four years before withdrawing from the agreement. It is not possible to know how quickly renewable energy technologies may advance, but the increased use of renewable energy could ultimately reduce future demand for hydrocarbons. These developments could have a material adverse effect on our financial position, results of operations and cash flows.</w:t>
      </w:r>
    </w:p>
    <w:p>
      <w:pPr>
        <w:spacing w:after="0" w:line="69" w:lineRule="exact"/>
        <w:rPr>
          <w:sz w:val="20"/>
          <w:szCs w:val="20"/>
          <w:color w:val="auto"/>
        </w:rPr>
      </w:pPr>
    </w:p>
    <w:p>
      <w:pPr>
        <w:ind w:right="20" w:firstLine="357"/>
        <w:spacing w:after="0" w:line="255" w:lineRule="auto"/>
        <w:rPr>
          <w:sz w:val="20"/>
          <w:szCs w:val="20"/>
          <w:color w:val="auto"/>
        </w:rPr>
      </w:pPr>
      <w:r>
        <w:rPr>
          <w:rFonts w:ascii="Arial" w:cs="Arial" w:eastAsia="Arial" w:hAnsi="Arial"/>
          <w:sz w:val="18"/>
          <w:szCs w:val="18"/>
          <w:i w:val="1"/>
          <w:iCs w:val="1"/>
          <w:color w:val="auto"/>
        </w:rPr>
        <w:t>Fossil Fuels</w:t>
      </w:r>
      <w:r>
        <w:rPr>
          <w:rFonts w:ascii="Arial" w:cs="Arial" w:eastAsia="Arial" w:hAnsi="Arial"/>
          <w:sz w:val="18"/>
          <w:szCs w:val="18"/>
          <w:color w:val="auto"/>
        </w:rPr>
        <w:t>. Our business activities depend upon a sufficient and reliable supply of natural gas feedstock, and are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concerns in 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79" w:lineRule="exact"/>
        <w:rPr>
          <w:sz w:val="20"/>
          <w:szCs w:val="20"/>
          <w:color w:val="auto"/>
        </w:rPr>
      </w:pPr>
    </w:p>
    <w:p>
      <w:pPr>
        <w:ind w:firstLine="357"/>
        <w:spacing w:after="0" w:line="284" w:lineRule="auto"/>
        <w:rPr>
          <w:sz w:val="20"/>
          <w:szCs w:val="20"/>
          <w:color w:val="auto"/>
        </w:rPr>
      </w:pPr>
      <w:r>
        <w:rPr>
          <w:rFonts w:ascii="Arial" w:cs="Arial" w:eastAsia="Arial" w:hAnsi="Arial"/>
          <w:sz w:val="16"/>
          <w:szCs w:val="16"/>
          <w:i w:val="1"/>
          <w:iCs w:val="1"/>
          <w:color w:val="auto"/>
        </w:rPr>
        <w:t>Hydraulic Fracturing</w:t>
      </w:r>
      <w:r>
        <w:rPr>
          <w:rFonts w:ascii="Arial" w:cs="Arial" w:eastAsia="Arial" w:hAnsi="Arial"/>
          <w:sz w:val="16"/>
          <w:szCs w:val="16"/>
          <w:color w:val="auto"/>
        </w:rPr>
        <w:t>. Certain of our suppliers employ hydraulic fracturing techniques to stimulate natural gas production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are considering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are considering adopting land use restrictions, such as city ordinances, that may restrict the performance of or prohibit the well drilling in general and/or hydraulic fracturing in particular.</w:t>
      </w:r>
    </w:p>
    <w:p>
      <w:pPr>
        <w:spacing w:after="0" w:line="64" w:lineRule="exact"/>
        <w:rPr>
          <w:sz w:val="20"/>
          <w:szCs w:val="20"/>
          <w:color w:val="auto"/>
        </w:rPr>
      </w:pPr>
    </w:p>
    <w:p>
      <w:pPr>
        <w:ind w:firstLine="357"/>
        <w:spacing w:after="0" w:line="284" w:lineRule="auto"/>
        <w:rPr>
          <w:sz w:val="20"/>
          <w:szCs w:val="20"/>
          <w:color w:val="auto"/>
        </w:rPr>
      </w:pPr>
      <w:r>
        <w:rPr>
          <w:rFonts w:ascii="Arial" w:cs="Arial" w:eastAsia="Arial" w:hAnsi="Arial"/>
          <w:sz w:val="16"/>
          <w:szCs w:val="16"/>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61" w:lineRule="exact"/>
        <w:rPr>
          <w:sz w:val="20"/>
          <w:szCs w:val="20"/>
          <w:color w:val="auto"/>
        </w:rPr>
      </w:pPr>
    </w:p>
    <w:p>
      <w:pPr>
        <w:ind w:left="360" w:right="60"/>
        <w:spacing w:after="0" w:line="233" w:lineRule="auto"/>
        <w:rPr>
          <w:sz w:val="20"/>
          <w:szCs w:val="20"/>
          <w:color w:val="auto"/>
        </w:rPr>
      </w:pPr>
      <w:r>
        <w:rPr>
          <w:rFonts w:ascii="Arial" w:cs="Arial" w:eastAsia="Arial" w:hAnsi="Arial"/>
          <w:sz w:val="18"/>
          <w:szCs w:val="18"/>
          <w:b w:val="1"/>
          <w:bCs w:val="1"/>
          <w:i w:val="1"/>
          <w:iCs w:val="1"/>
          <w:color w:val="auto"/>
        </w:rPr>
        <w:t>We are subject to numerous governmental export laws and trade and economic sanctions laws and regulations. A failure by us to comply with such laws and regulations could subject us to liability and have a material adverse impact on our business, results of operations or financial condition.</w:t>
      </w:r>
    </w:p>
    <w:p>
      <w:pPr>
        <w:spacing w:after="0" w:line="81" w:lineRule="exact"/>
        <w:rPr>
          <w:sz w:val="20"/>
          <w:szCs w:val="20"/>
          <w:color w:val="auto"/>
        </w:rPr>
      </w:pPr>
    </w:p>
    <w:p>
      <w:pPr>
        <w:ind w:right="60" w:firstLine="357"/>
        <w:spacing w:after="0" w:line="288" w:lineRule="auto"/>
        <w:rPr>
          <w:sz w:val="20"/>
          <w:szCs w:val="20"/>
          <w:color w:val="auto"/>
        </w:rPr>
      </w:pPr>
      <w:r>
        <w:rPr>
          <w:rFonts w:ascii="Arial" w:cs="Arial" w:eastAsia="Arial" w:hAnsi="Arial"/>
          <w:sz w:val="16"/>
          <w:szCs w:val="16"/>
          <w:color w:val="auto"/>
        </w:rPr>
        <w:t>We conduct business throughout the world and our business activities and services are subject to various applicable import and export control laws and regulations of the United States and other countries, particularly countries in the Caribbean.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w:t>
      </w:r>
    </w:p>
    <w:p>
      <w:pPr>
        <w:spacing w:after="0" w:line="58" w:lineRule="exact"/>
        <w:rPr>
          <w:sz w:val="20"/>
          <w:szCs w:val="20"/>
          <w:color w:val="auto"/>
        </w:rPr>
      </w:pPr>
    </w:p>
    <w:p>
      <w:pPr>
        <w:ind w:right="80" w:firstLine="357"/>
        <w:spacing w:after="0" w:line="257" w:lineRule="auto"/>
        <w:rPr>
          <w:sz w:val="20"/>
          <w:szCs w:val="20"/>
          <w:color w:val="auto"/>
        </w:rPr>
      </w:pPr>
      <w:r>
        <w:rPr>
          <w:rFonts w:ascii="Arial" w:cs="Arial" w:eastAsia="Arial" w:hAnsi="Arial"/>
          <w:sz w:val="18"/>
          <w:szCs w:val="18"/>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Although we have adopted policies and procedures that are designed to ensure that we, our employees and other intermediaries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comply with the FCPA,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 If we are not in compliance with anti-corruption laws and regulations, including the FCPA, we may be subject to criminal and civil penalties and other remedial measures, including changes or enhancements to our procedures, policies and control, as well as potential personnel change and disciplinary actions, which could have an adverse impact on our business, results of operations and financial condition.</w:t>
      </w:r>
    </w:p>
    <w:p>
      <w:pPr>
        <w:spacing w:after="0" w:line="57" w:lineRule="exact"/>
        <w:rPr>
          <w:sz w:val="20"/>
          <w:szCs w:val="20"/>
          <w:color w:val="auto"/>
        </w:rPr>
      </w:pPr>
    </w:p>
    <w:p>
      <w:pPr>
        <w:ind w:right="100" w:firstLine="357"/>
        <w:spacing w:after="0" w:line="294" w:lineRule="auto"/>
        <w:rPr>
          <w:sz w:val="20"/>
          <w:szCs w:val="20"/>
          <w:color w:val="auto"/>
        </w:rPr>
      </w:pPr>
      <w:r>
        <w:rPr>
          <w:rFonts w:ascii="Arial" w:cs="Arial" w:eastAsia="Arial" w:hAnsi="Arial"/>
          <w:sz w:val="16"/>
          <w:szCs w:val="16"/>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Jurisdictions in Which We Operate</w:t>
      </w:r>
    </w:p>
    <w:p>
      <w:pPr>
        <w:spacing w:after="0" w:line="106" w:lineRule="exact"/>
        <w:rPr>
          <w:sz w:val="20"/>
          <w:szCs w:val="20"/>
          <w:color w:val="auto"/>
        </w:rPr>
      </w:pPr>
    </w:p>
    <w:p>
      <w:pPr>
        <w:ind w:left="360" w:right="460"/>
        <w:spacing w:after="0" w:line="243" w:lineRule="auto"/>
        <w:rPr>
          <w:sz w:val="20"/>
          <w:szCs w:val="20"/>
          <w:color w:val="auto"/>
        </w:rPr>
      </w:pPr>
      <w:r>
        <w:rPr>
          <w:rFonts w:ascii="Arial" w:cs="Arial" w:eastAsia="Arial" w:hAnsi="Arial"/>
          <w:sz w:val="18"/>
          <w:szCs w:val="18"/>
          <w:b w:val="1"/>
          <w:bCs w:val="1"/>
          <w:i w:val="1"/>
          <w:iCs w:val="1"/>
          <w:color w:val="auto"/>
        </w:rPr>
        <w:t>We are currently highly dependent upon economic, political and other conditions and developments in the Caribbean, particularly Jamaica, and the other jurisdictions in which we operate.</w:t>
      </w:r>
    </w:p>
    <w:p>
      <w:pPr>
        <w:spacing w:after="0" w:line="77" w:lineRule="exact"/>
        <w:rPr>
          <w:sz w:val="20"/>
          <w:szCs w:val="20"/>
          <w:color w:val="auto"/>
        </w:rPr>
      </w:pPr>
    </w:p>
    <w:p>
      <w:pPr>
        <w:ind w:right="140" w:firstLine="357"/>
        <w:spacing w:after="0" w:line="261" w:lineRule="auto"/>
        <w:rPr>
          <w:sz w:val="20"/>
          <w:szCs w:val="20"/>
          <w:color w:val="auto"/>
        </w:rPr>
      </w:pPr>
      <w:r>
        <w:rPr>
          <w:rFonts w:ascii="Arial" w:cs="Arial" w:eastAsia="Arial" w:hAnsi="Arial"/>
          <w:sz w:val="18"/>
          <w:szCs w:val="18"/>
          <w:color w:val="auto"/>
        </w:rPr>
        <w:t>We currently conduct a meaningful portion of our business in Jamaica. As a result, our current business, results of operations, financial condition and prospects are materially dependent upon economic, political and other conditions and developments in Jamaica.</w:t>
      </w:r>
    </w:p>
    <w:p>
      <w:pPr>
        <w:spacing w:after="0" w:line="76"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We currently have interests and operations in Jamaica and the United States and currently intend to expand into additional markets in the Caribbean (including Puerto Rico and the Dominican Republic), Mexico, Ireland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countries have experienced political, security and economic instability in the recent past and may experience instability in the future.</w:t>
      </w:r>
    </w:p>
    <w:p>
      <w:pPr>
        <w:spacing w:after="0" w:line="83" w:lineRule="exact"/>
        <w:rPr>
          <w:sz w:val="20"/>
          <w:szCs w:val="20"/>
          <w:color w:val="auto"/>
        </w:rPr>
      </w:pPr>
    </w:p>
    <w:p>
      <w:pPr>
        <w:jc w:val="both"/>
        <w:ind w:right="280" w:firstLine="357"/>
        <w:spacing w:after="0" w:line="284" w:lineRule="auto"/>
        <w:rPr>
          <w:sz w:val="20"/>
          <w:szCs w:val="20"/>
          <w:color w:val="auto"/>
        </w:rPr>
      </w:pPr>
      <w:r>
        <w:rPr>
          <w:rFonts w:ascii="Arial" w:cs="Arial" w:eastAsia="Arial" w:hAnsi="Arial"/>
          <w:sz w:val="17"/>
          <w:szCs w:val="17"/>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or other jurisdictions in which we operate worsens because of, for example:</w:t>
      </w:r>
    </w:p>
    <w:p>
      <w:pPr>
        <w:spacing w:after="0" w:line="57" w:lineRule="exact"/>
        <w:rPr>
          <w:sz w:val="20"/>
          <w:szCs w:val="20"/>
          <w:color w:val="auto"/>
        </w:rPr>
      </w:pPr>
    </w:p>
    <w:p>
      <w:pPr>
        <w:ind w:left="700" w:hanging="3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economic activity;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oil, natural gas or petrochemical prices;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devaluation of the applicable currency;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inflation; or</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domestic interest rates,</w:t>
      </w:r>
    </w:p>
    <w:p>
      <w:pPr>
        <w:spacing w:after="0" w:line="11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then our business, results of operations, financial condition and prospects may also be significantly affected by actions taken by the government in the jurisdictions in which we operate.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adversely affect our business, financial condition, results of operations or prospects.</w:t>
      </w:r>
    </w:p>
    <w:p>
      <w:pPr>
        <w:spacing w:after="0" w:line="59"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For example, JPS and JPC are subject to the mandate of the OUR. The OUR regulates the amount of money that power utilities in Jamaica, including JPS and JPC, can charge their customers. Though the OUR cannot impact the fixed price we charge our customers for LNG, pricing regulations by the OUR and other similar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20"/>
        <w:spacing w:after="0" w:line="305" w:lineRule="auto"/>
        <w:rPr>
          <w:sz w:val="20"/>
          <w:szCs w:val="20"/>
          <w:color w:val="auto"/>
        </w:rPr>
      </w:pPr>
      <w:r>
        <w:rPr>
          <w:rFonts w:ascii="Arial" w:cs="Arial" w:eastAsia="Arial" w:hAnsi="Arial"/>
          <w:sz w:val="17"/>
          <w:szCs w:val="17"/>
          <w:color w:val="auto"/>
        </w:rPr>
        <w:t>regulators could negatively impact our customers’ ability to perform their obligations under our GSAs and, in the case of JPS, the PPA, which could adversely affect our business, financial condition, results of operations or prospects.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financial condition and operating results may be adversely affected by foreign exchange fluctuations.</w:t>
      </w:r>
    </w:p>
    <w:p>
      <w:pPr>
        <w:spacing w:after="0" w:line="115" w:lineRule="exact"/>
        <w:rPr>
          <w:sz w:val="20"/>
          <w:szCs w:val="20"/>
          <w:color w:val="auto"/>
        </w:rPr>
      </w:pPr>
    </w:p>
    <w:p>
      <w:pPr>
        <w:ind w:right="160" w:firstLine="357"/>
        <w:spacing w:after="0" w:line="255" w:lineRule="auto"/>
        <w:rPr>
          <w:sz w:val="20"/>
          <w:szCs w:val="20"/>
          <w:color w:val="auto"/>
        </w:rPr>
      </w:pPr>
      <w:r>
        <w:rPr>
          <w:rFonts w:ascii="Arial" w:cs="Arial" w:eastAsia="Arial" w:hAnsi="Arial"/>
          <w:sz w:val="18"/>
          <w:szCs w:val="18"/>
          <w:color w:val="auto"/>
        </w:rPr>
        <w:t>Our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81" w:lineRule="exact"/>
        <w:rPr>
          <w:sz w:val="20"/>
          <w:szCs w:val="20"/>
          <w:color w:val="auto"/>
        </w:rPr>
      </w:pPr>
    </w:p>
    <w:p>
      <w:pPr>
        <w:jc w:val="both"/>
        <w:ind w:right="140" w:firstLine="357"/>
        <w:spacing w:after="0" w:line="284" w:lineRule="auto"/>
        <w:rPr>
          <w:sz w:val="20"/>
          <w:szCs w:val="20"/>
          <w:color w:val="auto"/>
        </w:rPr>
      </w:pPr>
      <w:r>
        <w:rPr>
          <w:rFonts w:ascii="Arial" w:cs="Arial" w:eastAsia="Arial" w:hAnsi="Arial"/>
          <w:sz w:val="16"/>
          <w:szCs w:val="16"/>
          <w:color w:val="auto"/>
        </w:rPr>
        <w:t>A portion of our cash flows and expenses may in the future be incurred in currencies other than the U.S. dollar. Our material counterparties’ cash flows and expenses may be incurred in currencies other than the U.S. dollar. We cannot be sure that non-U.S. currencies will not be subject to volatility and depreciation or that the current exchange rate policies affecting these currencies will remain the same. We may choose not to hedge, or we may not be effective in efforts to hedge, this foreign currency risk.</w:t>
      </w:r>
    </w:p>
    <w:p>
      <w:pPr>
        <w:spacing w:after="0" w:line="2" w:lineRule="exact"/>
        <w:rPr>
          <w:sz w:val="20"/>
          <w:szCs w:val="20"/>
          <w:color w:val="auto"/>
        </w:rPr>
      </w:pPr>
    </w:p>
    <w:p>
      <w:pPr>
        <w:jc w:val="both"/>
        <w:ind w:right="180"/>
        <w:spacing w:after="0" w:line="251" w:lineRule="auto"/>
        <w:rPr>
          <w:sz w:val="20"/>
          <w:szCs w:val="20"/>
          <w:color w:val="auto"/>
        </w:rPr>
      </w:pPr>
      <w:r>
        <w:rPr>
          <w:rFonts w:ascii="Arial" w:cs="Arial" w:eastAsia="Arial" w:hAnsi="Arial"/>
          <w:sz w:val="18"/>
          <w:szCs w:val="18"/>
          <w:color w:val="auto"/>
        </w:rPr>
        <w:t>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79" w:lineRule="exact"/>
        <w:rPr>
          <w:sz w:val="20"/>
          <w:szCs w:val="20"/>
          <w:color w:val="auto"/>
        </w:rPr>
      </w:pPr>
    </w:p>
    <w:p>
      <w:pPr>
        <w:ind w:left="360" w:right="120"/>
        <w:spacing w:after="0" w:line="300" w:lineRule="auto"/>
        <w:rPr>
          <w:sz w:val="20"/>
          <w:szCs w:val="20"/>
          <w:color w:val="auto"/>
        </w:rPr>
      </w:pPr>
      <w:r>
        <w:rPr>
          <w:rFonts w:ascii="Arial" w:cs="Arial" w:eastAsia="Arial" w:hAnsi="Arial"/>
          <w:sz w:val="15"/>
          <w:szCs w:val="15"/>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37" w:lineRule="exact"/>
        <w:rPr>
          <w:sz w:val="20"/>
          <w:szCs w:val="20"/>
          <w:color w:val="auto"/>
        </w:rPr>
      </w:pPr>
    </w:p>
    <w:p>
      <w:pPr>
        <w:ind w:firstLine="357"/>
        <w:spacing w:after="0" w:line="253" w:lineRule="auto"/>
        <w:rPr>
          <w:sz w:val="20"/>
          <w:szCs w:val="20"/>
          <w:color w:val="auto"/>
        </w:rPr>
      </w:pPr>
      <w:r>
        <w:rPr>
          <w:rFonts w:ascii="Arial" w:cs="Arial" w:eastAsia="Arial" w:hAnsi="Arial"/>
          <w:sz w:val="18"/>
          <w:szCs w:val="18"/>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82" w:lineRule="exact"/>
        <w:rPr>
          <w:sz w:val="20"/>
          <w:szCs w:val="20"/>
          <w:color w:val="auto"/>
        </w:rPr>
      </w:pPr>
    </w:p>
    <w:p>
      <w:pPr>
        <w:ind w:right="20" w:firstLine="357"/>
        <w:spacing w:after="0" w:line="268" w:lineRule="auto"/>
        <w:rPr>
          <w:sz w:val="20"/>
          <w:szCs w:val="20"/>
          <w:color w:val="auto"/>
        </w:rPr>
      </w:pPr>
      <w:r>
        <w:rPr>
          <w:rFonts w:ascii="Arial" w:cs="Arial" w:eastAsia="Arial" w:hAnsi="Arial"/>
          <w:sz w:val="17"/>
          <w:szCs w:val="17"/>
          <w:color w:val="auto"/>
        </w:rPr>
        <w:t>Our after-tax profitability may also be affected by changes in the relevant tax laws and tax rates, regulations, administrative practices and principles, judicial decisions, and interpretations, in each case, possibly with retroactive effect. The United States recently enacted tax reform legislation in Public Law No. 115-97, commonly referred to as the Tax Cuts and Jobs Act. Additionally, the Multilateral Convention to Implement Tax Treaty Related Measures to Prevent BEPS recently entered into force among the jurisdictions that have ratified it. Both of these recent changes could result in further changes to our global taxation. These tax reforms provided for new and complex provisions that significantly change how the United States and other jurisdictions tax entities and operations, and those provisions are subject to further legislative change and administrative guidance and interpretation, all of which may differ from our interpretation. Other countries in which we operate may also undergo tax reforms that could adversely impact our after-tax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106" w:lineRule="exact"/>
        <w:rPr>
          <w:sz w:val="20"/>
          <w:szCs w:val="20"/>
          <w:color w:val="auto"/>
        </w:rPr>
      </w:pPr>
    </w:p>
    <w:p>
      <w:pPr>
        <w:ind w:left="360" w:right="140"/>
        <w:spacing w:after="0" w:line="243" w:lineRule="auto"/>
        <w:rPr>
          <w:sz w:val="20"/>
          <w:szCs w:val="20"/>
          <w:color w:val="auto"/>
        </w:rPr>
      </w:pPr>
      <w:r>
        <w:rPr>
          <w:rFonts w:ascii="Arial" w:cs="Arial" w:eastAsia="Arial" w:hAnsi="Arial"/>
          <w:sz w:val="18"/>
          <w:szCs w:val="18"/>
          <w:b w:val="1"/>
          <w:bCs w:val="1"/>
          <w:i w:val="1"/>
          <w:iCs w:val="1"/>
          <w:color w:val="auto"/>
        </w:rPr>
        <w:t>New Fortress Energy Holdings has the ability to direct the voting of a majority of our shares, and its interests may conflict with those of our other shareholders.</w:t>
      </w:r>
    </w:p>
    <w:p>
      <w:pPr>
        <w:spacing w:after="0" w:line="77" w:lineRule="exact"/>
        <w:rPr>
          <w:sz w:val="20"/>
          <w:szCs w:val="20"/>
          <w:color w:val="auto"/>
        </w:rPr>
      </w:pPr>
    </w:p>
    <w:p>
      <w:pPr>
        <w:ind w:right="20" w:firstLine="357"/>
        <w:spacing w:after="0" w:line="291" w:lineRule="auto"/>
        <w:rPr>
          <w:sz w:val="20"/>
          <w:szCs w:val="20"/>
          <w:color w:val="auto"/>
        </w:rPr>
      </w:pPr>
      <w:r>
        <w:rPr>
          <w:rFonts w:ascii="Arial" w:cs="Arial" w:eastAsia="Arial" w:hAnsi="Arial"/>
          <w:sz w:val="16"/>
          <w:szCs w:val="16"/>
          <w:color w:val="auto"/>
        </w:rPr>
        <w:t>Upon completion of this offering, New Fortress Energy Holdings will initially own, an aggregate of approximately 147,058,824 Class B shares representing 88.0% of our voting power (or approximately 86.5% if the underwriters’ option to purchase additional Class A shares is exercised in full). New Fortress Energy Holdings, its stockholders, or entities affiliated with them may purchase shares in the offering. New Fortress Energy Holdings’ beneficial ownership of greater than 50% of our voting shares means New Fortress Energy Holdings will be able to control matters requiring shareholder approval, including the election of directors, changes to our organizational documents and significant corporate transactions. This concentration of ownership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makes it unlikely that any other holder or group of holders of our Class A shares will be able to affect the way we are managed or the direction of our business. The interests of New Fortress Energy Holdings with respect to matters potentially or actually involving or affecting us, such as future acquisitions, financings and other corporate opportunities and attempts to acquire us, may conflict with the interests of our other shareholders.</w:t>
      </w:r>
    </w:p>
    <w:p>
      <w:pPr>
        <w:spacing w:after="0" w:line="79" w:lineRule="exact"/>
        <w:rPr>
          <w:sz w:val="20"/>
          <w:szCs w:val="20"/>
          <w:color w:val="auto"/>
        </w:rPr>
      </w:pPr>
    </w:p>
    <w:p>
      <w:pPr>
        <w:ind w:right="160" w:firstLine="357"/>
        <w:spacing w:after="0" w:line="289" w:lineRule="auto"/>
        <w:rPr>
          <w:sz w:val="20"/>
          <w:szCs w:val="20"/>
          <w:color w:val="auto"/>
        </w:rPr>
      </w:pPr>
      <w:r>
        <w:rPr>
          <w:rFonts w:ascii="Arial" w:cs="Arial" w:eastAsia="Arial" w:hAnsi="Arial"/>
          <w:sz w:val="16"/>
          <w:szCs w:val="16"/>
          <w:color w:val="auto"/>
        </w:rPr>
        <w:t>Furthermore, prior to the completion of this offering, we will enter into the Shareholders’ Agreement with New Fortress Energy Holdings. The Shareholders’ Agreement will provide New Fortress Energy Holdings with the right to designate a certain number of nominees to our board of directors so long as New Fortress Energy Holdings and its affiliates collectively beneficially own at least 5% of the outstanding Class A shares and Class B shares. In addition, our operating agreement will provide certain entities controlled by Wesley Edens and Randal Nardone (the “Consenting Entities”) the right to approve certain material transactions so long as the Consenting Entities and their affiliates collectively, directly or indirectly, own at least 30% of the outstanding Class A shares and Class B shares. See “Certain Relationships and Related Transactions—Shareholders’ Agreement.”</w:t>
      </w:r>
    </w:p>
    <w:p>
      <w:pPr>
        <w:spacing w:after="0" w:line="59" w:lineRule="exact"/>
        <w:rPr>
          <w:sz w:val="20"/>
          <w:szCs w:val="20"/>
          <w:color w:val="auto"/>
        </w:rPr>
      </w:pPr>
    </w:p>
    <w:p>
      <w:pPr>
        <w:ind w:right="20" w:firstLine="357"/>
        <w:spacing w:after="0" w:line="254" w:lineRule="auto"/>
        <w:rPr>
          <w:sz w:val="20"/>
          <w:szCs w:val="20"/>
          <w:color w:val="auto"/>
        </w:rPr>
      </w:pPr>
      <w:r>
        <w:rPr>
          <w:rFonts w:ascii="Arial" w:cs="Arial" w:eastAsia="Arial" w:hAnsi="Arial"/>
          <w:sz w:val="18"/>
          <w:szCs w:val="18"/>
          <w:color w:val="auto"/>
        </w:rPr>
        <w:t>Given this concentrated ownership, New Fortress Energy Holdings would have to approve any potential acquisition of us. The existence of a significant shareholder may have the effect of deterring hostile takeovers, delaying or preventing changes in control or changes in management, or limiting the ability of our other shareholders to approve transactions that they may deem to be in the best interests of our company. Moreover, New Fortress Energy Holdings’ concentration of share ownership may adversely affect the trading price of our Class A shares to the extent investors perceive a disadvantage in owning stock of a company with a significant shareholder.</w:t>
      </w:r>
    </w:p>
    <w:p>
      <w:pPr>
        <w:spacing w:after="0" w:line="81" w:lineRule="exact"/>
        <w:rPr>
          <w:sz w:val="20"/>
          <w:szCs w:val="20"/>
          <w:color w:val="auto"/>
        </w:rPr>
      </w:pPr>
    </w:p>
    <w:p>
      <w:pPr>
        <w:ind w:right="160" w:firstLine="357"/>
        <w:spacing w:after="0" w:line="273" w:lineRule="auto"/>
        <w:rPr>
          <w:sz w:val="20"/>
          <w:szCs w:val="20"/>
          <w:color w:val="auto"/>
        </w:rPr>
      </w:pPr>
      <w:r>
        <w:rPr>
          <w:rFonts w:ascii="Arial" w:cs="Arial" w:eastAsia="Arial" w:hAnsi="Arial"/>
          <w:sz w:val="17"/>
          <w:szCs w:val="17"/>
          <w:color w:val="auto"/>
        </w:rPr>
        <w:t>In addition, New Fortress Energy Holdings may have different tax positions from us that could influence its decisions regarding whether and when to support the disposition of assets and the incurrence or refinancing of new or existing indebtedness. In addition, the detemination of future tax reporting positions, the structuring of future transactions and the handling of any challenge by any taxing authority to our tax reporting positions may take into consideration New Fortress Energy Holdings’ tax or other considerations, which may differ from the considerations of NFE or our other shareholders.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New Fortress Energy Holdings may compete with us.</w:t>
      </w:r>
    </w:p>
    <w:p>
      <w:pPr>
        <w:spacing w:after="0" w:line="115"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Our governing documents will provide that New Fortress Energy Holdings is not prohibited from engaging in other businesses or activities, including those that might be in direct competition with us. In addition, New Fortress Energy Holdings may compete with us for investment opportunities and may own an interest in entities that compete with us. Additionally, our operating agreement provides that if New Fortress Energy Holdings or an affiliate or any of their officers, directors or employees acquire knowledge of a potential transaction that could be a corporate opportunity, they have no duty, to the fullest extent permitted by law, to offer such corporate opportunity to us, our Class A shareholders or our affiliates. This may create actual and potential conflicts of interest between us and New Fortress Energy Holdings and result in less than favorable treatment of us and our Class A shareholders.</w:t>
      </w:r>
    </w:p>
    <w:p>
      <w:pPr>
        <w:spacing w:after="0" w:line="153" w:lineRule="exact"/>
        <w:rPr>
          <w:sz w:val="20"/>
          <w:szCs w:val="20"/>
          <w:color w:val="auto"/>
        </w:rPr>
      </w:pPr>
    </w:p>
    <w:p>
      <w:pPr>
        <w:ind w:left="360" w:right="40"/>
        <w:spacing w:after="0" w:line="233" w:lineRule="auto"/>
        <w:rPr>
          <w:sz w:val="20"/>
          <w:szCs w:val="20"/>
          <w:color w:val="auto"/>
        </w:rPr>
      </w:pPr>
      <w:r>
        <w:rPr>
          <w:rFonts w:ascii="Arial" w:cs="Arial" w:eastAsia="Arial" w:hAnsi="Arial"/>
          <w:sz w:val="18"/>
          <w:szCs w:val="18"/>
          <w:b w:val="1"/>
          <w:bCs w:val="1"/>
          <w:i w:val="1"/>
          <w:iCs w:val="1"/>
          <w:color w:val="auto"/>
        </w:rPr>
        <w:t>Our operating agreement, as well as Delaware law, will contain provisions that could discourage acquisition bids or merger proposals, which may adversely affect the market price of our Class A shares and could deprive our investors of the opportunity to receive a premium for their shares.</w:t>
      </w:r>
    </w:p>
    <w:p>
      <w:pPr>
        <w:spacing w:after="0" w:line="81" w:lineRule="exact"/>
        <w:rPr>
          <w:sz w:val="20"/>
          <w:szCs w:val="20"/>
          <w:color w:val="auto"/>
        </w:rPr>
      </w:pPr>
    </w:p>
    <w:p>
      <w:pPr>
        <w:ind w:right="100" w:firstLine="357"/>
        <w:spacing w:after="0" w:line="271" w:lineRule="auto"/>
        <w:rPr>
          <w:sz w:val="20"/>
          <w:szCs w:val="20"/>
          <w:color w:val="auto"/>
        </w:rPr>
      </w:pPr>
      <w:r>
        <w:rPr>
          <w:rFonts w:ascii="Arial" w:cs="Arial" w:eastAsia="Arial" w:hAnsi="Arial"/>
          <w:sz w:val="17"/>
          <w:szCs w:val="17"/>
          <w:color w:val="auto"/>
        </w:rPr>
        <w:t>Our operating agreement will authorize our board of directors to issue preferred shares without shareholder approval in one or more series, designate the number of shares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shares, it could be more difficult for a third party to acquire us. In addition, some provisions of our operating agreement could make it more difficult for a third party to acquire control of us, even if the change of control would be beneficial to our shareholders. These provisions include:</w:t>
      </w:r>
    </w:p>
    <w:p>
      <w:pPr>
        <w:spacing w:after="0" w:line="71" w:lineRule="exact"/>
        <w:rPr>
          <w:sz w:val="20"/>
          <w:szCs w:val="20"/>
          <w:color w:val="auto"/>
        </w:rPr>
      </w:pPr>
    </w:p>
    <w:p>
      <w:pPr>
        <w:ind w:left="700" w:hanging="346"/>
        <w:spacing w:after="0"/>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dividing our board of directors into three classes of directors, with each class serving staggered three-year terms;</w:t>
      </w:r>
    </w:p>
    <w:p>
      <w:pPr>
        <w:spacing w:after="0" w:line="126" w:lineRule="exact"/>
        <w:rPr>
          <w:rFonts w:ascii="Arial" w:cs="Arial" w:eastAsia="Arial" w:hAnsi="Arial"/>
          <w:sz w:val="17"/>
          <w:szCs w:val="17"/>
          <w:color w:val="auto"/>
        </w:rPr>
      </w:pPr>
    </w:p>
    <w:p>
      <w:pPr>
        <w:ind w:left="700" w:right="480" w:hanging="346"/>
        <w:spacing w:after="0" w:line="261"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that all vacancies, including newly created directorships, may, except as otherwise required by law, or, if applicable, the rights of holders of a series of preferred shares, only be filled by the affirmative vote of a majority of directors then in office, even if less than a quorum;</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right="300" w:hanging="346"/>
        <w:spacing w:after="0" w:line="339"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permitting any action by shareholders to be taken only at an annual meeting or special meeting rather than by a written consent of the shareholders, subject to the rights of any series of preferred shares with respect to such rights;</w:t>
      </w:r>
    </w:p>
    <w:p>
      <w:pPr>
        <w:spacing w:after="0" w:line="16" w:lineRule="exact"/>
        <w:rPr>
          <w:rFonts w:ascii="Arial" w:cs="Arial" w:eastAsia="Arial" w:hAnsi="Arial"/>
          <w:sz w:val="16"/>
          <w:szCs w:val="16"/>
          <w:color w:val="auto"/>
        </w:rPr>
      </w:pPr>
    </w:p>
    <w:p>
      <w:pPr>
        <w:jc w:val="both"/>
        <w:ind w:left="700" w:hanging="346"/>
        <w:spacing w:after="0" w:line="261"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permitting special meetings of our shareholders to be called only by our board of directors pursuant to a resolution adopted by the affirmative vote of a majority of the total number of authorized directors whether or not there exist any vacancies in previously authorized directorships;</w:t>
      </w:r>
    </w:p>
    <w:p>
      <w:pPr>
        <w:spacing w:after="0" w:line="75" w:lineRule="exact"/>
        <w:rPr>
          <w:rFonts w:ascii="Arial" w:cs="Arial" w:eastAsia="Arial" w:hAnsi="Arial"/>
          <w:sz w:val="18"/>
          <w:szCs w:val="18"/>
          <w:color w:val="auto"/>
        </w:rPr>
      </w:pPr>
    </w:p>
    <w:p>
      <w:pPr>
        <w:ind w:left="700" w:hanging="34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4" w:lineRule="exact"/>
        <w:rPr>
          <w:rFonts w:ascii="Arial" w:cs="Arial" w:eastAsia="Arial" w:hAnsi="Arial"/>
          <w:sz w:val="18"/>
          <w:szCs w:val="18"/>
          <w:color w:val="auto"/>
        </w:rPr>
      </w:pPr>
    </w:p>
    <w:p>
      <w:pPr>
        <w:ind w:left="700" w:right="60" w:hanging="346"/>
        <w:spacing w:after="0" w:line="274"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advance notice provisions for shareholder proposals and nominations for elections to the board of directors to be acted upon at meetings of the shareholders; and</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providing that the board of directors is expressly authorized to adopt, or to alter or repeal our operating agreement.</w:t>
      </w:r>
    </w:p>
    <w:p>
      <w:pPr>
        <w:spacing w:after="0" w:line="73" w:lineRule="exact"/>
        <w:rPr>
          <w:sz w:val="20"/>
          <w:szCs w:val="20"/>
          <w:color w:val="auto"/>
        </w:rPr>
      </w:pPr>
    </w:p>
    <w:p>
      <w:pPr>
        <w:ind w:left="360" w:right="120"/>
        <w:spacing w:after="0" w:line="246" w:lineRule="auto"/>
        <w:rPr>
          <w:sz w:val="20"/>
          <w:szCs w:val="20"/>
          <w:color w:val="auto"/>
        </w:rPr>
      </w:pPr>
      <w:r>
        <w:rPr>
          <w:rFonts w:ascii="Arial" w:cs="Arial" w:eastAsia="Arial" w:hAnsi="Arial"/>
          <w:sz w:val="18"/>
          <w:szCs w:val="18"/>
          <w:b w:val="1"/>
          <w:bCs w:val="1"/>
          <w:i w:val="1"/>
          <w:iCs w:val="1"/>
          <w:color w:val="auto"/>
        </w:rPr>
        <w:t>There are certain provisions in our operating agreement regarding exculpation and indemnification of our officers and directors that differ from the Delaware General Corporation Law (“DGCL”) in a manner that may be less protective of the interests of our Class A shareholders.</w:t>
      </w:r>
    </w:p>
    <w:p>
      <w:pPr>
        <w:spacing w:after="0" w:line="74"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color w:val="auto"/>
        </w:rPr>
        <w:t>Our operating agreement provides that to the fullest extent permitted by applicable law our directors or officers will not be liable to us. By contrast, under the DGCL, a director or officer would be liable to us for (i) breach of duty of loyalty to us or our shareholders, (ii) intentional misconduct or knowing violations of the law that are not done in good faith, (iii) improper redemption of shares or declaration of dividends, or (iv) a transaction from which the director derived an improper personal benefit. In addition, our operating agreement provides that we indemnify our directors and officers for acts or omissions to the fullest extent provided by law. By contrast,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Class A shareholders, when compared to the DGCL, insofar as it relates to the exculpation and indemnification of our officers and directors.</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Shareholders will experience immediate and substantial dilution of $11.51 per Class A share.</w:t>
      </w:r>
    </w:p>
    <w:p>
      <w:pPr>
        <w:spacing w:after="0" w:line="115" w:lineRule="exact"/>
        <w:rPr>
          <w:sz w:val="20"/>
          <w:szCs w:val="20"/>
          <w:color w:val="auto"/>
        </w:rPr>
      </w:pPr>
    </w:p>
    <w:p>
      <w:pPr>
        <w:ind w:right="140" w:firstLine="357"/>
        <w:spacing w:after="0" w:line="290" w:lineRule="auto"/>
        <w:rPr>
          <w:sz w:val="20"/>
          <w:szCs w:val="20"/>
          <w:color w:val="auto"/>
        </w:rPr>
      </w:pPr>
      <w:r>
        <w:rPr>
          <w:rFonts w:ascii="Arial" w:cs="Arial" w:eastAsia="Arial" w:hAnsi="Arial"/>
          <w:sz w:val="16"/>
          <w:szCs w:val="16"/>
          <w:color w:val="auto"/>
        </w:rPr>
        <w:t>The proposed initial public offering price of $15.00 per Class A share exceeds our pro forma net tangible book value of $3.49 per Class A share. Based on the proposed initial public offering price of $15.00 per Class A share, shareholders will incur immediate and substantial dilution of $11.51 per Class A share in the pro forma net tangible book value per share. This dilution results primarily because the assets contributed to us by New Fortress Energy Holdings are recorded at their historical cost in accordance with generally accepted accounting principles (“GAAP”), and not their fair value. Please read “Dilution.”</w:t>
      </w:r>
    </w:p>
    <w:p>
      <w:pPr>
        <w:spacing w:after="0" w:line="2" w:lineRule="exact"/>
        <w:rPr>
          <w:sz w:val="20"/>
          <w:szCs w:val="20"/>
          <w:color w:val="auto"/>
        </w:rPr>
      </w:pPr>
    </w:p>
    <w:p>
      <w:pPr>
        <w:ind w:left="360" w:right="180"/>
        <w:spacing w:after="0" w:line="243" w:lineRule="auto"/>
        <w:rPr>
          <w:sz w:val="20"/>
          <w:szCs w:val="20"/>
          <w:color w:val="auto"/>
        </w:rPr>
      </w:pPr>
      <w:r>
        <w:rPr>
          <w:rFonts w:ascii="Arial" w:cs="Arial" w:eastAsia="Arial" w:hAnsi="Arial"/>
          <w:sz w:val="18"/>
          <w:szCs w:val="18"/>
          <w:b w:val="1"/>
          <w:bCs w:val="1"/>
          <w:i w:val="1"/>
          <w:iCs w:val="1"/>
          <w:color w:val="auto"/>
        </w:rPr>
        <w:t>We do not intend to pay cash dividends on our Class A shares. Consequently, your only opportunity to achieve a return on your investment is if the price of our Class A shares appreciates.</w:t>
      </w:r>
    </w:p>
    <w:p>
      <w:pPr>
        <w:spacing w:after="0" w:line="77" w:lineRule="exact"/>
        <w:rPr>
          <w:sz w:val="20"/>
          <w:szCs w:val="20"/>
          <w:color w:val="auto"/>
        </w:rPr>
      </w:pPr>
    </w:p>
    <w:p>
      <w:pPr>
        <w:jc w:val="both"/>
        <w:ind w:right="100" w:firstLine="357"/>
        <w:spacing w:after="0" w:line="297" w:lineRule="auto"/>
        <w:rPr>
          <w:sz w:val="20"/>
          <w:szCs w:val="20"/>
          <w:color w:val="auto"/>
        </w:rPr>
      </w:pPr>
      <w:r>
        <w:rPr>
          <w:rFonts w:ascii="Arial" w:cs="Arial" w:eastAsia="Arial" w:hAnsi="Arial"/>
          <w:sz w:val="16"/>
          <w:szCs w:val="16"/>
          <w:color w:val="auto"/>
        </w:rPr>
        <w:t>We do not plan to declare cash dividends on our Class A shares in the foreseeable future. Consequently, your only opportunity to achieve a return on your investment in us will be if you sell your Class A share at a price greater than you paid for it. There is no guarantee that the price of our Class A shares that will prevail in the market will ever exceed the price that you pay in this offering.</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may issue preferred shares, the terms of which could adversely affect the voting power or value of our Class A shares.</w:t>
      </w:r>
    </w:p>
    <w:p>
      <w:pPr>
        <w:spacing w:after="0" w:line="136" w:lineRule="exact"/>
        <w:rPr>
          <w:sz w:val="20"/>
          <w:szCs w:val="20"/>
          <w:color w:val="auto"/>
        </w:rPr>
      </w:pPr>
    </w:p>
    <w:p>
      <w:pPr>
        <w:ind w:right="20" w:firstLine="357"/>
        <w:spacing w:after="0" w:line="270" w:lineRule="auto"/>
        <w:rPr>
          <w:sz w:val="20"/>
          <w:szCs w:val="20"/>
          <w:color w:val="auto"/>
        </w:rPr>
      </w:pPr>
      <w:r>
        <w:rPr>
          <w:rFonts w:ascii="Arial" w:cs="Arial" w:eastAsia="Arial" w:hAnsi="Arial"/>
          <w:sz w:val="17"/>
          <w:szCs w:val="17"/>
          <w:color w:val="auto"/>
        </w:rPr>
        <w:t>Our operating agreement will authorize us to issue, without the approval of our shareholders, one or more classes or series of preferred shares having such designations, preferences, limitations and relative rights, including preferences over our Class A shares respecting dividends and distributions, as our board of directors may determine. The terms of one or more classes or series of preferred shares could adversely impact the voting power or value of our Class A shares. For example, we might grant holders of preferred shares the right to elect some number of our directors in all events or on the happening of specified events or the right to veto specified transactions. Similarly, the repurchase or redemption rights or liquidation preferences we might assign to holders of preferred shares could affect the residual value of the Class A shares.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360" w:right="80"/>
        <w:spacing w:after="0" w:line="274" w:lineRule="auto"/>
        <w:rPr>
          <w:sz w:val="20"/>
          <w:szCs w:val="20"/>
          <w:color w:val="auto"/>
        </w:rPr>
      </w:pPr>
      <w:r>
        <w:rPr>
          <w:rFonts w:ascii="Arial" w:cs="Arial" w:eastAsia="Arial" w:hAnsi="Arial"/>
          <w:sz w:val="16"/>
          <w:szCs w:val="16"/>
          <w:b w:val="1"/>
          <w:bCs w:val="1"/>
          <w:i w:val="1"/>
          <w:iCs w:val="1"/>
          <w:color w:val="auto"/>
        </w:rPr>
        <w:t>The market price of our Class A shares could be adversely affected by sales of substantial amounts of our Class A shares in the public or private markets or the perception in the public markets that these sales may occur, including sales by New Fortress Energy Holdings after the exercise of the Redemption Right or other large holders.</w:t>
      </w:r>
    </w:p>
    <w:p>
      <w:pPr>
        <w:spacing w:after="0" w:line="54" w:lineRule="exact"/>
        <w:rPr>
          <w:sz w:val="20"/>
          <w:szCs w:val="20"/>
          <w:color w:val="auto"/>
        </w:rPr>
      </w:pPr>
    </w:p>
    <w:p>
      <w:pPr>
        <w:ind w:firstLine="357"/>
        <w:spacing w:after="0" w:line="284" w:lineRule="auto"/>
        <w:rPr>
          <w:sz w:val="20"/>
          <w:szCs w:val="20"/>
          <w:color w:val="auto"/>
        </w:rPr>
      </w:pPr>
      <w:r>
        <w:rPr>
          <w:rFonts w:ascii="Arial" w:cs="Arial" w:eastAsia="Arial" w:hAnsi="Arial"/>
          <w:sz w:val="16"/>
          <w:szCs w:val="16"/>
          <w:color w:val="auto"/>
        </w:rPr>
        <w:t>After this offering, we will have 20,000,000 Class A shares and 147,058,824 Class B shares outstanding, assuming no exercise of the underwriters’ option to purchase additional Class A shares. The Class A shares sold in this offering will be freely tradable without restriction under the Securities Act except for any Class A shares that may be held or acquired by our directors, officers or affiliates, which will be restricted securities under the Securities Act. The NFI LLC Units held by New Fortress Energy Holdings and any Class A shares New Fortress Energy Holdings acquires through the exercise of the Redemption Right will be subject to resale restrictions under a 180-day lock-up agreement with the underwriters. Each of the lock-up agreements with the underwriters may be waived in the discretion of certain of the underwriters. Sales by New Fortress Energy Holdings after the exercise of the Redemption Right or other large holders of a substantial number of our Class A shares in the public markets following this offering, or the perception that such sales might occur, could have a material adverse effect on the price of our Class A shares or could impair our ability to obtain capital through an offering of equity securities. In addition, we have agreed to provide registration rights to New Fortress Energy Holdings. Alternatively, we may be required to undertake a future public or private offering of Class A shares and use the net proceeds from such offering to purchase an equal number of NFI LLC Units from New Fortress Energy Holdings. Please read “Shares Eligible for Future Sale.”</w:t>
      </w:r>
    </w:p>
    <w:p>
      <w:pPr>
        <w:ind w:left="360" w:right="200"/>
        <w:spacing w:after="0" w:line="233" w:lineRule="auto"/>
        <w:rPr>
          <w:sz w:val="20"/>
          <w:szCs w:val="20"/>
          <w:color w:val="auto"/>
        </w:rPr>
      </w:pPr>
      <w:r>
        <w:rPr>
          <w:rFonts w:ascii="Arial" w:cs="Arial" w:eastAsia="Arial" w:hAnsi="Arial"/>
          <w:sz w:val="18"/>
          <w:szCs w:val="18"/>
          <w:b w:val="1"/>
          <w:bCs w:val="1"/>
          <w:i w:val="1"/>
          <w:iCs w:val="1"/>
          <w:color w:val="auto"/>
        </w:rPr>
        <w:t>There is no existing market for our Class A shares and a trading market that will provide you with adequate liquidity may not develop. The price of our Class A shares may fluctuate significantly, and shareholders could lose all or part of their investment.</w:t>
      </w:r>
    </w:p>
    <w:p>
      <w:pPr>
        <w:spacing w:after="0" w:line="81" w:lineRule="exact"/>
        <w:rPr>
          <w:sz w:val="20"/>
          <w:szCs w:val="20"/>
          <w:color w:val="auto"/>
        </w:rPr>
      </w:pPr>
    </w:p>
    <w:p>
      <w:pPr>
        <w:ind w:right="40" w:firstLine="357"/>
        <w:spacing w:after="0" w:line="294" w:lineRule="auto"/>
        <w:rPr>
          <w:sz w:val="20"/>
          <w:szCs w:val="20"/>
          <w:color w:val="auto"/>
        </w:rPr>
      </w:pPr>
      <w:r>
        <w:rPr>
          <w:rFonts w:ascii="Arial" w:cs="Arial" w:eastAsia="Arial" w:hAnsi="Arial"/>
          <w:sz w:val="16"/>
          <w:szCs w:val="16"/>
          <w:color w:val="auto"/>
        </w:rPr>
        <w:t>Prior to this offering, there has been no public market for the Class A shares. After this offering, there will be only 20,000,000 publicly-traded Class A shares. We do not know the extent to which investor interest will lead to the development of a trading market or how liquid that market might be. Class A shareholders may not be able to resell their Class A shares at or above the initial public offering price. Additionally, the lack of liquidity may result in wide bid-ask spreads, contribute to significant fluctuations in the market price of the Class A shares and limit the number of investors who are able to buy the Class A shares.</w:t>
      </w:r>
    </w:p>
    <w:p>
      <w:pPr>
        <w:spacing w:after="0" w:line="54"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The initial public offering price for our Class A shares will be determined by negotiations between us and the representatives of the underwriters and may not be indicative of the price of the Class A shares that will prevail in the trading market. The market price of our Class A shares may decline below the initial public offering price. The market price of our Class A shares may also be influenced by many factors, some of which are beyond our control, including:</w:t>
      </w:r>
    </w:p>
    <w:p>
      <w:pPr>
        <w:spacing w:after="0" w:line="79" w:lineRule="exact"/>
        <w:rPr>
          <w:sz w:val="20"/>
          <w:szCs w:val="20"/>
          <w:color w:val="auto"/>
        </w:rPr>
      </w:pPr>
    </w:p>
    <w:p>
      <w:pPr>
        <w:ind w:left="700" w:hanging="3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acquisitions;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14" w:lineRule="exact"/>
        <w:rPr>
          <w:rFonts w:ascii="Arial" w:cs="Arial" w:eastAsia="Arial" w:hAnsi="Arial"/>
          <w:sz w:val="18"/>
          <w:szCs w:val="18"/>
          <w:color w:val="auto"/>
        </w:rPr>
      </w:pPr>
    </w:p>
    <w:p>
      <w:pPr>
        <w:ind w:left="700" w:right="640" w:hanging="346"/>
        <w:spacing w:after="0" w:line="274"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securities analysts to cover our Class A shares after this offering or changes in financial estimates by analysts;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sales of our Class A shares;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other factors described in these “Risk Factors.”</w:t>
      </w:r>
    </w:p>
    <w:p>
      <w:pPr>
        <w:spacing w:after="0" w:line="48" w:lineRule="exact"/>
        <w:rPr>
          <w:sz w:val="20"/>
          <w:szCs w:val="20"/>
          <w:color w:val="auto"/>
        </w:rPr>
      </w:pPr>
    </w:p>
    <w:p>
      <w:pPr>
        <w:ind w:left="360" w:right="160"/>
        <w:spacing w:after="0" w:line="243" w:lineRule="auto"/>
        <w:rPr>
          <w:sz w:val="20"/>
          <w:szCs w:val="20"/>
          <w:color w:val="auto"/>
        </w:rPr>
      </w:pPr>
      <w:r>
        <w:rPr>
          <w:rFonts w:ascii="Arial" w:cs="Arial" w:eastAsia="Arial" w:hAnsi="Arial"/>
          <w:sz w:val="18"/>
          <w:szCs w:val="18"/>
          <w:b w:val="1"/>
          <w:bCs w:val="1"/>
          <w:i w:val="1"/>
          <w:iCs w:val="1"/>
          <w:color w:val="auto"/>
        </w:rPr>
        <w:t>We expect to be a “controlled company” within the meaning of NASDAQ rules and, as a result, will qualify for and intend to rely on exemptions from certain corporate governance requirements.</w:t>
      </w:r>
    </w:p>
    <w:p>
      <w:pPr>
        <w:spacing w:after="0" w:line="77" w:lineRule="exact"/>
        <w:rPr>
          <w:sz w:val="20"/>
          <w:szCs w:val="20"/>
          <w:color w:val="auto"/>
        </w:rPr>
      </w:pPr>
    </w:p>
    <w:p>
      <w:pPr>
        <w:ind w:right="140" w:firstLine="357"/>
        <w:spacing w:after="0" w:line="255" w:lineRule="auto"/>
        <w:rPr>
          <w:sz w:val="20"/>
          <w:szCs w:val="20"/>
          <w:color w:val="auto"/>
        </w:rPr>
      </w:pPr>
      <w:r>
        <w:rPr>
          <w:rFonts w:ascii="Arial" w:cs="Arial" w:eastAsia="Arial" w:hAnsi="Arial"/>
          <w:sz w:val="18"/>
          <w:szCs w:val="18"/>
          <w:color w:val="auto"/>
        </w:rPr>
        <w:t>Upon completion of this offering, New Fortress Energy Holdings will hold a majority of the voting power of our shares. As a result, we expect to be a controlled company within the meaning of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81" w:lineRule="exact"/>
        <w:rPr>
          <w:sz w:val="20"/>
          <w:szCs w:val="20"/>
          <w:color w:val="auto"/>
        </w:rPr>
      </w:pPr>
    </w:p>
    <w:p>
      <w:pPr>
        <w:jc w:val="center"/>
        <w:ind w:left="4660" w:right="1060" w:hanging="4306"/>
        <w:spacing w:after="0" w:line="523" w:lineRule="auto"/>
        <w:tabs>
          <w:tab w:leader="none" w:pos="6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rules of NASDAQ;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603059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hanging="346"/>
        <w:spacing w:after="0" w:line="274"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63" w:lineRule="exact"/>
        <w:rPr>
          <w:rFonts w:ascii="Arial" w:cs="Arial" w:eastAsia="Arial" w:hAnsi="Arial"/>
          <w:sz w:val="18"/>
          <w:szCs w:val="18"/>
          <w:color w:val="auto"/>
        </w:rPr>
      </w:pPr>
    </w:p>
    <w:p>
      <w:pPr>
        <w:ind w:left="700" w:right="740" w:hanging="346"/>
        <w:spacing w:after="0" w:line="274"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64" w:lineRule="exact"/>
        <w:rPr>
          <w:sz w:val="20"/>
          <w:szCs w:val="20"/>
          <w:color w:val="auto"/>
        </w:rPr>
      </w:pPr>
    </w:p>
    <w:p>
      <w:pPr>
        <w:ind w:right="40" w:firstLine="357"/>
        <w:spacing w:after="0" w:line="255" w:lineRule="auto"/>
        <w:rPr>
          <w:sz w:val="20"/>
          <w:szCs w:val="20"/>
          <w:color w:val="auto"/>
        </w:rPr>
      </w:pPr>
      <w:r>
        <w:rPr>
          <w:rFonts w:ascii="Arial" w:cs="Arial" w:eastAsia="Arial" w:hAnsi="Arial"/>
          <w:sz w:val="18"/>
          <w:szCs w:val="18"/>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Following this offering, we intend to utilize some or all of these exemptions. Accordingly, you may not have the same protections afforded to shareholders of companies that are subject to all of the corporate governance requirements of NASDAQ. See “Management.”</w:t>
      </w:r>
    </w:p>
    <w:p>
      <w:pPr>
        <w:spacing w:after="0" w:line="175" w:lineRule="exact"/>
        <w:rPr>
          <w:sz w:val="20"/>
          <w:szCs w:val="20"/>
          <w:color w:val="auto"/>
        </w:rPr>
      </w:pPr>
    </w:p>
    <w:p>
      <w:pPr>
        <w:ind w:left="360" w:right="120"/>
        <w:spacing w:after="0" w:line="233" w:lineRule="auto"/>
        <w:rPr>
          <w:sz w:val="20"/>
          <w:szCs w:val="20"/>
          <w:color w:val="auto"/>
        </w:rPr>
      </w:pPr>
      <w:r>
        <w:rPr>
          <w:rFonts w:ascii="Arial" w:cs="Arial" w:eastAsia="Arial" w:hAnsi="Arial"/>
          <w:sz w:val="18"/>
          <w:szCs w:val="18"/>
          <w:b w:val="1"/>
          <w:bCs w:val="1"/>
          <w:i w:val="1"/>
          <w:iCs w:val="1"/>
          <w:color w:val="auto"/>
        </w:rPr>
        <w:t>For as long as we are an emerging growth company, we will not be required to comply with certain reporting requirements that apply to other public companies, including those relating to auditing standards and disclosure about our executive compensation.</w:t>
      </w:r>
    </w:p>
    <w:p>
      <w:pPr>
        <w:spacing w:after="0" w:line="81" w:lineRule="exact"/>
        <w:rPr>
          <w:sz w:val="20"/>
          <w:szCs w:val="20"/>
          <w:color w:val="auto"/>
        </w:rPr>
      </w:pPr>
    </w:p>
    <w:p>
      <w:pPr>
        <w:ind w:right="20" w:firstLine="357"/>
        <w:spacing w:after="0" w:line="282" w:lineRule="auto"/>
        <w:rPr>
          <w:sz w:val="20"/>
          <w:szCs w:val="20"/>
          <w:color w:val="auto"/>
        </w:rPr>
      </w:pPr>
      <w:r>
        <w:rPr>
          <w:rFonts w:ascii="Arial" w:cs="Arial" w:eastAsia="Arial" w:hAnsi="Arial"/>
          <w:sz w:val="16"/>
          <w:szCs w:val="16"/>
          <w:color w:val="auto"/>
        </w:rPr>
        <w:t>The JOBS Act contains provisions that, among other things, relax certain reporting requirements for “emerging growth companies,” including certain requirements relating to auditing standards and compensation disclosure. We are classified as an emerging growth company. For as long as we are an emerging growth company, which may be up to five full fiscal years, unlike other public companies, we will not be required to, among other things, (i) provide an auditor’s attestation report on management’s assessment of the effectiveness of our system of internal control over financial reporting pursuant to Section 404(b) of the Sarbanes-Oxley Act,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w:t>
      </w:r>
    </w:p>
    <w:p>
      <w:pPr>
        <w:spacing w:after="0" w:line="2" w:lineRule="exact"/>
        <w:rPr>
          <w:sz w:val="20"/>
          <w:szCs w:val="20"/>
          <w:color w:val="auto"/>
        </w:rPr>
      </w:pPr>
    </w:p>
    <w:p>
      <w:pPr>
        <w:ind w:right="60" w:firstLine="5"/>
        <w:spacing w:after="0" w:line="284" w:lineRule="auto"/>
        <w:tabs>
          <w:tab w:leader="none" w:pos="303" w:val="left"/>
        </w:tabs>
        <w:numPr>
          <w:ilvl w:val="0"/>
          <w:numId w:val="36"/>
        </w:numPr>
        <w:rPr>
          <w:rFonts w:ascii="Arial" w:cs="Arial" w:eastAsia="Arial" w:hAnsi="Arial"/>
          <w:sz w:val="16"/>
          <w:szCs w:val="16"/>
          <w:color w:val="auto"/>
        </w:rPr>
      </w:pPr>
      <w:r>
        <w:rPr>
          <w:rFonts w:ascii="Arial" w:cs="Arial" w:eastAsia="Arial" w:hAnsi="Arial"/>
          <w:sz w:val="16"/>
          <w:szCs w:val="16"/>
          <w:color w:val="auto"/>
        </w:rPr>
        <w:t>hold nonbinding advisory votes on executive compensation. We currently intend to take advantage of the exemptions described above. We have also elected to use the extended transition period for complying with new or revised accounting standards under Section 102(b)(2) of the JOBS Act. This election allows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stockholders and potential investors may have difficulty in analyzing our operating results if comparing us to such companies. We will remain an emerging growth company for up to five years, although we will lose that status sooner if we have more than $1.07 billion of revenues in a fiscal year, have more than $700.0 million in market value of our Class A shareholders held by non-affiliates, or issue more than $1.0 billion of non-convertible debt over a three-year period.</w:t>
      </w:r>
    </w:p>
    <w:p>
      <w:pPr>
        <w:spacing w:after="0" w:line="65" w:lineRule="exact"/>
        <w:rPr>
          <w:sz w:val="20"/>
          <w:szCs w:val="20"/>
          <w:color w:val="auto"/>
        </w:rPr>
      </w:pPr>
    </w:p>
    <w:p>
      <w:pPr>
        <w:ind w:right="20" w:firstLine="357"/>
        <w:spacing w:after="0" w:line="257" w:lineRule="auto"/>
        <w:rPr>
          <w:sz w:val="20"/>
          <w:szCs w:val="20"/>
          <w:color w:val="auto"/>
        </w:rPr>
      </w:pPr>
      <w:r>
        <w:rPr>
          <w:rFonts w:ascii="Arial" w:cs="Arial" w:eastAsia="Arial" w:hAnsi="Arial"/>
          <w:sz w:val="18"/>
          <w:szCs w:val="18"/>
          <w:color w:val="auto"/>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Class A shares to be less attractive as a result, there may be a less active trading market for our Class A shares and our Class A share price may be more volatile.</w:t>
      </w:r>
    </w:p>
    <w:p>
      <w:pPr>
        <w:spacing w:after="0" w:line="173" w:lineRule="exact"/>
        <w:rPr>
          <w:sz w:val="20"/>
          <w:szCs w:val="20"/>
          <w:color w:val="auto"/>
        </w:rPr>
      </w:pPr>
    </w:p>
    <w:p>
      <w:pPr>
        <w:ind w:left="360" w:right="340"/>
        <w:spacing w:after="0" w:line="274" w:lineRule="auto"/>
        <w:rPr>
          <w:sz w:val="20"/>
          <w:szCs w:val="20"/>
          <w:color w:val="auto"/>
        </w:rPr>
      </w:pPr>
      <w:r>
        <w:rPr>
          <w:rFonts w:ascii="Arial" w:cs="Arial" w:eastAsia="Arial" w:hAnsi="Arial"/>
          <w:sz w:val="16"/>
          <w:szCs w:val="16"/>
          <w:b w:val="1"/>
          <w:bCs w:val="1"/>
          <w:i w:val="1"/>
          <w:iCs w:val="1"/>
          <w:color w:val="auto"/>
        </w:rPr>
        <w:t>If we fail to develop or maintain an effective system of internal controls, we may not be able to accurately report our financial results or prevent fraud. As a result, current and potential shareholders could lose confidence in our financial reporting, which would harm our business and the trading price of our Class A shares.</w:t>
      </w:r>
    </w:p>
    <w:p>
      <w:pPr>
        <w:spacing w:after="0" w:line="54" w:lineRule="exact"/>
        <w:rPr>
          <w:sz w:val="20"/>
          <w:szCs w:val="20"/>
          <w:color w:val="auto"/>
        </w:rPr>
      </w:pPr>
    </w:p>
    <w:p>
      <w:pPr>
        <w:ind w:right="20" w:firstLine="357"/>
        <w:spacing w:after="0" w:line="286" w:lineRule="auto"/>
        <w:rPr>
          <w:sz w:val="20"/>
          <w:szCs w:val="20"/>
          <w:color w:val="auto"/>
        </w:rPr>
      </w:pPr>
      <w:r>
        <w:rPr>
          <w:rFonts w:ascii="Arial" w:cs="Arial" w:eastAsia="Arial" w:hAnsi="Arial"/>
          <w:sz w:val="16"/>
          <w:szCs w:val="16"/>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In connection with the preparation of our financial statements for the year ended December 31, 2017, we concluded there was a significant deficiency in our internal controls over financial reporting. While we continue to implement measures to address this deficiency, we cannot be certain that our efforts to develop and maintain our internal controls will be successful, that we will be able to maintain adequate controls over our financial processes and reporting in the future or that we will be able to comply with our obligations under Section 404 of the Sarbanes-Oxley Act. In connection with our efforts to maintain effective internal controls, we will need to hire additional accounting personnel as well as to make additional investments in software and systems. Any failure to develop or maintain effective internal controls, or difficulties encountered in implementing or improving our internal controls, could harm our operating results or cause us to fail to meet our reporting obligations. Ineffective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40"/>
        <w:spacing w:after="0" w:line="274" w:lineRule="auto"/>
        <w:rPr>
          <w:sz w:val="20"/>
          <w:szCs w:val="20"/>
          <w:color w:val="auto"/>
        </w:rPr>
      </w:pPr>
      <w:r>
        <w:rPr>
          <w:rFonts w:ascii="Arial" w:cs="Arial" w:eastAsia="Arial" w:hAnsi="Arial"/>
          <w:sz w:val="18"/>
          <w:szCs w:val="18"/>
          <w:color w:val="auto"/>
        </w:rPr>
        <w:t>internal controls could also cause investors to lose confidence in our reported financial information, which would likely have a negative effect on the trading price of our Class A shares.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115" w:lineRule="exact"/>
        <w:rPr>
          <w:sz w:val="20"/>
          <w:szCs w:val="20"/>
          <w:color w:val="auto"/>
        </w:rPr>
      </w:pPr>
    </w:p>
    <w:p>
      <w:pPr>
        <w:ind w:right="40" w:firstLine="357"/>
        <w:spacing w:after="0" w:line="283" w:lineRule="auto"/>
        <w:rPr>
          <w:sz w:val="20"/>
          <w:szCs w:val="20"/>
          <w:color w:val="auto"/>
        </w:rPr>
      </w:pPr>
      <w:r>
        <w:rPr>
          <w:rFonts w:ascii="Arial" w:cs="Arial" w:eastAsia="Arial" w:hAnsi="Arial"/>
          <w:sz w:val="16"/>
          <w:szCs w:val="16"/>
          <w:color w:val="auto"/>
        </w:rPr>
        <w:t>We have no history operating as a publicly traded company. As a newly public company with shares listed on NASDAQ, we will need to comply with an extensive body of regulations that did not apply to us previously, including certain provisions of the Sarbanes-Oxley Act, the Dodd-Frank Wall Street Reform and Consumer Protection Act, regulations of the SEC and NASDAQ requirements. We expect these rules and regulations will increase our legal, accounting, compliance and other expenses that we did not incur prior to this offering and make some activities more time-consuming and costly. For example, as a result of becoming a public company, we intend to add independent directors and create additional board committees. We intend to enter into an administrative services agreement with FIG LLC, an affiliate of Fortress, in connection with the closing of this offering, pursuant to which FIG LLC will provide us with certain back-office services and charge us for selling, general and administrative expenses incurred to provide these services. FIG LLC will also continue to provide compliance services for the foreseeable future and any transition will take place over time. In addition, we may incur additional costs associated with our public company reporting requirements and maintaining directors’ and officers’ liability insurance. Because of the limitations in coverage for directors, it may be more difficult for us to attract and retain qualified persons to serve on our board of directors or as executive officers. We estimate that we will incur approximately $2 million of incremental costs per year associated with being a publicly traded company; however, it is possible that our actual incremental costs of being a publicly traded company will be higher than we currently estimate.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164" w:lineRule="exact"/>
        <w:rPr>
          <w:sz w:val="20"/>
          <w:szCs w:val="20"/>
          <w:color w:val="auto"/>
        </w:rPr>
      </w:pPr>
    </w:p>
    <w:p>
      <w:pPr>
        <w:ind w:left="360" w:right="220"/>
        <w:spacing w:after="0" w:line="23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Class A shares or if our operating results do not meet their expectations, our share price could decline.</w:t>
      </w:r>
    </w:p>
    <w:p>
      <w:pPr>
        <w:spacing w:after="0" w:line="81" w:lineRule="exact"/>
        <w:rPr>
          <w:sz w:val="20"/>
          <w:szCs w:val="20"/>
          <w:color w:val="auto"/>
        </w:rPr>
      </w:pPr>
    </w:p>
    <w:p>
      <w:pPr>
        <w:jc w:val="both"/>
        <w:ind w:right="280" w:firstLine="357"/>
        <w:spacing w:after="0" w:line="309" w:lineRule="auto"/>
        <w:rPr>
          <w:sz w:val="20"/>
          <w:szCs w:val="20"/>
          <w:color w:val="auto"/>
        </w:rPr>
      </w:pPr>
      <w:r>
        <w:rPr>
          <w:rFonts w:ascii="Arial" w:cs="Arial" w:eastAsia="Arial" w:hAnsi="Arial"/>
          <w:sz w:val="16"/>
          <w:szCs w:val="16"/>
          <w:color w:val="auto"/>
        </w:rPr>
        <w:t>The trading market for our Class A shares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34" w:lineRule="exact"/>
        <w:rPr>
          <w:sz w:val="20"/>
          <w:szCs w:val="20"/>
          <w:color w:val="auto"/>
        </w:rPr>
      </w:pPr>
    </w:p>
    <w:p>
      <w:pPr>
        <w:ind w:left="360" w:right="40"/>
        <w:spacing w:after="0" w:line="233" w:lineRule="auto"/>
        <w:rPr>
          <w:sz w:val="20"/>
          <w:szCs w:val="20"/>
          <w:color w:val="auto"/>
        </w:rPr>
      </w:pPr>
      <w:r>
        <w:rPr>
          <w:rFonts w:ascii="Arial" w:cs="Arial" w:eastAsia="Arial" w:hAnsi="Arial"/>
          <w:sz w:val="18"/>
          <w:szCs w:val="18"/>
          <w:b w:val="1"/>
          <w:bCs w:val="1"/>
          <w:i w:val="1"/>
          <w:iCs w:val="1"/>
          <w:color w:val="auto"/>
        </w:rPr>
        <w:t>NFE is a holding company. NFE’s sole material asset after completion of this offering will be its equity interest in NFI, and accordingly, NFE will be dependent upon distributions from NFI to pay taxes and cover its corporate and other overhead expenses.</w:t>
      </w:r>
    </w:p>
    <w:p>
      <w:pPr>
        <w:spacing w:after="0" w:line="81" w:lineRule="exact"/>
        <w:rPr>
          <w:sz w:val="20"/>
          <w:szCs w:val="20"/>
          <w:color w:val="auto"/>
        </w:rPr>
      </w:pPr>
    </w:p>
    <w:p>
      <w:pPr>
        <w:ind w:firstLine="357"/>
        <w:spacing w:after="0" w:line="267" w:lineRule="auto"/>
        <w:rPr>
          <w:sz w:val="20"/>
          <w:szCs w:val="20"/>
          <w:color w:val="auto"/>
        </w:rPr>
      </w:pPr>
      <w:r>
        <w:rPr>
          <w:rFonts w:ascii="Arial" w:cs="Arial" w:eastAsia="Arial" w:hAnsi="Arial"/>
          <w:sz w:val="17"/>
          <w:szCs w:val="17"/>
          <w:color w:val="auto"/>
        </w:rPr>
        <w:t>NFE is a holding company and will have no material assets other than its equity interest in NFI. Please read “Summary— Organizational Structure.” NFE has no independent means of generating revenue. To the extent NFI has available cash and subject to the terms of NFI’s credit agreements and any other debt instruments, we will cause NFI to make (i) pro rata distributions to holders of NFI LLC Units, including NFE, in an amount sufficient to allow NFE to pay its taxes, (ii) additional pro rata distributions to all holders of NFI LLC Units in an amount generally intended to allow holders of NFI LLC Units (other than NFE) to satisfy their respective income tax liabilities with respect to their allocable share of the income of NFI (based on certain assumptions and conventions and as determined by an entity controlled by Wesley Edens and Randal Nardone (“NFI Holdings”)) and (iii) non pro rata distributions to NFE in an amount at least sufficient to reimburse NFE for its corporate and other overhead expenses. To the extent that NFE needs funds and NFI or its subsidiaries are restricted from making such distributions under applicable law or regulation or under the terms of their financing arrangements or are otherwise unable to provide such funds, NFE’s liquidity and financial condition could be adversely affected.</w:t>
      </w:r>
    </w:p>
    <w:p>
      <w:pPr>
        <w:spacing w:after="0" w:line="170" w:lineRule="exact"/>
        <w:rPr>
          <w:sz w:val="20"/>
          <w:szCs w:val="20"/>
          <w:color w:val="auto"/>
        </w:rPr>
      </w:pPr>
    </w:p>
    <w:p>
      <w:pPr>
        <w:ind w:left="360"/>
        <w:spacing w:after="0" w:line="229" w:lineRule="auto"/>
        <w:rPr>
          <w:sz w:val="20"/>
          <w:szCs w:val="20"/>
          <w:color w:val="auto"/>
        </w:rPr>
      </w:pPr>
      <w:r>
        <w:rPr>
          <w:rFonts w:ascii="Arial" w:cs="Arial" w:eastAsia="Arial" w:hAnsi="Arial"/>
          <w:sz w:val="18"/>
          <w:szCs w:val="18"/>
          <w:b w:val="1"/>
          <w:bCs w:val="1"/>
          <w:i w:val="1"/>
          <w:iCs w:val="1"/>
          <w:color w:val="auto"/>
        </w:rPr>
        <w:t>In certain circumstances, NFI will be required to make tax distributions to holders of NFI LLC Units, and such tax distributions may be substantial. To the extent NFE receives tax distributions in excess of its actual tax liabilities and retains such excess cash, the holders of NFI LLC Units would benefit from such accumulated cash balances if they exercise their Redemption Right.</w:t>
      </w:r>
    </w:p>
    <w:p>
      <w:pPr>
        <w:spacing w:after="0" w:line="82" w:lineRule="exact"/>
        <w:rPr>
          <w:sz w:val="20"/>
          <w:szCs w:val="20"/>
          <w:color w:val="auto"/>
        </w:rPr>
      </w:pPr>
    </w:p>
    <w:p>
      <w:pPr>
        <w:ind w:right="20" w:firstLine="357"/>
        <w:spacing w:after="0" w:line="261" w:lineRule="auto"/>
        <w:rPr>
          <w:sz w:val="20"/>
          <w:szCs w:val="20"/>
          <w:color w:val="auto"/>
        </w:rPr>
      </w:pPr>
      <w:r>
        <w:rPr>
          <w:rFonts w:ascii="Arial" w:cs="Arial" w:eastAsia="Arial" w:hAnsi="Arial"/>
          <w:sz w:val="18"/>
          <w:szCs w:val="18"/>
          <w:color w:val="auto"/>
        </w:rPr>
        <w:t>Pursuant to the NFI LLC Agreement, NFI will make generally pro rata distributions to the holders of NFI LLC Units, including NFE, in an amount sufficient to allow NFE to satisfy its actual tax liabilities. In addition, to the extent NFI has available cash, NFI will be required to make additional pro rata tax distributions to all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holders of NFI LLC Units in an amount generally intended to allow the holders of NFI LLC Units (other than NFE) to satisfy their assumed tax liabilities with respect to their allocable share of the income of NFI (based on certain assumptions and conventions and as determined by NFI Holdings). For this purpose, the determination of available cash will take into account, among other factors,</w:t>
      </w:r>
    </w:p>
    <w:p>
      <w:pPr>
        <w:spacing w:after="0" w:line="1" w:lineRule="exact"/>
        <w:rPr>
          <w:sz w:val="20"/>
          <w:szCs w:val="20"/>
          <w:color w:val="auto"/>
        </w:rPr>
      </w:pPr>
    </w:p>
    <w:p>
      <w:pPr>
        <w:ind w:right="160" w:firstLine="5"/>
        <w:spacing w:after="0" w:line="253" w:lineRule="auto"/>
        <w:tabs>
          <w:tab w:leader="none" w:pos="2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existing indebtedness and other obligations of NFI and its subsidiaries and their anticipated borrowing needs, (ii) the ability of NFI and its subsidiaries to take on additional indebtedness on commercially reasonable terms and (iii) any necessary or appropriate reserves.</w:t>
      </w:r>
    </w:p>
    <w:p>
      <w:pPr>
        <w:spacing w:after="0" w:line="82" w:lineRule="exact"/>
        <w:rPr>
          <w:sz w:val="20"/>
          <w:szCs w:val="20"/>
          <w:color w:val="auto"/>
        </w:rPr>
      </w:pPr>
    </w:p>
    <w:p>
      <w:pPr>
        <w:ind w:right="40" w:firstLine="357"/>
        <w:spacing w:after="0" w:line="289" w:lineRule="auto"/>
        <w:rPr>
          <w:sz w:val="20"/>
          <w:szCs w:val="20"/>
          <w:color w:val="auto"/>
        </w:rPr>
      </w:pPr>
      <w:r>
        <w:rPr>
          <w:rFonts w:ascii="Arial" w:cs="Arial" w:eastAsia="Arial" w:hAnsi="Arial"/>
          <w:sz w:val="16"/>
          <w:szCs w:val="16"/>
          <w:color w:val="auto"/>
        </w:rPr>
        <w:t>The amount of such additional tax distributions will be determined based on certain assumptions, including assumed income tax rates, and will be calculated after taking into account other distributions (including other tax distributions) made by NFI. Additional tax distributions may significantly exceed the actual tax liability for many of the holders of NFI LLC Units, including NFE. If NFE retains the excess cash it receives from such distributions, the holders of NFI LLC Units would benefit from any value attributable to such accumulated cash balances as a result of their exercise of the Redemption Right. However, we intend to take steps to eliminate any material excess cash balances, which could include, but is not necessarily limited to, a distribution of the excess cash to holders of our Class A shares or the reinvestment of such cash in NFI for additional NFI LLC Units.</w:t>
      </w:r>
    </w:p>
    <w:p>
      <w:pPr>
        <w:spacing w:after="0" w:line="59"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color w:val="auto"/>
        </w:rPr>
        <w:t>In addition, the tax distributions that NFI may be required to make may be substantial. In addition, the amount of any additional tax distributions NFI is required to make likely will exceed the tax liabilities that would be owed by a corporate taxpayer similarly situated to NFI. Funds used by NFI to satisfy its obligation to make tax distributions will not be available for reinvestment in our business, except to the extent NFE or certain other holders of NFI LLC Units use any excess cash received to reinvest in NFI for additional NFI LLC Units. In addition, because cash available for additional tax distributions will be determined taking into account the ability of NFI and its subsidiaries to take on additional borrowing, NFI may be required to increase its indebtedness in order to fund additional tax distributions. Such additional borrowing may adversely affect our financial condition and business operations by, without limitation, limiting our ability to borrow in the future for other purposes, such as capital expenditures, and increasing our interest expense and leverage ratios.</w:t>
      </w:r>
    </w:p>
    <w:p>
      <w:pPr>
        <w:spacing w:after="0" w:line="21" w:lineRule="exact"/>
        <w:rPr>
          <w:sz w:val="20"/>
          <w:szCs w:val="20"/>
          <w:color w:val="auto"/>
        </w:rPr>
      </w:pPr>
    </w:p>
    <w:p>
      <w:pPr>
        <w:ind w:left="360" w:right="660"/>
        <w:spacing w:after="0" w:line="259" w:lineRule="auto"/>
        <w:rPr>
          <w:sz w:val="20"/>
          <w:szCs w:val="20"/>
          <w:color w:val="auto"/>
        </w:rPr>
      </w:pPr>
      <w:r>
        <w:rPr>
          <w:rFonts w:ascii="Arial" w:cs="Arial" w:eastAsia="Arial" w:hAnsi="Arial"/>
          <w:sz w:val="18"/>
          <w:szCs w:val="18"/>
          <w:b w:val="1"/>
          <w:bCs w:val="1"/>
          <w:i w:val="1"/>
          <w:iCs w:val="1"/>
          <w:color w:val="auto"/>
        </w:rPr>
        <w:t>If NFI were to become a publicly traded partnership taxable as a corporation for U.S. federal income tax purposes, significant tax inefficiencies might result.</w:t>
      </w:r>
    </w:p>
    <w:p>
      <w:pPr>
        <w:spacing w:after="0" w:line="63" w:lineRule="exact"/>
        <w:rPr>
          <w:sz w:val="20"/>
          <w:szCs w:val="20"/>
          <w:color w:val="auto"/>
        </w:rPr>
      </w:pPr>
    </w:p>
    <w:p>
      <w:pPr>
        <w:ind w:firstLine="357"/>
        <w:spacing w:after="0" w:line="285" w:lineRule="auto"/>
        <w:rPr>
          <w:sz w:val="20"/>
          <w:szCs w:val="20"/>
          <w:color w:val="auto"/>
        </w:rPr>
      </w:pPr>
      <w:r>
        <w:rPr>
          <w:rFonts w:ascii="Arial" w:cs="Arial" w:eastAsia="Arial" w:hAnsi="Arial"/>
          <w:sz w:val="16"/>
          <w:szCs w:val="16"/>
          <w:color w:val="auto"/>
        </w:rPr>
        <w:t>We intend to operate such that NFI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NFI LLC Units pursuant to the Redemption Right (or our Call Right) or other transfers of NFI LLC Units could cause NFI to be treated as a publicly traded partnership. Applicable U.S. Treasury regulations provide for certain safe harbors from treatment as a publicly traded partnership, and we intend to operate such that redemptions or other transfers of NFI LLC Units qualify for one or more such safe harbors. For example, we intend to limit the number of unitholders of NFI, and the NFI LLC Agreement, which will be entered into in connection with the closing of this offering, will provide for limitations on the ability of unitholders of NFI to transfer their NFI LLC Units and will provide us, as managing member of NFI, with the right to impose restrictions (in addition to those already in place) on the ability of unitholders of NFI to redeem their NFI LLC Units pursuant to the Redemption Right to the extent we believe it is necessary to ensure that NFI will continue to be treated as a partnership for U.S. federal income tax purposes.</w:t>
      </w:r>
    </w:p>
    <w:p>
      <w:pPr>
        <w:spacing w:after="0" w:line="65" w:lineRule="exact"/>
        <w:rPr>
          <w:sz w:val="20"/>
          <w:szCs w:val="20"/>
          <w:color w:val="auto"/>
        </w:rPr>
      </w:pPr>
    </w:p>
    <w:p>
      <w:pPr>
        <w:ind w:right="80" w:firstLine="357"/>
        <w:spacing w:after="0" w:line="274" w:lineRule="auto"/>
        <w:rPr>
          <w:sz w:val="20"/>
          <w:szCs w:val="20"/>
          <w:color w:val="auto"/>
        </w:rPr>
      </w:pPr>
      <w:r>
        <w:rPr>
          <w:rFonts w:ascii="Arial" w:cs="Arial" w:eastAsia="Arial" w:hAnsi="Arial"/>
          <w:sz w:val="18"/>
          <w:szCs w:val="18"/>
          <w:color w:val="auto"/>
        </w:rPr>
        <w:t>If NFI were to become a publicly traded partnership, significant tax inefficiencies might result for us and for NFI, including as a result of our inability to file a consolidated U.S. federal income tax return with NFI.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19" w:lineRule="exact"/>
        <w:rPr>
          <w:sz w:val="20"/>
          <w:szCs w:val="20"/>
          <w:color w:val="auto"/>
        </w:rPr>
      </w:pPr>
    </w:p>
    <w:p>
      <w:pPr>
        <w:ind w:right="100" w:firstLine="357"/>
        <w:spacing w:after="0" w:line="257" w:lineRule="auto"/>
        <w:rPr>
          <w:sz w:val="20"/>
          <w:szCs w:val="20"/>
          <w:color w:val="auto"/>
        </w:rPr>
      </w:pPr>
      <w:r>
        <w:rPr>
          <w:rFonts w:ascii="Arial" w:cs="Arial" w:eastAsia="Arial" w:hAnsi="Arial"/>
          <w:sz w:val="18"/>
          <w:szCs w:val="18"/>
          <w:color w:val="auto"/>
        </w:rPr>
        <w:t>We expect the estimated net proceeds from this offering to be approximately $276.5 million, after deducting offering expenses and underwriting discounts and commissions, based on the proposed initial public offering price of $15.00 per Class A share. If the underwriters exercise their option to purchase additional Class A shares in full, we expect the estimated net proceeds to be approximately $318.9 million. See “Underwriting.”</w:t>
      </w:r>
    </w:p>
    <w:p>
      <w:pPr>
        <w:spacing w:after="0" w:line="79" w:lineRule="exact"/>
        <w:rPr>
          <w:sz w:val="20"/>
          <w:szCs w:val="20"/>
          <w:color w:val="auto"/>
        </w:rPr>
      </w:pPr>
    </w:p>
    <w:p>
      <w:pPr>
        <w:ind w:firstLine="357"/>
        <w:spacing w:after="0" w:line="266" w:lineRule="auto"/>
        <w:rPr>
          <w:sz w:val="20"/>
          <w:szCs w:val="20"/>
          <w:color w:val="auto"/>
        </w:rPr>
      </w:pPr>
      <w:r>
        <w:rPr>
          <w:rFonts w:ascii="Arial" w:cs="Arial" w:eastAsia="Arial" w:hAnsi="Arial"/>
          <w:sz w:val="17"/>
          <w:szCs w:val="17"/>
          <w:color w:val="auto"/>
        </w:rPr>
        <w:t>We will contribute the net proceeds of this offering to NFI in exchange for NFI’s issuance to us of NFI LLC Units. NFI intends to use the net proceeds from this offering in the following manner: approximately (i) $20 million to complete the construction of the Old Harbour Terminal, (ii) $100 million to partially fund the construction of the CHP Plant, (iii) $50 million to partially fund the construction of the La Paz Terminal, (iv) $100 million to complete the construction of the San Juan Facility and (v) the remainder for general company purposes, including potential development of additional liquefiers and downstream facilities in the future. We will need an additional approximately (i) $30 million to complete the construction of the CHP Plant and (ii) $60 million to complete the construction of the La Paz Terminal. We intend to use a combination of cash on hand and additional borrowings under our Term Loan Facility to complete the construction of the CHP Plant and the La Paz Terminal. If the underwriters exercise their option to purchase additional Class A shares in full, the additional net proceeds will be approximately $42.4 million, based on the proposed initial public offering price of $15.00 per Class A share. The net proceeds from any exercise of such option will be contributed to NFI in exchange for NFI’s issuance to us of NFI LLC Units. After the application of the net proceeds from this offering, we will own a 12.0% membership interest in NFI (or a 13.5% membership interest if the underwriters’ option to purchase additional Class A shares is exercised in full). Please read “Security Ownership of Certain Beneficial Owners and Management.” For a description of our Terminals and Liquefaction Facilities, see “Business.”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Pending any use, the net proceeds of this offering may be invested in short-term, interest-bearing investment-grade securities.</w:t>
      </w:r>
    </w:p>
    <w:p>
      <w:pPr>
        <w:spacing w:after="0" w:line="138" w:lineRule="exact"/>
        <w:rPr>
          <w:sz w:val="20"/>
          <w:szCs w:val="20"/>
          <w:color w:val="auto"/>
        </w:rPr>
      </w:pPr>
    </w:p>
    <w:p>
      <w:pPr>
        <w:ind w:right="220" w:firstLine="357"/>
        <w:spacing w:after="0" w:line="255" w:lineRule="auto"/>
        <w:rPr>
          <w:sz w:val="20"/>
          <w:szCs w:val="20"/>
          <w:color w:val="auto"/>
        </w:rPr>
      </w:pPr>
      <w:r>
        <w:rPr>
          <w:rFonts w:ascii="Arial" w:cs="Arial" w:eastAsia="Arial" w:hAnsi="Arial"/>
          <w:sz w:val="18"/>
          <w:szCs w:val="18"/>
          <w:color w:val="auto"/>
        </w:rPr>
        <w:t>Assuming no exercise of the underwriters’ option to purchase additional Class A shares, a $1.00 increase (decrease) in the proposed initial public offering price of $15.00 per Class A share would increase (decrease) the net proceeds from this offering received by us, after deducting the underwriting discounts and commissions and estimated offering expenses, by approximately $18.9 million, assuming the number of Class A shares offered by us, as set forth on the cover page of this prospectus, remains the same.</w:t>
      </w:r>
    </w:p>
    <w:p>
      <w:pPr>
        <w:spacing w:after="0" w:line="81" w:lineRule="exact"/>
        <w:rPr>
          <w:sz w:val="20"/>
          <w:szCs w:val="20"/>
          <w:color w:val="auto"/>
        </w:rPr>
      </w:pPr>
    </w:p>
    <w:p>
      <w:pPr>
        <w:ind w:right="100" w:firstLine="357"/>
        <w:spacing w:after="0" w:line="270" w:lineRule="auto"/>
        <w:rPr>
          <w:sz w:val="20"/>
          <w:szCs w:val="20"/>
          <w:color w:val="auto"/>
        </w:rPr>
      </w:pPr>
      <w:r>
        <w:rPr>
          <w:rFonts w:ascii="Arial" w:cs="Arial" w:eastAsia="Arial" w:hAnsi="Arial"/>
          <w:sz w:val="17"/>
          <w:szCs w:val="17"/>
          <w:color w:val="auto"/>
        </w:rPr>
        <w:t>If the proceeds increase due to a higher initial public offering price or due to the issuance of additional shares by us, we would contribute the additional net proceeds received by us to NFI in exchange for NFI LLC Units. NFI intends to use any additional net proceeds for general company purposes. If the proceeds decrease due to a lower initial public offering price or a decrease in the number of shares issued by us, then we would decrease the amount of net proceeds contributed to NFI and NFI would reduce by a corresponding amount the net proceeds directed to general company purposes and to the construction of our Terminals. Any reduction in net proceeds may cause us to need to incur additional indebtedness to fund our operations, which would increase our interest expense and decrease our net income.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CAPITALIZATION</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cash equivalents and our capitalization as of September 30, 2018:</w:t>
      </w:r>
    </w:p>
    <w:p>
      <w:pPr>
        <w:spacing w:after="0" w:line="115" w:lineRule="exact"/>
        <w:rPr>
          <w:sz w:val="20"/>
          <w:szCs w:val="20"/>
          <w:color w:val="auto"/>
        </w:rPr>
      </w:pPr>
    </w:p>
    <w:p>
      <w:pPr>
        <w:ind w:left="700" w:hanging="34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4" w:lineRule="exact"/>
        <w:rPr>
          <w:rFonts w:ascii="Arial" w:cs="Arial" w:eastAsia="Arial" w:hAnsi="Arial"/>
          <w:sz w:val="18"/>
          <w:szCs w:val="18"/>
          <w:color w:val="auto"/>
        </w:rPr>
      </w:pPr>
    </w:p>
    <w:p>
      <w:pPr>
        <w:ind w:left="700" w:right="40" w:hanging="346"/>
        <w:spacing w:after="0" w:line="277"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an as adjusted basis to give effect to (i) the Transactions and (ii) the sale by us of Class A shares at the initial public offering price of $15.00 per Class A share (which is the proposed initial public offering price on the cover page of this prospectus), after deducting underwriting discounts and commissions and estimated offering expenses, and the application of the proceeds from this offering, each as described under “Use of Proceeds.”</w:t>
      </w:r>
    </w:p>
    <w:p>
      <w:pPr>
        <w:spacing w:after="0" w:line="63" w:lineRule="exact"/>
        <w:rPr>
          <w:sz w:val="20"/>
          <w:szCs w:val="20"/>
          <w:color w:val="auto"/>
        </w:rPr>
      </w:pPr>
    </w:p>
    <w:p>
      <w:pPr>
        <w:ind w:firstLine="357"/>
        <w:spacing w:after="0" w:line="299" w:lineRule="auto"/>
        <w:rPr>
          <w:sz w:val="20"/>
          <w:szCs w:val="20"/>
          <w:color w:val="auto"/>
        </w:rPr>
      </w:pPr>
      <w:r>
        <w:rPr>
          <w:rFonts w:ascii="Arial" w:cs="Arial" w:eastAsia="Arial" w:hAnsi="Arial"/>
          <w:sz w:val="16"/>
          <w:szCs w:val="16"/>
          <w:color w:val="auto"/>
        </w:rPr>
        <w:t>The as adjusted information set forth in the table below is illustrative only and will be adjusted based on the actual initial public offering price and other terms of this offering determined at pricing. You should read this table in conjunction with “Summary— Formation Transactions and Structure,” “Use of Proceeds,” “Management’s Discussion and Analysis of Financial Condition and Results of Operations” and our consolidated financial statements and related notes contained elsewhere in this prospectus.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As of September 30, 2018</w:t>
            </w:r>
          </w:p>
        </w:tc>
        <w:tc>
          <w:tcPr>
            <w:tcW w:w="100" w:type="dxa"/>
            <w:vAlign w:val="bottom"/>
          </w:tcPr>
          <w:p>
            <w:pPr>
              <w:spacing w:after="0"/>
              <w:rPr>
                <w:sz w:val="14"/>
                <w:szCs w:val="14"/>
                <w:color w:val="auto"/>
              </w:rPr>
            </w:pPr>
          </w:p>
        </w:tc>
      </w:tr>
      <w:tr>
        <w:trPr>
          <w:trHeight w:val="157"/>
        </w:trPr>
        <w:tc>
          <w:tcPr>
            <w:tcW w:w="14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520"/>
              <w:spacing w:after="0" w:line="157" w:lineRule="exact"/>
              <w:rPr>
                <w:sz w:val="20"/>
                <w:szCs w:val="20"/>
                <w:color w:val="auto"/>
              </w:rPr>
            </w:pPr>
            <w:r>
              <w:rPr>
                <w:rFonts w:ascii="Arial" w:cs="Arial" w:eastAsia="Arial" w:hAnsi="Arial"/>
                <w:sz w:val="14"/>
                <w:szCs w:val="14"/>
                <w:b w:val="1"/>
                <w:bCs w:val="1"/>
                <w:color w:val="auto"/>
              </w:rPr>
              <w:t>As</w:t>
            </w:r>
          </w:p>
        </w:tc>
      </w:tr>
      <w:tr>
        <w:trPr>
          <w:trHeight w:val="185"/>
        </w:trPr>
        <w:tc>
          <w:tcPr>
            <w:tcW w:w="14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4"/>
              <w:spacing w:after="0" w:line="186" w:lineRule="exact"/>
              <w:rPr>
                <w:sz w:val="20"/>
                <w:szCs w:val="20"/>
                <w:color w:val="auto"/>
              </w:rPr>
            </w:pPr>
            <w:r>
              <w:rPr>
                <w:rFonts w:ascii="Arial" w:cs="Arial" w:eastAsia="Arial" w:hAnsi="Arial"/>
                <w:sz w:val="13"/>
                <w:szCs w:val="13"/>
                <w:b w:val="1"/>
                <w:bCs w:val="1"/>
                <w:color w:val="auto"/>
              </w:rPr>
              <w:t>Adjusted</w:t>
            </w:r>
            <w:r>
              <w:rPr>
                <w:rFonts w:ascii="Arial" w:cs="Arial" w:eastAsia="Arial" w:hAnsi="Arial"/>
                <w:sz w:val="21"/>
                <w:szCs w:val="21"/>
                <w:b w:val="1"/>
                <w:bCs w:val="1"/>
                <w:color w:val="auto"/>
                <w:vertAlign w:val="superscript"/>
              </w:rPr>
              <w:t>(1)</w:t>
            </w:r>
          </w:p>
        </w:tc>
        <w:tc>
          <w:tcPr>
            <w:tcW w:w="100" w:type="dxa"/>
            <w:vAlign w:val="bottom"/>
          </w:tcPr>
          <w:p>
            <w:pPr>
              <w:spacing w:after="0"/>
              <w:rPr>
                <w:sz w:val="16"/>
                <w:szCs w:val="16"/>
                <w:color w:val="auto"/>
              </w:rPr>
            </w:pPr>
          </w:p>
        </w:tc>
      </w:tr>
      <w:tr>
        <w:trPr>
          <w:trHeight w:val="195"/>
        </w:trPr>
        <w:tc>
          <w:tcPr>
            <w:tcW w:w="14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(Dollars in thousands)</w:t>
            </w:r>
          </w:p>
        </w:tc>
      </w:tr>
      <w:tr>
        <w:trPr>
          <w:trHeight w:val="248"/>
        </w:trPr>
        <w:tc>
          <w:tcPr>
            <w:tcW w:w="6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51,903</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328,353</w:t>
            </w:r>
          </w:p>
        </w:tc>
      </w:tr>
      <w:tr>
        <w:trPr>
          <w:trHeight w:val="27"/>
        </w:trPr>
        <w:tc>
          <w:tcPr>
            <w:tcW w:w="1420" w:type="dxa"/>
            <w:vAlign w:val="bottom"/>
            <w:tcBorders>
              <w:top w:val="single" w:sz="8" w:color="CCEEFF"/>
            </w:tcBorders>
            <w:shd w:val="clear" w:color="auto" w:fill="CCEEFF"/>
          </w:tcPr>
          <w:p>
            <w:pPr>
              <w:spacing w:after="0"/>
              <w:rPr>
                <w:sz w:val="2"/>
                <w:szCs w:val="2"/>
                <w:color w:val="auto"/>
              </w:rPr>
            </w:pPr>
          </w:p>
        </w:tc>
        <w:tc>
          <w:tcPr>
            <w:tcW w:w="552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41"/>
        </w:trPr>
        <w:tc>
          <w:tcPr>
            <w:tcW w:w="6940" w:type="dxa"/>
            <w:vAlign w:val="bottom"/>
            <w:gridSpan w:val="2"/>
          </w:tcPr>
          <w:p>
            <w:pPr>
              <w:spacing w:after="0" w:line="241" w:lineRule="exact"/>
              <w:rPr>
                <w:sz w:val="20"/>
                <w:szCs w:val="20"/>
                <w:color w:val="auto"/>
              </w:rPr>
            </w:pPr>
            <w:r>
              <w:rPr>
                <w:rFonts w:ascii="Arial" w:cs="Arial" w:eastAsia="Arial" w:hAnsi="Arial"/>
                <w:sz w:val="17"/>
                <w:szCs w:val="17"/>
                <w:color w:val="auto"/>
              </w:rPr>
              <w:t>Total debt</w:t>
            </w:r>
            <w:r>
              <w:rPr>
                <w:rFonts w:ascii="Arial" w:cs="Arial" w:eastAsia="Arial" w:hAnsi="Arial"/>
                <w:sz w:val="27"/>
                <w:szCs w:val="27"/>
                <w:color w:val="auto"/>
                <w:vertAlign w:val="superscript"/>
              </w:rPr>
              <w:t>(2)</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121,970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121,970</w:t>
            </w:r>
          </w:p>
        </w:tc>
      </w:tr>
      <w:tr>
        <w:trPr>
          <w:trHeight w:val="241"/>
        </w:trPr>
        <w:tc>
          <w:tcPr>
            <w:tcW w:w="6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Members’ equity/Shareholders’ equity</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426,741</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(123,694)</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(14,808)</w:t>
            </w:r>
          </w:p>
        </w:tc>
      </w:tr>
      <w:tr>
        <w:trPr>
          <w:trHeight w:val="235"/>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3,109</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r>
      <w:tr>
        <w:trPr>
          <w:trHeight w:val="248"/>
        </w:trPr>
        <w:tc>
          <w:tcPr>
            <w:tcW w:w="6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Class A shareholders – Public</w:t>
            </w:r>
          </w:p>
        </w:tc>
        <w:tc>
          <w:tcPr>
            <w:tcW w:w="2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84,176</w:t>
            </w:r>
          </w:p>
        </w:tc>
      </w:tr>
      <w:tr>
        <w:trPr>
          <w:trHeight w:val="228"/>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Class B shareholders – New Fortress Energy Holdings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420" w:type="dxa"/>
            <w:vAlign w:val="bottom"/>
          </w:tcPr>
          <w:p>
            <w:pPr>
              <w:spacing w:after="0"/>
              <w:rPr>
                <w:sz w:val="2"/>
                <w:szCs w:val="2"/>
                <w:color w:val="auto"/>
              </w:rPr>
            </w:pPr>
          </w:p>
        </w:tc>
        <w:tc>
          <w:tcPr>
            <w:tcW w:w="552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69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members’ equity/shareholders’ equity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306,156</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69,740</w:t>
            </w:r>
          </w:p>
        </w:tc>
      </w:tr>
      <w:tr>
        <w:trPr>
          <w:trHeight w:val="27"/>
        </w:trPr>
        <w:tc>
          <w:tcPr>
            <w:tcW w:w="1420" w:type="dxa"/>
            <w:vAlign w:val="bottom"/>
            <w:shd w:val="clear" w:color="auto" w:fill="CCEEFF"/>
          </w:tcPr>
          <w:p>
            <w:pPr>
              <w:spacing w:after="0"/>
              <w:rPr>
                <w:sz w:val="2"/>
                <w:szCs w:val="2"/>
                <w:color w:val="auto"/>
              </w:rPr>
            </w:pPr>
          </w:p>
        </w:tc>
        <w:tc>
          <w:tcPr>
            <w:tcW w:w="552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8"/>
        </w:trPr>
        <w:tc>
          <w:tcPr>
            <w:tcW w:w="694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512,794</w:t>
            </w:r>
          </w:p>
        </w:tc>
      </w:tr>
      <w:tr>
        <w:trPr>
          <w:trHeight w:val="27"/>
        </w:trPr>
        <w:tc>
          <w:tcPr>
            <w:tcW w:w="1420" w:type="dxa"/>
            <w:vAlign w:val="bottom"/>
          </w:tcPr>
          <w:p>
            <w:pPr>
              <w:spacing w:after="0"/>
              <w:rPr>
                <w:sz w:val="2"/>
                <w:szCs w:val="2"/>
                <w:color w:val="auto"/>
              </w:rPr>
            </w:pPr>
          </w:p>
        </w:tc>
        <w:tc>
          <w:tcPr>
            <w:tcW w:w="552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75"/>
        </w:trPr>
        <w:tc>
          <w:tcPr>
            <w:tcW w:w="6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428,054</w:t>
            </w:r>
          </w:p>
        </w:tc>
        <w:tc>
          <w:tcPr>
            <w:tcW w:w="1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704,504</w:t>
            </w:r>
          </w:p>
        </w:tc>
      </w:tr>
      <w:tr>
        <w:trPr>
          <w:trHeight w:val="201"/>
        </w:trPr>
        <w:tc>
          <w:tcPr>
            <w:tcW w:w="1420" w:type="dxa"/>
            <w:vAlign w:val="bottom"/>
            <w:tcBorders>
              <w:top w:val="single" w:sz="8" w:color="CCEEFF"/>
              <w:bottom w:val="single" w:sz="8" w:color="auto"/>
            </w:tcBorders>
          </w:tcPr>
          <w:p>
            <w:pPr>
              <w:spacing w:after="0"/>
              <w:rPr>
                <w:sz w:val="17"/>
                <w:szCs w:val="17"/>
                <w:color w:val="auto"/>
              </w:rPr>
            </w:pPr>
          </w:p>
        </w:tc>
        <w:tc>
          <w:tcPr>
            <w:tcW w:w="55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bl>
    <w:p>
      <w:pPr>
        <w:spacing w:after="0" w:line="102" w:lineRule="exact"/>
        <w:rPr>
          <w:sz w:val="20"/>
          <w:szCs w:val="20"/>
          <w:color w:val="auto"/>
        </w:rPr>
      </w:pPr>
    </w:p>
    <w:p>
      <w:pPr>
        <w:ind w:left="360" w:right="60" w:hanging="355"/>
        <w:spacing w:after="0" w:line="246" w:lineRule="auto"/>
        <w:tabs>
          <w:tab w:leader="none" w:pos="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Each $1.00 increase (decrease) in the proposed initial public offering price of $15.00 per share would increase (decrease) our as adjusted cash, total shareholders’ equity and total capitalization by approximately $18.9 million, assuming that the number of Class A shares offered by us, as set forth on the cover page of this prospectus, remains the same, after deducting underwriting discounts and commissions and estimated offering expenses payable by us. Each increase (decrease) of 1,000,000 shares in the number of Class A shares offered by us would increase (decrease) the amount of our as adjusted cash, total shareholders’ equity and total capitalization by approximately $14.1 million, based on the proposed initial public offering price of $15.00 per share, after deducting underwriting discounts and commissions and estimated offering expenses payable by us.</w:t>
      </w:r>
    </w:p>
    <w:p>
      <w:pPr>
        <w:spacing w:after="0" w:line="83" w:lineRule="exact"/>
        <w:rPr>
          <w:rFonts w:ascii="Arial" w:cs="Arial" w:eastAsia="Arial" w:hAnsi="Arial"/>
          <w:sz w:val="14"/>
          <w:szCs w:val="14"/>
          <w:color w:val="auto"/>
        </w:rPr>
      </w:pPr>
    </w:p>
    <w:p>
      <w:pPr>
        <w:ind w:left="360" w:right="80" w:hanging="355"/>
        <w:spacing w:after="0" w:line="265" w:lineRule="auto"/>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Amounts presented are net of unamortized debt issuance costs as of September 30, 2018. We had total debt of approximately $280 million (excluding debt issuance costs) after giving effect to the recent amendment to our Term Loan Facility as described under “Management’s Discussion and Analysis of Financial Condition and Results of Operations—Liquidity and Capital Resources—Long-Term Debt—Term Loan Facility.” The recent amendment to our Term Loan Facility to, among other things, increase the amount available for borrowing thereunder from $240 million to $500 million has not been reflected above. We expect to draw the remaining $220 million under our Term Loan Facility contemporaneously with the completion of this offering. As of September 30, 2018, on a pro forma basis after giving effect to this offering and the total $500 million of borrowing under the Term Loan Facility amended on December 31, 2018, we would have had $698.4 million in cash and cash equivalents and $500 million of total indebtedness outstanding. The pro forma total indebtedness outstanding as of September 30, 2018 does not include deferred financing costs.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19" w:lineRule="exact"/>
        <w:rPr>
          <w:sz w:val="20"/>
          <w:szCs w:val="20"/>
          <w:color w:val="auto"/>
        </w:rPr>
      </w:pPr>
    </w:p>
    <w:p>
      <w:pPr>
        <w:ind w:right="80" w:firstLine="357"/>
        <w:spacing w:after="0" w:line="273" w:lineRule="auto"/>
        <w:rPr>
          <w:sz w:val="20"/>
          <w:szCs w:val="20"/>
          <w:color w:val="auto"/>
        </w:rPr>
      </w:pPr>
      <w:r>
        <w:rPr>
          <w:rFonts w:ascii="Arial" w:cs="Arial" w:eastAsia="Arial" w:hAnsi="Arial"/>
          <w:sz w:val="17"/>
          <w:szCs w:val="17"/>
          <w:color w:val="auto"/>
        </w:rPr>
        <w:t>Dilution is the amount by which the offering price per Class A share in this offering will exceed the pro forma net tangible book value per share after the offering. On a pro forma basis as of September 30, 2018, after giving effect to the offering of Class A shares and the Transactions, our net tangible book value was approximately $583 million, or $3.49 per Class A share. Purchasers of Class A shares in this offering will experience substantial and immediate dilution in pro forma net tangible book value per Class A share for financial accounting purposes, as illustrated in the following table.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Proposed initial public offering price per Class A share</w:t>
            </w:r>
          </w:p>
        </w:tc>
        <w:tc>
          <w:tcPr>
            <w:tcW w:w="5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1"/>
        </w:trPr>
        <w:tc>
          <w:tcPr>
            <w:tcW w:w="6920" w:type="dxa"/>
            <w:vAlign w:val="bottom"/>
            <w:gridSpan w:val="2"/>
          </w:tcPr>
          <w:p>
            <w:pPr>
              <w:spacing w:after="0" w:line="241" w:lineRule="exact"/>
              <w:rPr>
                <w:sz w:val="20"/>
                <w:szCs w:val="20"/>
                <w:color w:val="auto"/>
              </w:rPr>
            </w:pPr>
            <w:r>
              <w:rPr>
                <w:rFonts w:ascii="Arial" w:cs="Arial" w:eastAsia="Arial" w:hAnsi="Arial"/>
                <w:sz w:val="17"/>
                <w:szCs w:val="17"/>
                <w:color w:val="auto"/>
              </w:rPr>
              <w:t>Pro forma net tangible book value per Class A share before the offering</w:t>
            </w:r>
            <w:r>
              <w:rPr>
                <w:rFonts w:ascii="Arial" w:cs="Arial" w:eastAsia="Arial" w:hAnsi="Arial"/>
                <w:sz w:val="27"/>
                <w:szCs w:val="27"/>
                <w:color w:val="auto"/>
                <w:vertAlign w:val="superscript"/>
              </w:rPr>
              <w:t>(1)</w:t>
            </w: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purchasers in the offering</w:t>
            </w:r>
          </w:p>
        </w:tc>
        <w:tc>
          <w:tcPr>
            <w:tcW w:w="5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4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920" w:type="dxa"/>
            <w:vAlign w:val="bottom"/>
            <w:tcBorders>
              <w:top w:val="single" w:sz="8" w:color="CCEEFF"/>
            </w:tcBorders>
            <w:gridSpan w:val="2"/>
          </w:tcPr>
          <w:p>
            <w:pPr>
              <w:spacing w:after="0" w:line="228" w:lineRule="exact"/>
              <w:rPr>
                <w:sz w:val="20"/>
                <w:szCs w:val="20"/>
                <w:color w:val="auto"/>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Pro forma net tangible book value per share after the offering</w:t>
            </w:r>
            <w:r>
              <w:rPr>
                <w:rFonts w:ascii="Arial" w:cs="Arial" w:eastAsia="Arial" w:hAnsi="Arial"/>
                <w:sz w:val="26"/>
                <w:szCs w:val="26"/>
                <w:color w:val="auto"/>
                <w:vertAlign w:val="superscript"/>
              </w:rPr>
              <w:t>(2)</w:t>
            </w:r>
          </w:p>
        </w:tc>
        <w:tc>
          <w:tcPr>
            <w:tcW w:w="5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92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Immediate dilution in net tangible book value per Class A share to purchasers in the</w:t>
            </w:r>
          </w:p>
        </w:tc>
        <w:tc>
          <w:tcPr>
            <w:tcW w:w="5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72"/>
        </w:trPr>
        <w:tc>
          <w:tcPr>
            <w:tcW w:w="692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6"/>
                <w:szCs w:val="16"/>
                <w:color w:val="auto"/>
              </w:rPr>
              <w:t>offering</w:t>
            </w:r>
            <w:r>
              <w:rPr>
                <w:rFonts w:ascii="Arial" w:cs="Arial" w:eastAsia="Arial" w:hAnsi="Arial"/>
                <w:sz w:val="26"/>
                <w:szCs w:val="26"/>
                <w:color w:val="auto"/>
                <w:vertAlign w:val="superscript"/>
              </w:rPr>
              <w:t>(3)(4)</w:t>
            </w:r>
          </w:p>
        </w:tc>
        <w:tc>
          <w:tcPr>
            <w:tcW w:w="500" w:type="dxa"/>
            <w:vAlign w:val="bottom"/>
            <w:shd w:val="clear" w:color="auto" w:fill="CCEEFF"/>
          </w:tcPr>
          <w:p>
            <w:pPr>
              <w:spacing w:after="0"/>
              <w:rPr>
                <w:sz w:val="23"/>
                <w:szCs w:val="23"/>
                <w:color w:val="auto"/>
              </w:rPr>
            </w:pPr>
          </w:p>
        </w:tc>
        <w:tc>
          <w:tcPr>
            <w:tcW w:w="840" w:type="dxa"/>
            <w:vAlign w:val="bottom"/>
            <w:gridSpan w:val="2"/>
            <w:vMerge w:val="continue"/>
            <w:shd w:val="clear" w:color="auto" w:fill="CCEEFF"/>
          </w:tcPr>
          <w:p>
            <w:pPr>
              <w:spacing w:after="0"/>
              <w:rPr>
                <w:sz w:val="23"/>
                <w:szCs w:val="23"/>
                <w:color w:val="auto"/>
              </w:rPr>
            </w:pPr>
          </w:p>
        </w:tc>
        <w:tc>
          <w:tcPr>
            <w:tcW w:w="440" w:type="dxa"/>
            <w:vAlign w:val="bottom"/>
            <w:vMerge w:val="continue"/>
            <w:shd w:val="clear" w:color="auto" w:fill="CCEEFF"/>
          </w:tcPr>
          <w:p>
            <w:pPr>
              <w:spacing w:after="0"/>
              <w:rPr>
                <w:sz w:val="23"/>
                <w:szCs w:val="23"/>
                <w:color w:val="auto"/>
              </w:rPr>
            </w:pPr>
          </w:p>
        </w:tc>
        <w:tc>
          <w:tcPr>
            <w:tcW w:w="80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1420" w:type="dxa"/>
            <w:vAlign w:val="bottom"/>
            <w:tcBorders>
              <w:top w:val="single" w:sz="8" w:color="CCEEFF"/>
              <w:bottom w:val="single" w:sz="8" w:color="auto"/>
            </w:tcBorders>
          </w:tcPr>
          <w:p>
            <w:pPr>
              <w:spacing w:after="0"/>
              <w:rPr>
                <w:sz w:val="17"/>
                <w:szCs w:val="17"/>
                <w:color w:val="auto"/>
              </w:rPr>
            </w:pPr>
          </w:p>
        </w:tc>
        <w:tc>
          <w:tcPr>
            <w:tcW w:w="55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60" w:right="300" w:hanging="355"/>
        <w:spacing w:after="0" w:line="270" w:lineRule="auto"/>
        <w:tabs>
          <w:tab w:leader="none" w:pos="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Determined by dividing the number of Class B shares (147,058,824 Class B shares) to be issued to New Fortress Energy Holdings for their contribution of assets and liabilities to us into the pro forma net tangible book value of the contributed assets and liabilities.</w:t>
      </w:r>
    </w:p>
    <w:p>
      <w:pPr>
        <w:spacing w:after="0" w:line="67" w:lineRule="exact"/>
        <w:rPr>
          <w:rFonts w:ascii="Arial" w:cs="Arial" w:eastAsia="Arial" w:hAnsi="Arial"/>
          <w:sz w:val="14"/>
          <w:szCs w:val="14"/>
          <w:color w:val="auto"/>
        </w:rPr>
      </w:pPr>
    </w:p>
    <w:p>
      <w:pPr>
        <w:ind w:left="360" w:right="340" w:hanging="355"/>
        <w:spacing w:after="0" w:line="309" w:lineRule="auto"/>
        <w:tabs>
          <w:tab w:leader="none" w:pos="3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Determined by dividing the number of shares to be outstanding after this offering (20,000,000 Class A shares and 147,058,824 Class B shares) and the application of the related net proceeds into our pro forma net tangible book value, after giving effect to the application of the net proceeds of this offering.</w:t>
      </w:r>
    </w:p>
    <w:p>
      <w:pPr>
        <w:spacing w:after="0" w:line="44" w:lineRule="exact"/>
        <w:rPr>
          <w:rFonts w:ascii="Arial" w:cs="Arial" w:eastAsia="Arial" w:hAnsi="Arial"/>
          <w:sz w:val="13"/>
          <w:szCs w:val="13"/>
          <w:color w:val="auto"/>
        </w:rPr>
      </w:pPr>
    </w:p>
    <w:p>
      <w:pPr>
        <w:ind w:left="360" w:right="280" w:hanging="355"/>
        <w:spacing w:after="0" w:line="270" w:lineRule="auto"/>
        <w:tabs>
          <w:tab w:leader="none" w:pos="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If the initial public offering price were to increase or decrease by $1.00 per Class A share, then dilution in net tangible book value per Class A share would equal $12.40 and $10.63, respectively.</w:t>
      </w:r>
    </w:p>
    <w:p>
      <w:pPr>
        <w:spacing w:after="0" w:line="67" w:lineRule="exact"/>
        <w:rPr>
          <w:rFonts w:ascii="Arial" w:cs="Arial" w:eastAsia="Arial" w:hAnsi="Arial"/>
          <w:sz w:val="14"/>
          <w:szCs w:val="14"/>
          <w:color w:val="auto"/>
        </w:rPr>
      </w:pPr>
    </w:p>
    <w:p>
      <w:pPr>
        <w:ind w:left="360" w:right="260" w:hanging="355"/>
        <w:spacing w:after="0" w:line="309" w:lineRule="auto"/>
        <w:tabs>
          <w:tab w:leader="none" w:pos="3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Assumes the underwriters’ option to purchase additional Class A shares from us is not exercised. If the underwriters’ option to purchase additional Class A shares from us is exercised in full, the immediate dilution in net tangible book value per Class A share to purchasers in this offering would be $11.33.</w:t>
      </w:r>
    </w:p>
    <w:p>
      <w:pPr>
        <w:spacing w:after="0" w:line="35" w:lineRule="exact"/>
        <w:rPr>
          <w:sz w:val="20"/>
          <w:szCs w:val="20"/>
          <w:color w:val="auto"/>
        </w:rPr>
      </w:pPr>
    </w:p>
    <w:p>
      <w:pPr>
        <w:ind w:right="760" w:firstLine="357"/>
        <w:spacing w:after="0" w:line="309" w:lineRule="auto"/>
        <w:rPr>
          <w:sz w:val="20"/>
          <w:szCs w:val="20"/>
          <w:color w:val="auto"/>
        </w:rPr>
      </w:pPr>
      <w:r>
        <w:rPr>
          <w:rFonts w:ascii="Arial" w:cs="Arial" w:eastAsia="Arial" w:hAnsi="Arial"/>
          <w:sz w:val="16"/>
          <w:szCs w:val="16"/>
          <w:color w:val="auto"/>
        </w:rPr>
        <w:t>The following table sets forth the number of Class A and Class B shares that we will issue and the total consideration contributed to us by New Fortress Energy Holdings and by the purchasers of Class A shares calculated before deducting underwriting discounts and commissions and estimated offering expenses payable by us: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gridSpan w:val="2"/>
          </w:tcPr>
          <w:p>
            <w:pPr>
              <w:jc w:val="center"/>
              <w:ind w:left="460"/>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Average Price</w:t>
            </w:r>
          </w:p>
        </w:tc>
      </w:tr>
      <w:tr>
        <w:trPr>
          <w:trHeight w:val="170"/>
        </w:trPr>
        <w:tc>
          <w:tcPr>
            <w:tcW w:w="1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gridSpan w:val="2"/>
          </w:tcPr>
          <w:p>
            <w:pPr>
              <w:jc w:val="center"/>
              <w:ind w:left="460"/>
              <w:spacing w:after="0"/>
              <w:rPr>
                <w:sz w:val="20"/>
                <w:szCs w:val="20"/>
                <w:color w:val="auto"/>
              </w:rPr>
            </w:pPr>
            <w:r>
              <w:rPr>
                <w:rFonts w:ascii="Arial" w:cs="Arial" w:eastAsia="Arial" w:hAnsi="Arial"/>
                <w:sz w:val="14"/>
                <w:szCs w:val="14"/>
                <w:b w:val="1"/>
                <w:bCs w:val="1"/>
                <w:color w:val="auto"/>
                <w:w w:val="92"/>
              </w:rPr>
              <w:t>Acquired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Consideration</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Per Share</w:t>
            </w:r>
          </w:p>
        </w:tc>
      </w:tr>
      <w:tr>
        <w:trPr>
          <w:trHeight w:val="188"/>
        </w:trPr>
        <w:tc>
          <w:tcPr>
            <w:tcW w:w="1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1"/>
        </w:trPr>
        <w:tc>
          <w:tcPr>
            <w:tcW w:w="4160" w:type="dxa"/>
            <w:vAlign w:val="bottom"/>
            <w:tcBorders>
              <w:right w:val="single" w:sz="8" w:color="CCEEFF"/>
            </w:tcBorders>
            <w:gridSpan w:val="2"/>
            <w:shd w:val="clear" w:color="auto" w:fill="CCEEFF"/>
          </w:tcPr>
          <w:p>
            <w:pPr>
              <w:spacing w:after="0" w:line="241" w:lineRule="exact"/>
              <w:rPr>
                <w:sz w:val="20"/>
                <w:szCs w:val="20"/>
                <w:color w:val="auto"/>
              </w:rPr>
            </w:pPr>
            <w:r>
              <w:rPr>
                <w:rFonts w:ascii="Arial" w:cs="Arial" w:eastAsia="Arial" w:hAnsi="Arial"/>
                <w:sz w:val="17"/>
                <w:szCs w:val="17"/>
                <w:color w:val="auto"/>
              </w:rPr>
              <w:t>New Fortress Energy Holdings</w:t>
            </w:r>
            <w:r>
              <w:rPr>
                <w:rFonts w:ascii="Arial" w:cs="Arial" w:eastAsia="Arial" w:hAnsi="Arial"/>
                <w:sz w:val="27"/>
                <w:szCs w:val="27"/>
                <w:color w:val="auto"/>
                <w:vertAlign w:val="superscript"/>
              </w:rPr>
              <w:t>(1)(2)(3)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147,058,824</w:t>
            </w:r>
          </w:p>
        </w:tc>
        <w:tc>
          <w:tcPr>
            <w:tcW w:w="180" w:type="dxa"/>
            <w:vAlign w:val="bottom"/>
            <w:tcBorders>
              <w:right w:val="single" w:sz="8" w:color="CCEEFF"/>
            </w:tcBorders>
            <w:shd w:val="clear" w:color="auto" w:fill="CCEEFF"/>
          </w:tcPr>
          <w:p>
            <w:pPr>
              <w:spacing w:after="0"/>
              <w:rPr>
                <w:sz w:val="20"/>
                <w:szCs w:val="20"/>
                <w:color w:val="auto"/>
              </w:rPr>
            </w:pPr>
          </w:p>
        </w:tc>
        <w:tc>
          <w:tcPr>
            <w:tcW w:w="7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426,741,000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r>
      <w:tr>
        <w:trPr>
          <w:trHeight w:val="228"/>
        </w:trPr>
        <w:tc>
          <w:tcPr>
            <w:tcW w:w="4160" w:type="dxa"/>
            <w:vAlign w:val="bottom"/>
            <w:gridSpan w:val="2"/>
          </w:tcPr>
          <w:p>
            <w:pPr>
              <w:spacing w:after="0" w:line="228" w:lineRule="exact"/>
              <w:rPr>
                <w:sz w:val="20"/>
                <w:szCs w:val="20"/>
                <w:color w:val="auto"/>
              </w:rPr>
            </w:pPr>
            <w:r>
              <w:rPr>
                <w:rFonts w:ascii="Arial" w:cs="Arial" w:eastAsia="Arial" w:hAnsi="Arial"/>
                <w:sz w:val="16"/>
                <w:szCs w:val="16"/>
                <w:color w:val="auto"/>
              </w:rPr>
              <w:t>Purchasers in this offering</w:t>
            </w:r>
            <w:r>
              <w:rPr>
                <w:rFonts w:ascii="Arial" w:cs="Arial" w:eastAsia="Arial" w:hAnsi="Arial"/>
                <w:sz w:val="26"/>
                <w:szCs w:val="26"/>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8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300,000,000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r>
        <w:trPr>
          <w:trHeight w:val="27"/>
        </w:trPr>
        <w:tc>
          <w:tcPr>
            <w:tcW w:w="1420" w:type="dxa"/>
            <w:vAlign w:val="bottom"/>
          </w:tcPr>
          <w:p>
            <w:pPr>
              <w:spacing w:after="0"/>
              <w:rPr>
                <w:sz w:val="2"/>
                <w:szCs w:val="2"/>
                <w:color w:val="auto"/>
              </w:rPr>
            </w:pPr>
          </w:p>
        </w:tc>
        <w:tc>
          <w:tcPr>
            <w:tcW w:w="2740" w:type="dxa"/>
            <w:vAlign w:val="bottom"/>
            <w:tcBorders>
              <w:right w:val="single" w:sz="8" w:color="auto"/>
            </w:tcBorders>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5"/>
        </w:trPr>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167,058,824</w:t>
            </w:r>
          </w:p>
        </w:tc>
        <w:tc>
          <w:tcPr>
            <w:tcW w:w="180" w:type="dxa"/>
            <w:vAlign w:val="bottom"/>
            <w:tcBorders>
              <w:right w:val="single" w:sz="8" w:color="CCEEFF"/>
            </w:tcBorders>
            <w:shd w:val="clear" w:color="auto" w:fill="CCEEFF"/>
          </w:tcPr>
          <w:p>
            <w:pPr>
              <w:spacing w:after="0"/>
              <w:rPr>
                <w:sz w:val="23"/>
                <w:szCs w:val="23"/>
                <w:color w:val="auto"/>
              </w:rPr>
            </w:pPr>
          </w:p>
        </w:tc>
        <w:tc>
          <w:tcPr>
            <w:tcW w:w="7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726,741,000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r>
      <w:tr>
        <w:trPr>
          <w:trHeight w:val="174"/>
        </w:trPr>
        <w:tc>
          <w:tcPr>
            <w:tcW w:w="1420" w:type="dxa"/>
            <w:vAlign w:val="bottom"/>
            <w:tcBorders>
              <w:top w:val="single" w:sz="8" w:color="CCEEFF"/>
              <w:bottom w:val="single" w:sz="8" w:color="auto"/>
            </w:tcBorders>
          </w:tcPr>
          <w:p>
            <w:pPr>
              <w:spacing w:after="0"/>
              <w:rPr>
                <w:sz w:val="15"/>
                <w:szCs w:val="15"/>
                <w:color w:val="auto"/>
              </w:rPr>
            </w:pPr>
          </w:p>
        </w:tc>
        <w:tc>
          <w:tcPr>
            <w:tcW w:w="27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2" w:lineRule="exact"/>
        <w:rPr>
          <w:sz w:val="20"/>
          <w:szCs w:val="20"/>
          <w:color w:val="auto"/>
        </w:rPr>
      </w:pPr>
    </w:p>
    <w:p>
      <w:pPr>
        <w:ind w:left="360" w:hanging="355"/>
        <w:spacing w:after="0"/>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Upon the consummation of the Transactions contemplated by this prospectus, New Fortress Energy Holdings will own 147,058,824 Class B shares.</w:t>
      </w:r>
    </w:p>
    <w:p>
      <w:pPr>
        <w:spacing w:after="0" w:line="107" w:lineRule="exact"/>
        <w:rPr>
          <w:rFonts w:ascii="Arial" w:cs="Arial" w:eastAsia="Arial" w:hAnsi="Arial"/>
          <w:sz w:val="14"/>
          <w:szCs w:val="14"/>
          <w:color w:val="auto"/>
        </w:rPr>
      </w:pPr>
    </w:p>
    <w:p>
      <w:pPr>
        <w:ind w:left="360" w:hanging="355"/>
        <w:spacing w:after="0"/>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Assumes the underwriters’ option to purchase additional Class A shares from us is not exercised.</w:t>
      </w:r>
    </w:p>
    <w:p>
      <w:pPr>
        <w:spacing w:after="0" w:line="107" w:lineRule="exact"/>
        <w:rPr>
          <w:rFonts w:ascii="Arial" w:cs="Arial" w:eastAsia="Arial" w:hAnsi="Arial"/>
          <w:sz w:val="14"/>
          <w:szCs w:val="14"/>
          <w:color w:val="auto"/>
        </w:rPr>
      </w:pPr>
    </w:p>
    <w:p>
      <w:pPr>
        <w:ind w:left="360" w:right="100" w:hanging="355"/>
        <w:spacing w:after="0" w:line="255" w:lineRule="auto"/>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assets contributed by New Fortress Energy Holdings were recorded at historical cost in accordance with GAAP. Book value of the consideration provided by New Fortress Energy Holdings and its affiliates, as of September 30, 2018, after giving effect to the application of the net proceeds of the offering, is approximately $583 million.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119" w:lineRule="exact"/>
        <w:rPr>
          <w:sz w:val="20"/>
          <w:szCs w:val="20"/>
          <w:color w:val="auto"/>
        </w:rPr>
      </w:pPr>
    </w:p>
    <w:p>
      <w:pPr>
        <w:ind w:right="60" w:firstLine="357"/>
        <w:spacing w:after="0" w:line="294" w:lineRule="auto"/>
        <w:rPr>
          <w:sz w:val="20"/>
          <w:szCs w:val="20"/>
          <w:color w:val="auto"/>
        </w:rPr>
      </w:pPr>
      <w:r>
        <w:rPr>
          <w:rFonts w:ascii="Arial" w:cs="Arial" w:eastAsia="Arial" w:hAnsi="Arial"/>
          <w:sz w:val="16"/>
          <w:szCs w:val="16"/>
          <w:color w:val="auto"/>
        </w:rPr>
        <w:t>We do not anticipate declaring or paying any cash dividends to holders of our Class A shares in the foreseeable future. We currently intend to retain future earnings, if any, to finance the expansion of our business.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DATA</w:t>
      </w:r>
    </w:p>
    <w:p>
      <w:pPr>
        <w:spacing w:after="0" w:line="119" w:lineRule="exact"/>
        <w:rPr>
          <w:sz w:val="20"/>
          <w:szCs w:val="20"/>
          <w:color w:val="auto"/>
        </w:rPr>
      </w:pPr>
    </w:p>
    <w:p>
      <w:pPr>
        <w:jc w:val="both"/>
        <w:ind w:right="40" w:firstLine="357"/>
        <w:spacing w:after="0" w:line="261" w:lineRule="auto"/>
        <w:rPr>
          <w:sz w:val="20"/>
          <w:szCs w:val="20"/>
          <w:color w:val="auto"/>
        </w:rPr>
      </w:pPr>
      <w:r>
        <w:rPr>
          <w:rFonts w:ascii="Arial" w:cs="Arial" w:eastAsia="Arial" w:hAnsi="Arial"/>
          <w:sz w:val="18"/>
          <w:szCs w:val="18"/>
          <w:color w:val="auto"/>
        </w:rPr>
        <w:t>NFE was formed on August 6, 2018 and does not have historical financial results. NFE currently has no assets or liabilities and has conducted no operations. The following table shows selected historical financial information of New Fortress Energy Holdings, our predecessor, for the periods and as of the dates indicated.</w:t>
      </w:r>
    </w:p>
    <w:p>
      <w:pPr>
        <w:spacing w:after="0" w:line="76" w:lineRule="exact"/>
        <w:rPr>
          <w:sz w:val="20"/>
          <w:szCs w:val="20"/>
          <w:color w:val="auto"/>
        </w:rPr>
      </w:pPr>
    </w:p>
    <w:p>
      <w:pPr>
        <w:ind w:right="60" w:firstLine="357"/>
        <w:spacing w:after="0" w:line="253" w:lineRule="auto"/>
        <w:rPr>
          <w:sz w:val="20"/>
          <w:szCs w:val="20"/>
          <w:color w:val="auto"/>
        </w:rPr>
      </w:pPr>
      <w:r>
        <w:rPr>
          <w:rFonts w:ascii="Arial" w:cs="Arial" w:eastAsia="Arial" w:hAnsi="Arial"/>
          <w:sz w:val="18"/>
          <w:szCs w:val="18"/>
          <w:color w:val="auto"/>
        </w:rPr>
        <w:t>The selected historical financial data as of September 30, 2018 and for the nine months ended September 30, 2018 and 2017 was derived from the unaudited historical condensed consolidated financial statements of New Fortress Energy Holdings included elsewhere in this prospectus and which, in the opinion of management, contain all normal recurring adjustments necessary for a fair statement of the results for the unaudited interim periods and have been prepared on the same basis as the associated audited consolidated financial statements. The selected historical financial data as of and for the years ended December 31, 2017 and 2016 was derived from the audited historical consolidated financial statements of New Fortress Energy Holdings included elsewhere in this prospectus.</w:t>
      </w:r>
    </w:p>
    <w:p>
      <w:pPr>
        <w:spacing w:after="0" w:line="82" w:lineRule="exact"/>
        <w:rPr>
          <w:sz w:val="20"/>
          <w:szCs w:val="20"/>
          <w:color w:val="auto"/>
        </w:rPr>
      </w:pPr>
    </w:p>
    <w:p>
      <w:pPr>
        <w:jc w:val="both"/>
        <w:ind w:right="120" w:firstLine="357"/>
        <w:spacing w:after="0" w:line="309" w:lineRule="auto"/>
        <w:rPr>
          <w:sz w:val="20"/>
          <w:szCs w:val="20"/>
          <w:color w:val="auto"/>
        </w:rPr>
      </w:pPr>
      <w:r>
        <w:rPr>
          <w:rFonts w:ascii="Arial" w:cs="Arial" w:eastAsia="Arial" w:hAnsi="Arial"/>
          <w:sz w:val="16"/>
          <w:szCs w:val="16"/>
          <w:color w:val="auto"/>
        </w:rPr>
        <w:t>You should read the information set forth below together with “Use of Proceeds,” “Management’s Discussion and Analysis of Financial Condition and Results of Operations,” and our consolidated financial statements and related notes included elsewhere in this prospectus. The historical financial results are not necessarily indicative of results to be expected for any future periods.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22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w:t>
            </w:r>
          </w:p>
        </w:tc>
      </w:tr>
      <w:tr>
        <w:trPr>
          <w:trHeight w:val="170"/>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22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r>
      <w:tr>
        <w:trPr>
          <w:trHeight w:val="181"/>
        </w:trPr>
        <w:tc>
          <w:tcPr>
            <w:tcW w:w="44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r>
      <w:tr>
        <w:trPr>
          <w:trHeight w:val="195"/>
        </w:trPr>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80" w:type="dxa"/>
            <w:vAlign w:val="bottom"/>
            <w:gridSpan w:val="9"/>
          </w:tcPr>
          <w:p>
            <w:pPr>
              <w:jc w:val="right"/>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1"/>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6"/>
        </w:trPr>
        <w:tc>
          <w:tcPr>
            <w:tcW w:w="4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69,545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60,653</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82,104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18,615</w:t>
            </w:r>
          </w:p>
        </w:tc>
      </w:tr>
      <w:tr>
        <w:trPr>
          <w:trHeight w:val="228"/>
        </w:trPr>
        <w:tc>
          <w:tcPr>
            <w:tcW w:w="4460" w:type="dxa"/>
            <w:vAlign w:val="bottom"/>
          </w:tcPr>
          <w:p>
            <w:pPr>
              <w:ind w:left="36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11,387</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11,357</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15,158</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2,780</w:t>
            </w:r>
          </w:p>
        </w:tc>
      </w:tr>
      <w:tr>
        <w:trPr>
          <w:trHeight w:val="27"/>
        </w:trPr>
        <w:tc>
          <w:tcPr>
            <w:tcW w:w="44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4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80,932</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72,010</w:t>
            </w:r>
          </w:p>
        </w:tc>
        <w:tc>
          <w:tcPr>
            <w:tcW w:w="2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97,262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21,395</w:t>
            </w:r>
          </w:p>
        </w:tc>
      </w:tr>
      <w:tr>
        <w:trPr>
          <w:trHeight w:val="241"/>
        </w:trPr>
        <w:tc>
          <w:tcPr>
            <w:tcW w:w="446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41"/>
        </w:trPr>
        <w:tc>
          <w:tcPr>
            <w:tcW w:w="4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5"/>
        </w:trPr>
        <w:tc>
          <w:tcPr>
            <w:tcW w:w="4460" w:type="dxa"/>
            <w:vAlign w:val="bottom"/>
          </w:tcPr>
          <w:p>
            <w:pPr>
              <w:ind w:left="36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68,625</w:t>
            </w:r>
          </w:p>
        </w:tc>
        <w:tc>
          <w:tcPr>
            <w:tcW w:w="2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57,854</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78,692</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22,747</w:t>
            </w:r>
          </w:p>
        </w:tc>
      </w:tr>
      <w:tr>
        <w:trPr>
          <w:trHeight w:val="248"/>
        </w:trPr>
        <w:tc>
          <w:tcPr>
            <w:tcW w:w="4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Operations and maintenance</w:t>
            </w:r>
          </w:p>
        </w:tc>
        <w:tc>
          <w:tcPr>
            <w:tcW w:w="1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5,750</w:t>
            </w:r>
          </w:p>
        </w:tc>
        <w:tc>
          <w:tcPr>
            <w:tcW w:w="2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4,769</w:t>
            </w: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7,456</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5,205</w:t>
            </w:r>
          </w:p>
        </w:tc>
      </w:tr>
      <w:tr>
        <w:trPr>
          <w:trHeight w:val="235"/>
        </w:trPr>
        <w:tc>
          <w:tcPr>
            <w:tcW w:w="44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40,827</w:t>
            </w:r>
          </w:p>
        </w:tc>
        <w:tc>
          <w:tcPr>
            <w:tcW w:w="2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21,164</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33,343</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18,160</w:t>
            </w:r>
          </w:p>
        </w:tc>
      </w:tr>
      <w:tr>
        <w:trPr>
          <w:trHeight w:val="234"/>
        </w:trPr>
        <w:tc>
          <w:tcPr>
            <w:tcW w:w="4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2,258</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2,031</w:t>
            </w:r>
          </w:p>
        </w:tc>
        <w:tc>
          <w:tcPr>
            <w:tcW w:w="2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2,761</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2,341</w:t>
            </w:r>
          </w:p>
        </w:tc>
      </w:tr>
      <w:tr>
        <w:trPr>
          <w:trHeight w:val="27"/>
        </w:trPr>
        <w:tc>
          <w:tcPr>
            <w:tcW w:w="44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35"/>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117,460</w:t>
            </w:r>
          </w:p>
        </w:tc>
        <w:tc>
          <w:tcPr>
            <w:tcW w:w="2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85,818</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122,252</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48,453</w:t>
            </w:r>
          </w:p>
        </w:tc>
      </w:tr>
      <w:tr>
        <w:trPr>
          <w:trHeight w:val="241"/>
        </w:trPr>
        <w:tc>
          <w:tcPr>
            <w:tcW w:w="446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7"/>
        </w:trPr>
        <w:tc>
          <w:tcPr>
            <w:tcW w:w="446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(36,528)</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(13,808)</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(24,990)</w:t>
            </w: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(27,058)</w:t>
            </w:r>
          </w:p>
        </w:tc>
      </w:tr>
      <w:tr>
        <w:trPr>
          <w:trHeight w:val="246"/>
        </w:trPr>
        <w:tc>
          <w:tcPr>
            <w:tcW w:w="4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6,389</w:t>
            </w:r>
          </w:p>
        </w:tc>
        <w:tc>
          <w:tcPr>
            <w:tcW w:w="2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4,850</w:t>
            </w: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6,456</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5,105</w:t>
            </w:r>
          </w:p>
        </w:tc>
      </w:tr>
      <w:tr>
        <w:trPr>
          <w:trHeight w:val="235"/>
        </w:trPr>
        <w:tc>
          <w:tcPr>
            <w:tcW w:w="446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34"/>
        </w:trPr>
        <w:tc>
          <w:tcPr>
            <w:tcW w:w="4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1,177</w:t>
            </w:r>
          </w:p>
        </w:tc>
      </w:tr>
      <w:tr>
        <w:trPr>
          <w:trHeight w:val="27"/>
        </w:trPr>
        <w:tc>
          <w:tcPr>
            <w:tcW w:w="44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Loss before taxes</w:t>
            </w:r>
          </w:p>
        </w:tc>
        <w:tc>
          <w:tcPr>
            <w:tcW w:w="1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(43,020)</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(18,583)</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(31,145)</w:t>
            </w: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(33,287)</w:t>
            </w:r>
          </w:p>
        </w:tc>
      </w:tr>
      <w:tr>
        <w:trPr>
          <w:trHeight w:val="232"/>
        </w:trPr>
        <w:tc>
          <w:tcPr>
            <w:tcW w:w="4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provision (benefit)</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819</w:t>
            </w:r>
          </w:p>
        </w:tc>
        <w:tc>
          <w:tcPr>
            <w:tcW w:w="2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44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(43,419)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(19,402)</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(32,926)</w:t>
            </w:r>
          </w:p>
        </w:tc>
      </w:tr>
      <w:tr>
        <w:trPr>
          <w:trHeight w:val="27"/>
        </w:trPr>
        <w:tc>
          <w:tcPr>
            <w:tcW w:w="44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1"/>
        </w:trPr>
        <w:tc>
          <w:tcPr>
            <w:tcW w:w="44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5"/>
        </w:trPr>
        <w:tc>
          <w:tcPr>
            <w:tcW w:w="4460" w:type="dxa"/>
            <w:vAlign w:val="bottom"/>
          </w:tcPr>
          <w:p>
            <w:pPr>
              <w:ind w:left="360"/>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(0.64)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(0.56)</w:t>
            </w:r>
          </w:p>
        </w:tc>
      </w:tr>
      <w:tr>
        <w:trPr>
          <w:trHeight w:val="220"/>
        </w:trPr>
        <w:tc>
          <w:tcPr>
            <w:tcW w:w="4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2"/>
        </w:trPr>
        <w:tc>
          <w:tcPr>
            <w:tcW w:w="44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67,915,822</w:t>
            </w:r>
          </w:p>
        </w:tc>
        <w:tc>
          <w:tcPr>
            <w:tcW w:w="2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65,000,478</w:t>
            </w: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65,006,140</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58,753,425</w:t>
            </w:r>
          </w:p>
        </w:tc>
      </w:tr>
      <w:tr>
        <w:trPr>
          <w:trHeight w:val="430"/>
        </w:trPr>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654"/>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2"/>
        </w:trPr>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7"/>
        </w:trPr>
        <w:tc>
          <w:tcPr>
            <w:tcW w:w="446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5"/>
        </w:trPr>
        <w:tc>
          <w:tcPr>
            <w:tcW w:w="1540" w:type="dxa"/>
            <w:vAlign w:val="bottom"/>
            <w:tcBorders>
              <w:top w:val="single" w:sz="8" w:color="0000EE"/>
            </w:tcBorders>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As of September 30,</w:t>
            </w:r>
          </w:p>
        </w:tc>
        <w:tc>
          <w:tcPr>
            <w:tcW w:w="220" w:type="dxa"/>
            <w:vAlign w:val="bottom"/>
          </w:tcPr>
          <w:p>
            <w:pPr>
              <w:spacing w:after="0"/>
              <w:rPr>
                <w:sz w:val="24"/>
                <w:szCs w:val="24"/>
                <w:color w:val="auto"/>
              </w:rPr>
            </w:pPr>
          </w:p>
        </w:tc>
        <w:tc>
          <w:tcPr>
            <w:tcW w:w="200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December 31,</w:t>
            </w:r>
          </w:p>
        </w:tc>
      </w:tr>
      <w:tr>
        <w:trPr>
          <w:trHeight w:val="181"/>
        </w:trPr>
        <w:tc>
          <w:tcPr>
            <w:tcW w:w="15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85,526</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69,350</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70,633</w:t>
            </w:r>
          </w:p>
        </w:tc>
        <w:tc>
          <w:tcPr>
            <w:tcW w:w="100" w:type="dxa"/>
            <w:vAlign w:val="bottom"/>
          </w:tcPr>
          <w:p>
            <w:pPr>
              <w:spacing w:after="0"/>
              <w:rPr>
                <w:sz w:val="20"/>
                <w:szCs w:val="20"/>
                <w:color w:val="auto"/>
              </w:rPr>
            </w:pPr>
          </w:p>
        </w:tc>
      </w:tr>
      <w:tr>
        <w:trPr>
          <w:trHeight w:val="248"/>
        </w:trPr>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485,097</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381,190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389,054</w:t>
            </w:r>
          </w:p>
        </w:tc>
        <w:tc>
          <w:tcPr>
            <w:tcW w:w="100" w:type="dxa"/>
            <w:vAlign w:val="bottom"/>
            <w:shd w:val="clear" w:color="auto" w:fill="CCEEFF"/>
          </w:tcPr>
          <w:p>
            <w:pPr>
              <w:spacing w:after="0"/>
              <w:rPr>
                <w:sz w:val="21"/>
                <w:szCs w:val="21"/>
                <w:color w:val="auto"/>
              </w:rPr>
            </w:pPr>
          </w:p>
        </w:tc>
      </w:tr>
      <w:tr>
        <w:trPr>
          <w:trHeight w:val="241"/>
        </w:trPr>
        <w:tc>
          <w:tcPr>
            <w:tcW w:w="5480" w:type="dxa"/>
            <w:vAlign w:val="bottom"/>
            <w:gridSpan w:val="2"/>
          </w:tcPr>
          <w:p>
            <w:pPr>
              <w:ind w:left="180"/>
              <w:spacing w:after="0" w:line="241" w:lineRule="exact"/>
              <w:rPr>
                <w:sz w:val="20"/>
                <w:szCs w:val="20"/>
                <w:color w:val="auto"/>
              </w:rPr>
            </w:pPr>
            <w:r>
              <w:rPr>
                <w:rFonts w:ascii="Arial" w:cs="Arial" w:eastAsia="Arial" w:hAnsi="Arial"/>
                <w:sz w:val="17"/>
                <w:szCs w:val="17"/>
                <w:color w:val="auto"/>
              </w:rPr>
              <w:t>Long-term debt (includes current portion)</w:t>
            </w:r>
            <w:r>
              <w:rPr>
                <w:rFonts w:ascii="Arial" w:cs="Arial" w:eastAsia="Arial" w:hAnsi="Arial"/>
                <w:sz w:val="27"/>
                <w:szCs w:val="27"/>
                <w:color w:val="auto"/>
                <w:vertAlign w:val="superscript"/>
              </w:rPr>
              <w:t>(1)</w:t>
            </w:r>
          </w:p>
        </w:tc>
        <w:tc>
          <w:tcPr>
            <w:tcW w:w="14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121,970</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75,253</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80,385</w:t>
            </w:r>
          </w:p>
        </w:tc>
        <w:tc>
          <w:tcPr>
            <w:tcW w:w="100" w:type="dxa"/>
            <w:vAlign w:val="bottom"/>
          </w:tcPr>
          <w:p>
            <w:pPr>
              <w:spacing w:after="0"/>
              <w:rPr>
                <w:sz w:val="20"/>
                <w:szCs w:val="20"/>
                <w:color w:val="auto"/>
              </w:rPr>
            </w:pPr>
          </w:p>
        </w:tc>
      </w:tr>
      <w:tr>
        <w:trPr>
          <w:trHeight w:val="241"/>
        </w:trPr>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179,013</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99,684</w:t>
            </w:r>
          </w:p>
        </w:tc>
        <w:tc>
          <w:tcPr>
            <w:tcW w:w="100" w:type="dxa"/>
            <w:vAlign w:val="bottom"/>
            <w:shd w:val="clear" w:color="auto" w:fill="CCEEFF"/>
          </w:tcPr>
          <w:p>
            <w:pPr>
              <w:spacing w:after="0"/>
              <w:rPr>
                <w:sz w:val="20"/>
                <w:szCs w:val="20"/>
                <w:color w:val="auto"/>
              </w:rPr>
            </w:pPr>
          </w:p>
        </w:tc>
      </w:tr>
    </w:tbl>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4"/>
                <w:szCs w:val="14"/>
                <w:color w:val="auto"/>
              </w:rPr>
            </w:pPr>
          </w:p>
        </w:tc>
        <w:tc>
          <w:tcPr>
            <w:tcW w:w="144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0"/>
              </w:rPr>
              <w:t>Year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14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0"/>
              </w:rPr>
              <w:t>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14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5"/>
                <w:szCs w:val="15"/>
                <w:color w:val="auto"/>
              </w:rPr>
            </w:pPr>
          </w:p>
        </w:tc>
      </w:tr>
      <w:tr>
        <w:trPr>
          <w:trHeight w:val="235"/>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Cash Flow Data:</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4480" w:type="dxa"/>
            <w:vAlign w:val="bottom"/>
            <w:gridSpan w:val="2"/>
          </w:tcPr>
          <w:p>
            <w:pPr>
              <w:spacing w:after="0"/>
              <w:rPr>
                <w:sz w:val="20"/>
                <w:szCs w:val="20"/>
                <w:color w:val="auto"/>
              </w:rPr>
            </w:pPr>
            <w:r>
              <w:rPr>
                <w:rFonts w:ascii="Arial" w:cs="Arial" w:eastAsia="Arial" w:hAnsi="Arial"/>
                <w:sz w:val="18"/>
                <w:szCs w:val="18"/>
                <w:color w:val="auto"/>
              </w:rPr>
              <w:t>Net cash provided by (used in):</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(53,156)</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(35,983)</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(54,892)</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(43,493)</w:t>
            </w:r>
          </w:p>
        </w:tc>
      </w:tr>
      <w:tr>
        <w:trPr>
          <w:trHeight w:val="235"/>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(105,152)</w:t>
            </w:r>
          </w:p>
        </w:tc>
        <w:tc>
          <w:tcPr>
            <w:tcW w:w="3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(36,109)</w:t>
            </w: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(52,396)</w:t>
            </w:r>
          </w:p>
        </w:tc>
        <w:tc>
          <w:tcPr>
            <w:tcW w:w="4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(104,040)</w:t>
            </w:r>
          </w:p>
        </w:tc>
      </w:tr>
      <w:tr>
        <w:trPr>
          <w:trHeight w:val="248"/>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125,503</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(7,056)</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277,699</w:t>
            </w:r>
          </w:p>
        </w:tc>
      </w:tr>
      <w:tr>
        <w:trPr>
          <w:trHeight w:val="188"/>
        </w:trPr>
        <w:tc>
          <w:tcPr>
            <w:tcW w:w="1420" w:type="dxa"/>
            <w:vAlign w:val="bottom"/>
            <w:tcBorders>
              <w:bottom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2" w:lineRule="exact"/>
        <w:rPr>
          <w:sz w:val="20"/>
          <w:szCs w:val="20"/>
          <w:color w:val="auto"/>
        </w:rPr>
      </w:pPr>
    </w:p>
    <w:p>
      <w:pPr>
        <w:ind w:left="360" w:hanging="355"/>
        <w:spacing w:after="0"/>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Does not include the amendment to our Term Loan Facility on December 31, 2018.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4" w:right="1380"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86" w:lineRule="exact"/>
        <w:rPr>
          <w:sz w:val="20"/>
          <w:szCs w:val="20"/>
          <w:color w:val="auto"/>
        </w:rPr>
      </w:pPr>
    </w:p>
    <w:p>
      <w:pPr>
        <w:ind w:right="160" w:firstLine="357"/>
        <w:spacing w:after="0" w:line="254" w:lineRule="auto"/>
        <w:rPr>
          <w:sz w:val="20"/>
          <w:szCs w:val="20"/>
          <w:color w:val="auto"/>
        </w:rPr>
      </w:pPr>
      <w:r>
        <w:rPr>
          <w:rFonts w:ascii="Arial" w:cs="Arial" w:eastAsia="Arial" w:hAnsi="Arial"/>
          <w:sz w:val="18"/>
          <w:szCs w:val="18"/>
          <w:i w:val="1"/>
          <w:iCs w:val="1"/>
          <w:color w:val="auto"/>
        </w:rPr>
        <w:t>Certain information contained in this discussion and analysis or set forth elsewhere in this prospectus or accompanying marketing material, including information with respect to our plans, strategy, projections and expected timeline for our business and related financing, includes forward-looking statements that involve risks and uncertainties. Forward-looking statements contained in this prospectus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81" w:lineRule="exact"/>
        <w:rPr>
          <w:sz w:val="20"/>
          <w:szCs w:val="20"/>
          <w:color w:val="auto"/>
        </w:rPr>
      </w:pPr>
    </w:p>
    <w:p>
      <w:pPr>
        <w:jc w:val="both"/>
        <w:ind w:firstLine="357"/>
        <w:spacing w:after="0" w:line="261" w:lineRule="auto"/>
        <w:rPr>
          <w:sz w:val="20"/>
          <w:szCs w:val="20"/>
          <w:color w:val="auto"/>
        </w:rPr>
      </w:pPr>
      <w:r>
        <w:rPr>
          <w:rFonts w:ascii="Arial" w:cs="Arial" w:eastAsia="Arial" w:hAnsi="Arial"/>
          <w:sz w:val="18"/>
          <w:szCs w:val="18"/>
          <w:i w:val="1"/>
          <w:iCs w:val="1"/>
          <w:color w:val="auto"/>
        </w:rPr>
        <w:t>You should read “Risk Factors” and “Forward-Looking Statements” elsewhere in this prospectus for a discussion of important factors that could cause actual results to differ materially from the results described in or implied by the forward-looking statements contained in the following discussion and analysis.</w:t>
      </w:r>
    </w:p>
    <w:p>
      <w:pPr>
        <w:spacing w:after="0" w:line="76" w:lineRule="exact"/>
        <w:rPr>
          <w:sz w:val="20"/>
          <w:szCs w:val="20"/>
          <w:color w:val="auto"/>
        </w:rPr>
      </w:pPr>
    </w:p>
    <w:p>
      <w:pPr>
        <w:ind w:right="20" w:firstLine="357"/>
        <w:spacing w:after="0" w:line="291" w:lineRule="auto"/>
        <w:rPr>
          <w:sz w:val="20"/>
          <w:szCs w:val="20"/>
          <w:color w:val="auto"/>
        </w:rPr>
      </w:pPr>
      <w:r>
        <w:rPr>
          <w:rFonts w:ascii="Arial" w:cs="Arial" w:eastAsia="Arial" w:hAnsi="Arial"/>
          <w:sz w:val="16"/>
          <w:szCs w:val="16"/>
          <w:i w:val="1"/>
          <w:iCs w:val="1"/>
          <w:color w:val="auto"/>
        </w:rPr>
        <w:t>The following information should be read in conjunction with our audited consolidated financial statements, unaudited condensed consolidated interim financial statements and accompanying notes included elsewhere in this prospectus, as well as the information presented under “Selected Historical Financial Data.” Our financial statements have been prepared in accordance with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thousands.</w:t>
      </w:r>
    </w:p>
    <w:p>
      <w:pPr>
        <w:spacing w:after="0" w:line="57" w:lineRule="exact"/>
        <w:rPr>
          <w:sz w:val="20"/>
          <w:szCs w:val="20"/>
          <w:color w:val="auto"/>
        </w:rPr>
      </w:pPr>
    </w:p>
    <w:p>
      <w:pPr>
        <w:ind w:right="60" w:firstLine="357"/>
        <w:spacing w:after="0" w:line="257" w:lineRule="auto"/>
        <w:rPr>
          <w:sz w:val="20"/>
          <w:szCs w:val="20"/>
          <w:color w:val="auto"/>
        </w:rPr>
      </w:pPr>
      <w:r>
        <w:rPr>
          <w:rFonts w:ascii="Arial" w:cs="Arial" w:eastAsia="Arial" w:hAnsi="Arial"/>
          <w:sz w:val="18"/>
          <w:szCs w:val="18"/>
          <w:i w:val="1"/>
          <w:iCs w:val="1"/>
          <w:color w:val="auto"/>
        </w:rPr>
        <w:t>Unless the context otherwise requires, references to “Company,” “NFE,” “we,” “our,” “us” or like terms refer to New Fortress Energy LLC and its subsidiaries. When used in a historical context, “Company,” “we,” “our,” “us,” or like terms refer to New Fortress Energy Holdings LLC, a Delaware limited liability company (“New Fortress Energy Holdings”), our predecessor for financial reporting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color w:val="auto"/>
        </w:rPr>
        <w:t>We are engaged in providing energy and logistical services to end users worldwide seeking to convert their operating assets from diesel or heavy fuel oil (“HFO”) to LNG. The Company currently has liquefaction and regasification operations in the United States and Jamaica. We currently source LNG from a combination of our own liquefaction facility in Miami, Florida, under a multi-cargo contract with Centrica as well as purchases on the open market. We are developing the infrastructure necessary to supply our existing and future customers with LNG produced primarily at our own facilities. We expect that control of our vertical supply chain, from liquefaction to delivery of LNG, will help to reduce our exposure to future LNG price variations and enable us to supply our existing and future customers with LNG at a price that reflects production at our own facilities, reinforcing our competitive standing in the LNG market. Our strategy is simple: we seek to manufacture our own LNG at attractive prices, using fixed-price feedstock, and we seek to sell natural gas (delivered through LNG infrastructure) or gas-fired power to customers that typically sign long-term, take-or-pay contracts.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w:t>
      </w:r>
    </w:p>
    <w:p>
      <w:pPr>
        <w:spacing w:after="0" w:line="119" w:lineRule="exact"/>
        <w:rPr>
          <w:sz w:val="20"/>
          <w:szCs w:val="20"/>
          <w:color w:val="auto"/>
        </w:rPr>
      </w:pPr>
    </w:p>
    <w:p>
      <w:pPr>
        <w:ind w:firstLine="357"/>
        <w:spacing w:after="0" w:line="267" w:lineRule="auto"/>
        <w:rPr>
          <w:sz w:val="20"/>
          <w:szCs w:val="20"/>
          <w:color w:val="auto"/>
        </w:rPr>
      </w:pPr>
      <w:r>
        <w:rPr>
          <w:rFonts w:ascii="Arial" w:cs="Arial" w:eastAsia="Arial" w:hAnsi="Arial"/>
          <w:sz w:val="17"/>
          <w:szCs w:val="17"/>
          <w:color w:val="auto"/>
        </w:rPr>
        <w:t>Our management team has successfully employed our strategy to secure long-term, take-or-pay contracts with Jamaica Public Service Company Limited (“JPS”), the sole public utility in Jamaica, South Jamaica Power Company Limited (“JPC”), an affiliate of JPS, and Jamalco, a joint venture between General Alumina Jamaica LLC (“GAJ”), a subsidiary of Noble Group, and Clarendon Alumina Production Limited (“CAP”), an entity owned by the Government of Jamaica, with a focus on bauxite mining and alumina production in Jamaica (“Jamalco”), each of which is described in more detail below. Certain assets built to service JPS have, and the assets built to service JPC and Jamalco will have, capacity to service other customers. We currently procure our LNG either by purchasing it under a multi-cargo contract from Centrica or by manufacturing it in our natural gas liquefaction, storage and production facility located in Miami-Dade County, Florida (the “Miami Facility”). While we may supplement these volumes with open market purchases as necessary, our intent is to develop the infrastructure necessary to supply our existing and future customers with LNG produced primarily at our own facilities, including our expanded delivery logistics chain in Northern Pennsylvania (the “Pennsylvania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Terminal</w:t>
      </w:r>
    </w:p>
    <w:p>
      <w:pPr>
        <w:spacing w:after="0" w:line="115" w:lineRule="exact"/>
        <w:rPr>
          <w:sz w:val="20"/>
          <w:szCs w:val="20"/>
          <w:color w:val="auto"/>
        </w:rPr>
      </w:pPr>
    </w:p>
    <w:p>
      <w:pPr>
        <w:ind w:right="140" w:firstLine="357"/>
        <w:spacing w:after="0" w:line="274" w:lineRule="auto"/>
        <w:rPr>
          <w:sz w:val="20"/>
          <w:szCs w:val="20"/>
          <w:color w:val="auto"/>
        </w:rPr>
      </w:pPr>
      <w:r>
        <w:rPr>
          <w:rFonts w:ascii="Arial" w:cs="Arial" w:eastAsia="Arial" w:hAnsi="Arial"/>
          <w:sz w:val="18"/>
          <w:szCs w:val="18"/>
          <w:color w:val="auto"/>
        </w:rPr>
        <w:t>Our storage and regasification terminal in Montego Bay, Jamaica (the “Montego Bay Terminal”) serves as our supply hub for the north side of Jamaica, providing gas to JPS to fuel the 145MW Bogue Power Plant 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Montego Bay, Jamaica (the “Bogue Power Plant”). The Montego Bay Terminal commenced commercial operations on October 30, 2016 and stores approximately two million gallons of LNG in seven storage tanks. The Montego Bay Terminal also consists of an ISO loading facility that can transport LNG to all of our industrial and manufacturing (“small-scale”) customers across the island.</w:t>
      </w:r>
    </w:p>
    <w:p>
      <w:pPr>
        <w:spacing w:after="0" w:line="1"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The small-scale business provides these users with an alternative fuel to support their business operations and limit reliance on monopolistic utilities.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Facility</w:t>
      </w:r>
    </w:p>
    <w:p>
      <w:pPr>
        <w:spacing w:after="0" w:line="115" w:lineRule="exact"/>
        <w:rPr>
          <w:sz w:val="20"/>
          <w:szCs w:val="20"/>
          <w:color w:val="auto"/>
        </w:rPr>
      </w:pPr>
    </w:p>
    <w:p>
      <w:pPr>
        <w:ind w:right="200" w:firstLine="357"/>
        <w:spacing w:after="0" w:line="271" w:lineRule="auto"/>
        <w:rPr>
          <w:sz w:val="20"/>
          <w:szCs w:val="20"/>
          <w:color w:val="auto"/>
        </w:rPr>
      </w:pPr>
      <w:r>
        <w:rPr>
          <w:rFonts w:ascii="Arial" w:cs="Arial" w:eastAsia="Arial" w:hAnsi="Arial"/>
          <w:sz w:val="17"/>
          <w:szCs w:val="17"/>
          <w:color w:val="auto"/>
        </w:rPr>
        <w:t>Our Miami Facility began operation in April 2016. We believe, based on available data, it is the first privately owned natural gas liquefaction plant in Florida. This facility enables us to produce LNG for our customers and reduces our dependence on other suppliers for LNG. The facility is the first plant to successfully export domestically produced LNG from the lower 48 states to a non-free trade agreement country and it employs one of the largest ISO container fleets in the world. The Miami Facility provides LNG to small-scale customers in south Florida including Florida East Coast Railway via our train loading facility and other customers throughout the Caribbean using ISO containers.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 Nine months ended September 30, 2018 compared to nine months ended September 30, 2017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6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64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r>
      <w:tr>
        <w:trPr>
          <w:trHeight w:val="23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480" w:type="dxa"/>
            <w:vAlign w:val="bottom"/>
          </w:tcPr>
          <w:p>
            <w:pPr>
              <w:spacing w:after="0"/>
              <w:rPr>
                <w:sz w:val="20"/>
                <w:szCs w:val="20"/>
                <w:color w:val="auto"/>
              </w:rPr>
            </w:pPr>
            <w:r>
              <w:rPr>
                <w:rFonts w:ascii="Arial" w:cs="Arial" w:eastAsia="Arial" w:hAnsi="Arial"/>
                <w:sz w:val="18"/>
                <w:szCs w:val="18"/>
                <w:color w:val="auto"/>
              </w:rPr>
              <w:t>Operating revenue</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69,545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60,653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8,892</w:t>
            </w:r>
          </w:p>
        </w:tc>
      </w:tr>
      <w:tr>
        <w:trPr>
          <w:trHeight w:val="248"/>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0"/>
        </w:trPr>
        <w:tc>
          <w:tcPr>
            <w:tcW w:w="64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80,932</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72,010</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8,922</w:t>
            </w:r>
          </w:p>
        </w:tc>
      </w:tr>
      <w:tr>
        <w:trPr>
          <w:trHeight w:val="23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4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68,625</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57,854</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10,771</w:t>
            </w: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 and maintenance</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5,750</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4,769</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r>
      <w:tr>
        <w:trPr>
          <w:trHeight w:val="235"/>
        </w:trPr>
        <w:tc>
          <w:tcPr>
            <w:tcW w:w="64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40,827</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21,164</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19,663</w:t>
            </w: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2,258</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2,031</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0"/>
        </w:trPr>
        <w:tc>
          <w:tcPr>
            <w:tcW w:w="64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48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117,460</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85,818</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31,642</w:t>
            </w:r>
          </w:p>
        </w:tc>
      </w:tr>
      <w:tr>
        <w:trPr>
          <w:trHeight w:val="20"/>
        </w:trPr>
        <w:tc>
          <w:tcPr>
            <w:tcW w:w="64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(36,528)</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(13,808)</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(22,720)</w:t>
            </w:r>
          </w:p>
        </w:tc>
      </w:tr>
      <w:tr>
        <w:trPr>
          <w:trHeight w:val="235"/>
        </w:trPr>
        <w:tc>
          <w:tcPr>
            <w:tcW w:w="64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6,389</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4,850</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1,539</w:t>
            </w:r>
          </w:p>
        </w:tc>
      </w:tr>
      <w:tr>
        <w:trPr>
          <w:trHeight w:val="248"/>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r>
      <w:tr>
        <w:trPr>
          <w:trHeight w:val="241"/>
        </w:trPr>
        <w:tc>
          <w:tcPr>
            <w:tcW w:w="64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618</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r>
      <w:tr>
        <w:trPr>
          <w:trHeight w:val="20"/>
        </w:trPr>
        <w:tc>
          <w:tcPr>
            <w:tcW w:w="64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(43,020)</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(18,583)</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(24,437)</w:t>
            </w:r>
          </w:p>
        </w:tc>
      </w:tr>
      <w:tr>
        <w:trPr>
          <w:trHeight w:val="241"/>
        </w:trPr>
        <w:tc>
          <w:tcPr>
            <w:tcW w:w="6480" w:type="dxa"/>
            <w:vAlign w:val="bottom"/>
          </w:tcPr>
          <w:p>
            <w:pPr>
              <w:spacing w:after="0"/>
              <w:rPr>
                <w:sz w:val="20"/>
                <w:szCs w:val="20"/>
                <w:color w:val="auto"/>
              </w:rPr>
            </w:pPr>
            <w:r>
              <w:rPr>
                <w:rFonts w:ascii="Arial" w:cs="Arial" w:eastAsia="Arial" w:hAnsi="Arial"/>
                <w:sz w:val="18"/>
                <w:szCs w:val="18"/>
                <w:color w:val="auto"/>
              </w:rPr>
              <w:t>Tax provision (benefit)</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r>
      <w:tr>
        <w:trPr>
          <w:trHeight w:val="20"/>
        </w:trPr>
        <w:tc>
          <w:tcPr>
            <w:tcW w:w="64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(43,419)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(24,017)</w:t>
            </w:r>
          </w:p>
        </w:tc>
      </w:tr>
      <w:tr>
        <w:trPr>
          <w:trHeight w:val="27"/>
        </w:trPr>
        <w:tc>
          <w:tcPr>
            <w:tcW w:w="64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115" w:lineRule="exact"/>
        <w:rPr>
          <w:sz w:val="20"/>
          <w:szCs w:val="20"/>
          <w:color w:val="auto"/>
        </w:rPr>
      </w:pPr>
    </w:p>
    <w:p>
      <w:pPr>
        <w:ind w:right="240" w:firstLine="357"/>
        <w:spacing w:after="0" w:line="309" w:lineRule="auto"/>
        <w:rPr>
          <w:sz w:val="20"/>
          <w:szCs w:val="20"/>
          <w:color w:val="auto"/>
        </w:rPr>
      </w:pPr>
      <w:r>
        <w:rPr>
          <w:rFonts w:ascii="Arial" w:cs="Arial" w:eastAsia="Arial" w:hAnsi="Arial"/>
          <w:sz w:val="16"/>
          <w:szCs w:val="16"/>
          <w:color w:val="auto"/>
        </w:rPr>
        <w:t>Operating revenue from LNG and natural gas sales for the nine months ended September 30, 2018 was $69,545, which increased by $8,892 from $60,653 for the nine months ended September 30, 2017. The increase in operating revenue between the nine-month periods was attributable to increased sales to the Bogue Power Plant and additional small-scale customers.</w:t>
      </w:r>
    </w:p>
    <w:p>
      <w:pPr>
        <w:spacing w:after="0" w:line="41" w:lineRule="exact"/>
        <w:rPr>
          <w:sz w:val="20"/>
          <w:szCs w:val="20"/>
          <w:color w:val="auto"/>
        </w:rPr>
      </w:pPr>
    </w:p>
    <w:p>
      <w:pPr>
        <w:ind w:right="300" w:firstLine="357"/>
        <w:spacing w:after="0" w:line="257" w:lineRule="auto"/>
        <w:rPr>
          <w:sz w:val="20"/>
          <w:szCs w:val="20"/>
          <w:color w:val="auto"/>
        </w:rPr>
      </w:pPr>
      <w:r>
        <w:rPr>
          <w:rFonts w:ascii="Arial" w:cs="Arial" w:eastAsia="Arial" w:hAnsi="Arial"/>
          <w:sz w:val="18"/>
          <w:szCs w:val="18"/>
          <w:color w:val="auto"/>
        </w:rPr>
        <w:t>The Company leases certain facilities and equipment, including the Montego Bay Terminal, to its customers, which are accounted for as direct financing leases. We currently generate a majority of other revenue from interest recognized from these direct financing leases. Other revenue for the nine months ended September 30, 2018 was consistent with the nine months ended September 30, 2017.</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sales</w:t>
      </w:r>
    </w:p>
    <w:p>
      <w:pPr>
        <w:spacing w:after="0" w:line="115" w:lineRule="exact"/>
        <w:rPr>
          <w:sz w:val="20"/>
          <w:szCs w:val="20"/>
          <w:color w:val="auto"/>
        </w:rPr>
      </w:pPr>
    </w:p>
    <w:p>
      <w:pPr>
        <w:ind w:right="180" w:firstLine="357"/>
        <w:spacing w:after="0" w:line="261" w:lineRule="auto"/>
        <w:rPr>
          <w:sz w:val="20"/>
          <w:szCs w:val="20"/>
          <w:color w:val="auto"/>
        </w:rPr>
      </w:pPr>
      <w:r>
        <w:rPr>
          <w:rFonts w:ascii="Arial" w:cs="Arial" w:eastAsia="Arial" w:hAnsi="Arial"/>
          <w:sz w:val="18"/>
          <w:szCs w:val="18"/>
          <w:color w:val="auto"/>
        </w:rPr>
        <w:t>Cost of sales includes the procurement of feedgas or LNG, as applicable, shipping and logistics costs to deliver LNG to our facilities and regasification and terminal operating expenses to provide product to our customers. Our LNG and natural gas supply are purchased from third parties or converted in our liquefaction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facilities. Costs to convert natural gas to LNG, including labor and other direct costs to operate our liquefaction facility are also included in Cost of sales. Cost of sales for the nine months ended September 30, 2018 was $68,625, which increased $10,771 from $57,854 for the nine months ended September 30, 2017. The increase in Cost of sales between the nine-month periods was attributable to increased volumes sold to customers and a higher cost of LNG purchased.</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Operations and maintenance</w:t>
      </w:r>
    </w:p>
    <w:p>
      <w:pPr>
        <w:spacing w:after="0" w:line="115" w:lineRule="exact"/>
        <w:rPr>
          <w:sz w:val="20"/>
          <w:szCs w:val="20"/>
          <w:color w:val="auto"/>
        </w:rPr>
      </w:pPr>
    </w:p>
    <w:p>
      <w:pPr>
        <w:ind w:right="40" w:firstLine="357"/>
        <w:spacing w:after="0" w:line="257" w:lineRule="auto"/>
        <w:rPr>
          <w:sz w:val="20"/>
          <w:szCs w:val="20"/>
          <w:color w:val="auto"/>
        </w:rPr>
      </w:pPr>
      <w:r>
        <w:rPr>
          <w:rFonts w:ascii="Arial" w:cs="Arial" w:eastAsia="Arial" w:hAnsi="Arial"/>
          <w:sz w:val="18"/>
          <w:szCs w:val="18"/>
          <w:color w:val="auto"/>
        </w:rPr>
        <w:t>Operations and maintenance relates to costs of operating our Miami Facility and Montego Bay Terminal exclusive of conversion costs reflected in Cost of sales. Operations and maintenance for the nine months ended September 30, 2018 was $5,750, which increased $981 from $4,769 for the nine months ended September 30, 2017. The increase is primarily a result of increased general maintenance costs at these facilities.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Selling, general and administrative includes employee travel costs, insurance, and costs associated with development activities for projects that are in initial stages and development is not yet probable. Selling, general and administrative also includes compensation expenses for our corporate employees, including our executives, as well as professional fees for our advisors. Selling, general and administrative for the nine months ended September 30, 2018, was $40,827, which increased $19,663 from $21,164 for the nine months ended September 30, 2017 primarily as a result of increased development activities related to the initial phases of projects in Puerto Rico and Mexico as well as increased employee travel and headcount.</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and amortization</w:t>
      </w:r>
    </w:p>
    <w:p>
      <w:pPr>
        <w:spacing w:after="0" w:line="115" w:lineRule="exact"/>
        <w:rPr>
          <w:sz w:val="20"/>
          <w:szCs w:val="20"/>
          <w:color w:val="auto"/>
        </w:rPr>
      </w:pPr>
    </w:p>
    <w:p>
      <w:pPr>
        <w:ind w:right="100" w:firstLine="357"/>
        <w:spacing w:after="0" w:line="261" w:lineRule="auto"/>
        <w:rPr>
          <w:sz w:val="20"/>
          <w:szCs w:val="20"/>
          <w:color w:val="auto"/>
        </w:rPr>
      </w:pPr>
      <w:r>
        <w:rPr>
          <w:rFonts w:ascii="Arial" w:cs="Arial" w:eastAsia="Arial" w:hAnsi="Arial"/>
          <w:sz w:val="18"/>
          <w:szCs w:val="18"/>
          <w:color w:val="auto"/>
        </w:rPr>
        <w:t>Depreciation and amortization for the nine months ended September 30, 2018 was $2,258, which increased $227 from $2,031 for the nine months ended September 30, 2017. The increase is primarily a result of additional equipment purchases placed in service for small-scale customers.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expense</w:t>
      </w:r>
    </w:p>
    <w:p>
      <w:pPr>
        <w:spacing w:after="0" w:line="115" w:lineRule="exact"/>
        <w:rPr>
          <w:sz w:val="20"/>
          <w:szCs w:val="20"/>
          <w:color w:val="auto"/>
        </w:rPr>
      </w:pPr>
    </w:p>
    <w:p>
      <w:pPr>
        <w:ind w:right="120" w:firstLine="357"/>
        <w:spacing w:after="0" w:line="339" w:lineRule="auto"/>
        <w:rPr>
          <w:sz w:val="20"/>
          <w:szCs w:val="20"/>
          <w:color w:val="auto"/>
        </w:rPr>
      </w:pPr>
      <w:r>
        <w:rPr>
          <w:rFonts w:ascii="Arial" w:cs="Arial" w:eastAsia="Arial" w:hAnsi="Arial"/>
          <w:sz w:val="16"/>
          <w:szCs w:val="16"/>
          <w:color w:val="auto"/>
        </w:rPr>
        <w:t>Interest expense for the nine months ended September 30, 2018 was $6,389, which increased $1,539 from $4,850 for the nine months ended September 30, 2017, primarily as a result of financing costs amortized for the Term Loan Facility of $1,020.</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(income), net</w:t>
      </w:r>
    </w:p>
    <w:p>
      <w:pPr>
        <w:spacing w:after="0" w:line="115" w:lineRule="exact"/>
        <w:rPr>
          <w:sz w:val="20"/>
          <w:szCs w:val="20"/>
          <w:color w:val="auto"/>
        </w:rPr>
      </w:pPr>
    </w:p>
    <w:p>
      <w:pPr>
        <w:ind w:right="240" w:firstLine="357"/>
        <w:spacing w:after="0" w:line="305" w:lineRule="auto"/>
        <w:rPr>
          <w:sz w:val="20"/>
          <w:szCs w:val="20"/>
          <w:color w:val="auto"/>
        </w:rPr>
      </w:pPr>
      <w:r>
        <w:rPr>
          <w:rFonts w:ascii="Arial" w:cs="Arial" w:eastAsia="Arial" w:hAnsi="Arial"/>
          <w:sz w:val="17"/>
          <w:szCs w:val="17"/>
          <w:color w:val="auto"/>
        </w:rPr>
        <w:t>Other income, net for the nine months ended September 30, 2018 was ($515), which increased $440 from ($75) for the nine months, ended September 30, 2017, primarily as a result of interest income and realized foreign currency gain.</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Loss on extinguishment of debt</w:t>
      </w:r>
    </w:p>
    <w:p>
      <w:pPr>
        <w:spacing w:after="0" w:line="115" w:lineRule="exact"/>
        <w:rPr>
          <w:sz w:val="20"/>
          <w:szCs w:val="20"/>
          <w:color w:val="auto"/>
        </w:rPr>
      </w:pPr>
    </w:p>
    <w:p>
      <w:pPr>
        <w:ind w:right="100" w:firstLine="357"/>
        <w:spacing w:after="0" w:line="274" w:lineRule="auto"/>
        <w:rPr>
          <w:sz w:val="20"/>
          <w:szCs w:val="20"/>
          <w:color w:val="auto"/>
        </w:rPr>
      </w:pPr>
      <w:r>
        <w:rPr>
          <w:rFonts w:ascii="Arial" w:cs="Arial" w:eastAsia="Arial" w:hAnsi="Arial"/>
          <w:sz w:val="18"/>
          <w:szCs w:val="18"/>
          <w:color w:val="auto"/>
        </w:rPr>
        <w:t>Loss on extinguishment of debt for the nine months ended September 30, 2018 was $618, which was recognized as a result of the repayment of the Miami Loan and MoBay Loan in August and September 2018, respectively.</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provision (benefit)</w:t>
      </w:r>
    </w:p>
    <w:p>
      <w:pPr>
        <w:spacing w:after="0" w:line="115" w:lineRule="exact"/>
        <w:rPr>
          <w:sz w:val="20"/>
          <w:szCs w:val="20"/>
          <w:color w:val="auto"/>
        </w:rPr>
      </w:pPr>
    </w:p>
    <w:p>
      <w:pPr>
        <w:ind w:firstLine="357"/>
        <w:spacing w:after="0" w:line="339" w:lineRule="auto"/>
        <w:rPr>
          <w:sz w:val="20"/>
          <w:szCs w:val="20"/>
          <w:color w:val="auto"/>
        </w:rPr>
      </w:pPr>
      <w:r>
        <w:rPr>
          <w:rFonts w:ascii="Arial" w:cs="Arial" w:eastAsia="Arial" w:hAnsi="Arial"/>
          <w:sz w:val="16"/>
          <w:szCs w:val="16"/>
          <w:color w:val="auto"/>
        </w:rPr>
        <w:t>Tax provision (benefit) for the nine months ended September 30, 2018 was $399, which decreased $420 from $819 for the nine months ended September 30, 2017 due to an increase in net taxable losses in foreign jurisdiction when comparing 2018 to 2017.</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Year ended December 31, 2017 compared with year ended December 31, 2016</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59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29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r>
      <w:tr>
        <w:trPr>
          <w:trHeight w:val="241"/>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82,104</w:t>
            </w:r>
          </w:p>
        </w:tc>
        <w:tc>
          <w:tcPr>
            <w:tcW w:w="20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18,615</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63,489</w:t>
            </w:r>
          </w:p>
        </w:tc>
      </w:tr>
      <w:tr>
        <w:trPr>
          <w:trHeight w:val="234"/>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2,780</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12,378</w:t>
            </w:r>
          </w:p>
        </w:tc>
      </w:tr>
      <w:tr>
        <w:trPr>
          <w:trHeight w:val="27"/>
        </w:trPr>
        <w:tc>
          <w:tcPr>
            <w:tcW w:w="598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97,262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21,395</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75,867</w:t>
            </w:r>
          </w:p>
        </w:tc>
      </w:tr>
      <w:tr>
        <w:trPr>
          <w:trHeight w:val="241"/>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59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78,692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22,747</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55,945</w:t>
            </w:r>
          </w:p>
        </w:tc>
      </w:tr>
      <w:tr>
        <w:trPr>
          <w:trHeight w:val="248"/>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 and maintenance</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5,205</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w:t>
            </w:r>
          </w:p>
        </w:tc>
      </w:tr>
      <w:tr>
        <w:trPr>
          <w:trHeight w:val="235"/>
        </w:trPr>
        <w:tc>
          <w:tcPr>
            <w:tcW w:w="59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33,343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18,160</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15,183</w:t>
            </w:r>
          </w:p>
        </w:tc>
      </w:tr>
      <w:tr>
        <w:trPr>
          <w:trHeight w:val="234"/>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2,341</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r>
      <w:tr>
        <w:trPr>
          <w:trHeight w:val="27"/>
        </w:trPr>
        <w:tc>
          <w:tcPr>
            <w:tcW w:w="598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8"/>
        </w:trPr>
        <w:tc>
          <w:tcPr>
            <w:tcW w:w="598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122,252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48,453</w:t>
            </w: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73,799</w:t>
            </w:r>
          </w:p>
        </w:tc>
      </w:tr>
      <w:tr>
        <w:trPr>
          <w:trHeight w:val="27"/>
        </w:trPr>
        <w:tc>
          <w:tcPr>
            <w:tcW w:w="59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(24,990)</w:t>
            </w:r>
          </w:p>
        </w:tc>
        <w:tc>
          <w:tcPr>
            <w:tcW w:w="3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(27,058)</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w:t>
            </w:r>
          </w:p>
        </w:tc>
      </w:tr>
      <w:tr>
        <w:trPr>
          <w:trHeight w:val="235"/>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5,105</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1,351</w:t>
            </w:r>
          </w:p>
        </w:tc>
      </w:tr>
      <w:tr>
        <w:trPr>
          <w:trHeight w:val="248"/>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r>
      <w:tr>
        <w:trPr>
          <w:trHeight w:val="228"/>
        </w:trPr>
        <w:tc>
          <w:tcPr>
            <w:tcW w:w="59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1,177</w:t>
            </w: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r>
      <w:tr>
        <w:trPr>
          <w:trHeight w:val="27"/>
        </w:trPr>
        <w:tc>
          <w:tcPr>
            <w:tcW w:w="59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26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(31,145)</w:t>
            </w:r>
          </w:p>
        </w:tc>
        <w:tc>
          <w:tcPr>
            <w:tcW w:w="3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(33,287)</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r>
      <w:tr>
        <w:trPr>
          <w:trHeight w:val="228"/>
        </w:trPr>
        <w:tc>
          <w:tcPr>
            <w:tcW w:w="5980" w:type="dxa"/>
            <w:vAlign w:val="bottom"/>
          </w:tcPr>
          <w:p>
            <w:pPr>
              <w:spacing w:after="0"/>
              <w:rPr>
                <w:sz w:val="20"/>
                <w:szCs w:val="20"/>
                <w:color w:val="auto"/>
              </w:rPr>
            </w:pPr>
            <w:r>
              <w:rPr>
                <w:rFonts w:ascii="Arial" w:cs="Arial" w:eastAsia="Arial" w:hAnsi="Arial"/>
                <w:sz w:val="18"/>
                <w:szCs w:val="18"/>
                <w:color w:val="auto"/>
              </w:rPr>
              <w:t>Tax provision (benefit)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r>
      <w:tr>
        <w:trPr>
          <w:trHeight w:val="27"/>
        </w:trPr>
        <w:tc>
          <w:tcPr>
            <w:tcW w:w="59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(31,671)</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(32,926)</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w:t>
            </w:r>
          </w:p>
        </w:tc>
      </w:tr>
      <w:tr>
        <w:trPr>
          <w:trHeight w:val="27"/>
        </w:trPr>
        <w:tc>
          <w:tcPr>
            <w:tcW w:w="598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115"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color w:val="auto"/>
        </w:rPr>
        <w:t>For the year ended December 31, 2017, the Miami Facility was available to produce LNG over 95.5% of the time. We have executed three contracts in 2016, three contracts in 2017 and one contract in the nine months ended September 30, 2018 to provide customers with LNG from our Miami Facility. We continue to build our small-scale pipeline of customers and are in advanced dialogues with various domestic and international customers across the utility, power, industrial and transportation sectors to execute additional long-term purchase contracts.</w:t>
      </w:r>
    </w:p>
    <w:p>
      <w:pPr>
        <w:spacing w:after="0" w:line="81" w:lineRule="exact"/>
        <w:rPr>
          <w:sz w:val="20"/>
          <w:szCs w:val="20"/>
          <w:color w:val="auto"/>
        </w:rPr>
      </w:pPr>
    </w:p>
    <w:p>
      <w:pPr>
        <w:ind w:right="340" w:firstLine="357"/>
        <w:spacing w:after="0" w:line="339" w:lineRule="auto"/>
        <w:rPr>
          <w:sz w:val="20"/>
          <w:szCs w:val="20"/>
          <w:color w:val="auto"/>
        </w:rPr>
      </w:pPr>
      <w:r>
        <w:rPr>
          <w:rFonts w:ascii="Arial" w:cs="Arial" w:eastAsia="Arial" w:hAnsi="Arial"/>
          <w:sz w:val="16"/>
          <w:szCs w:val="16"/>
          <w:color w:val="auto"/>
        </w:rPr>
        <w:t>During the year ended December 31, 2017, the Montego Bay Terminal was available over 98.5% of the time. We have also generated revenue from our small-scale customers by supplying LNG directly to industrial end-users in Jamaica.</w:t>
      </w:r>
    </w:p>
    <w:p>
      <w:pPr>
        <w:spacing w:after="0" w:line="17" w:lineRule="exact"/>
        <w:rPr>
          <w:sz w:val="20"/>
          <w:szCs w:val="20"/>
          <w:color w:val="auto"/>
        </w:rPr>
      </w:pPr>
    </w:p>
    <w:p>
      <w:pPr>
        <w:ind w:right="140" w:firstLine="357"/>
        <w:spacing w:after="0" w:line="299" w:lineRule="auto"/>
        <w:rPr>
          <w:sz w:val="20"/>
          <w:szCs w:val="20"/>
          <w:color w:val="auto"/>
        </w:rPr>
      </w:pPr>
      <w:r>
        <w:rPr>
          <w:rFonts w:ascii="Arial" w:cs="Arial" w:eastAsia="Arial" w:hAnsi="Arial"/>
          <w:sz w:val="16"/>
          <w:szCs w:val="16"/>
          <w:color w:val="auto"/>
        </w:rPr>
        <w:t>Operating revenue from LNG and natural gas sales for the year ended December 31, 2017 was $82,104 which increased by $63,489 from $18,615 for the year ended December 31, 2016. The increase in revenue was attributable to twelve months of operations at the Miami Facility and Montego Bay Terminal during the year ended December 31, 2017 whereas the Miami Facility and Montego Bay Terminal were operating for eight and two months, respectively, during the year ended December 31, 2016.</w:t>
      </w:r>
    </w:p>
    <w:p>
      <w:pPr>
        <w:spacing w:after="0" w:line="49" w:lineRule="exact"/>
        <w:rPr>
          <w:sz w:val="20"/>
          <w:szCs w:val="20"/>
          <w:color w:val="auto"/>
        </w:rPr>
      </w:pPr>
    </w:p>
    <w:p>
      <w:pPr>
        <w:ind w:right="40" w:firstLine="357"/>
        <w:spacing w:after="0" w:line="294" w:lineRule="auto"/>
        <w:rPr>
          <w:sz w:val="20"/>
          <w:szCs w:val="20"/>
          <w:color w:val="auto"/>
        </w:rPr>
      </w:pPr>
      <w:r>
        <w:rPr>
          <w:rFonts w:ascii="Arial" w:cs="Arial" w:eastAsia="Arial" w:hAnsi="Arial"/>
          <w:sz w:val="16"/>
          <w:szCs w:val="16"/>
          <w:color w:val="auto"/>
        </w:rPr>
        <w:t>The Company leases certain facilities and equipment, including the Montego Bay Terminal, to its customers which are accounted for as direct financing leases. We currently generate a majority of other revenue from interest recognized from these direct financing leases. Other revenue for the year ended December 31, 2017 was $15,158 which increased $12,378 from $2,780 for the year-ended December 31, 2016. The increase is attributable to twelve months of operations at the Montego Bay Terminal during the year ended December 31, 2017 whereas the Montego Bay Terminal operated for two months in 2016.</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sales</w:t>
      </w:r>
    </w:p>
    <w:p>
      <w:pPr>
        <w:spacing w:after="0" w:line="115" w:lineRule="exact"/>
        <w:rPr>
          <w:sz w:val="20"/>
          <w:szCs w:val="20"/>
          <w:color w:val="auto"/>
        </w:rPr>
      </w:pPr>
    </w:p>
    <w:p>
      <w:pPr>
        <w:ind w:right="100" w:firstLine="357"/>
        <w:spacing w:after="0" w:line="255" w:lineRule="auto"/>
        <w:rPr>
          <w:sz w:val="20"/>
          <w:szCs w:val="20"/>
          <w:color w:val="auto"/>
        </w:rPr>
      </w:pPr>
      <w:r>
        <w:rPr>
          <w:rFonts w:ascii="Arial" w:cs="Arial" w:eastAsia="Arial" w:hAnsi="Arial"/>
          <w:sz w:val="18"/>
          <w:szCs w:val="18"/>
          <w:color w:val="auto"/>
        </w:rPr>
        <w:t>Cost of sales includes the procurement of feedgas or LNG as applicable, shipping and logistics costs to deliver LNG to our facilities and regasification and terminal operating expenses to provide product to our customers. Our LNG and natural gas supply are purchased from third parties or converted in our liquefaction facilities. Costs to convert natural gas to LNG, including labor and other direct costs to operate our liquefaction facility, are also included in Cost of sales. Cost of sales for the year ended December 31, 2017 was $78,692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which increased $55,945 from $22,747 for the year ended December 31, 2016. The increase in Cost of Sales was attributable to twelve months of operations at the Miami Facility and Montego Bay Terminal for the year ended December 31, 2017, whereas the Miami Facility and Montego Bay Terminal were operating for eight and two months, respectively, for the year ended December 30, 2016.</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Operations and maintenance</w:t>
      </w:r>
    </w:p>
    <w:p>
      <w:pPr>
        <w:spacing w:after="0" w:line="115" w:lineRule="exact"/>
        <w:rPr>
          <w:sz w:val="20"/>
          <w:szCs w:val="20"/>
          <w:color w:val="auto"/>
        </w:rPr>
      </w:pPr>
    </w:p>
    <w:p>
      <w:pPr>
        <w:ind w:right="100" w:firstLine="357"/>
        <w:spacing w:after="0" w:line="257" w:lineRule="auto"/>
        <w:rPr>
          <w:sz w:val="20"/>
          <w:szCs w:val="20"/>
          <w:color w:val="auto"/>
        </w:rPr>
      </w:pPr>
      <w:r>
        <w:rPr>
          <w:rFonts w:ascii="Arial" w:cs="Arial" w:eastAsia="Arial" w:hAnsi="Arial"/>
          <w:sz w:val="18"/>
          <w:szCs w:val="18"/>
          <w:color w:val="auto"/>
        </w:rPr>
        <w:t>Operations and maintenance relates to costs of operating our Miami Facility exclusive of conversion costs reflected in Cost of sales. Operations and maintenance for the year ended December 31, 2017 was $7,456 which increased $2,251 from $5,205 for the year-ended December 31, 2016. The increase is primarily a result of the Miami Facility operating for twelve months in 2017 in comparison to operating for eight months in 2016.</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Selling, general and administrative includes employee travel costs, insurance, and costs associated with development activities for projects that are in initial stages and development is not yet probable. Selling, general and administrative also includes compensation expenses for our corporate employees, including our executives, as well as professional fees for our advisors. Selling, general and administrative for the year ended December 31, 2017 was $33,343 which increased $15,183 from $18,160 for the year-ended December 31, 2016 primarily as a result of increased development activities and employee travel as well as increased headcount.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and amortization</w:t>
      </w:r>
    </w:p>
    <w:p>
      <w:pPr>
        <w:spacing w:after="0" w:line="115" w:lineRule="exact"/>
        <w:rPr>
          <w:sz w:val="20"/>
          <w:szCs w:val="20"/>
          <w:color w:val="auto"/>
        </w:rPr>
      </w:pPr>
    </w:p>
    <w:p>
      <w:pPr>
        <w:ind w:right="220" w:firstLine="357"/>
        <w:spacing w:after="0" w:line="284" w:lineRule="auto"/>
        <w:rPr>
          <w:sz w:val="20"/>
          <w:szCs w:val="20"/>
          <w:color w:val="auto"/>
        </w:rPr>
      </w:pPr>
      <w:r>
        <w:rPr>
          <w:rFonts w:ascii="Arial" w:cs="Arial" w:eastAsia="Arial" w:hAnsi="Arial"/>
          <w:sz w:val="17"/>
          <w:szCs w:val="17"/>
          <w:color w:val="auto"/>
        </w:rPr>
        <w:t>Depreciation and amortization for the year ended December 31, 2017 was $2,761 which increased $420 from $2,341 for the year ended December 31, 2016. The increase is primarily a result of twelve months of operations at the Miami Facility and the purchase of additional equipment and vehicles which were placed into service during 2017.</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expense</w:t>
      </w:r>
    </w:p>
    <w:p>
      <w:pPr>
        <w:spacing w:after="0" w:line="115" w:lineRule="exact"/>
        <w:rPr>
          <w:sz w:val="20"/>
          <w:szCs w:val="20"/>
          <w:color w:val="auto"/>
        </w:rPr>
      </w:pPr>
    </w:p>
    <w:p>
      <w:pPr>
        <w:ind w:firstLine="357"/>
        <w:spacing w:after="0" w:line="253" w:lineRule="auto"/>
        <w:rPr>
          <w:sz w:val="20"/>
          <w:szCs w:val="20"/>
          <w:color w:val="auto"/>
        </w:rPr>
      </w:pPr>
      <w:r>
        <w:rPr>
          <w:rFonts w:ascii="Arial" w:cs="Arial" w:eastAsia="Arial" w:hAnsi="Arial"/>
          <w:sz w:val="18"/>
          <w:szCs w:val="18"/>
          <w:color w:val="auto"/>
        </w:rPr>
        <w:t>Interest expense for the year ended December 31, 2017 was $6,456, which increased $1,351 from $5,105 for the year ended December 31, 2016, primarily as a result of interest on the MoBay Loan (as defined below) of $3,611 and $643 and Miami Loan (as defined below) of $2,845 and $1,803 for the years ended December 31, 2017 and December 31, 2016, respectively, net of capitalized interest recognized during construction in the year ended December 31, 2016. During 2017, we raised equity capital, which funded a majority of our capital expenditures resulting in a decrease in capitalized interest compared to December 31, 2016. The increase in interest expense is partially offset by the reduction of interest expense on the Corporate Loan which was repaid at maturity in June 2016.</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(income), net</w:t>
      </w:r>
    </w:p>
    <w:p>
      <w:pPr>
        <w:spacing w:after="0" w:line="115" w:lineRule="exact"/>
        <w:rPr>
          <w:sz w:val="20"/>
          <w:szCs w:val="20"/>
          <w:color w:val="auto"/>
        </w:rPr>
      </w:pPr>
    </w:p>
    <w:p>
      <w:pPr>
        <w:ind w:right="400" w:firstLine="357"/>
        <w:spacing w:after="0" w:line="305" w:lineRule="auto"/>
        <w:rPr>
          <w:sz w:val="20"/>
          <w:szCs w:val="20"/>
          <w:color w:val="auto"/>
        </w:rPr>
      </w:pPr>
      <w:r>
        <w:rPr>
          <w:rFonts w:ascii="Arial" w:cs="Arial" w:eastAsia="Arial" w:hAnsi="Arial"/>
          <w:sz w:val="17"/>
          <w:szCs w:val="17"/>
          <w:color w:val="auto"/>
        </w:rPr>
        <w:t>Other income, net for the year ended December 31, 2017 was ($301) which increased $248 from ($53) for the year-ended December 31, 2016, primarily as a result of an increase in interest income and realized foreign currency gain.</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Loss on extinguishment of debt</w:t>
      </w:r>
    </w:p>
    <w:p>
      <w:pPr>
        <w:spacing w:after="0" w:line="115" w:lineRule="exact"/>
        <w:rPr>
          <w:sz w:val="20"/>
          <w:szCs w:val="20"/>
          <w:color w:val="auto"/>
        </w:rPr>
      </w:pPr>
    </w:p>
    <w:p>
      <w:pPr>
        <w:ind w:right="300" w:firstLine="357"/>
        <w:spacing w:after="0" w:line="274" w:lineRule="auto"/>
        <w:rPr>
          <w:sz w:val="20"/>
          <w:szCs w:val="20"/>
          <w:color w:val="auto"/>
        </w:rPr>
      </w:pPr>
      <w:r>
        <w:rPr>
          <w:rFonts w:ascii="Arial" w:cs="Arial" w:eastAsia="Arial" w:hAnsi="Arial"/>
          <w:sz w:val="18"/>
          <w:szCs w:val="18"/>
          <w:color w:val="auto"/>
        </w:rPr>
        <w:t>Loss on extinguishment of debt for the year ended December 31, 2016 was $1,177, which was recognized as a result of the extinguishment of the Corporate Loan on June 3, 2016.</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provision (benefit)</w:t>
      </w:r>
    </w:p>
    <w:p>
      <w:pPr>
        <w:spacing w:after="0" w:line="115" w:lineRule="exact"/>
        <w:rPr>
          <w:sz w:val="20"/>
          <w:szCs w:val="20"/>
          <w:color w:val="auto"/>
        </w:rPr>
      </w:pPr>
    </w:p>
    <w:p>
      <w:pPr>
        <w:ind w:right="40" w:firstLine="357"/>
        <w:spacing w:after="0" w:line="305" w:lineRule="auto"/>
        <w:rPr>
          <w:sz w:val="20"/>
          <w:szCs w:val="20"/>
          <w:color w:val="auto"/>
        </w:rPr>
      </w:pPr>
      <w:r>
        <w:rPr>
          <w:rFonts w:ascii="Arial" w:cs="Arial" w:eastAsia="Arial" w:hAnsi="Arial"/>
          <w:sz w:val="17"/>
          <w:szCs w:val="17"/>
          <w:color w:val="auto"/>
        </w:rPr>
        <w:t>Tax provision (benefit) for the year ended December 31, 2017 was $526, which increased $887 from ($361) for the year ended December 31, 2016 due to a decrease in net taxable losses in foreign jurisdiction when comparing 2017 to 2016.</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Comparability of Our Financial Results</w:t>
      </w:r>
    </w:p>
    <w:p>
      <w:pPr>
        <w:spacing w:after="0" w:line="119" w:lineRule="exact"/>
        <w:rPr>
          <w:sz w:val="20"/>
          <w:szCs w:val="20"/>
          <w:color w:val="auto"/>
        </w:rPr>
      </w:pPr>
    </w:p>
    <w:p>
      <w:pPr>
        <w:ind w:right="200" w:firstLine="357"/>
        <w:spacing w:after="0" w:line="274" w:lineRule="auto"/>
        <w:rPr>
          <w:sz w:val="20"/>
          <w:szCs w:val="20"/>
          <w:color w:val="auto"/>
        </w:rPr>
      </w:pPr>
      <w:r>
        <w:rPr>
          <w:rFonts w:ascii="Arial" w:cs="Arial" w:eastAsia="Arial" w:hAnsi="Arial"/>
          <w:sz w:val="18"/>
          <w:szCs w:val="18"/>
          <w:color w:val="auto"/>
        </w:rPr>
        <w:t>Our historical results of operations and cash flows are not indicative of results of operations and cash flows to be expected in the future, principally for the following reasons:</w:t>
      </w:r>
    </w:p>
    <w:p>
      <w:pPr>
        <w:spacing w:after="0" w:line="64" w:lineRule="exact"/>
        <w:rPr>
          <w:sz w:val="20"/>
          <w:szCs w:val="20"/>
          <w:color w:val="auto"/>
        </w:rPr>
      </w:pPr>
    </w:p>
    <w:p>
      <w:pPr>
        <w:ind w:left="700" w:hanging="346"/>
        <w:spacing w:after="0" w:line="271" w:lineRule="auto"/>
        <w:tabs>
          <w:tab w:leader="none" w:pos="70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historical financial results only include our Miami Facility and our Montego Bay Terminal. </w:t>
      </w:r>
      <w:r>
        <w:rPr>
          <w:rFonts w:ascii="Arial" w:cs="Arial" w:eastAsia="Arial" w:hAnsi="Arial"/>
          <w:sz w:val="17"/>
          <w:szCs w:val="17"/>
          <w:color w:val="auto"/>
        </w:rPr>
        <w:t>Our historical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only include our Miami Facility and our Montego Bay Terminal and do not include future revenue resulting from long-term contracts with downstream customers, expected from projects under development, including the Old Harbour Power Plant, the CHP Plant, the San Juan Facility, the La Paz Terminal and the Pennsylvania Facility and any other future liquefiers and downstream facilities that we may develop. Some of these development projects are expected to be completed and operational as early as January 2019.</w:t>
      </w:r>
    </w:p>
    <w:p>
      <w:pPr>
        <w:spacing w:after="0" w:line="30" w:lineRule="exact"/>
        <w:rPr>
          <w:rFonts w:ascii="Arial" w:cs="Arial" w:eastAsia="Arial" w:hAnsi="Arial"/>
          <w:sz w:val="17"/>
          <w:szCs w:val="17"/>
          <w:color w:val="auto"/>
        </w:rPr>
      </w:pPr>
    </w:p>
    <w:p>
      <w:pPr>
        <w:ind w:left="720" w:right="40"/>
        <w:spacing w:after="0" w:line="273" w:lineRule="auto"/>
        <w:rPr>
          <w:rFonts w:ascii="Arial" w:cs="Arial" w:eastAsia="Arial" w:hAnsi="Arial"/>
          <w:sz w:val="17"/>
          <w:szCs w:val="17"/>
          <w:color w:val="auto"/>
        </w:rPr>
      </w:pPr>
      <w:r>
        <w:rPr>
          <w:rFonts w:ascii="Arial" w:cs="Arial" w:eastAsia="Arial" w:hAnsi="Arial"/>
          <w:sz w:val="17"/>
          <w:szCs w:val="17"/>
          <w:color w:val="auto"/>
        </w:rPr>
        <w:t>In addition, we currently purchase the majority of our supply of LNG from third parties. For the year ended December 31, 2017, our first full year of commercial operations, we sourced 94.1% of our LNG volumes from third parties. NFE is in the process of developing in-basin liquefaction facilities that will vertically integrate our supply and substantially reduce the need to source LNG from third parties; this, combined with lower cost production, should significantly impact our results of operations and cash flows from both contracted and expected downstream sales.</w:t>
      </w:r>
    </w:p>
    <w:p>
      <w:pPr>
        <w:spacing w:after="0" w:line="68" w:lineRule="exact"/>
        <w:rPr>
          <w:rFonts w:ascii="Arial" w:cs="Arial" w:eastAsia="Arial" w:hAnsi="Arial"/>
          <w:sz w:val="17"/>
          <w:szCs w:val="17"/>
          <w:color w:val="auto"/>
        </w:rPr>
      </w:pPr>
    </w:p>
    <w:p>
      <w:pPr>
        <w:ind w:left="700" w:right="180" w:hanging="346"/>
        <w:spacing w:after="0" w:line="269" w:lineRule="auto"/>
        <w:tabs>
          <w:tab w:leader="none" w:pos="70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expect to incur incremental, selling, general and administrative expenses related to our transition to a publicly traded company. </w:t>
      </w:r>
      <w:r>
        <w:rPr>
          <w:rFonts w:ascii="Arial" w:cs="Arial" w:eastAsia="Arial" w:hAnsi="Arial"/>
          <w:sz w:val="17"/>
          <w:szCs w:val="17"/>
          <w:color w:val="auto"/>
        </w:rPr>
        <w:t>Upon completion of this offering, we expect to incur direct, incremental general and administrative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as a result of being a publicly traded company, including costs associated with the employment of additional personnel, compliance under the Exchange Act, annual and quarterly reports to common shareholders, registrar and transfer agent fees, national stock exchange fees, the costs associated with the initial implementation of our Sarbanes-Oxley Section 404 internal controls and testing, audit fees, incremental director and officer liability insurance costs and director and officer compensation. These direct, incremental general and administrative expenses are not included in our historical results of operations.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right="100" w:firstLine="357"/>
        <w:spacing w:after="0" w:line="271" w:lineRule="auto"/>
        <w:rPr>
          <w:sz w:val="20"/>
          <w:szCs w:val="20"/>
          <w:color w:val="auto"/>
        </w:rPr>
      </w:pPr>
      <w:r>
        <w:rPr>
          <w:rFonts w:ascii="Arial" w:cs="Arial" w:eastAsia="Arial" w:hAnsi="Arial"/>
          <w:sz w:val="17"/>
          <w:szCs w:val="17"/>
          <w:color w:val="auto"/>
        </w:rPr>
        <w:t>We expect to fund our current operations and continued development of additional facilities through a combination of cash on hand, additional debt and the proceeds from this offering. We also have the flexibility to opportunistically sell one or more assets to generate additional liquidity, though we have not determined to sell any specific assets at this time. We expect to make significant capital expenditures to build out our terminals and liquefaction facilities. The proceeds of the Term Loan Facility funded in December 2018 will be used to make capital expenditures to complete the San Juan Facility, as well as for additional storage and regasification facilities for small-scale customers.</w:t>
      </w:r>
    </w:p>
    <w:p>
      <w:pPr>
        <w:spacing w:after="0" w:line="71" w:lineRule="exact"/>
        <w:rPr>
          <w:sz w:val="20"/>
          <w:szCs w:val="20"/>
          <w:color w:val="auto"/>
        </w:rPr>
      </w:pPr>
    </w:p>
    <w:p>
      <w:pPr>
        <w:ind w:right="80" w:firstLine="357"/>
        <w:spacing w:after="0" w:line="253" w:lineRule="auto"/>
        <w:rPr>
          <w:sz w:val="20"/>
          <w:szCs w:val="20"/>
          <w:color w:val="auto"/>
        </w:rPr>
      </w:pPr>
      <w:r>
        <w:rPr>
          <w:rFonts w:ascii="Arial" w:cs="Arial" w:eastAsia="Arial" w:hAnsi="Arial"/>
          <w:sz w:val="18"/>
          <w:szCs w:val="18"/>
          <w:color w:val="auto"/>
        </w:rPr>
        <w:t>We believe that our cash resources will be sufficient to meet our committed capital expenditures as well as for additional storage and regasification facilities for small-scale customers, our financing obligations and our operating requirements for the next twelve months. Our business plan also includes significant capital expenditures to develop the Pennsylvania Facility, the San Juan Facility and the La Paz Terminal. See “Use of Proceeds.” We plan to finance these projects using proceeds from this offering and additional debt and equity financing as well as potential asset sales. If we are unable to complete this offering or if we are unable to secure additional funding, we may be unable to fully execute our business plan, and our financial condition or results of operations may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changes to our cash flows for the nine months ended September 30: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Change</w:t>
            </w:r>
          </w:p>
        </w:tc>
      </w:tr>
      <w:tr>
        <w:trPr>
          <w:trHeight w:val="241"/>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266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5"/>
        </w:trPr>
        <w:tc>
          <w:tcPr>
            <w:tcW w:w="3780" w:type="dxa"/>
            <w:vAlign w:val="bottom"/>
          </w:tcPr>
          <w:p>
            <w:pPr>
              <w:spacing w:after="0"/>
              <w:rPr>
                <w:sz w:val="20"/>
                <w:szCs w:val="20"/>
                <w:color w:val="auto"/>
              </w:rPr>
            </w:pPr>
            <w:r>
              <w:rPr>
                <w:rFonts w:ascii="Arial" w:cs="Arial" w:eastAsia="Arial" w:hAnsi="Arial"/>
                <w:sz w:val="18"/>
                <w:szCs w:val="18"/>
                <w:color w:val="auto"/>
              </w:rPr>
              <w:t>Operating activities</w:t>
            </w:r>
          </w:p>
        </w:tc>
        <w:tc>
          <w:tcPr>
            <w:tcW w:w="2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(53,156)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(35,983)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(17,173)</w:t>
            </w:r>
          </w:p>
        </w:tc>
      </w:tr>
      <w:tr>
        <w:trPr>
          <w:trHeight w:val="248"/>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6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(105,152)</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(36,109)</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(69,043)</w:t>
            </w:r>
          </w:p>
        </w:tc>
      </w:tr>
      <w:tr>
        <w:trPr>
          <w:trHeight w:val="228"/>
        </w:trPr>
        <w:tc>
          <w:tcPr>
            <w:tcW w:w="3780" w:type="dxa"/>
            <w:vAlign w:val="bottom"/>
          </w:tcPr>
          <w:p>
            <w:pPr>
              <w:spacing w:after="0"/>
              <w:rPr>
                <w:sz w:val="20"/>
                <w:szCs w:val="20"/>
                <w:color w:val="auto"/>
              </w:rPr>
            </w:pPr>
            <w:r>
              <w:rPr>
                <w:rFonts w:ascii="Arial" w:cs="Arial" w:eastAsia="Arial" w:hAnsi="Arial"/>
                <w:sz w:val="18"/>
                <w:szCs w:val="18"/>
                <w:color w:val="auto"/>
              </w:rPr>
              <w:t>Financing activities</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125,503</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(7,056)</w:t>
            </w: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132,559</w:t>
            </w:r>
          </w:p>
        </w:tc>
      </w:tr>
      <w:tr>
        <w:trPr>
          <w:trHeight w:val="27"/>
        </w:trPr>
        <w:tc>
          <w:tcPr>
            <w:tcW w:w="3780" w:type="dxa"/>
            <w:vAlign w:val="bottom"/>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75"/>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66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46,343</w:t>
            </w:r>
          </w:p>
        </w:tc>
      </w:tr>
      <w:tr>
        <w:trPr>
          <w:trHeight w:val="430"/>
        </w:trPr>
        <w:tc>
          <w:tcPr>
            <w:tcW w:w="3780" w:type="dxa"/>
            <w:vAlign w:val="bottom"/>
            <w:tcBorders>
              <w:top w:val="single" w:sz="8" w:color="CCEEFF"/>
            </w:tcBorders>
          </w:tcPr>
          <w:p>
            <w:pPr>
              <w:spacing w:after="0"/>
              <w:rPr>
                <w:sz w:val="24"/>
                <w:szCs w:val="24"/>
                <w:color w:val="auto"/>
              </w:rPr>
            </w:pPr>
          </w:p>
        </w:tc>
        <w:tc>
          <w:tcPr>
            <w:tcW w:w="2660" w:type="dxa"/>
            <w:vAlign w:val="bottom"/>
            <w:tcBorders>
              <w:top w:val="single" w:sz="8" w:color="CCEEFF"/>
            </w:tcBorders>
          </w:tcPr>
          <w:p>
            <w:pPr>
              <w:jc w:val="right"/>
              <w:ind w:right="1511"/>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442"/>
        </w:trPr>
        <w:tc>
          <w:tcPr>
            <w:tcW w:w="3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7"/>
        </w:trPr>
        <w:tc>
          <w:tcPr>
            <w:tcW w:w="3780" w:type="dxa"/>
            <w:vAlign w:val="bottom"/>
            <w:shd w:val="clear" w:color="auto" w:fill="000000"/>
          </w:tcPr>
          <w:p>
            <w:pPr>
              <w:spacing w:after="0"/>
              <w:rPr>
                <w:sz w:val="5"/>
                <w:szCs w:val="5"/>
                <w:color w:val="auto"/>
              </w:rPr>
            </w:pPr>
          </w:p>
        </w:tc>
        <w:tc>
          <w:tcPr>
            <w:tcW w:w="266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operating activities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cash flow used in operating activities was $53,156 in the nine months ended September 30, 2018, which increased by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$17,173 from $35,983 in the nine months ended September 30, 2017. For both nine month periods ended September 30, 2018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2017, we had net loss that comprised a significant portion of cash used in operating activities due to the continued expansion of our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operations in Jamaica. A significant portion of the increase in cash used in operations was attributed to increases in other operating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assets accounts.</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cash flow used in investing activities was $105,152 in the nine months ended September 30, 2018, which increased by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$69,043 from $36,109 in the nine months ended September 30, 2017. The increase in cash flow used in investing activities is due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significant cash expenditures incurred in 2018 related to construction of the regasification terminal to support JPC’s Old Harbour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Power Plant.</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115" w:lineRule="exact"/>
        <w:rPr>
          <w:sz w:val="20"/>
          <w:szCs w:val="20"/>
          <w:color w:val="auto"/>
        </w:rPr>
      </w:pPr>
    </w:p>
    <w:p>
      <w:pPr>
        <w:ind w:firstLine="357"/>
        <w:spacing w:after="0" w:line="288" w:lineRule="auto"/>
        <w:rPr>
          <w:sz w:val="20"/>
          <w:szCs w:val="20"/>
          <w:color w:val="auto"/>
        </w:rPr>
      </w:pPr>
      <w:r>
        <w:rPr>
          <w:rFonts w:ascii="Arial" w:cs="Arial" w:eastAsia="Arial" w:hAnsi="Arial"/>
          <w:sz w:val="16"/>
          <w:szCs w:val="16"/>
          <w:color w:val="auto"/>
        </w:rPr>
        <w:t>Our cash flow provided by financing activities was $125,503 in the nine months ended September 30, 2018, which increased by $132,559 from $(7,056) in the nine months ended September 30, 2017. The increase in cash flow provided by financing activities is due to cash received from debt proceeds offset by cash payments of deferred financing costs and repayments of debt. In December 2017, the Company undertook an additional capital raise of $70,100 of which $50,000 of cash was received in January 2018. The Company also issued 665,843 shares in January 2018 for $20,150 in proceeds. These capital contributions were offset by principal payments on the Miami Loan and the MoBay Loan of $4,371. On August 16, 2018, the Company entered into the Term Loan Facility to borrow an aggregate principal amount of $240,000. Through September 30, 2018, the Company had drawn $130,000 of the total available amount and used these proceeds to repay both the Miami Loan and the MoBay Loan.</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changes to our cash flows for the years ended December 31: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r>
      <w:tr>
        <w:trPr>
          <w:trHeight w:val="241"/>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24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(54,892)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(43,493)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(11,399)</w:t>
            </w:r>
          </w:p>
        </w:tc>
      </w:tr>
      <w:tr>
        <w:trPr>
          <w:trHeight w:val="248"/>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(52,396)</w:t>
            </w:r>
          </w:p>
        </w:tc>
        <w:tc>
          <w:tcPr>
            <w:tcW w:w="22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(104,040)</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51,644</w:t>
            </w:r>
          </w:p>
        </w:tc>
      </w:tr>
      <w:tr>
        <w:trPr>
          <w:trHeight w:val="228"/>
        </w:trPr>
        <w:tc>
          <w:tcPr>
            <w:tcW w:w="5980" w:type="dxa"/>
            <w:vAlign w:val="bottom"/>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11,346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277,699</w:t>
            </w: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(266,353)</w:t>
            </w:r>
          </w:p>
        </w:tc>
      </w:tr>
      <w:tr>
        <w:trPr>
          <w:trHeight w:val="27"/>
        </w:trPr>
        <w:tc>
          <w:tcPr>
            <w:tcW w:w="59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(95,942)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130,166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(226,108)</w:t>
            </w:r>
          </w:p>
        </w:tc>
      </w:tr>
      <w:tr>
        <w:trPr>
          <w:trHeight w:val="27"/>
        </w:trPr>
        <w:tc>
          <w:tcPr>
            <w:tcW w:w="598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operating activities</w:t>
      </w:r>
    </w:p>
    <w:p>
      <w:pPr>
        <w:spacing w:after="0" w:line="115" w:lineRule="exact"/>
        <w:rPr>
          <w:sz w:val="20"/>
          <w:szCs w:val="20"/>
          <w:color w:val="auto"/>
        </w:rPr>
      </w:pPr>
    </w:p>
    <w:p>
      <w:pPr>
        <w:ind w:right="240" w:firstLine="357"/>
        <w:spacing w:after="0" w:line="299" w:lineRule="auto"/>
        <w:rPr>
          <w:sz w:val="20"/>
          <w:szCs w:val="20"/>
          <w:color w:val="auto"/>
        </w:rPr>
      </w:pPr>
      <w:r>
        <w:rPr>
          <w:rFonts w:ascii="Arial" w:cs="Arial" w:eastAsia="Arial" w:hAnsi="Arial"/>
          <w:sz w:val="16"/>
          <w:szCs w:val="16"/>
          <w:color w:val="auto"/>
        </w:rPr>
        <w:t>Our cash flow used in operating activities was $54,892 in 2017, which increased by $11,399 from $43,493 in 2016. For both the year ended December 2017 and 2016, we had net loss that comprised a significant portion of cash used in operating activities due to the continued expansion of our operations in Jamaica. A significant portion of cash used in operations for the year ended December 31, 2017 was attributed to an increase in deposits attributed to a prepayment for LNG supply.</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115" w:lineRule="exact"/>
        <w:rPr>
          <w:sz w:val="20"/>
          <w:szCs w:val="20"/>
          <w:color w:val="auto"/>
        </w:rPr>
      </w:pPr>
    </w:p>
    <w:p>
      <w:pPr>
        <w:ind w:right="40" w:firstLine="357"/>
        <w:spacing w:after="0" w:line="291" w:lineRule="auto"/>
        <w:rPr>
          <w:sz w:val="20"/>
          <w:szCs w:val="20"/>
          <w:color w:val="auto"/>
        </w:rPr>
      </w:pPr>
      <w:r>
        <w:rPr>
          <w:rFonts w:ascii="Arial" w:cs="Arial" w:eastAsia="Arial" w:hAnsi="Arial"/>
          <w:sz w:val="16"/>
          <w:szCs w:val="16"/>
          <w:color w:val="auto"/>
        </w:rPr>
        <w:t>Our cash flow used in investing activities was $52,396 in 2017, which decreased by $51,644 from $104,040 in 2016. The decrease in cash flow used in investing activities is due to significant cash expenditures incurred in 2016 as the Company completed construction of its Miami Facility and its Montego Bay Terminal. The decrease was offset by construction that began in 2017 on JPC’s Old Harbour Power Plant in Old Harbour, Jamaica (the “Old Harbour Power Plant”) resulting in approximately $28,500 in capital expenditures. The decrease was also partially offset by a restriction of $15,000 as collateral posted for performance under a gas sales agreement with a customer, and $7,000 of collateral posted with LNG suppliers for an upcoming delivery.</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5"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Our cash flow provided by financing activities was $11,346 in 2017, which decreased by $266,353 from $277,699 in 2016. The decrease in cash flow provided by financing activities is due to the Company issuing Class A shares in June 2016 in exchange for $300,505. The Company also received additional borrowings under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MoBay Loan of $44,000. The receipt of debt and equity capital in 2016 was offset by the repayment of Corporate Loan of</w:t>
      </w:r>
    </w:p>
    <w:p>
      <w:pPr>
        <w:spacing w:after="0" w:line="34"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$65,000. In December 2017, the Company undertook an additional capital raise of $70,100 of which $20,100 of cash was received during the year and the remainder in January 2018. This capital contribution was offset by principal payments on the Miami Loan and the MoBay Loan of $5,828.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5" w:lineRule="exact"/>
        <w:rPr>
          <w:sz w:val="20"/>
          <w:szCs w:val="20"/>
          <w:color w:val="auto"/>
        </w:rPr>
      </w:pPr>
    </w:p>
    <w:p>
      <w:pPr>
        <w:ind w:firstLine="357"/>
        <w:spacing w:after="0" w:line="280" w:lineRule="auto"/>
        <w:rPr>
          <w:sz w:val="20"/>
          <w:szCs w:val="20"/>
          <w:color w:val="auto"/>
        </w:rPr>
      </w:pPr>
      <w:r>
        <w:rPr>
          <w:rFonts w:ascii="Arial" w:cs="Arial" w:eastAsia="Arial" w:hAnsi="Arial"/>
          <w:sz w:val="16"/>
          <w:szCs w:val="16"/>
          <w:color w:val="auto"/>
        </w:rPr>
        <w:t>On August 16, 2018, the Company entered into a Term Loan Facility (as may be amended, from time to time, the “Term Loan Facility”) to borrow term loans, available in three draws, up to an aggregate principal amount of $240,000. On December 31, 2018, the Company amended its Term Loan Facility to, among other things, (i) increase the amount available for borrowing thereunder from $240,000 to $500,000, (ii) extend the initial maturity date to December 31, 2019, (iii) modify certain provisions relating to restrictive covenants and existing financial covenants, and (iv) remove the mandatory prepayment required with the net proceeds received in connection with an initial public offering. Borrowings under the Term Loan Facility bear interest at a rate selected by the Company of either (i) a LIBOR based rate, plus a spread of 4.0%, or (ii) subject to a floor of 1%, a Base Rate equal to the highest of</w:t>
      </w:r>
    </w:p>
    <w:p>
      <w:pPr>
        <w:spacing w:after="0" w:line="2" w:lineRule="exact"/>
        <w:rPr>
          <w:sz w:val="20"/>
          <w:szCs w:val="20"/>
          <w:color w:val="auto"/>
        </w:rPr>
      </w:pPr>
    </w:p>
    <w:p>
      <w:pPr>
        <w:ind w:right="60" w:firstLine="5"/>
        <w:spacing w:after="0" w:line="248" w:lineRule="auto"/>
        <w:tabs>
          <w:tab w:leader="none" w:pos="2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Prime Rate, (b) the Federal Funds Rate plus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2</w:t>
      </w:r>
      <w:r>
        <w:rPr>
          <w:rFonts w:ascii="Arial" w:cs="Arial" w:eastAsia="Arial" w:hAnsi="Arial"/>
          <w:sz w:val="17"/>
          <w:szCs w:val="17"/>
          <w:color w:val="auto"/>
        </w:rPr>
        <w:t xml:space="preserve"> of 1% or (c) the 1-month LIBOR rate plus the difference between the applicable LIBOR margin and Base Rate margin, plus a spread of 3.0%. The Term Loan Facility contains certain covenants that require additional contracted revenue to be obtained within certain time periods, and an event of default or additional fee payments may result if those targets are not met in the future. The Term Loan Facility is set to mature on December 31, 2019 and is repayable in quarterly installments of $1,250, with a balloon payment due on the maturity date. The Company has the option to extend the maturity date for two additional six month periods; upon the exercise of each extension option, the interest rate spread on LIBOR and Base Rate increases by 0.5%. To exercise each extension option, the Company must pay a fee equal to 1.0% of the outstanding principal balance at the time of the exercise of the option.</w:t>
      </w:r>
    </w:p>
    <w:p>
      <w:pPr>
        <w:spacing w:after="0" w:line="89" w:lineRule="exact"/>
        <w:rPr>
          <w:sz w:val="20"/>
          <w:szCs w:val="20"/>
          <w:color w:val="auto"/>
        </w:rPr>
      </w:pPr>
    </w:p>
    <w:p>
      <w:pPr>
        <w:ind w:right="120" w:firstLine="357"/>
        <w:spacing w:after="0" w:line="299" w:lineRule="auto"/>
        <w:rPr>
          <w:sz w:val="20"/>
          <w:szCs w:val="20"/>
          <w:color w:val="auto"/>
        </w:rPr>
      </w:pPr>
      <w:r>
        <w:rPr>
          <w:rFonts w:ascii="Arial" w:cs="Arial" w:eastAsia="Arial" w:hAnsi="Arial"/>
          <w:sz w:val="16"/>
          <w:szCs w:val="16"/>
          <w:color w:val="auto"/>
        </w:rPr>
        <w:t>The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on indebtedness, liens, acquisitions and investments, restricted payments and dispositions. The Term Loan Facility also provides for customary events of default, prepayment and cure provisions.</w:t>
      </w:r>
    </w:p>
    <w:p>
      <w:pPr>
        <w:spacing w:after="0" w:line="49" w:lineRule="exact"/>
        <w:rPr>
          <w:sz w:val="20"/>
          <w:szCs w:val="20"/>
          <w:color w:val="auto"/>
        </w:rPr>
      </w:pPr>
    </w:p>
    <w:p>
      <w:pPr>
        <w:ind w:right="420" w:firstLine="357"/>
        <w:spacing w:after="0" w:line="261" w:lineRule="auto"/>
        <w:rPr>
          <w:sz w:val="20"/>
          <w:szCs w:val="20"/>
          <w:color w:val="auto"/>
        </w:rPr>
      </w:pPr>
      <w:r>
        <w:rPr>
          <w:rFonts w:ascii="Arial" w:cs="Arial" w:eastAsia="Arial" w:hAnsi="Arial"/>
          <w:sz w:val="18"/>
          <w:szCs w:val="18"/>
          <w:color w:val="auto"/>
        </w:rPr>
        <w:t>As of December 31, 2018, the total principal amount outstanding under the Term Loan Facility was $280,000. Future borrowing capacity of $220,000 under the Term Loan Facility is subject to a delayed draw feature that expires on February 15, 2019. We expect to borrow under the delayed draw prior to its expiration.</w:t>
      </w:r>
    </w:p>
    <w:p>
      <w:pPr>
        <w:spacing w:after="0" w:line="76" w:lineRule="exact"/>
        <w:rPr>
          <w:sz w:val="20"/>
          <w:szCs w:val="20"/>
          <w:color w:val="auto"/>
        </w:rPr>
      </w:pPr>
    </w:p>
    <w:p>
      <w:pPr>
        <w:ind w:right="80" w:firstLine="357"/>
        <w:spacing w:after="0" w:line="257" w:lineRule="auto"/>
        <w:rPr>
          <w:sz w:val="20"/>
          <w:szCs w:val="20"/>
          <w:color w:val="auto"/>
        </w:rPr>
      </w:pPr>
      <w:r>
        <w:rPr>
          <w:rFonts w:ascii="Arial" w:cs="Arial" w:eastAsia="Arial" w:hAnsi="Arial"/>
          <w:sz w:val="18"/>
          <w:szCs w:val="18"/>
          <w:color w:val="auto"/>
        </w:rPr>
        <w:t>The Company used the net proceeds of the Term Loan Facility to repay the Miami Loan and the Mobay Loan in full during August 2018 and September 2018, respectively. The proceeds of the Term Loan Facility funded on or after December 31, 2018 will be used to make capital expenditures to complete the San Juan Facility, as well as for additional storage and regasification facilities for small-scale customers.</w:t>
      </w:r>
    </w:p>
    <w:p>
      <w:pPr>
        <w:spacing w:after="0" w:line="79" w:lineRule="exact"/>
        <w:rPr>
          <w:sz w:val="20"/>
          <w:szCs w:val="20"/>
          <w:color w:val="auto"/>
        </w:rPr>
      </w:pPr>
    </w:p>
    <w:p>
      <w:pPr>
        <w:jc w:val="both"/>
        <w:ind w:right="520" w:firstLine="357"/>
        <w:spacing w:after="0" w:line="261" w:lineRule="auto"/>
        <w:rPr>
          <w:sz w:val="20"/>
          <w:szCs w:val="20"/>
          <w:color w:val="auto"/>
        </w:rPr>
      </w:pPr>
      <w:r>
        <w:rPr>
          <w:rFonts w:ascii="Arial" w:cs="Arial" w:eastAsia="Arial" w:hAnsi="Arial"/>
          <w:sz w:val="18"/>
          <w:szCs w:val="18"/>
          <w:color w:val="auto"/>
        </w:rPr>
        <w:t>Following completion of this offering, we intend to seek to refinance the Term Loan Facility, including to increase total available borrowings. We cannot assure you whether we will be able to successfully refinance such facility, or the final terms thereof, including the ability to increase amounts available for borrowing.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Loan Agreement</w:t>
      </w:r>
    </w:p>
    <w:p>
      <w:pPr>
        <w:spacing w:after="0" w:line="115" w:lineRule="exact"/>
        <w:rPr>
          <w:sz w:val="20"/>
          <w:szCs w:val="20"/>
          <w:color w:val="auto"/>
        </w:rPr>
      </w:pPr>
    </w:p>
    <w:p>
      <w:pPr>
        <w:ind w:right="120" w:firstLine="357"/>
        <w:spacing w:after="0" w:line="255" w:lineRule="auto"/>
        <w:rPr>
          <w:sz w:val="20"/>
          <w:szCs w:val="20"/>
          <w:color w:val="auto"/>
        </w:rPr>
      </w:pPr>
      <w:r>
        <w:rPr>
          <w:rFonts w:ascii="Arial" w:cs="Arial" w:eastAsia="Arial" w:hAnsi="Arial"/>
          <w:sz w:val="18"/>
          <w:szCs w:val="18"/>
          <w:color w:val="auto"/>
        </w:rPr>
        <w:t>In June 2016, NFE North Holdings Limited (“NFE North”), a wholly owned subsidiary of the Company entered into a syndicated loan agreement (the “MoBay Loan Agreement”) providing for a $44,000 term loan facility (the “MoBay Loan”) in connection with the construction and development of the Montego Bay Terminal and related infrastructure. The maturity date for each loan drawn under the MoBay Loan was the day immediately preceding the seventh anniversary of the drawdown date of such loan.</w:t>
      </w:r>
    </w:p>
    <w:p>
      <w:pPr>
        <w:spacing w:after="0" w:line="81"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color w:val="auto"/>
        </w:rPr>
        <w:t>Outstanding amounts under the MoBay Loan accrued interest at a per annum rate of 8.10%. The MoBay Loan could be prepaid at any time, upon 30 days’ prior written notice to the agent, subject to a prepayment fee of 2% of any amount being prepaid during the one year period from the date of the first loan drawdown of the MoBay Loan, or 1% of any amount being prepaid during the period commencing one year from the date of the first loan drawdown of the MoBay Loan and expiring on the fifth anniversary of such date.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During the construction period of certain projects in 2016, related interest expense and borrowings costs were capitalized.</w:t>
      </w:r>
    </w:p>
    <w:p>
      <w:pPr>
        <w:spacing w:after="0" w:line="126" w:lineRule="exact"/>
        <w:rPr>
          <w:sz w:val="20"/>
          <w:szCs w:val="20"/>
          <w:color w:val="auto"/>
        </w:rPr>
      </w:pPr>
    </w:p>
    <w:p>
      <w:pPr>
        <w:ind w:right="100" w:firstLine="357"/>
        <w:spacing w:after="0" w:line="284" w:lineRule="auto"/>
        <w:rPr>
          <w:sz w:val="20"/>
          <w:szCs w:val="20"/>
          <w:color w:val="auto"/>
        </w:rPr>
      </w:pPr>
      <w:r>
        <w:rPr>
          <w:rFonts w:ascii="Arial" w:cs="Arial" w:eastAsia="Arial" w:hAnsi="Arial"/>
          <w:sz w:val="17"/>
          <w:szCs w:val="17"/>
          <w:color w:val="auto"/>
        </w:rPr>
        <w:t>Interest expense, inclusive of amortized debt fees for the nine months ended September 30, 2018 and 2017, totaled $2,402 and $2,735 respectively. Interest expense, inclusive of amortized debt fees for the years ended December 31, 2017 and 2016, totaled $3,611 and $1,990, respectively, of which $0 and $1,347 respectively, was capitalized as a finance lease.</w:t>
      </w:r>
    </w:p>
    <w:p>
      <w:pPr>
        <w:spacing w:after="0" w:line="57" w:lineRule="exact"/>
        <w:rPr>
          <w:sz w:val="20"/>
          <w:szCs w:val="20"/>
          <w:color w:val="auto"/>
        </w:rPr>
      </w:pPr>
    </w:p>
    <w:p>
      <w:pPr>
        <w:ind w:right="240" w:firstLine="357"/>
        <w:spacing w:after="0" w:line="274" w:lineRule="auto"/>
        <w:rPr>
          <w:sz w:val="20"/>
          <w:szCs w:val="20"/>
          <w:color w:val="auto"/>
        </w:rPr>
      </w:pPr>
      <w:r>
        <w:rPr>
          <w:rFonts w:ascii="Arial" w:cs="Arial" w:eastAsia="Arial" w:hAnsi="Arial"/>
          <w:sz w:val="18"/>
          <w:szCs w:val="18"/>
          <w:color w:val="auto"/>
        </w:rPr>
        <w:t>Financial covenants stipulated by the MoBay Loan Agreement were not effective until December 31, 2017. As of December 31, 2017, NFE North was in compliance with all covenants under this agreement.</w:t>
      </w:r>
    </w:p>
    <w:p>
      <w:pPr>
        <w:spacing w:after="0" w:line="64" w:lineRule="exact"/>
        <w:rPr>
          <w:sz w:val="20"/>
          <w:szCs w:val="20"/>
          <w:color w:val="auto"/>
        </w:rPr>
      </w:pPr>
    </w:p>
    <w:p>
      <w:pPr>
        <w:ind w:right="80" w:firstLine="357"/>
        <w:spacing w:after="0" w:line="294" w:lineRule="auto"/>
        <w:rPr>
          <w:sz w:val="20"/>
          <w:szCs w:val="20"/>
          <w:color w:val="auto"/>
        </w:rPr>
      </w:pPr>
      <w:r>
        <w:rPr>
          <w:rFonts w:ascii="Arial" w:cs="Arial" w:eastAsia="Arial" w:hAnsi="Arial"/>
          <w:sz w:val="16"/>
          <w:szCs w:val="16"/>
          <w:color w:val="auto"/>
        </w:rPr>
        <w:t>The Company used the net proceeds of the Term Loan Facility entered into in August 2018 to repay the MoBay Loan in full in September 2018. The Company was subject to a prepayment fee of 1% on the MoBay Loan, and paid $345 in September 2018 to lenders in conjunction with the repayment of the MoBay Loan. Unamortized deferred financing costs recorded as a reduction in long-term debt at the time of the repayment were $1,404. These unamortized deferred financing costs were written off in conjunction with the repayment and included within Loss on extinguishment of debt along with the prepayment penalty.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Loan Agreement</w:t>
      </w:r>
    </w:p>
    <w:p>
      <w:pPr>
        <w:spacing w:after="0" w:line="115" w:lineRule="exact"/>
        <w:rPr>
          <w:sz w:val="20"/>
          <w:szCs w:val="20"/>
          <w:color w:val="auto"/>
        </w:rPr>
      </w:pPr>
    </w:p>
    <w:p>
      <w:pPr>
        <w:ind w:right="100" w:firstLine="357"/>
        <w:spacing w:after="0" w:line="253" w:lineRule="auto"/>
        <w:rPr>
          <w:sz w:val="20"/>
          <w:szCs w:val="20"/>
          <w:color w:val="auto"/>
        </w:rPr>
      </w:pPr>
      <w:r>
        <w:rPr>
          <w:rFonts w:ascii="Arial" w:cs="Arial" w:eastAsia="Arial" w:hAnsi="Arial"/>
          <w:sz w:val="18"/>
          <w:szCs w:val="18"/>
          <w:color w:val="auto"/>
        </w:rPr>
        <w:t>In November 2014, LNG Holdings (Florida) LLC (“LHFL”), a controlled subsidiary, entered into a Credit Agreement (the “Miami Loan”) with a bank for an initial aggregate amount of $40,000, maturing on May 24, 2018, in connection with the construction of the Miami Facility. Borrowings under the loan bore interest at a rate selected by LHFL of either (i) a LIBOR based rate, with a floor of 1.00%, plus a spread of 5.00%, or (ii) subject to a floor of 2%, a Base Rate equal to the highest of (a) the Prime Rate, (b) the Federal Funds Rate plus ½ of 1% or (c) the 1-month LIBOR rate plus the difference between the applicable LIBOR margin and Base Rate margin, plus a spread of 4.00%. Subject to certain conditions, the Miami Loan could be extended for an additional term of up to 18 months.</w:t>
      </w:r>
    </w:p>
    <w:p>
      <w:pPr>
        <w:spacing w:after="0" w:line="82" w:lineRule="exact"/>
        <w:rPr>
          <w:sz w:val="20"/>
          <w:szCs w:val="20"/>
          <w:color w:val="auto"/>
        </w:rPr>
      </w:pPr>
    </w:p>
    <w:p>
      <w:pPr>
        <w:ind w:right="80" w:firstLine="357"/>
        <w:spacing w:after="0" w:line="274" w:lineRule="auto"/>
        <w:rPr>
          <w:sz w:val="20"/>
          <w:szCs w:val="20"/>
          <w:color w:val="auto"/>
        </w:rPr>
      </w:pPr>
      <w:r>
        <w:rPr>
          <w:rFonts w:ascii="Arial" w:cs="Arial" w:eastAsia="Arial" w:hAnsi="Arial"/>
          <w:sz w:val="18"/>
          <w:szCs w:val="18"/>
          <w:color w:val="auto"/>
        </w:rPr>
        <w:t>On May 16, 2018, the Company extended the maturity to November 2019. To execute the extension option, the Company paid an extension fee of $388, equating to 1% of the outstanding principal at that time.</w:t>
      </w:r>
    </w:p>
    <w:p>
      <w:pPr>
        <w:spacing w:after="0" w:line="64"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color w:val="auto"/>
        </w:rPr>
        <w:t>The Miami Loan required periodic payments of interest on either a monthly, quarterly or semi-annual basis where LHFL selected the monthly interest rate option. In addition, with respect to LIBOR based borrowings, LHFL, at its option, could elect to defer up to ten interest periods outstanding at any point in time. The Miami Loan also required annual amortization in an amount equal to 1% of the amount outstanding. The Miami Loan could be prepaid without penalty after the first anniversary of the closing of the Miami Loan. At the time of the extinguishment of the debt in August 2018 and as of the years ended December 31, 2017 and 2016, interest was calculated based on 7.58%, 6.57% and 6.00%, as of the end of each respective period. Interest expense, inclusive of amortized debt fees for the nine months ended September 30, 2018 and 2017, totaled $1,989 and $2,106, respectively. Interest expense, inclusive of amortized debt fees for the years ended December 31, 2017 and 2016, totaled $2,845 and $2,740, respectively, of which $0 and $937 was capitalized.</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2017 and 2016, LHFL was in compliance with all of the covenants under this agreement.</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used the net proceeds of the Term Loan Facility entered into in August 2018 to repay the Miami Loan in full in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August 2018. The outstanding principal balance at the time of the repayment was $38,707; the Company agreed to repay lenders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$37,255 to extinguish the liability, and as such, a gain on extinguishment of $1,452 was recorded within Loss on extinguishment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debt. The gain was partially offset by the write-off of unamortized deferred financing costs recorded as a reduction in long-term debt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of $321.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19" w:lineRule="exact"/>
        <w:rPr>
          <w:sz w:val="20"/>
          <w:szCs w:val="20"/>
          <w:color w:val="auto"/>
        </w:rPr>
      </w:pPr>
    </w:p>
    <w:p>
      <w:pPr>
        <w:ind w:right="140" w:firstLine="357"/>
        <w:spacing w:after="0" w:line="284" w:lineRule="auto"/>
        <w:rPr>
          <w:sz w:val="20"/>
          <w:szCs w:val="20"/>
          <w:color w:val="auto"/>
        </w:rPr>
      </w:pPr>
      <w:r>
        <w:rPr>
          <w:rFonts w:ascii="Arial" w:cs="Arial" w:eastAsia="Arial" w:hAnsi="Arial"/>
          <w:sz w:val="17"/>
          <w:szCs w:val="17"/>
          <w:color w:val="auto"/>
        </w:rPr>
        <w:t>As of September 30, 2018 and December 31, 2017, other than operating leases and certain contractual obligations for the purchase of LNG and natural gas, we had no transactions that met the definition of off-balance sheet arrangements that may have a current or future material effect on our consolidated financial position or operating results.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9" w:lineRule="exact"/>
        <w:rPr>
          <w:sz w:val="20"/>
          <w:szCs w:val="20"/>
          <w:color w:val="auto"/>
        </w:rPr>
      </w:pPr>
    </w:p>
    <w:p>
      <w:pPr>
        <w:ind w:right="260" w:firstLine="357"/>
        <w:spacing w:after="0" w:line="274" w:lineRule="auto"/>
        <w:rPr>
          <w:sz w:val="20"/>
          <w:szCs w:val="20"/>
          <w:color w:val="auto"/>
        </w:rPr>
      </w:pPr>
      <w:r>
        <w:rPr>
          <w:rFonts w:ascii="Arial" w:cs="Arial" w:eastAsia="Arial" w:hAnsi="Arial"/>
          <w:sz w:val="18"/>
          <w:szCs w:val="18"/>
          <w:color w:val="auto"/>
        </w:rPr>
        <w:t>We are committed to make cash payments in the future pursuant to certain of our contracts. The following table summarizes certain contractual obligations in place as of December 31,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Less than</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More than</w:t>
            </w:r>
          </w:p>
        </w:tc>
      </w:tr>
      <w:tr>
        <w:trPr>
          <w:trHeight w:val="177"/>
        </w:trPr>
        <w:tc>
          <w:tcPr>
            <w:tcW w:w="4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8"/>
              </w:rPr>
              <w:t>1 year</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 to 3</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4 to 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5 years</w:t>
            </w:r>
          </w:p>
        </w:tc>
        <w:tc>
          <w:tcPr>
            <w:tcW w:w="100" w:type="dxa"/>
            <w:vAlign w:val="bottom"/>
          </w:tcPr>
          <w:p>
            <w:pPr>
              <w:spacing w:after="0"/>
              <w:rPr>
                <w:sz w:val="15"/>
                <w:szCs w:val="15"/>
                <w:color w:val="auto"/>
              </w:rPr>
            </w:pPr>
          </w:p>
        </w:tc>
      </w:tr>
      <w:tr>
        <w:trPr>
          <w:trHeight w:val="241"/>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89,820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11,548</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54,005</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10,793</w:t>
            </w:r>
          </w:p>
        </w:tc>
      </w:t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59,650</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57,344</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2,306</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8"/>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55,099</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15,470</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4,113</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4,474</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31,042</w:t>
            </w:r>
          </w:p>
        </w:tc>
      </w:tr>
    </w:tbl>
    <w:p>
      <w:pPr>
        <w:spacing w:after="0" w:line="93" w:lineRule="exact"/>
        <w:rPr>
          <w:sz w:val="20"/>
          <w:szCs w:val="20"/>
          <w:color w:val="auto"/>
        </w:rPr>
      </w:pPr>
    </w:p>
    <w:p>
      <w:pPr>
        <w:ind w:right="260" w:firstLine="357"/>
        <w:spacing w:after="0" w:line="274" w:lineRule="auto"/>
        <w:rPr>
          <w:sz w:val="20"/>
          <w:szCs w:val="20"/>
          <w:color w:val="auto"/>
        </w:rPr>
      </w:pPr>
      <w:r>
        <w:rPr>
          <w:rFonts w:ascii="Arial" w:cs="Arial" w:eastAsia="Arial" w:hAnsi="Arial"/>
          <w:sz w:val="18"/>
          <w:szCs w:val="18"/>
          <w:color w:val="auto"/>
        </w:rPr>
        <w:t>As of September 30, 2018, there have been no material changes to the commitments and contractual obligations table above outside the ordinary course of business, except as noted below.</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Long-Term debt obligations</w:t>
      </w:r>
    </w:p>
    <w:p>
      <w:pPr>
        <w:spacing w:after="0" w:line="115" w:lineRule="exact"/>
        <w:rPr>
          <w:sz w:val="20"/>
          <w:szCs w:val="20"/>
          <w:color w:val="auto"/>
        </w:rPr>
      </w:pPr>
    </w:p>
    <w:p>
      <w:pPr>
        <w:ind w:right="140" w:firstLine="357"/>
        <w:spacing w:after="0" w:line="277" w:lineRule="auto"/>
        <w:rPr>
          <w:sz w:val="20"/>
          <w:szCs w:val="20"/>
          <w:color w:val="auto"/>
        </w:rPr>
      </w:pPr>
      <w:r>
        <w:rPr>
          <w:rFonts w:ascii="Arial" w:cs="Arial" w:eastAsia="Arial" w:hAnsi="Arial"/>
          <w:sz w:val="17"/>
          <w:szCs w:val="17"/>
          <w:color w:val="auto"/>
        </w:rPr>
        <w:t>For information on our long-term debt obligations, see “—Liquidity and Capital Resources—Long-Term Debt.” The amounts included in the table above are based on the total debt balance, scheduled maturities and interest rates in effect as of December 31, 2017. On May 16, 2018, the Company extended the maturity of the Miami Loan to November 2019; this extension of principal payments and the corresponding interest costs has been reflected in the table above.</w:t>
      </w:r>
    </w:p>
    <w:p>
      <w:pPr>
        <w:spacing w:after="0" w:line="63" w:lineRule="exact"/>
        <w:rPr>
          <w:sz w:val="20"/>
          <w:szCs w:val="20"/>
          <w:color w:val="auto"/>
        </w:rPr>
      </w:pPr>
    </w:p>
    <w:p>
      <w:pPr>
        <w:ind w:right="120" w:firstLine="357"/>
        <w:spacing w:after="0" w:line="285" w:lineRule="auto"/>
        <w:rPr>
          <w:sz w:val="20"/>
          <w:szCs w:val="20"/>
          <w:color w:val="auto"/>
        </w:rPr>
      </w:pPr>
      <w:r>
        <w:rPr>
          <w:rFonts w:ascii="Arial" w:cs="Arial" w:eastAsia="Arial" w:hAnsi="Arial"/>
          <w:sz w:val="16"/>
          <w:szCs w:val="16"/>
          <w:color w:val="auto"/>
        </w:rPr>
        <w:t>The Company used proceeds from the Term Loan Facility to repay both the Miami Loan and the MoBay Loan in accordance with their respective terms; these repayments have not been reflected in the table above. On December 31, 2018, the Company amended its Term Loan Facility as described under “—Liquidity and Capital Resources—Long-Term Debt.” As of December 31, 2018, the Company has borrowed $280,000 under the Term Loan Facility with a scheduled maturity of December 31, 2019. Future borrowing capacity of $220,000 under the Term Loan Facility is subject to a delayed draw feature that expires on February 15, 2019. We expect to borrow under the delayed draw prior to its expiration. Principal payments of $1,250 are due each quarter; the Company will be required to pay the remaining principal balance on the maturity date. Based on the interest rate of 6.19% in effect as of September 30, 2018, the Company is committed to pay $5,477 in interest payments in 2018 and $9,034 in interest payments prior to the maturity date in 2019. Following the completion of this offering, we may opportunistically seek to refinance the Term Loan Facility, including to increase total available borrowings. We cannot assure you whether we will be able to successfully refinance such facility, or the final terms thereof, including the ability to increase amounts available for borrowing.</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Purchase obligations</w:t>
      </w:r>
    </w:p>
    <w:p>
      <w:pPr>
        <w:spacing w:after="0" w:line="115" w:lineRule="exact"/>
        <w:rPr>
          <w:sz w:val="20"/>
          <w:szCs w:val="20"/>
          <w:color w:val="auto"/>
        </w:rPr>
      </w:pPr>
    </w:p>
    <w:p>
      <w:pPr>
        <w:jc w:val="both"/>
        <w:ind w:right="200" w:firstLine="357"/>
        <w:spacing w:after="0" w:line="261" w:lineRule="auto"/>
        <w:rPr>
          <w:sz w:val="20"/>
          <w:szCs w:val="20"/>
          <w:color w:val="auto"/>
        </w:rPr>
      </w:pPr>
      <w:r>
        <w:rPr>
          <w:rFonts w:ascii="Arial" w:cs="Arial" w:eastAsia="Arial" w:hAnsi="Arial"/>
          <w:sz w:val="18"/>
          <w:szCs w:val="18"/>
          <w:color w:val="auto"/>
        </w:rPr>
        <w:t>The Company is party to contractual purchase commitments with terms of 38 months and 60 months, principally take-or-pay contracts, which require the purchase of minimum quantities of natural gas. These commitments are designed to assure sources of supply and are not expected to be in excess of normal requirements.</w:t>
      </w:r>
    </w:p>
    <w:p>
      <w:pPr>
        <w:spacing w:after="0" w:line="76" w:lineRule="exact"/>
        <w:rPr>
          <w:sz w:val="20"/>
          <w:szCs w:val="20"/>
          <w:color w:val="auto"/>
        </w:rPr>
      </w:pPr>
    </w:p>
    <w:p>
      <w:pPr>
        <w:jc w:val="both"/>
        <w:ind w:right="220" w:firstLine="357"/>
        <w:spacing w:after="0" w:line="274" w:lineRule="auto"/>
        <w:rPr>
          <w:sz w:val="20"/>
          <w:szCs w:val="20"/>
          <w:color w:val="auto"/>
        </w:rPr>
      </w:pPr>
      <w:r>
        <w:rPr>
          <w:rFonts w:ascii="Arial" w:cs="Arial" w:eastAsia="Arial" w:hAnsi="Arial"/>
          <w:sz w:val="18"/>
          <w:szCs w:val="18"/>
          <w:color w:val="auto"/>
        </w:rPr>
        <w:t>On December 20, 2016, the Company committed to the purchase of at least 16,800,000 MMBtu or ~756,000 cubic meters of LNG, with half of the commitment delivered in 2017 and half in 2018.</w:t>
      </w:r>
    </w:p>
    <w:p>
      <w:pPr>
        <w:spacing w:after="0" w:line="64" w:lineRule="exact"/>
        <w:rPr>
          <w:sz w:val="20"/>
          <w:szCs w:val="20"/>
          <w:color w:val="auto"/>
        </w:rPr>
      </w:pPr>
    </w:p>
    <w:p>
      <w:pPr>
        <w:ind w:right="80" w:firstLine="357"/>
        <w:spacing w:after="0" w:line="255" w:lineRule="auto"/>
        <w:rPr>
          <w:sz w:val="20"/>
          <w:szCs w:val="20"/>
          <w:color w:val="auto"/>
        </w:rPr>
      </w:pPr>
      <w:r>
        <w:rPr>
          <w:rFonts w:ascii="Arial" w:cs="Arial" w:eastAsia="Arial" w:hAnsi="Arial"/>
          <w:sz w:val="18"/>
          <w:szCs w:val="18"/>
          <w:color w:val="auto"/>
        </w:rPr>
        <w:t>In addition to the above disclosed commitments, in September 2016 the Company made a commitment of up to an estimated $180,000 to build a gas-fired combined heat and power plant in Jamaica under a Joint Development Agreement with a third party prior to commercial agreements being finalized. In August and October 2017 respectively, a Power Purchase Agreement and Steam Supply Agreement were executed, obligating the Company to complete the development subject to the conditions set forth in those agreements.</w:t>
      </w:r>
    </w:p>
    <w:p>
      <w:pPr>
        <w:spacing w:after="0" w:line="81" w:lineRule="exact"/>
        <w:rPr>
          <w:sz w:val="20"/>
          <w:szCs w:val="20"/>
          <w:color w:val="auto"/>
        </w:rPr>
      </w:pPr>
    </w:p>
    <w:p>
      <w:pPr>
        <w:ind w:right="160" w:firstLine="357"/>
        <w:spacing w:after="0" w:line="253" w:lineRule="auto"/>
        <w:rPr>
          <w:sz w:val="20"/>
          <w:szCs w:val="20"/>
          <w:color w:val="auto"/>
        </w:rPr>
      </w:pPr>
      <w:r>
        <w:rPr>
          <w:rFonts w:ascii="Arial" w:cs="Arial" w:eastAsia="Arial" w:hAnsi="Arial"/>
          <w:sz w:val="18"/>
          <w:szCs w:val="18"/>
          <w:color w:val="auto"/>
        </w:rPr>
        <w:t>In March 2018, the Company entered into a GSA agreement with an affiliate of Chesapeake Energy Corporation (“Chesapeake”), a large exploration and production company, for gas supply to our Pennsylvania Facility, which was subsequently amended and restated in September 2018. This agreement provides for 100% of the required supply of feedgas to the facility, inclusive of all support functions of the plant, including transportation and power supply. The initial contract term is 15 years, and we will purchase gas from Chesapeake at a price equal to a fixed fee plus a variable rate, subject to a minimum volume. The terms of the agreement require the Company to obtain all requisite permits and make a final investment decision before the agreement is effective.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firstLine="357"/>
        <w:spacing w:after="0" w:line="261" w:lineRule="auto"/>
        <w:rPr>
          <w:sz w:val="20"/>
          <w:szCs w:val="20"/>
          <w:color w:val="auto"/>
        </w:rPr>
      </w:pPr>
      <w:r>
        <w:rPr>
          <w:rFonts w:ascii="Arial" w:cs="Arial" w:eastAsia="Arial" w:hAnsi="Arial"/>
          <w:sz w:val="18"/>
          <w:szCs w:val="18"/>
          <w:color w:val="auto"/>
        </w:rPr>
        <w:t>In December 2018, the Company entered into a contract with Centrica LNG Company Limited for the purchase of cargoes of 1.1 billion gallons of LNG (86.8 million MMBtu) scheduled for delivery between June 2019 and December 2021. Payment for each cargo is due in advance of each shipment.</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Lease obligations</w:t>
      </w:r>
    </w:p>
    <w:p>
      <w:pPr>
        <w:spacing w:after="0" w:line="115" w:lineRule="exact"/>
        <w:rPr>
          <w:sz w:val="20"/>
          <w:szCs w:val="20"/>
          <w:color w:val="auto"/>
        </w:rPr>
      </w:pPr>
    </w:p>
    <w:p>
      <w:pPr>
        <w:ind w:right="200" w:firstLine="357"/>
        <w:spacing w:after="0" w:line="254" w:lineRule="auto"/>
        <w:rPr>
          <w:sz w:val="20"/>
          <w:szCs w:val="20"/>
          <w:color w:val="auto"/>
        </w:rPr>
      </w:pPr>
      <w:r>
        <w:rPr>
          <w:rFonts w:ascii="Arial" w:cs="Arial" w:eastAsia="Arial" w:hAnsi="Arial"/>
          <w:sz w:val="18"/>
          <w:szCs w:val="18"/>
          <w:color w:val="auto"/>
        </w:rPr>
        <w:t>Future minimum lease payments under non-cancellable operating leases are noted in the above table. The Company’s lease obligations are primarily related to LNG vessel time charters, office space, a land site lease, and a marine port berth lease. Office space includes a newly fabricated space shared with affiliated companies in New York with a month to month lease, and an office space under construction in downtown Miami, with a lease term of 84 months. The land site lease is held with an affiliate of the Company and has an initial term up to five years, and the marine port berth lease had an initial term up to 10 years. Both leases contain renewal options.</w:t>
      </w:r>
    </w:p>
    <w:p>
      <w:pPr>
        <w:spacing w:after="0" w:line="81" w:lineRule="exact"/>
        <w:rPr>
          <w:sz w:val="20"/>
          <w:szCs w:val="20"/>
          <w:color w:val="auto"/>
        </w:rPr>
      </w:pPr>
    </w:p>
    <w:p>
      <w:pPr>
        <w:ind w:right="20" w:firstLine="357"/>
        <w:spacing w:after="0" w:line="294" w:lineRule="auto"/>
        <w:rPr>
          <w:sz w:val="20"/>
          <w:szCs w:val="20"/>
          <w:color w:val="auto"/>
        </w:rPr>
      </w:pPr>
      <w:r>
        <w:rPr>
          <w:rFonts w:ascii="Arial" w:cs="Arial" w:eastAsia="Arial" w:hAnsi="Arial"/>
          <w:sz w:val="16"/>
          <w:szCs w:val="16"/>
          <w:color w:val="auto"/>
        </w:rPr>
        <w:t>The Company entered into additional lease agreements during 2018 in Mexico and Puerto Rico. Such agreements include securing certain facilities, wharf areas, office space and specified port areas for development of terminals. Terms for these leases range from 20 to 30 years, and certain of these leases contain extension terms. One-time fees paid subsequent to December 31, 2017 to secure leases were $21,871. Fixed lease payments under these leases are expected to be approximately $18,193 over the respective lease terms and some of these leases contain variable components based on LNG processed.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19"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launch and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 recognition</w:t>
      </w:r>
    </w:p>
    <w:p>
      <w:pPr>
        <w:spacing w:after="0" w:line="115" w:lineRule="exact"/>
        <w:rPr>
          <w:sz w:val="20"/>
          <w:szCs w:val="20"/>
          <w:color w:val="auto"/>
        </w:rPr>
      </w:pPr>
    </w:p>
    <w:p>
      <w:pPr>
        <w:ind w:right="240" w:firstLine="357"/>
        <w:spacing w:after="0" w:line="257" w:lineRule="auto"/>
        <w:rPr>
          <w:sz w:val="20"/>
          <w:szCs w:val="20"/>
          <w:color w:val="auto"/>
        </w:rPr>
      </w:pPr>
      <w:r>
        <w:rPr>
          <w:rFonts w:ascii="Arial" w:cs="Arial" w:eastAsia="Arial" w:hAnsi="Arial"/>
          <w:sz w:val="18"/>
          <w:szCs w:val="18"/>
          <w:color w:val="auto"/>
        </w:rPr>
        <w:t>Operating revenue from the sales of LNG and natural gas are recognized when the LNG or natural gas is delivered to the customer, either when the natural gas arrives at the customer’s flange or at the time that title to the LNG is transferred to the customer. Title typically transfers either when shipped or delivered to the customers’ storage facilities, depending on the terms of the contract.</w:t>
      </w:r>
    </w:p>
    <w:p>
      <w:pPr>
        <w:spacing w:after="0" w:line="79" w:lineRule="exact"/>
        <w:rPr>
          <w:sz w:val="20"/>
          <w:szCs w:val="20"/>
          <w:color w:val="auto"/>
        </w:rPr>
      </w:pPr>
    </w:p>
    <w:p>
      <w:pPr>
        <w:ind w:right="20" w:firstLine="357"/>
        <w:spacing w:after="0" w:line="254" w:lineRule="auto"/>
        <w:rPr>
          <w:sz w:val="20"/>
          <w:szCs w:val="20"/>
          <w:color w:val="auto"/>
        </w:rPr>
      </w:pPr>
      <w:r>
        <w:rPr>
          <w:rFonts w:ascii="Arial" w:cs="Arial" w:eastAsia="Arial" w:hAnsi="Arial"/>
          <w:sz w:val="18"/>
          <w:szCs w:val="18"/>
          <w:color w:val="auto"/>
        </w:rPr>
        <w:t>The Company leases certain facilities and equipment to its customers which are accounted for as direct financing leases. Direct financing leases, net on our consolidated balance sheet represents the minimum lease payments due, net of unearned revenue. The lease payments are segregated into principal and interest components similar to a loan. Unearned revenue is recognized on an effective interest method over the lease term and is recorded within Other revenue in the consolidated statement of operations and comprehensive loss. The principal components of the lease payment is reflected as a reduction to the net investment in the finance lease.</w:t>
      </w:r>
    </w:p>
    <w:p>
      <w:pPr>
        <w:spacing w:after="0" w:line="81" w:lineRule="exact"/>
        <w:rPr>
          <w:sz w:val="20"/>
          <w:szCs w:val="20"/>
          <w:color w:val="auto"/>
        </w:rPr>
      </w:pPr>
    </w:p>
    <w:p>
      <w:pPr>
        <w:ind w:right="20" w:firstLine="357"/>
        <w:spacing w:after="0" w:line="270" w:lineRule="auto"/>
        <w:rPr>
          <w:sz w:val="20"/>
          <w:szCs w:val="20"/>
          <w:color w:val="auto"/>
        </w:rPr>
      </w:pPr>
      <w:r>
        <w:rPr>
          <w:rFonts w:ascii="Arial" w:cs="Arial" w:eastAsia="Arial" w:hAnsi="Arial"/>
          <w:sz w:val="17"/>
          <w:szCs w:val="17"/>
          <w:color w:val="auto"/>
        </w:rPr>
        <w:t>The Company’s contracts with customers to supply LNG may also contain a lease of equipment. The Company allocates consideration received from customers between lease and non-lease components based on the relative fair value of each component. The fair value of the lease component is estimated based on the cost of the leased items plus an expected profit margin. The estimated fair value of the non-lease component is based on estimated volumes to be delivered at an estimated price or contractual price. The estimated fair value of the leased equipment, as a percentage of the estimated total revenue from LNG and leased equipment at inception, will establish the allocation percentage to determine the minimum lease payments and the amount to be accounted for under the revenue recognition guidance.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Impairment</w:t>
      </w:r>
    </w:p>
    <w:p>
      <w:pPr>
        <w:spacing w:after="0" w:line="115" w:lineRule="exact"/>
        <w:rPr>
          <w:sz w:val="20"/>
          <w:szCs w:val="20"/>
          <w:color w:val="auto"/>
        </w:rPr>
      </w:pPr>
    </w:p>
    <w:p>
      <w:pPr>
        <w:jc w:val="both"/>
        <w:ind w:right="160" w:firstLine="357"/>
        <w:spacing w:after="0" w:line="261" w:lineRule="auto"/>
        <w:rPr>
          <w:sz w:val="20"/>
          <w:szCs w:val="20"/>
          <w:color w:val="auto"/>
        </w:rPr>
      </w:pPr>
      <w:r>
        <w:rPr>
          <w:rFonts w:ascii="Arial" w:cs="Arial" w:eastAsia="Arial" w:hAnsi="Arial"/>
          <w:sz w:val="18"/>
          <w:szCs w:val="18"/>
          <w:color w:val="auto"/>
        </w:rPr>
        <w:t>LNG liquefaction facilities, and other long-lived assets held and used by the Company are reviewed periodically for potential impairment whenever events or changes in circumstances indicate that a particular assets’ carrying value may not be recoverable. Recoverability generally is determined by comparing the carrying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value for the asset to the expected undiscounted future cash flows of the asset. If the carrying value of the asset is not recoverable, the amount of impairment loss is measured as the excess, if any, of the carrying value of the asset over its estimated fair value. The estimated undiscounted future cash flows are based on projections of future operating results; these projections contain estimates of the value of future contracts that have not yet been obtained, future commodity pricing, our future cost structure, among others.</w:t>
      </w:r>
    </w:p>
    <w:p>
      <w:pPr>
        <w:spacing w:after="0" w:line="2"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Projections of future operating results and cash flows may vary significantly from actual results. Management reviews its estimates of cash flows on an ongoing basis using historical experience, business plans, overall market conditions, and other factors.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19"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or EGC, can take advantage of the extended transition period provided in Section 7(a)</w:t>
      </w:r>
    </w:p>
    <w:p>
      <w:pPr>
        <w:spacing w:after="0" w:line="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(2)(B) of the Securities Act of 1933, as amended, or the Securities Act, for complying with new or revised accounting standards. Thus, an EGC can delay the adoption of certain accounting standards until those standards would otherwise apply to private companies. We intend to take advantage of the exemptions discussed above. Accordingly, the information contained herein may be different than the information you receive from other public companies.</w:t>
      </w:r>
    </w:p>
    <w:p>
      <w:pPr>
        <w:spacing w:after="0" w:line="85" w:lineRule="exact"/>
        <w:rPr>
          <w:sz w:val="20"/>
          <w:szCs w:val="20"/>
          <w:color w:val="auto"/>
        </w:rPr>
      </w:pPr>
    </w:p>
    <w:p>
      <w:pPr>
        <w:ind w:right="60" w:firstLine="357"/>
        <w:spacing w:after="0" w:line="287" w:lineRule="auto"/>
        <w:rPr>
          <w:sz w:val="20"/>
          <w:szCs w:val="20"/>
          <w:color w:val="auto"/>
        </w:rPr>
      </w:pPr>
      <w:r>
        <w:rPr>
          <w:rFonts w:ascii="Arial" w:cs="Arial" w:eastAsia="Arial" w:hAnsi="Arial"/>
          <w:sz w:val="16"/>
          <w:szCs w:val="16"/>
          <w:color w:val="auto"/>
        </w:rPr>
        <w:t>Subject to certain conditions, as an EGC, we intend to rely on certain of these exemptions, including without limitation, (1) providing an auditor’s attestation report on our system of internal controls over financial reporting pursuant to Section 404(b) of the Sarbanes-Oxley Act and (2)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$1.07 billion or more; (ii) the last day of the fiscal year following the fifth anniversary of the date of the completion of this offering; (iii) the date on which we have issued more than $1.00 billion in nonconvertible debt during the previous three years; or (iv) the date on which we are deemed to be a large accelerated filer under the rules of the Securities and Exchange Commission or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 Standards</w:t>
      </w:r>
    </w:p>
    <w:p>
      <w:pPr>
        <w:spacing w:after="0" w:line="119" w:lineRule="exact"/>
        <w:rPr>
          <w:sz w:val="20"/>
          <w:szCs w:val="20"/>
          <w:color w:val="auto"/>
        </w:rPr>
      </w:pPr>
    </w:p>
    <w:p>
      <w:pPr>
        <w:ind w:right="260" w:firstLine="357"/>
        <w:spacing w:after="0" w:line="261" w:lineRule="auto"/>
        <w:rPr>
          <w:sz w:val="20"/>
          <w:szCs w:val="20"/>
          <w:color w:val="auto"/>
        </w:rPr>
      </w:pPr>
      <w:r>
        <w:rPr>
          <w:rFonts w:ascii="Arial" w:cs="Arial" w:eastAsia="Arial" w:hAnsi="Arial"/>
          <w:sz w:val="18"/>
          <w:szCs w:val="18"/>
          <w:color w:val="auto"/>
        </w:rPr>
        <w:t>For descriptions of recently issued accounting standards, see Note 2 - Adoption of new and revised standards of our notes to condensed consolidated financial statements and Note 3 - Adoption of new and revised standards of our Notes to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19" w:lineRule="exact"/>
        <w:rPr>
          <w:sz w:val="20"/>
          <w:szCs w:val="20"/>
          <w:color w:val="auto"/>
        </w:rPr>
      </w:pPr>
    </w:p>
    <w:p>
      <w:pPr>
        <w:ind w:right="180" w:firstLine="357"/>
        <w:spacing w:after="0" w:line="274" w:lineRule="auto"/>
        <w:rPr>
          <w:sz w:val="20"/>
          <w:szCs w:val="20"/>
          <w:color w:val="auto"/>
        </w:rPr>
      </w:pPr>
      <w:r>
        <w:rPr>
          <w:rFonts w:ascii="Arial" w:cs="Arial" w:eastAsia="Arial" w:hAnsi="Arial"/>
          <w:sz w:val="18"/>
          <w:szCs w:val="18"/>
          <w:color w:val="auto"/>
        </w:rPr>
        <w:t>In the normal course of business, the Company encounters several significant types of market risks including commodity and interest rate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5" w:lineRule="exact"/>
        <w:rPr>
          <w:sz w:val="20"/>
          <w:szCs w:val="20"/>
          <w:color w:val="auto"/>
        </w:rPr>
      </w:pPr>
    </w:p>
    <w:p>
      <w:pPr>
        <w:ind w:firstLine="357"/>
        <w:spacing w:after="0" w:line="273" w:lineRule="auto"/>
        <w:rPr>
          <w:sz w:val="20"/>
          <w:szCs w:val="20"/>
          <w:color w:val="auto"/>
        </w:rPr>
      </w:pPr>
      <w:r>
        <w:rPr>
          <w:rFonts w:ascii="Arial" w:cs="Arial" w:eastAsia="Arial" w:hAnsi="Arial"/>
          <w:sz w:val="17"/>
          <w:szCs w:val="17"/>
          <w:color w:val="auto"/>
        </w:rPr>
        <w:t>Commodity price risk is the risk of loss arising from adverse changes in market rates and prices. We are able to limit our exposure to fluctuations in natural gas prices as our pricing in contracts with customers is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5"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color w:val="auto"/>
        </w:rPr>
        <w:t>Debt that we incurred under the Miami Loan and the Term Loan Facility bore interest at variable rates and exposed us to interest rate risk. We repaid the Miami Loan with proceeds received from the Term Loan Facility. Interest is calculated under the terms of the Term Loan Facility based on our selection, from time to time, of one of the index rates available to us plus an applicable margin that varies based on certain factors. See “—Liquidity and Capital Resources—Long-Term Debt.” Assuming the full $500,000 principal amount remains outstanding,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the impact on interest expense of a 1% increase or decrease in the interest rate that was in place upon closing of the Term Loan Facility would be approximately $5,000 per year. We do not currently have or intend to enter into any derivative arrangements to protect against fluctuations in interest rates applicable to our outstanding indebtedness.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5" w:lineRule="exact"/>
        <w:rPr>
          <w:sz w:val="20"/>
          <w:szCs w:val="20"/>
          <w:color w:val="auto"/>
        </w:rPr>
      </w:pPr>
    </w:p>
    <w:p>
      <w:pPr>
        <w:ind w:firstLine="357"/>
        <w:spacing w:after="0" w:line="299" w:lineRule="auto"/>
        <w:rPr>
          <w:sz w:val="20"/>
          <w:szCs w:val="20"/>
          <w:color w:val="auto"/>
        </w:rPr>
      </w:pPr>
      <w:r>
        <w:rPr>
          <w:rFonts w:ascii="Arial" w:cs="Arial" w:eastAsia="Arial" w:hAnsi="Arial"/>
          <w:sz w:val="16"/>
          <w:szCs w:val="16"/>
          <w:color w:val="auto"/>
        </w:rPr>
        <w:t>We primarily conduct our operations in U.S. dollars, and as such, our results of operations and cash flows have not materially been impacted by fluctuations due to changes in foreign currency exchange rates.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color w:val="auto"/>
        </w:rPr>
        <w:t>We are an integrated gas-to-power company that seeks to use “stranded” natural gas to satisfy the world’s large and growing power needs. Our mission is to provide modern infrastructure solutions to create cleaner, reliable energy while generating a positive economic impact worldwide. Our business model is simple, yet, we believe, unique for the LNG industry. We aim to deliver targeted energy solutions to customers around the world, thereby reducing their energy costs and diversifying their energy resources, while also reducing pollution and generating compelling margins.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aim to deliver targeted energy solutions by employing a four-part integrated LNG production and delivery model:</w:t>
      </w:r>
    </w:p>
    <w:p>
      <w:pPr>
        <w:spacing w:after="0" w:line="126" w:lineRule="exact"/>
        <w:rPr>
          <w:sz w:val="20"/>
          <w:szCs w:val="20"/>
          <w:color w:val="auto"/>
        </w:rPr>
      </w:pPr>
    </w:p>
    <w:p>
      <w:pPr>
        <w:ind w:right="20" w:firstLine="357"/>
        <w:spacing w:after="0" w:line="255" w:lineRule="auto"/>
        <w:rPr>
          <w:sz w:val="20"/>
          <w:szCs w:val="20"/>
          <w:color w:val="auto"/>
        </w:rPr>
      </w:pPr>
      <w:r>
        <w:rPr>
          <w:rFonts w:ascii="Arial" w:cs="Arial" w:eastAsia="Arial" w:hAnsi="Arial"/>
          <w:sz w:val="18"/>
          <w:szCs w:val="18"/>
          <w:i w:val="1"/>
          <w:iCs w:val="1"/>
          <w:color w:val="auto"/>
        </w:rPr>
        <w:t xml:space="preserve">Liquefaction </w:t>
      </w:r>
      <w:r>
        <w:rPr>
          <w:rFonts w:ascii="Arial" w:cs="Arial" w:eastAsia="Arial" w:hAnsi="Arial"/>
          <w:sz w:val="18"/>
          <w:szCs w:val="18"/>
          <w:color w:val="auto"/>
        </w:rPr>
        <w:t>– Our approach is to enter into long-term, largely fixed-price contracts for feedgas, then liquefy that gas at or</w:t>
      </w:r>
      <w:r>
        <w:rPr>
          <w:rFonts w:ascii="Arial" w:cs="Arial" w:eastAsia="Arial" w:hAnsi="Arial"/>
          <w:sz w:val="18"/>
          <w:szCs w:val="18"/>
          <w:i w:val="1"/>
          <w:iCs w:val="1"/>
          <w:color w:val="auto"/>
        </w:rPr>
        <w:t xml:space="preserve"> </w:t>
      </w:r>
      <w:r>
        <w:rPr>
          <w:rFonts w:ascii="Arial" w:cs="Arial" w:eastAsia="Arial" w:hAnsi="Arial"/>
          <w:sz w:val="18"/>
          <w:szCs w:val="18"/>
          <w:color w:val="auto"/>
        </w:rPr>
        <w:t>proximate to its site of extraction, minimizing transport and pipeline costs for the feedgas producers. We are currently developing a liquefier on land we have purchased in the Marcellus area of Pennsylvania, which is expected to have the capacity to produce approximately 3 to 4 million gallons of LNG (which is the equivalent of 250,000 to 350,000 MMBtu) per day, and intend to develop five or more additional liquefiers over the next five years.</w:t>
      </w:r>
    </w:p>
    <w:p>
      <w:pPr>
        <w:spacing w:after="0" w:line="81" w:lineRule="exact"/>
        <w:rPr>
          <w:sz w:val="20"/>
          <w:szCs w:val="20"/>
          <w:color w:val="auto"/>
        </w:rPr>
      </w:pPr>
    </w:p>
    <w:p>
      <w:pPr>
        <w:ind w:right="200" w:firstLine="357"/>
        <w:spacing w:after="0" w:line="261"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 We expect to own or control the logistics assets necessary to deliver LNG to our customers through our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Tanker trucks will transport LNG from our liquefier to a port on the Delaware River, at which point LNG will be transloaded directly to large marine vessels.</w:t>
      </w:r>
    </w:p>
    <w:p>
      <w:pPr>
        <w:spacing w:after="0" w:line="76" w:lineRule="exact"/>
        <w:rPr>
          <w:sz w:val="20"/>
          <w:szCs w:val="20"/>
          <w:color w:val="auto"/>
        </w:rPr>
      </w:pPr>
    </w:p>
    <w:p>
      <w:pPr>
        <w:ind w:right="20" w:firstLine="357"/>
        <w:spacing w:after="0" w:line="261"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both large-scale FSUs and FSRUs, and smaller LNGCs. These assets transport LNG</w:t>
      </w:r>
      <w:r>
        <w:rPr>
          <w:rFonts w:ascii="Arial" w:cs="Arial" w:eastAsia="Arial" w:hAnsi="Arial"/>
          <w:sz w:val="18"/>
          <w:szCs w:val="18"/>
          <w:i w:val="1"/>
          <w:iCs w:val="1"/>
          <w:color w:val="auto"/>
        </w:rPr>
        <w:t xml:space="preserve"> </w:t>
      </w:r>
      <w:r>
        <w:rPr>
          <w:rFonts w:ascii="Arial" w:cs="Arial" w:eastAsia="Arial" w:hAnsi="Arial"/>
          <w:sz w:val="18"/>
          <w:szCs w:val="18"/>
          <w:color w:val="auto"/>
        </w:rPr>
        <w:t>from ports to our downstream terminals for ultimate delivery to our customers. There is approximately a five day sail time from a Delaware River port to our downstream terminals in the Caribbean.</w:t>
      </w:r>
    </w:p>
    <w:p>
      <w:pPr>
        <w:spacing w:after="0" w:line="76"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i w:val="1"/>
          <w:iCs w:val="1"/>
          <w:color w:val="auto"/>
        </w:rPr>
        <w:t xml:space="preserve">Terminals </w:t>
      </w:r>
      <w:r>
        <w:rPr>
          <w:rFonts w:ascii="Arial" w:cs="Arial" w:eastAsia="Arial" w:hAnsi="Arial"/>
          <w:sz w:val="18"/>
          <w:szCs w:val="18"/>
          <w:color w:val="auto"/>
        </w:rPr>
        <w:t>– Through our network of current and planned downstream terminals, we will be positioned to deliver gas and power</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our customers seeking either to transition from environmentally dirtier distillate fuels such as ADO and HFO or to purchase natural gas to meet their current fuel needs. Our goal is to build 10 - 20 downstream terminals and 5 - 10 liquefaction facilities over the next five years.</w:t>
      </w:r>
    </w:p>
    <w:p>
      <w:pPr>
        <w:spacing w:after="0" w:line="79" w:lineRule="exact"/>
        <w:rPr>
          <w:sz w:val="20"/>
          <w:szCs w:val="20"/>
          <w:color w:val="auto"/>
        </w:rPr>
      </w:pPr>
    </w:p>
    <w:p>
      <w:pPr>
        <w:ind w:right="60" w:firstLine="357"/>
        <w:spacing w:after="0" w:line="294" w:lineRule="auto"/>
        <w:rPr>
          <w:sz w:val="20"/>
          <w:szCs w:val="20"/>
          <w:color w:val="auto"/>
        </w:rPr>
      </w:pPr>
      <w:r>
        <w:rPr>
          <w:rFonts w:ascii="Arial" w:cs="Arial" w:eastAsia="Arial" w:hAnsi="Arial"/>
          <w:sz w:val="16"/>
          <w:szCs w:val="16"/>
          <w:color w:val="auto"/>
        </w:rPr>
        <w:t>We believe this compelling business model will provide opportunities to generate average revenues in excess of approximately $10.00 per MMBtu, including both fuel sales and capacity charges (we often invest capital in infrastructure in connection with our entry into a new market, and customers agree to pay a “capacity charge” as consideration for the right to use the underlying infrastructure). We expect individual contract pricing is likely to range between $8.00 and $13.00 per MMBtu, depending on the customer’s size, purchased volume, credit profile, the complexity of the delivery and the infrastructure required to deliver it.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NFE’s Global Market Landscape</w:t>
      </w:r>
    </w:p>
    <w:p>
      <w:pPr>
        <w:spacing w:after="0" w:line="119" w:lineRule="exact"/>
        <w:rPr>
          <w:sz w:val="20"/>
          <w:szCs w:val="20"/>
          <w:color w:val="auto"/>
        </w:rPr>
      </w:pPr>
    </w:p>
    <w:p>
      <w:pPr>
        <w:ind w:right="80" w:firstLine="357"/>
        <w:spacing w:after="0" w:line="270" w:lineRule="auto"/>
        <w:rPr>
          <w:sz w:val="20"/>
          <w:szCs w:val="20"/>
          <w:color w:val="auto"/>
        </w:rPr>
      </w:pPr>
      <w:r>
        <w:rPr>
          <w:rFonts w:ascii="Arial" w:cs="Arial" w:eastAsia="Arial" w:hAnsi="Arial"/>
          <w:sz w:val="17"/>
          <w:szCs w:val="17"/>
          <w:color w:val="auto"/>
        </w:rPr>
        <w:t>We believe that the world is “long” gas and “short” power, and that natural gas is a compelling fuel for power production. But because much of the world’s natural gas reserves are not directly connected by pipeline to electricity producers and other end users, it must be otherwise transported. An efficient way to transport is through the conversion of natural gas to LNG, which involves treating natural gas to remove impurities and then chilling it to approximately negative 260 degrees Fahrenheit, a process generally referred to as liquefaction. In LNG form, natural gas is typically transported in bulk by containers or tankers hauled by rail or truck or by marine vessels, such as LNG carriers. Once delivered to its end destination, LNG can be reconverted to natural gas through a process referred to as “regasification.”</w:t>
      </w:r>
    </w:p>
    <w:p>
      <w:pPr>
        <w:spacing w:after="0" w:line="70" w:lineRule="exact"/>
        <w:rPr>
          <w:sz w:val="20"/>
          <w:szCs w:val="20"/>
          <w:color w:val="auto"/>
        </w:rPr>
      </w:pPr>
    </w:p>
    <w:p>
      <w:pPr>
        <w:ind w:right="40" w:firstLine="357"/>
        <w:spacing w:after="0" w:line="289" w:lineRule="auto"/>
        <w:rPr>
          <w:sz w:val="20"/>
          <w:szCs w:val="20"/>
          <w:color w:val="auto"/>
        </w:rPr>
      </w:pPr>
      <w:r>
        <w:rPr>
          <w:rFonts w:ascii="Arial" w:cs="Arial" w:eastAsia="Arial" w:hAnsi="Arial"/>
          <w:sz w:val="16"/>
          <w:szCs w:val="16"/>
          <w:color w:val="auto"/>
        </w:rPr>
        <w:t>Today approximately 70% of the world’s electricity is consumed by 10 countries and over a billion people, or approximately 14% of the world’s population, currently lack access to electricity, according to the International Energy Agency’s October 2017 report. As economic development worldwide spurs demand for electricity, approximately 1.5 million MW of new power is expected to be needed by 2040, according to Exxon Mobil’s 2017 Outlook on Energy. To satisfy these power needs with gas-fired power would require approximately 3.75 billion gallons of LNG (or 310 TBtu) per day (based upon an estimated conversion of 2,500 gallons per day of LNG for every MW of power capacity). Further, we believe that many countries around the world – keenly focused on economics as well as the environment – will increasingly look to natural gas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displace environmentally dirtier fuels such as HFO, ADO and coal that are used to generate power, particularly if natural gas is cheaper than these environmentally dirtier fuels. For example, most islands in the Caribbean generate 90% to 100% of their electricity from HFO or ADO, as compared to less than 1% of electricity generation in the United States. We believe there is a significant market opportunity.</w:t>
      </w:r>
    </w:p>
    <w:p>
      <w:pPr>
        <w:spacing w:after="0" w:line="79"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Liquefaction projects currently under construction are expected to come online by 2020. Afterward, LNG supply growth is expected to slow through 2025. According to the Shell 2018 LNG Outlook Report, from 2020 through 2025, LNG demand expectations exceed supply estimates and, at 2025, supply estimates are almost half that of demand expectations. By 2025, this equates to an addressable LNG market with 450 mtpa (approximately 740 million gallons per day) of demand, which management estimates to represent a global market value of approximately $212 billion per annum. According to the 2018 World LNG Report by the International Gas Union, existing global liquefaction capacity is estimated to be 369 mtpa. Based on this report, by 2025, we expect the shortfall in supply to be approximately 200 mtpa versus current operating plants and 100 mtpa versus projects under construction. This shortfall is the equivalent of approximately 50 to 100 liquefiers of similar capacity to our liquefier in Pennsylvania.</w:t>
      </w:r>
    </w:p>
    <w:p>
      <w:pPr>
        <w:spacing w:after="0" w:line="83" w:lineRule="exact"/>
        <w:rPr>
          <w:sz w:val="20"/>
          <w:szCs w:val="20"/>
          <w:color w:val="auto"/>
        </w:rPr>
      </w:pPr>
    </w:p>
    <w:p>
      <w:pPr>
        <w:ind w:right="240" w:firstLine="357"/>
        <w:spacing w:after="0" w:line="277" w:lineRule="auto"/>
        <w:rPr>
          <w:sz w:val="20"/>
          <w:szCs w:val="20"/>
          <w:color w:val="auto"/>
        </w:rPr>
      </w:pPr>
      <w:r>
        <w:rPr>
          <w:rFonts w:ascii="Arial" w:cs="Arial" w:eastAsia="Arial" w:hAnsi="Arial"/>
          <w:sz w:val="17"/>
          <w:szCs w:val="17"/>
          <w:color w:val="auto"/>
        </w:rPr>
        <w:t>We plan to capitalize on this growing supply-demand gap and create new markets for natural gas by developing liquefaction assets, particularly in areas with significant “stranded” reserves, which we define as natural gas reserves not connected to large interstate or transnational pipelines. That is, not only are these reserves not connected by pipeline to end users, they are not connected to any significant pipeline – as is the case in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-18415</wp:posOffset>
            </wp:positionV>
            <wp:extent cx="5085080" cy="4071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85080"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5026025" cy="24701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2602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0" w:hanging="355"/>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Federal Institute for Geosciences and Natural Resources, “BGR Energy Study” 2017</w:t>
      </w:r>
    </w:p>
    <w:p>
      <w:pPr>
        <w:spacing w:after="0" w:line="107" w:lineRule="exact"/>
        <w:rPr>
          <w:rFonts w:ascii="Arial" w:cs="Arial" w:eastAsia="Arial" w:hAnsi="Arial"/>
          <w:sz w:val="14"/>
          <w:szCs w:val="14"/>
          <w:color w:val="auto"/>
        </w:rPr>
      </w:pPr>
    </w:p>
    <w:p>
      <w:pPr>
        <w:ind w:left="360" w:hanging="355"/>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World Bank, “Electric Power Consumption (KWh per Capita)”</w:t>
      </w:r>
    </w:p>
    <w:p>
      <w:pPr>
        <w:spacing w:after="0" w:line="107" w:lineRule="exact"/>
        <w:rPr>
          <w:rFonts w:ascii="Arial" w:cs="Arial" w:eastAsia="Arial" w:hAnsi="Arial"/>
          <w:sz w:val="14"/>
          <w:szCs w:val="14"/>
          <w:color w:val="auto"/>
        </w:rPr>
      </w:pPr>
    </w:p>
    <w:p>
      <w:pPr>
        <w:ind w:left="360" w:hanging="355"/>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Shell 2018 LNG Outlook Report</w:t>
      </w:r>
    </w:p>
    <w:p>
      <w:pPr>
        <w:spacing w:after="0" w:line="107" w:lineRule="exact"/>
        <w:rPr>
          <w:rFonts w:ascii="Arial" w:cs="Arial" w:eastAsia="Arial" w:hAnsi="Arial"/>
          <w:sz w:val="14"/>
          <w:szCs w:val="14"/>
          <w:color w:val="auto"/>
        </w:rPr>
      </w:pPr>
    </w:p>
    <w:p>
      <w:pPr>
        <w:ind w:left="360" w:hanging="355"/>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2018 World LNG Report, International Gas Union, Ranked by Nominal Liquefaction Capacity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19" w:lineRule="exact"/>
        <w:rPr>
          <w:sz w:val="20"/>
          <w:szCs w:val="20"/>
          <w:color w:val="auto"/>
        </w:rPr>
      </w:pPr>
    </w:p>
    <w:p>
      <w:pPr>
        <w:ind w:right="140" w:firstLine="357"/>
        <w:spacing w:after="0" w:line="291" w:lineRule="auto"/>
        <w:rPr>
          <w:sz w:val="20"/>
          <w:szCs w:val="20"/>
          <w:color w:val="auto"/>
        </w:rPr>
      </w:pPr>
      <w:r>
        <w:rPr>
          <w:rFonts w:ascii="Arial" w:cs="Arial" w:eastAsia="Arial" w:hAnsi="Arial"/>
          <w:sz w:val="16"/>
          <w:szCs w:val="16"/>
          <w:color w:val="auto"/>
        </w:rPr>
        <w:t>As an integrated gas-to-power LNG company, our business model spans the entire production and delivery chain from natural gas procurement and liquefaction to logistics, shipping, terminals and conversion or development of natural gas-fired generation. While historically, liquefaction, transportation, regasification and power generation have been financed separately, the segregation of such projects has inhibited the development of natural gas-fired power in many developing countries. In executing this business model, we have the capability to build or arrange any necessary infrastructure ourselves without reliance on multilateral financing sources or traditional project finance structures, so that we maintain our strategic flexibility.</w:t>
      </w:r>
    </w:p>
    <w:p>
      <w:pPr>
        <w:spacing w:after="0" w:line="57" w:lineRule="exact"/>
        <w:rPr>
          <w:sz w:val="20"/>
          <w:szCs w:val="20"/>
          <w:color w:val="auto"/>
        </w:rPr>
      </w:pPr>
    </w:p>
    <w:p>
      <w:pPr>
        <w:ind w:firstLine="357"/>
        <w:spacing w:after="0" w:line="283" w:lineRule="auto"/>
        <w:rPr>
          <w:sz w:val="20"/>
          <w:szCs w:val="20"/>
          <w:color w:val="auto"/>
        </w:rPr>
      </w:pPr>
      <w:r>
        <w:rPr>
          <w:rFonts w:ascii="Arial" w:cs="Arial" w:eastAsia="Arial" w:hAnsi="Arial"/>
          <w:sz w:val="16"/>
          <w:szCs w:val="16"/>
          <w:color w:val="auto"/>
        </w:rPr>
        <w:t>Our goal is to purchase gas, liquefy it, and transport it to one of our export facilities at a cost of approximately $4.20 per MMBtu or less (before owner’s costs such as marketing and administrative costs, financing costs and contingencies). We expect our downstream transportation, shipping and regasification costs to approximate $1.50 per MMBtu, which is consistent with the costs of our current operations. Our goal is to sell substantially all of this gas to downstream customers under long-term contracts at targeted pricing in excess of approximately $10.00 per MMBtu, including both fuel sales and capacity charges. Gas not delivered to downstream customers would be sold on the spot market. Currently, the market price for LNG delivered via LNGC is approximately $7.00 to $12.00 per MMBtu, depending on the size cargoes purchased. For contracted delivery, assuming the costs and sales prices described above, we seek to earn a margin of $4.30 per MMBtu, or $0.36 per gallon, which would equal a margin of 40% or more, on our gas sales. For spot sales, we seek to earn an attractive margin by adjusting our sales price based on current market rates. Our operations, which are currently conducted at our Montego Bay Terminal and at our Miami Facility, are currently generating revenue on sales of approximately 400,000 gallons of LNG (33,000 MMBtu) per day. We have contracts, letters of intent or expect to secure contracts in the near term to sell LNG volumes in excess of 12.4 million gallons (1,025,000 MMBtu) per day, which includes approximately 2.2 million gallons per day that we expect to sell to customers under existing contracts, assuming with respect to the PREPA contract, satisfactory completion of the ongoing review by PREB and FOMB and final entry into the contract related to such volumes. On January 25, 2019, the PREB approved our proposed agreement with PREPA. See “Risk Factors—Our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 We are in active discussions with additional customers who may have significant demand for additional LNG, although there can be no assurance that these discussions will result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additional contracts or the terms of such contracts or that we will be able to achieve our target pricing or margins. See “Risk Factors—Our ability to implement our business strategy may be materially and adversely affected by many known and unknown factors.”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Terminals</w:t>
      </w:r>
    </w:p>
    <w:p>
      <w:pPr>
        <w:spacing w:after="0" w:line="119" w:lineRule="exact"/>
        <w:rPr>
          <w:sz w:val="20"/>
          <w:szCs w:val="20"/>
          <w:color w:val="auto"/>
        </w:rPr>
      </w:pPr>
    </w:p>
    <w:p>
      <w:pPr>
        <w:ind w:right="60" w:firstLine="357"/>
        <w:spacing w:after="0" w:line="274" w:lineRule="auto"/>
        <w:rPr>
          <w:sz w:val="20"/>
          <w:szCs w:val="20"/>
          <w:color w:val="auto"/>
        </w:rPr>
      </w:pPr>
      <w:r>
        <w:rPr>
          <w:rFonts w:ascii="Arial" w:cs="Arial" w:eastAsia="Arial" w:hAnsi="Arial"/>
          <w:sz w:val="18"/>
          <w:szCs w:val="18"/>
          <w:color w:val="auto"/>
        </w:rPr>
        <w:t>Downstream, we have six terminals operational or under development. Our Terminals will position us to access customers in a number of attractive markets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49530</wp:posOffset>
            </wp:positionV>
            <wp:extent cx="4046220" cy="28790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46220" cy="287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We look to build terminals in locations where the need for LNG is significant.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79" w:lineRule="exact"/>
        <w:rPr>
          <w:sz w:val="20"/>
          <w:szCs w:val="20"/>
          <w:color w:val="auto"/>
        </w:rPr>
      </w:pPr>
    </w:p>
    <w:p>
      <w:pPr>
        <w:ind w:right="180" w:firstLine="357"/>
        <w:spacing w:after="0" w:line="255" w:lineRule="auto"/>
        <w:rPr>
          <w:sz w:val="20"/>
          <w:szCs w:val="20"/>
          <w:color w:val="auto"/>
        </w:rPr>
      </w:pPr>
      <w:r>
        <w:rPr>
          <w:rFonts w:ascii="Arial" w:cs="Arial" w:eastAsia="Arial" w:hAnsi="Arial"/>
          <w:sz w:val="18"/>
          <w:szCs w:val="18"/>
          <w:color w:val="auto"/>
        </w:rPr>
        <w:t>We currently have two operational terminals and four under development, as described below. We design and construct terminals to meet the supply and demand specifications of our current and potential future customers in the applicable region. Our Terminals currently operating or under development are expected to be capable of receiving between 700,000 and 6 million LNG gallons (58,000 and 500,000 MMBtu) per day depending upon the needs of our customers and potential demand in the region. Set forth below is additional detail regarding each terminal:</w:t>
      </w:r>
    </w:p>
    <w:p>
      <w:pPr>
        <w:spacing w:after="0" w:line="81" w:lineRule="exact"/>
        <w:rPr>
          <w:sz w:val="20"/>
          <w:szCs w:val="20"/>
          <w:color w:val="auto"/>
        </w:rPr>
      </w:pPr>
    </w:p>
    <w:p>
      <w:pPr>
        <w:ind w:right="20" w:firstLine="357"/>
        <w:spacing w:after="0" w:line="268" w:lineRule="auto"/>
        <w:rPr>
          <w:sz w:val="20"/>
          <w:szCs w:val="20"/>
          <w:color w:val="auto"/>
        </w:rPr>
      </w:pPr>
      <w:r>
        <w:rPr>
          <w:rFonts w:ascii="Arial" w:cs="Arial" w:eastAsia="Arial" w:hAnsi="Arial"/>
          <w:sz w:val="17"/>
          <w:szCs w:val="17"/>
          <w:i w:val="1"/>
          <w:iCs w:val="1"/>
          <w:color w:val="auto"/>
        </w:rPr>
        <w:t xml:space="preserve">Montego Bay, Jamaica – </w:t>
      </w:r>
      <w:r>
        <w:rPr>
          <w:rFonts w:ascii="Arial" w:cs="Arial" w:eastAsia="Arial" w:hAnsi="Arial"/>
          <w:sz w:val="17"/>
          <w:szCs w:val="17"/>
          <w:color w:val="auto"/>
        </w:rPr>
        <w:t>Our Montego Bay Terminal commenced commercial operations in October 2016. The terminal is</w:t>
      </w:r>
      <w:r>
        <w:rPr>
          <w:rFonts w:ascii="Arial" w:cs="Arial" w:eastAsia="Arial" w:hAnsi="Arial"/>
          <w:sz w:val="17"/>
          <w:szCs w:val="17"/>
          <w:i w:val="1"/>
          <w:iCs w:val="1"/>
          <w:color w:val="auto"/>
        </w:rPr>
        <w:t xml:space="preserve"> </w:t>
      </w:r>
      <w:r>
        <w:rPr>
          <w:rFonts w:ascii="Arial" w:cs="Arial" w:eastAsia="Arial" w:hAnsi="Arial"/>
          <w:sz w:val="17"/>
          <w:szCs w:val="17"/>
          <w:color w:val="auto"/>
        </w:rPr>
        <w:t>capable of processing up to 740,000 LNG gallons (61,000 MMBtu) per day and features approximately 7,000 cubic meters of onsite storage. It supplies natural gas to 145MW turbines at the power plant operated by JPS pursuant to a long-term contract for natural gas equivalent to approximately 300,000 gallons of LNG (25,000 MMBtu) per day. The Montego Bay Terminal also supplies several on-island industrial users with natural gas or LNG pursuant to other long-term take-or-pay contracts. We have total aggregate contracted volumes of approximately 448,000 gallons of LNG (37,000 MMBtu) per day at our Montego Bay Terminal with a weighted average contract length of 18.9 years. Our Montego Bay Terminal is currently operating at 42% capacity to service JPS and these other industrial users. We have the ability to service other potential customers with the excess capacity of the Montego Bay Terminal, and we are seeking to enter into long-term contracts with new customers for such purposes. We deliver LNG to the Montego Bay Terminal via small LNGC.</w:t>
      </w:r>
    </w:p>
    <w:p>
      <w:pPr>
        <w:spacing w:after="0" w:line="71" w:lineRule="exact"/>
        <w:rPr>
          <w:sz w:val="20"/>
          <w:szCs w:val="20"/>
          <w:color w:val="auto"/>
        </w:rPr>
      </w:pPr>
    </w:p>
    <w:p>
      <w:pPr>
        <w:ind w:right="260" w:firstLine="357"/>
        <w:spacing w:after="0" w:line="261" w:lineRule="auto"/>
        <w:rPr>
          <w:sz w:val="20"/>
          <w:szCs w:val="20"/>
          <w:color w:val="auto"/>
        </w:rPr>
      </w:pPr>
      <w:r>
        <w:rPr>
          <w:rFonts w:ascii="Arial" w:cs="Arial" w:eastAsia="Arial" w:hAnsi="Arial"/>
          <w:sz w:val="18"/>
          <w:szCs w:val="18"/>
          <w:i w:val="1"/>
          <w:iCs w:val="1"/>
          <w:color w:val="auto"/>
        </w:rPr>
        <w:t xml:space="preserve">Old Harbour, Jamaica – </w:t>
      </w:r>
      <w:r>
        <w:rPr>
          <w:rFonts w:ascii="Arial" w:cs="Arial" w:eastAsia="Arial" w:hAnsi="Arial"/>
          <w:sz w:val="18"/>
          <w:szCs w:val="18"/>
          <w:color w:val="auto"/>
        </w:rPr>
        <w:t>Our Old Harbour Terminal is substantially complete and expected to commence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the first quarter of 2019. It is capable of processing approximately 6 million gallons of LNG (500,000 MMBtu) per day. The Old Harbour Terminal is expected to supply gas to the Old Harbour Power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Plant operated JPC pursuant to a long-term contract for natural gas equivalent to approximately 350,000 gallons of LNG (29,000 MMBtu) per day. We also expect the Old Harbour Terminal to supply gas to a new 150MW power plant that we are constructing, and approximately 269,000 gallons of LNG (22,000 MMBtu) per day to the alumina refinery operated by Jamalco, an entity owned by the government of Jamaica with a focus on bauxite mining and alumina production in Jamaica. We have also entered into a 20-year SSA to supply Jamalco with steam for use in its alumina refinery operations. We may explore a potential sale of the power plant in the future. We have total aggregate contracted volumes of approximately 619,000 gallons of LNG (51,200 MMBtu) per day at our Old Harbour Terminal with an average contract length of 20.0 years. We expect that our Old Harbour Terminal will operate at 16% capacity to service JPC and Jamalco. We will have the ability to service other potential customers with the excess capacity of the Old Harbour Terminal, and we are seeking to enter into long-term contracts with new customers for such purposes. The Old Harbour Terminal is an offshore terminal with storage and regasification equipment via FSRU. The offshore design eliminates the need for expensive storage tanks and permanent, onshore infrastructure.</w:t>
      </w:r>
    </w:p>
    <w:p>
      <w:pPr>
        <w:spacing w:after="0" w:line="65" w:lineRule="exact"/>
        <w:rPr>
          <w:sz w:val="20"/>
          <w:szCs w:val="20"/>
          <w:color w:val="auto"/>
        </w:rPr>
      </w:pPr>
    </w:p>
    <w:p>
      <w:pPr>
        <w:ind w:firstLine="357"/>
        <w:spacing w:after="0" w:line="283" w:lineRule="auto"/>
        <w:rPr>
          <w:sz w:val="20"/>
          <w:szCs w:val="20"/>
          <w:color w:val="auto"/>
        </w:rPr>
      </w:pPr>
      <w:r>
        <w:rPr>
          <w:rFonts w:ascii="Arial" w:cs="Arial" w:eastAsia="Arial" w:hAnsi="Arial"/>
          <w:sz w:val="16"/>
          <w:szCs w:val="16"/>
          <w:i w:val="1"/>
          <w:iCs w:val="1"/>
          <w:color w:val="auto"/>
        </w:rPr>
        <w:t xml:space="preserve">San Juan, Puerto Rico </w:t>
      </w:r>
      <w:r>
        <w:rPr>
          <w:rFonts w:ascii="Arial" w:cs="Arial" w:eastAsia="Arial" w:hAnsi="Arial"/>
          <w:sz w:val="16"/>
          <w:szCs w:val="16"/>
          <w:color w:val="auto"/>
        </w:rPr>
        <w:t>– Our San Juan Facility is currently under development and is expected to commence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 the second quarter of 2019. It is designed as a landed multi-fuel handling facility located in the Port of San Juan, Puerto Rico. The San Juan Facility is being constructed with multiple truck loading bays to provide LNG to on-island industrial users. In addition, PREPA selected our proposal to convert and supply natural gas to Units 5 and 6 of the San Juan Power Plant – which together have a capacity of 440MW. We have purchased the land and cleared the wharves near the San Juan Power Plant. The San Juan Power Plant is currently running on diesel, and we plan to convert the San Juan Power Plant to run on natural gas and provide up to approximately 25 TBtu of natural gas per year, which would equal approximately 850,000 gallons of LNG (70,000 MMBtu) per day. We are in advanced stages of finalizing an agreement with PREPA for the conversion of the San Juan Power Plant and the right to provide natural gas to PREPA for use as fuel for Units 5 and 6 of the San Juan Power Plant. On January 25, 2019, the PREB approved our proposed agreement with PREPA, and the agreement is currently under review by the FOMB. Although we expect such review to be completed by the end of January 2019, there can be no assurance that such regulatory review will be completed on this timeline or that we will not need to make adjustments to the agreement as a result of such regulatory review or that we will be able to enter into such contract at all. It is also possible that our ability to enter into an agreement with PREPA may be delayed, or the terms of any agreement may be changed, by litigation or other challenges that impact our ability to be awarded the PREPA contract. See “Risk Factors—Our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 We expect the conversion to natural gas would allow PREPA to realize significant, recurring annual cost savings of approximately $285 million (based on current diesel pricing and information provided in PREPA’s request for proposals) after one time conversion costs while also using a more sustainable, environmentally friendly form of energy.</w:t>
      </w:r>
    </w:p>
    <w:p>
      <w:pPr>
        <w:spacing w:after="0" w:line="276"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i w:val="1"/>
          <w:iCs w:val="1"/>
          <w:color w:val="auto"/>
        </w:rPr>
        <w:t xml:space="preserve">La Paz, Baja California Sur, Mexico </w:t>
      </w:r>
      <w:r>
        <w:rPr>
          <w:rFonts w:ascii="Arial" w:cs="Arial" w:eastAsia="Arial" w:hAnsi="Arial"/>
          <w:sz w:val="17"/>
          <w:szCs w:val="17"/>
          <w:color w:val="auto"/>
        </w:rPr>
        <w:t>– Our La Paz Terminal is currently under development and is expected to commence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operations in the fourth quarter of 2019. It is being designed as an LNG receiving terminal located at the Port of Pichilingue in Baja California Sur, Mexico, where LNG will be delivered via a small LNGC vessel or barge from a mothership moored nearby. Initially, the La Paz Terminal is expected to supply approximately 225,000 gallons of LNG (18,000 MMBtu) per day under an intercompany GSA for a 93MW gas-fired mobile power unit that we plan to develop, own, and operate. Similarly, we expect that we will use the La Paz Terminal infrastructure, which includes truckloading bays, to facilitate the conversion of, and supply approximately 180,000 gallons of LNG (15,000 MMBtu) per day to the 85MW Los Cabos power plant owned by Comision Federal de Electridad, as well as regional industrial users such as ferries and hotels. In August 2018, we obtained a power generation permit from Mexico’s energy regulatory commission, Comisión Reguladora de Energia.</w:t>
      </w:r>
    </w:p>
    <w:p>
      <w:pPr>
        <w:spacing w:after="0" w:line="74" w:lineRule="exact"/>
        <w:rPr>
          <w:sz w:val="20"/>
          <w:szCs w:val="20"/>
          <w:color w:val="auto"/>
        </w:rPr>
      </w:pPr>
    </w:p>
    <w:p>
      <w:pPr>
        <w:ind w:right="60" w:firstLine="357"/>
        <w:spacing w:after="0" w:line="254" w:lineRule="auto"/>
        <w:rPr>
          <w:sz w:val="20"/>
          <w:szCs w:val="20"/>
          <w:color w:val="auto"/>
        </w:rPr>
      </w:pPr>
      <w:r>
        <w:rPr>
          <w:rFonts w:ascii="Arial" w:cs="Arial" w:eastAsia="Arial" w:hAnsi="Arial"/>
          <w:sz w:val="18"/>
          <w:szCs w:val="18"/>
          <w:i w:val="1"/>
          <w:iCs w:val="1"/>
          <w:color w:val="auto"/>
        </w:rPr>
        <w:t xml:space="preserve">Shannon, Ireland </w:t>
      </w:r>
      <w:r>
        <w:rPr>
          <w:rFonts w:ascii="Arial" w:cs="Arial" w:eastAsia="Arial" w:hAnsi="Arial"/>
          <w:sz w:val="18"/>
          <w:szCs w:val="18"/>
          <w:color w:val="auto"/>
        </w:rPr>
        <w:t>– We have entered into an agreement to purchase all of the ownership interests in a project company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the rights to develop and operate an LNG terminal and a CHP plant on the Shannon Estuary near Ballylongford, Ireland. We intend this terminal to include a storage facility with onshore regasification equipment and pipeline connection into the distribution system of Gas Networks Ireland, Ireland’s national gas network. We have obtained planning permission for the terminal and pipeline, foreshore leases and certain approvals from the Commission for Regulation of Utilities in Ireland. We plan to deliver LNG to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terminal via a traditional size LNGC. The equipment on site will have the capacity to import and regasify more than 6 million gallons of LNG (500,000 MMBtu) per day, which is the equivalent of Ireland’s total foreign natural gas imports. Additionally, the planning permission approval for the terminal includes the ability to build an integrated 500MW power plant on-site with priority dispatch. We will begin construction of the Ireland Terminal once we have secured contracts with downstream customers for volumes that are sufficient to support the development.</w:t>
      </w:r>
    </w:p>
    <w:p>
      <w:pPr>
        <w:spacing w:after="0" w:line="81" w:lineRule="exact"/>
        <w:rPr>
          <w:sz w:val="20"/>
          <w:szCs w:val="20"/>
          <w:color w:val="auto"/>
        </w:rPr>
      </w:pPr>
    </w:p>
    <w:p>
      <w:pPr>
        <w:ind w:right="60" w:firstLine="357"/>
        <w:spacing w:after="0" w:line="252" w:lineRule="auto"/>
        <w:rPr>
          <w:sz w:val="20"/>
          <w:szCs w:val="20"/>
          <w:color w:val="auto"/>
        </w:rPr>
      </w:pPr>
      <w:r>
        <w:rPr>
          <w:rFonts w:ascii="Arial" w:cs="Arial" w:eastAsia="Arial" w:hAnsi="Arial"/>
          <w:sz w:val="18"/>
          <w:szCs w:val="18"/>
          <w:i w:val="1"/>
          <w:iCs w:val="1"/>
          <w:color w:val="auto"/>
        </w:rPr>
        <w:t xml:space="preserve">Dominican Republic </w:t>
      </w:r>
      <w:r>
        <w:rPr>
          <w:rFonts w:ascii="Arial" w:cs="Arial" w:eastAsia="Arial" w:hAnsi="Arial"/>
          <w:sz w:val="18"/>
          <w:szCs w:val="18"/>
          <w:color w:val="auto"/>
        </w:rPr>
        <w:t>– We are in the advanced stages of negotiations to enter into a long-term contract for the supply of up to</w:t>
      </w:r>
      <w:r>
        <w:rPr>
          <w:rFonts w:ascii="Arial" w:cs="Arial" w:eastAsia="Arial" w:hAnsi="Arial"/>
          <w:sz w:val="18"/>
          <w:szCs w:val="18"/>
          <w:i w:val="1"/>
          <w:iCs w:val="1"/>
          <w:color w:val="auto"/>
        </w:rPr>
        <w:t xml:space="preserve"> </w:t>
      </w:r>
      <w:r>
        <w:rPr>
          <w:rFonts w:ascii="Arial" w:cs="Arial" w:eastAsia="Arial" w:hAnsi="Arial"/>
          <w:sz w:val="18"/>
          <w:szCs w:val="18"/>
          <w:color w:val="auto"/>
        </w:rPr>
        <w:t>1.7 million gallons of LNG per day (140,500 MMBtu) to supply power plants with natural gas in the Southeastern portion of the Dominican Republic. We plan to develop an LNG import terminal off the Southeastern coast of the Dominican Republic which will receive shipments of LNG via an LNGC and will transfer the LNG onshore. LNG will be transferred from an LNGC to an FSRU which will be semi-permanently moored at the terminal and will be transported via a subsea pipeline to the San Pedro de Macoris area where the natural gas will be sent on to power plants in the region. The LNG import terminal may also be utilized to transport natural gas to industrial users in the Dominican Republic. We anticipate commencing commercial operations in the first quarter of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Liquefaction Assets</w:t>
      </w:r>
    </w:p>
    <w:p>
      <w:pPr>
        <w:spacing w:after="0" w:line="119" w:lineRule="exact"/>
        <w:rPr>
          <w:sz w:val="20"/>
          <w:szCs w:val="20"/>
          <w:color w:val="auto"/>
        </w:rPr>
      </w:pPr>
    </w:p>
    <w:p>
      <w:pPr>
        <w:ind w:right="180" w:firstLine="357"/>
        <w:spacing w:after="0" w:line="261" w:lineRule="auto"/>
        <w:rPr>
          <w:sz w:val="20"/>
          <w:szCs w:val="20"/>
          <w:color w:val="auto"/>
        </w:rPr>
      </w:pPr>
      <w:r>
        <w:rPr>
          <w:rFonts w:ascii="Arial" w:cs="Arial" w:eastAsia="Arial" w:hAnsi="Arial"/>
          <w:sz w:val="18"/>
          <w:szCs w:val="18"/>
          <w:color w:val="auto"/>
        </w:rPr>
        <w:t>We intend to supply all existing and future customers with LNG produced primarily at our own Liquefaction Facilities. We have one operational liquefaction facility in Miami, are currently developing our Pennsylvania Facility and plan to develop five or more additional liquefaction facilities over the next five years.</w:t>
      </w:r>
    </w:p>
    <w:p>
      <w:pPr>
        <w:spacing w:after="0" w:line="76" w:lineRule="exact"/>
        <w:rPr>
          <w:sz w:val="20"/>
          <w:szCs w:val="20"/>
          <w:color w:val="auto"/>
        </w:rPr>
      </w:pPr>
    </w:p>
    <w:p>
      <w:pPr>
        <w:ind w:right="160" w:firstLine="357"/>
        <w:spacing w:after="0" w:line="289" w:lineRule="auto"/>
        <w:rPr>
          <w:sz w:val="20"/>
          <w:szCs w:val="20"/>
          <w:color w:val="auto"/>
        </w:rPr>
      </w:pPr>
      <w:r>
        <w:rPr>
          <w:rFonts w:ascii="Arial" w:cs="Arial" w:eastAsia="Arial" w:hAnsi="Arial"/>
          <w:sz w:val="16"/>
          <w:szCs w:val="16"/>
          <w:color w:val="auto"/>
        </w:rPr>
        <w:t>We believe that, by building smaller facilities and optimizing efficiencies, we will be able to construct our Liquefaction Facilities significantly faster and more economically than those typically developed in the industry. We expect to construct each liquefaction facility for a total cost (including ancillary logistics infrastructure) of between $750 to $850 million, which implies an anticipated cost of LNG production of approximately $374 per ton. There can be no assurance development costs will not exceed our targets. If we can achieve these cost targets, this would be considerably more cost-effective than the industry’s published liquefaction costs, which range from $511 to $867 per ton excluding ancillary infrastructure. Each of our Liquefaction Facilities is anticipated to produce approximately 3.6 million gallons of LNG (298,000 MMBtu) per day, or approximately 2.23 mtpa of LNG.</w:t>
      </w:r>
    </w:p>
    <w:p>
      <w:pPr>
        <w:spacing w:after="0" w:line="59" w:lineRule="exact"/>
        <w:rPr>
          <w:sz w:val="20"/>
          <w:szCs w:val="20"/>
          <w:color w:val="auto"/>
        </w:rPr>
      </w:pPr>
    </w:p>
    <w:p>
      <w:pPr>
        <w:ind w:firstLine="357"/>
        <w:spacing w:after="0" w:line="253" w:lineRule="auto"/>
        <w:rPr>
          <w:sz w:val="20"/>
          <w:szCs w:val="20"/>
          <w:color w:val="auto"/>
        </w:rPr>
      </w:pPr>
      <w:r>
        <w:rPr>
          <w:rFonts w:ascii="Arial" w:cs="Arial" w:eastAsia="Arial" w:hAnsi="Arial"/>
          <w:sz w:val="18"/>
          <w:szCs w:val="18"/>
          <w:color w:val="auto"/>
        </w:rPr>
        <w:t>We constructed the Miami Facility, which commenced commercial operations in 2016, in under 12 months at a cost to build of approximately $70 million. The Miami Facility employs what we believe is one of the largest private ISO container fleets in the world. It has one liquefaction train, with liquefaction production capacity of approximately 100,000 gallons of LNG (8,200 MMBtu) per day and was 96.6% dispatchable during 2018. The facility also has three LNG storage tanks, with total capacity of approximately 1,000 cubic meters. The plant also includes two separate LNG transfer areas capable of serving both truck and rail. We are currently delivering approximately 31,000 gallons of LNG per day from the Miami Facility pursuant to long-term, take-or-pay contracts.</w:t>
      </w:r>
    </w:p>
    <w:p>
      <w:pPr>
        <w:spacing w:after="0" w:line="82" w:lineRule="exact"/>
        <w:rPr>
          <w:sz w:val="20"/>
          <w:szCs w:val="20"/>
          <w:color w:val="auto"/>
        </w:rPr>
      </w:pPr>
    </w:p>
    <w:p>
      <w:pPr>
        <w:ind w:firstLine="357"/>
        <w:spacing w:after="0" w:line="284" w:lineRule="auto"/>
        <w:rPr>
          <w:sz w:val="20"/>
          <w:szCs w:val="20"/>
          <w:color w:val="auto"/>
        </w:rPr>
      </w:pPr>
      <w:r>
        <w:rPr>
          <w:rFonts w:ascii="Arial" w:cs="Arial" w:eastAsia="Arial" w:hAnsi="Arial"/>
          <w:sz w:val="16"/>
          <w:szCs w:val="16"/>
          <w:color w:val="auto"/>
        </w:rPr>
        <w:t>We are in advanced stages of the design, development and permitting for our Pennsylvania Facility, and we are targeting completion in the first quarter of 2021. In January 2019, we entered into the EPC Agreement with the Contractor for the construction of our Pennsylvania Facility. We expect our Pennsylvania Facility to have the capacity to liquefy approximately 3.6 million gallons of LNG (250,000 – 330,000 MMBtu) per day. We have already entered into a 15-year contract to acquire all of the feedgas needed to operate our Pennsylvania Facility at capacity, with pricing that is generally fixed at $2.50 per MMBtu. Once LNG is produced at this facility, a dedicated tanker truck fleet will transport the LNG to a nearby port. We are in the advanced stages of negotiating a long-term lease with a company managed by an affiliate of Fortress for the use of a facility at a port approximately 195 miles away along the Delaware River, and we expect to finalize the lease prior to the completion of this offering. Under such lease, we expect to have the exclusive rights to use such facility for the term of the lease and that LNG will be transferred directly from tanker truck, rail or other non-pipeline means to marine vessels through multiple transloading bays, allowing for simultaneous and continuous operations. From there, our dedicated fleet of marine vessels will be able to transport the LNG to our Terminals from which we will deliver natural gas or LNG to our customers. We expect to have liquefaction capacity of approximately 3.6 million gallons of LNG per day after the completion of our Pennsylvania Facility.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0" w:firstLine="357"/>
        <w:spacing w:after="0" w:line="305" w:lineRule="auto"/>
        <w:rPr>
          <w:sz w:val="20"/>
          <w:szCs w:val="20"/>
          <w:color w:val="auto"/>
        </w:rPr>
      </w:pPr>
      <w:r>
        <w:rPr>
          <w:rFonts w:ascii="Arial" w:cs="Arial" w:eastAsia="Arial" w:hAnsi="Arial"/>
          <w:sz w:val="17"/>
          <w:szCs w:val="17"/>
          <w:color w:val="auto"/>
        </w:rPr>
        <w:t>In addition to this port along the Delaware River, we are also in the advanced stages of negotiating a substantially similar long-term lease with a company managed by an affiliate of Fortress for the use of a facility at a port on the Texas Gulf Coast.</w:t>
      </w:r>
    </w:p>
    <w:p>
      <w:pPr>
        <w:spacing w:after="0" w:line="40"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At the completion of this offering, we will have spent approximately $350 million in building and developing our facilities since 2014 and have commitments to spend an additional approximately $1.35 billion. We expect to fund these commitments through a combination of cash on hand, operating cash flows, additional borrowings and the proceeds from this offering. Pending completion and commissioning of our liquefier in development, we expect to continue to supply our downstream customers with LNG and natural gas sourced from a combination of our Miami Facility, which operated at 28% capacity during the first half of 2018, purchases of LNG under a multi-cargo contract with Centrica and open market purchases as necessary. We are drawing on our experience from the construction and operation of our Miami Facility to optimize the development of our Pennsylvania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Pennsylvania EPC Agreement</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January 2019, we entered into the EPC Agreement with the Contractor for the construction of our Pennsylvania Facility.</w:t>
      </w:r>
    </w:p>
    <w:p>
      <w:pPr>
        <w:spacing w:after="0" w:line="138"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We expect the target completion date of the Pennsylvania Facility to be the first quarter 2021. The contract price under the EPC Agreement is approximately $672 million, excluding Pennsylvania sales and use taxes on materials and equipment. The contract price includes a provisional payment of $162 million, and the contract price may be reduced based on actual cost savings. We intend to fund these amounts from a combination of cash flows from operations, additional indebtedness or the opportunistic sale of one of our non-core assets. The Contractor will be entitled to receive a bonus for completion of the Pennsylvania Facility prior to the contract completion date, up to a maximum bonus amount of $30 million. The Contractor will be able to obtain change order relief, including increases to the contract price and extensions of guaranteed dates for substantial completion, in the event of specified occurrences.</w:t>
      </w:r>
    </w:p>
    <w:p>
      <w:pPr>
        <w:spacing w:after="0" w:line="86" w:lineRule="exact"/>
        <w:rPr>
          <w:sz w:val="20"/>
          <w:szCs w:val="20"/>
          <w:color w:val="auto"/>
        </w:rPr>
      </w:pPr>
    </w:p>
    <w:p>
      <w:pPr>
        <w:ind w:right="60" w:firstLine="357"/>
        <w:spacing w:after="0" w:line="270" w:lineRule="auto"/>
        <w:rPr>
          <w:sz w:val="20"/>
          <w:szCs w:val="20"/>
          <w:color w:val="auto"/>
        </w:rPr>
      </w:pPr>
      <w:r>
        <w:rPr>
          <w:rFonts w:ascii="Arial" w:cs="Arial" w:eastAsia="Arial" w:hAnsi="Arial"/>
          <w:sz w:val="17"/>
          <w:szCs w:val="17"/>
          <w:color w:val="auto"/>
        </w:rPr>
        <w:t>The Contractor will be required to pay “delay” liquidated damages for failure to achieve substantial completion by the guaranteed substantial completion date in the second quarter of 2021, which is capped at 8% of the contract price. The Contractor will be required to pay “performance” liquidated damages for failure to achieve one or more performance guarantees while meeting specified minimum acceptance criteria and other requirements for substantial completion, which is separately capped at 8% of the contract price. The Contractor’s maximum aggregate liability for specified liquidated damages will be 15% of the contract price. The Contractor’s maximum liability under the EPC Agreement (excluding its achievement of the minimum acceptance criteria and certain other items) will be 30% of the contract price.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Customers</w:t>
      </w:r>
    </w:p>
    <w:p>
      <w:pPr>
        <w:spacing w:after="0" w:line="119" w:lineRule="exact"/>
        <w:rPr>
          <w:sz w:val="20"/>
          <w:szCs w:val="20"/>
          <w:color w:val="auto"/>
        </w:rPr>
      </w:pPr>
    </w:p>
    <w:p>
      <w:pPr>
        <w:ind w:right="100" w:firstLine="357"/>
        <w:spacing w:after="0" w:line="309" w:lineRule="auto"/>
        <w:rPr>
          <w:sz w:val="20"/>
          <w:szCs w:val="20"/>
          <w:color w:val="auto"/>
        </w:rPr>
      </w:pPr>
      <w:r>
        <w:rPr>
          <w:rFonts w:ascii="Arial" w:cs="Arial" w:eastAsia="Arial" w:hAnsi="Arial"/>
          <w:sz w:val="16"/>
          <w:szCs w:val="16"/>
          <w:color w:val="auto"/>
        </w:rPr>
        <w:t>Our downstream customers are, and we expect future customers to be, a mix of power, transportation and industrial users of natural gas and LNG. We seek to substantially reduce our customers’ fuel costs while providing them with a cleaner-burning, more environmentally friendly fuel source. In addition, we also intend to sell power and steam directly to some of our customers.</w:t>
      </w:r>
    </w:p>
    <w:p>
      <w:pPr>
        <w:spacing w:after="0" w:line="41" w:lineRule="exact"/>
        <w:rPr>
          <w:sz w:val="20"/>
          <w:szCs w:val="20"/>
          <w:color w:val="auto"/>
        </w:rPr>
      </w:pPr>
    </w:p>
    <w:p>
      <w:pPr>
        <w:ind w:right="100" w:firstLine="357"/>
        <w:spacing w:after="0" w:line="255" w:lineRule="auto"/>
        <w:rPr>
          <w:sz w:val="20"/>
          <w:szCs w:val="20"/>
          <w:color w:val="auto"/>
        </w:rPr>
      </w:pPr>
      <w:r>
        <w:rPr>
          <w:rFonts w:ascii="Arial" w:cs="Arial" w:eastAsia="Arial" w:hAnsi="Arial"/>
          <w:sz w:val="18"/>
          <w:szCs w:val="18"/>
          <w:color w:val="auto"/>
        </w:rPr>
        <w:t>We seek to enter into long-term, take-or-pay contracts to deliver natural gas or LNG, which generally include targeted pricing of approximately $10.00 per MMBtu. Pricing for any particular customer depends on the size of the customer, purchased volume, the customer’s credit profile, the complexity of the delivery and the infrastructure required to deliver it, and there can be no assurance we will achieve our targeted pricing. In general, the better the credit and larger the size of the user, the lower the contract price of our fuel.</w:t>
      </w:r>
    </w:p>
    <w:p>
      <w:pPr>
        <w:spacing w:after="0" w:line="81"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To date, we have contracts, letters of intent or expect to secure contracts in the near term to sell LNG volumes in excess of 12.4 million gallons (1,025,000 MMBtu) per day, which includes approximately 2.2 million gallons per day that we expect to sell to customers under existing contracts with a weighted average remaining term of 12.4 years, assuming with respect to the PREPA contract, satisfactory completion of the ongoing review by FOMB and final entry into the contract related to such volumes. See “Risk Factors—Our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nonperformance, or if we fail to enter into such contracts at all.” Our operations, which are currently conducted primarily at our Montego Bay Terminal and at our Miami Facility, are currently generating revenue from sales of approximately 400,000 gallons (33,000 MMBtu) per day. Pending completion and commissioning of our liquefier in development, we expect to continue to supply our downstream customers with LNG and natural gas sourced from a combination of our Miami Facility, purchases of LNG under a multi-cargo contract with Centrica and open market purchases as necessary. We have entered into contracts with Centrica for the purchase of cargoes of 1.1 billion gallons of LNG (86.8 million MMBtu). The cargoes are scheduled for delivery between June 2019 and December 2021. Our ambition is to continue to aggressively grow this customer portfolio. We are in active discussions with additional customers who may have significant demand for additional LNG.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Jamaica Customers</w:t>
      </w:r>
    </w:p>
    <w:p>
      <w:pPr>
        <w:spacing w:after="0" w:line="115" w:lineRule="exact"/>
        <w:rPr>
          <w:sz w:val="20"/>
          <w:szCs w:val="20"/>
          <w:color w:val="auto"/>
        </w:rPr>
      </w:pPr>
    </w:p>
    <w:p>
      <w:pPr>
        <w:ind w:right="200" w:firstLine="357"/>
        <w:spacing w:after="0" w:line="257" w:lineRule="auto"/>
        <w:rPr>
          <w:sz w:val="20"/>
          <w:szCs w:val="20"/>
          <w:color w:val="auto"/>
        </w:rPr>
      </w:pPr>
      <w:r>
        <w:rPr>
          <w:rFonts w:ascii="Arial" w:cs="Arial" w:eastAsia="Arial" w:hAnsi="Arial"/>
          <w:sz w:val="18"/>
          <w:szCs w:val="18"/>
          <w:color w:val="auto"/>
        </w:rPr>
        <w:t>We have several contracts with government affiliated entities in Jamaica, including contracts with JPS, JPC and Jamalco (the “Jamaica GSAs”) as further described below. The Jamaica GSAs represent 50% of Jamaica’s installed capacity and sales of approximately 919,000 gallons (76,000 MMBtu) of LNG per day. The Jamaica GSAs have remaining terms of approximately 20 years, with mutual options to extend, subject to certain conditions.</w:t>
      </w:r>
    </w:p>
    <w:p>
      <w:pPr>
        <w:spacing w:after="0" w:line="79"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We refer to the structure of these contracts as “take-or-pay” because they include a firm obligation to take a fixed quantity of product at a stated price and provisions that ensure we will be made whole in the case of our customer’s failure to accept all or a part of the contracted volumes or for termination by our customer. Pricing under these contracts generally consists of a fixed fee plus a variable rate, and, in some cases, an additional index price or volume discount. Our contracts also provide for annual inflation-based adjustments and reimbursement for government charges incurred. The aggregate minimum quantities we are required to deliver, and our counterparties are required to purchase, under the Jamaica GSAs initially total approximately 56,211 MMBtu per day.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Bogue Power Plant</w:t>
      </w:r>
    </w:p>
    <w:p>
      <w:pPr>
        <w:spacing w:after="0" w:line="115" w:lineRule="exact"/>
        <w:rPr>
          <w:sz w:val="20"/>
          <w:szCs w:val="20"/>
          <w:color w:val="auto"/>
        </w:rPr>
      </w:pPr>
    </w:p>
    <w:p>
      <w:pPr>
        <w:ind w:right="160" w:firstLine="357"/>
        <w:spacing w:after="0" w:line="284" w:lineRule="auto"/>
        <w:rPr>
          <w:sz w:val="20"/>
          <w:szCs w:val="20"/>
          <w:color w:val="auto"/>
        </w:rPr>
      </w:pPr>
      <w:r>
        <w:rPr>
          <w:rFonts w:ascii="Arial" w:cs="Arial" w:eastAsia="Arial" w:hAnsi="Arial"/>
          <w:sz w:val="17"/>
          <w:szCs w:val="17"/>
          <w:color w:val="auto"/>
        </w:rPr>
        <w:t>We have executed a 22-year agreement to supply JPS’s Bogue Power Plant in Montego Bay, Jamaica with natural gas. The Bogue Power Plant is an approximately 145MW capacity power plant converted to run on natural gas as well as ADO. We believe the Bogue Power Plant is a compelling example of the power of our business strategy.</w:t>
      </w:r>
    </w:p>
    <w:p>
      <w:pPr>
        <w:spacing w:after="0" w:line="57" w:lineRule="exact"/>
        <w:rPr>
          <w:sz w:val="20"/>
          <w:szCs w:val="20"/>
          <w:color w:val="auto"/>
        </w:rPr>
      </w:pPr>
    </w:p>
    <w:p>
      <w:pPr>
        <w:ind w:right="100" w:firstLine="357"/>
        <w:spacing w:after="0" w:line="288" w:lineRule="auto"/>
        <w:rPr>
          <w:sz w:val="20"/>
          <w:szCs w:val="20"/>
          <w:color w:val="auto"/>
        </w:rPr>
      </w:pPr>
      <w:r>
        <w:rPr>
          <w:rFonts w:ascii="Arial" w:cs="Arial" w:eastAsia="Arial" w:hAnsi="Arial"/>
          <w:sz w:val="16"/>
          <w:szCs w:val="16"/>
          <w:color w:val="auto"/>
        </w:rPr>
        <w:t>The plant was originally constructed to burn natural gas, but, because the plant could not procure sufficient amounts of natural gas, the plant has burned ADO in recent years. We provide a comprehensive solution for JPS to use natural gas to power turbines with 145MW power generation capacity at the Bogue Power Plant at prices that are economically attractive compared to ADO in exchange for JPS entering into a long-term, take-or-pay supply agreement with us. Under the terms of the agreement, we ship LNG to Jamaica, regasify it and ultimately deliver natural gas to the Bogue Power Plant. We constructed the Montego Bay Terminal that commenced commercial operations on October 30, 2016. The Montego Bay Terminal has the capacity to store approximately two million gallons of LNG in seven storage tanks. The facility has regasification equipment and a pipeline capable of transporting sufficient natural gas to support up to approximately 250MW of generation capacity.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Old Harbour Power Plant</w:t>
      </w:r>
    </w:p>
    <w:p>
      <w:pPr>
        <w:spacing w:after="0" w:line="115" w:lineRule="exact"/>
        <w:rPr>
          <w:sz w:val="20"/>
          <w:szCs w:val="20"/>
          <w:color w:val="auto"/>
        </w:rPr>
      </w:pPr>
    </w:p>
    <w:p>
      <w:pPr>
        <w:ind w:right="40" w:firstLine="357"/>
        <w:spacing w:after="0" w:line="339" w:lineRule="auto"/>
        <w:rPr>
          <w:sz w:val="20"/>
          <w:szCs w:val="20"/>
          <w:color w:val="auto"/>
        </w:rPr>
      </w:pPr>
      <w:r>
        <w:rPr>
          <w:rFonts w:ascii="Arial" w:cs="Arial" w:eastAsia="Arial" w:hAnsi="Arial"/>
          <w:sz w:val="16"/>
          <w:szCs w:val="16"/>
          <w:color w:val="auto"/>
        </w:rPr>
        <w:t>We have also executed an agreement to supply JPC’s Old Harbour Power Plant in Old Harbour, Jamaica with natural gas and back-up ADO for 20 years. The Old Harbour Power Plant will be an approximately 190MW capacity dual fuel plant owned by JPC.</w:t>
      </w:r>
    </w:p>
    <w:p>
      <w:pPr>
        <w:spacing w:after="0" w:line="17" w:lineRule="exact"/>
        <w:rPr>
          <w:sz w:val="20"/>
          <w:szCs w:val="20"/>
          <w:color w:val="auto"/>
        </w:rPr>
      </w:pPr>
    </w:p>
    <w:p>
      <w:pPr>
        <w:ind w:right="80" w:firstLine="357"/>
        <w:spacing w:after="0" w:line="289" w:lineRule="auto"/>
        <w:rPr>
          <w:sz w:val="20"/>
          <w:szCs w:val="20"/>
          <w:color w:val="auto"/>
        </w:rPr>
      </w:pPr>
      <w:r>
        <w:rPr>
          <w:rFonts w:ascii="Arial" w:cs="Arial" w:eastAsia="Arial" w:hAnsi="Arial"/>
          <w:sz w:val="16"/>
          <w:szCs w:val="16"/>
          <w:color w:val="auto"/>
        </w:rPr>
        <w:t>Similar to our agreement with JPS regarding the Bogue Power Plant, we provide a comprehensive solution to JPC to use natural gas at the Old Harbour Power Plant at prices that are economically attractive relative to distillate fuel alternatives in exchange for JPC entering into a long-term, take-or-pay supply agreement with us. Under the terms of the agreement, we will ship LNG to Jamaica, regasify it and ultimately deliver natural gas to the Old Harbour Power Plant with ADO available as a back-up supply when natural gas is not available. The Old Harbour Terminal was completed in December 2018 and has the capacity to store up to 33 million gallons of LNG in a floating marine storage unit. The facility will have regasification equipment and a pipeline capable of transporting natural gas to the Old Harbour Power Plant to support approximately 400MW of generation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720"/>
        <w:spacing w:after="0" w:line="339" w:lineRule="auto"/>
        <w:rPr>
          <w:sz w:val="20"/>
          <w:szCs w:val="20"/>
          <w:color w:val="auto"/>
        </w:rPr>
      </w:pPr>
      <w:r>
        <w:rPr>
          <w:rFonts w:ascii="Arial" w:cs="Arial" w:eastAsia="Arial" w:hAnsi="Arial"/>
          <w:sz w:val="16"/>
          <w:szCs w:val="16"/>
          <w:color w:val="auto"/>
        </w:rPr>
        <w:t>capacity. We secured binding EPC contracts for substantially all of the projected budget for the Old Harbour Terminal, and construction began in August 2017. We have also secured back-up ADO fuel supply under a contract with Petrojam.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Jamalco Combined Heat &amp; Power Plant</w:t>
      </w:r>
    </w:p>
    <w:p>
      <w:pPr>
        <w:spacing w:after="0" w:line="115" w:lineRule="exact"/>
        <w:rPr>
          <w:sz w:val="20"/>
          <w:szCs w:val="20"/>
          <w:color w:val="auto"/>
        </w:rPr>
      </w:pPr>
    </w:p>
    <w:p>
      <w:pPr>
        <w:ind w:firstLine="357"/>
        <w:spacing w:after="0" w:line="271" w:lineRule="auto"/>
        <w:rPr>
          <w:sz w:val="20"/>
          <w:szCs w:val="20"/>
          <w:color w:val="auto"/>
        </w:rPr>
      </w:pPr>
      <w:r>
        <w:rPr>
          <w:rFonts w:ascii="Arial" w:cs="Arial" w:eastAsia="Arial" w:hAnsi="Arial"/>
          <w:sz w:val="17"/>
          <w:szCs w:val="17"/>
          <w:color w:val="auto"/>
        </w:rPr>
        <w:t>We have also executed a suite of agreements, including a 20 year SSA to supply Jamalco with steam for use in its alumina refinery operations and a 20 year PPA to supply electricity to JPS, to support our development of the CHP Plant. The CHP Plant will be a 150MW capacity power plant and will be fueled by natural gas with the ability to run on diesel as a backup fuel source. We will ship LNG to Jamaica, regasify it at the Old Harbour Terminal and deliver it to the CHP Plant, which will be owned by our wholly owned subsidiary NFE South Power. We have obtained a power generation license for, and have commenced the construction of, the CHP Plant and we expect construction to be completed by the first quarter of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Jamaica Industrial End-User Sales</w:t>
      </w:r>
    </w:p>
    <w:p>
      <w:pPr>
        <w:spacing w:after="0" w:line="115" w:lineRule="exact"/>
        <w:rPr>
          <w:sz w:val="20"/>
          <w:szCs w:val="20"/>
          <w:color w:val="auto"/>
        </w:rPr>
      </w:pPr>
    </w:p>
    <w:p>
      <w:pPr>
        <w:ind w:right="160" w:firstLine="357"/>
        <w:spacing w:after="0" w:line="284" w:lineRule="auto"/>
        <w:rPr>
          <w:sz w:val="20"/>
          <w:szCs w:val="20"/>
          <w:color w:val="auto"/>
        </w:rPr>
      </w:pPr>
      <w:r>
        <w:rPr>
          <w:rFonts w:ascii="Arial" w:cs="Arial" w:eastAsia="Arial" w:hAnsi="Arial"/>
          <w:sz w:val="17"/>
          <w:szCs w:val="17"/>
          <w:color w:val="auto"/>
        </w:rPr>
        <w:t>We have entered into multiple long-term contracts to sell LNG directly to industrial end-users in Jamaica. To fulfill the requirements of our end-user customers, we transport LNG through our Jamaica Terminals (either from our Liquefaction Facilities in the United States or from third parties in market purchases) and deliver such LNG directly to customers.</w:t>
      </w:r>
    </w:p>
    <w:p>
      <w:pPr>
        <w:spacing w:after="0" w:line="57" w:lineRule="exact"/>
        <w:rPr>
          <w:sz w:val="20"/>
          <w:szCs w:val="20"/>
          <w:color w:val="auto"/>
        </w:rPr>
      </w:pPr>
    </w:p>
    <w:p>
      <w:pPr>
        <w:ind w:right="400" w:firstLine="357"/>
        <w:spacing w:after="0" w:line="253" w:lineRule="auto"/>
        <w:rPr>
          <w:sz w:val="20"/>
          <w:szCs w:val="20"/>
          <w:color w:val="auto"/>
        </w:rPr>
      </w:pPr>
      <w:r>
        <w:rPr>
          <w:rFonts w:ascii="Arial" w:cs="Arial" w:eastAsia="Arial" w:hAnsi="Arial"/>
          <w:sz w:val="18"/>
          <w:szCs w:val="18"/>
          <w:color w:val="auto"/>
        </w:rPr>
        <w:t>For example, we have entered into a 10-year agreement to supply Red Stripe with LNG to power its brewery operations through Red Stripe’s own CHP facility located on-site at its brewery in Kingston, Jamaica. We constructed the necessary LNG storage and regasification infrastructure “behind the fence” at Red Stripe’s factory in less than three months, and natural-gas powered operations commenced on October 6, 2017. Red Stripe estimates that its conversion to natural gas will save it at least $336,000 per year (not including conversion costs). The agreement with Red Stripe is the first of what we aim to be many such arrangements to supply LNG directly to industrial end-users in Jamaica and elsewhere utilizing our end-to-end, fully integrated LNG supply network.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5" w:lineRule="exact"/>
        <w:rPr>
          <w:sz w:val="20"/>
          <w:szCs w:val="20"/>
          <w:color w:val="auto"/>
        </w:rPr>
      </w:pPr>
    </w:p>
    <w:p>
      <w:pPr>
        <w:ind w:right="140" w:firstLine="357"/>
        <w:spacing w:after="0" w:line="277" w:lineRule="auto"/>
        <w:rPr>
          <w:sz w:val="20"/>
          <w:szCs w:val="20"/>
          <w:color w:val="auto"/>
        </w:rPr>
      </w:pPr>
      <w:r>
        <w:rPr>
          <w:rFonts w:ascii="Arial" w:cs="Arial" w:eastAsia="Arial" w:hAnsi="Arial"/>
          <w:sz w:val="17"/>
          <w:szCs w:val="17"/>
          <w:color w:val="auto"/>
        </w:rPr>
        <w:t>In September 2018, we amended and restated our GSA with an affiliate of Chesapeake to provide for the delivery of natural gas to our Pennsylvania Facility. Deliveries will commence once the Pennsylvania Facility has completed commissioning and testing and is capable of receiving the minimum volume of gas. The initial contract term is 15 years and we will purchase gas from Chesapeake at a price equal to a fixed fee plus a variable rate, subject to a minimum volume.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Opportunities and Track Record</w:t>
      </w:r>
    </w:p>
    <w:p>
      <w:pPr>
        <w:spacing w:after="0" w:line="119" w:lineRule="exact"/>
        <w:rPr>
          <w:sz w:val="20"/>
          <w:szCs w:val="20"/>
          <w:color w:val="auto"/>
        </w:rPr>
      </w:pPr>
    </w:p>
    <w:p>
      <w:pPr>
        <w:ind w:right="20" w:firstLine="357"/>
        <w:spacing w:after="0" w:line="277" w:lineRule="auto"/>
        <w:rPr>
          <w:sz w:val="20"/>
          <w:szCs w:val="20"/>
          <w:color w:val="auto"/>
        </w:rPr>
      </w:pPr>
      <w:r>
        <w:rPr>
          <w:rFonts w:ascii="Arial" w:cs="Arial" w:eastAsia="Arial" w:hAnsi="Arial"/>
          <w:sz w:val="17"/>
          <w:szCs w:val="17"/>
          <w:color w:val="auto"/>
        </w:rPr>
        <w:t>As the world continues to electrify and demand for power grows, we believe that countries will continue to look to natural gas as a viable, efficient, cost-effective and more environmentally friendly fuel. With a potential 3.75 billion LNG-gallon-per-day addressable market created by the approximately 1.5 million MW of new power expected to be needed by 2040, according to Exxon Mobil’s 2017 Outlook on Energy, we see multiple opportunities for our business to grow.</w:t>
      </w:r>
    </w:p>
    <w:p>
      <w:pPr>
        <w:spacing w:after="0" w:line="63" w:lineRule="exact"/>
        <w:rPr>
          <w:sz w:val="20"/>
          <w:szCs w:val="20"/>
          <w:color w:val="auto"/>
        </w:rPr>
      </w:pPr>
    </w:p>
    <w:p>
      <w:pPr>
        <w:ind w:right="100" w:firstLine="357"/>
        <w:spacing w:after="0" w:line="267" w:lineRule="auto"/>
        <w:rPr>
          <w:sz w:val="20"/>
          <w:szCs w:val="20"/>
          <w:color w:val="auto"/>
        </w:rPr>
      </w:pPr>
      <w:r>
        <w:rPr>
          <w:rFonts w:ascii="Arial" w:cs="Arial" w:eastAsia="Arial" w:hAnsi="Arial"/>
          <w:sz w:val="17"/>
          <w:szCs w:val="17"/>
          <w:i w:val="1"/>
          <w:iCs w:val="1"/>
          <w:color w:val="auto"/>
        </w:rPr>
        <w:t xml:space="preserve">Proven Ability to Execute. </w:t>
      </w:r>
      <w:r>
        <w:rPr>
          <w:rFonts w:ascii="Arial" w:cs="Arial" w:eastAsia="Arial" w:hAnsi="Arial"/>
          <w:sz w:val="17"/>
          <w:szCs w:val="17"/>
          <w:color w:val="auto"/>
        </w:rPr>
        <w:t>We are confident in our ability to execute and scale our business model to support our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growth because we have a successful track record of infrastructure project development. We developed, constructed and commissioned our Miami Facility, a 100,000 gallon-per-day (8,300 MMBtu) liquefier in Miami-Dade County, Florida, in under 12 months. This liquefier includes two truckloading bays capable of loading LNG tank trucks at 200 gallons-per-minute per truck, and through which we currently service our South Florida customers. We also ship ISO tankers by rail to Port Everglades for shipment to customers in the Bahamas and Barbados. We followed our Miami Facility by designing, permitting, constructing and commissioning our Montego Bay Terminal in under 14 months. This terminal is equipped with 7,000 cubic meters (2 million gallons) of on-land storage, has a direct pipeline connection to JPS’s 145MW turbines at the Bogue Power Plant, and has two truckloading bays for deliveries to on-island customers. We also commissioned our Old Harbour Terminal in December 2018. Construction of the Old Harbour Terminal was completed in October 2018, and our chartered FSRU arrived in December 2018. When operational, the Old Harbour Terminal will service a new 190MW power plant operated by JPC and a new 150MW power plant that we have begun constructing 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right="520"/>
        <w:spacing w:after="0" w:line="309" w:lineRule="auto"/>
        <w:rPr>
          <w:sz w:val="20"/>
          <w:szCs w:val="20"/>
          <w:color w:val="auto"/>
        </w:rPr>
      </w:pPr>
      <w:r>
        <w:rPr>
          <w:rFonts w:ascii="Arial" w:cs="Arial" w:eastAsia="Arial" w:hAnsi="Arial"/>
          <w:sz w:val="16"/>
          <w:szCs w:val="16"/>
          <w:color w:val="auto"/>
        </w:rPr>
        <w:t>Jamalco. These projects demonstrate our proven ability to design, construct and commission large and complex infrastructure projects on accelerated timeframes and encompassing a broad range of operations – liquefaction, logistics, onshore terminals, offshore terminals, pipeline connections, marine assets and integrated power generation assets.</w:t>
      </w:r>
    </w:p>
    <w:p>
      <w:pPr>
        <w:spacing w:after="0" w:line="41" w:lineRule="exact"/>
        <w:rPr>
          <w:sz w:val="20"/>
          <w:szCs w:val="20"/>
          <w:color w:val="auto"/>
        </w:rPr>
      </w:pPr>
    </w:p>
    <w:p>
      <w:pPr>
        <w:ind w:right="100" w:firstLine="357"/>
        <w:spacing w:after="0" w:line="273" w:lineRule="auto"/>
        <w:rPr>
          <w:sz w:val="20"/>
          <w:szCs w:val="20"/>
          <w:color w:val="auto"/>
        </w:rPr>
      </w:pPr>
      <w:r>
        <w:rPr>
          <w:rFonts w:ascii="Arial" w:cs="Arial" w:eastAsia="Arial" w:hAnsi="Arial"/>
          <w:sz w:val="17"/>
          <w:szCs w:val="17"/>
          <w:i w:val="1"/>
          <w:iCs w:val="1"/>
          <w:color w:val="auto"/>
        </w:rPr>
        <w:t>Growth Opportunity — Africa</w:t>
      </w:r>
      <w:r>
        <w:rPr>
          <w:rFonts w:ascii="Arial" w:cs="Arial" w:eastAsia="Arial" w:hAnsi="Arial"/>
          <w:sz w:val="17"/>
          <w:szCs w:val="17"/>
          <w:color w:val="auto"/>
        </w:rPr>
        <w:t>. In Sub-Saharan Africa, 590 million people, or 57% of the population, lack access to electricity.</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power generation on the continent is anticipated to more than double to 253GW by 2030. Natural gas consumption is expected to grow by nearly 150% over this timeframe, outpacing nearly every other fuel. We recognize the immense opportunity that Africa affords and opened our first office in Ghana in late 2018. We have engaged with multiple local counterparties, and we anticipate deploying meaningful capital in African projects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119" w:lineRule="exact"/>
        <w:rPr>
          <w:sz w:val="20"/>
          <w:szCs w:val="20"/>
          <w:color w:val="auto"/>
        </w:rPr>
      </w:pPr>
    </w:p>
    <w:p>
      <w:pPr>
        <w:ind w:right="40" w:firstLine="357"/>
        <w:spacing w:after="0" w:line="274" w:lineRule="auto"/>
        <w:rPr>
          <w:sz w:val="20"/>
          <w:szCs w:val="20"/>
          <w:color w:val="auto"/>
        </w:rPr>
      </w:pPr>
      <w:r>
        <w:rPr>
          <w:rFonts w:ascii="Arial" w:cs="Arial" w:eastAsia="Arial" w:hAnsi="Arial"/>
          <w:sz w:val="18"/>
          <w:szCs w:val="18"/>
          <w:color w:val="auto"/>
        </w:rPr>
        <w:t>Our primary business objective is to provide superior returns to our shareholders as a vertically integrated energy infrastructure company. We intend to accomplish this objective by implementing the following strategies:</w:t>
      </w:r>
    </w:p>
    <w:p>
      <w:pPr>
        <w:spacing w:after="0" w:line="64" w:lineRule="exact"/>
        <w:rPr>
          <w:sz w:val="20"/>
          <w:szCs w:val="20"/>
          <w:color w:val="auto"/>
        </w:rPr>
      </w:pPr>
    </w:p>
    <w:p>
      <w:pPr>
        <w:ind w:left="700" w:hanging="346"/>
        <w:spacing w:after="0" w:line="291"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develop LNG liquefaction and distribution facilities. </w:t>
      </w:r>
      <w:r>
        <w:rPr>
          <w:rFonts w:ascii="Arial" w:cs="Arial" w:eastAsia="Arial" w:hAnsi="Arial"/>
          <w:sz w:val="16"/>
          <w:szCs w:val="16"/>
          <w:color w:val="auto"/>
        </w:rPr>
        <w:t>We currently procure our LNG either by purchasing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open markets in amounts sufficient to service our customers’ needs or by manufacturing it in our Miami Facility. Following this offering, we intend to continue to develop the infrastructure necessary to supply our existing and future customers with LNG produced primarily at our facilities, including our Pennsylvania Facility. We expect that ownership of this vertical supply chain, from fixed-price gas procurement to liquefaction to delivery of LNG, will reduce our (and our customers’) future LNG price variations, thereby reinforcing our competitive standing in the LNG market.</w:t>
      </w:r>
    </w:p>
    <w:p>
      <w:pPr>
        <w:spacing w:after="0" w:line="56" w:lineRule="exact"/>
        <w:rPr>
          <w:rFonts w:ascii="Arial" w:cs="Arial" w:eastAsia="Arial" w:hAnsi="Arial"/>
          <w:sz w:val="16"/>
          <w:szCs w:val="16"/>
          <w:color w:val="auto"/>
        </w:rPr>
      </w:pPr>
    </w:p>
    <w:p>
      <w:pPr>
        <w:ind w:left="700" w:hanging="346"/>
        <w:spacing w:after="0" w:line="287"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LNG distribution business. </w:t>
      </w:r>
      <w:r>
        <w:rPr>
          <w:rFonts w:ascii="Arial" w:cs="Arial" w:eastAsia="Arial" w:hAnsi="Arial"/>
          <w:sz w:val="16"/>
          <w:szCs w:val="16"/>
          <w:color w:val="auto"/>
        </w:rPr>
        <w:t>Our sales and marketing team seeks to identify utilities, transportation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industrial end-users who may view natural gas or LNG as a potentially compelling alternative to traditional distillate fuels and typically enter into long-term, take-or-pay contracts for our products and services. Following entry into these agreements, we intend to develop the necessary infrastructure to deliver natural gas or LNG directly to the consumer in readily usable form and, in the case of power generation or steam production, to produce and deliver the required quantities of power or steam. Our comprehensive infrastructure and management services and our experience as a first mover in the Atlantic Basin should allow us to expand our footprint in the Atlantic Basin and beyond to new customers as demand for alternatives to traditional energy sources continues to expand. Following this offering, we intend to expand our footprint and enhance our service offerings to our current customers while developing relationships with new customers.</w:t>
      </w:r>
    </w:p>
    <w:p>
      <w:pPr>
        <w:spacing w:after="0" w:line="58" w:lineRule="exact"/>
        <w:rPr>
          <w:rFonts w:ascii="Arial" w:cs="Arial" w:eastAsia="Arial" w:hAnsi="Arial"/>
          <w:sz w:val="16"/>
          <w:szCs w:val="16"/>
          <w:color w:val="auto"/>
        </w:rPr>
      </w:pPr>
    </w:p>
    <w:p>
      <w:pPr>
        <w:ind w:left="700" w:right="180" w:hanging="346"/>
        <w:spacing w:after="0" w:line="289"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 gas-fired power generation assets. </w:t>
      </w:r>
      <w:r>
        <w:rPr>
          <w:rFonts w:ascii="Arial" w:cs="Arial" w:eastAsia="Arial" w:hAnsi="Arial"/>
          <w:sz w:val="16"/>
          <w:szCs w:val="16"/>
          <w:color w:val="auto"/>
        </w:rPr>
        <w:t>We believe that developing and constructing our own gas-fired power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assets is a compelling growth strategy for our company. We are currently developing and have obtained a power generation license for the CHP Plant in Clarendon, Jamaica, from which we expect to supply electricity to JPS under a long-term contract. Because we intend to control the entire “spark spread” from upstream production to delivery of electricity to a customer or grid, we are able to capture economic value in a way a traditional power producer likely cannot. For example, the cost of fuel is a pass-through for most power producers. Because we would supply these power plants with our own LNG and natural gas, we capture fuel economics which can be significant.</w:t>
      </w:r>
    </w:p>
    <w:p>
      <w:pPr>
        <w:spacing w:after="0" w:line="58" w:lineRule="exact"/>
        <w:rPr>
          <w:rFonts w:ascii="Arial" w:cs="Arial" w:eastAsia="Arial" w:hAnsi="Arial"/>
          <w:sz w:val="16"/>
          <w:szCs w:val="16"/>
          <w:color w:val="auto"/>
        </w:rPr>
      </w:pPr>
    </w:p>
    <w:p>
      <w:pPr>
        <w:ind w:left="700" w:right="20" w:hanging="346"/>
        <w:spacing w:after="0" w:line="286"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build-out our Caribbean infrastructure. </w:t>
      </w:r>
      <w:r>
        <w:rPr>
          <w:rFonts w:ascii="Arial" w:cs="Arial" w:eastAsia="Arial" w:hAnsi="Arial"/>
          <w:sz w:val="16"/>
          <w:szCs w:val="16"/>
          <w:color w:val="auto"/>
        </w:rPr>
        <w:t>Our take-or-pay GSAs and SSAs with electric utilities and industrial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end-users in Jamaica provide us with the opportunity for stable, long-term contracted cash flows. In order to service these contracts efficiently and cost effectively, we have begun to develop the necessary assets and infrastructure in Jamaica.</w:t>
      </w:r>
    </w:p>
    <w:p>
      <w:pPr>
        <w:ind w:left="700"/>
        <w:spacing w:after="0" w:line="293" w:lineRule="auto"/>
        <w:rPr>
          <w:rFonts w:ascii="Arial" w:cs="Arial" w:eastAsia="Arial" w:hAnsi="Arial"/>
          <w:sz w:val="16"/>
          <w:szCs w:val="16"/>
          <w:color w:val="auto"/>
        </w:rPr>
      </w:pPr>
      <w:r>
        <w:rPr>
          <w:rFonts w:ascii="Arial" w:cs="Arial" w:eastAsia="Arial" w:hAnsi="Arial"/>
          <w:sz w:val="16"/>
          <w:szCs w:val="16"/>
          <w:color w:val="auto"/>
        </w:rPr>
        <w:t>Following this offering, we intend to develop and optimize our Caribbean infrastructure to provide natural gas, LNG, steam or electricity in readily usable form directly to our customers in Jamaica and other places in the Caribbean, such as Puerto Rico. Beyond these prospects, we intend to selectively identify and market our services to energy customers who view natural gas or LNG as a compelling alternative to other fuel sources that will allow us to further expand our footprint.</w:t>
      </w:r>
    </w:p>
    <w:p>
      <w:pPr>
        <w:spacing w:after="0" w:line="52" w:lineRule="exact"/>
        <w:rPr>
          <w:rFonts w:ascii="Arial" w:cs="Arial" w:eastAsia="Arial" w:hAnsi="Arial"/>
          <w:sz w:val="16"/>
          <w:szCs w:val="16"/>
          <w:color w:val="auto"/>
        </w:rPr>
      </w:pPr>
    </w:p>
    <w:p>
      <w:pPr>
        <w:ind w:left="700" w:right="80" w:hanging="346"/>
        <w:spacing w:after="0" w:line="274"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financial strength and flexibility. </w:t>
      </w:r>
      <w:r>
        <w:rPr>
          <w:rFonts w:ascii="Arial" w:cs="Arial" w:eastAsia="Arial" w:hAnsi="Arial"/>
          <w:sz w:val="18"/>
          <w:szCs w:val="18"/>
          <w:color w:val="auto"/>
        </w:rPr>
        <w:t>We will seek to maintain a conservative balance sheet, which will allow us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better react to our customers’ changing needs. As of September 30, 2018, on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20" w:right="60"/>
        <w:spacing w:after="0" w:line="286" w:lineRule="auto"/>
        <w:rPr>
          <w:sz w:val="20"/>
          <w:szCs w:val="20"/>
          <w:color w:val="auto"/>
        </w:rPr>
      </w:pPr>
      <w:r>
        <w:rPr>
          <w:rFonts w:ascii="Arial" w:cs="Arial" w:eastAsia="Arial" w:hAnsi="Arial"/>
          <w:sz w:val="16"/>
          <w:szCs w:val="16"/>
          <w:color w:val="auto"/>
        </w:rPr>
        <w:t>pro forma basis after giving effect to this offering and the amendment to the Term Loan Facility executed on December 31, 2018, we would have had $911.5 million in total assets (including $478.4 million in cash and cash equivalents) and $280.0 million of total indebtedness outstanding. We expect to draw the remaining $220 million under our Term Loan Facility contemporaneously with the completion of this offering. After giving effect to drawing the remaining $220 million available under the Term Loan Facility, we would have had $1,131.5 million in total assets (including $698.4 million in cash and cash equivalents) and $500 million of total indebtedness outstanding as of September 30, 2018. The pro forma total indebtedness outstanding as of September 30, 2018 does not include deferred financing costs and does not give effect to any debt we may incur following the consummation of this offering. We believe this low leverage and cash position, along with our cash flows from operations and other potential sources of liquidity will provide us with sufficient liquidity to execute on the business strategies discussed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19" w:lineRule="exact"/>
        <w:rPr>
          <w:sz w:val="20"/>
          <w:szCs w:val="20"/>
          <w:color w:val="auto"/>
        </w:rPr>
      </w:pPr>
    </w:p>
    <w:p>
      <w:pPr>
        <w:ind w:right="120" w:firstLine="357"/>
        <w:spacing w:after="0" w:line="274" w:lineRule="auto"/>
        <w:rPr>
          <w:sz w:val="20"/>
          <w:szCs w:val="20"/>
          <w:color w:val="auto"/>
        </w:rPr>
      </w:pPr>
      <w:r>
        <w:rPr>
          <w:rFonts w:ascii="Arial" w:cs="Arial" w:eastAsia="Arial" w:hAnsi="Arial"/>
          <w:sz w:val="18"/>
          <w:szCs w:val="18"/>
          <w:color w:val="auto"/>
        </w:rPr>
        <w:t>We believe we are well positioned to achieve our primary business objectives and execute our business strategies based on the following competitive strengths:</w:t>
      </w:r>
    </w:p>
    <w:p>
      <w:pPr>
        <w:spacing w:after="0" w:line="64" w:lineRule="exact"/>
        <w:rPr>
          <w:sz w:val="20"/>
          <w:szCs w:val="20"/>
          <w:color w:val="auto"/>
        </w:rPr>
      </w:pPr>
    </w:p>
    <w:p>
      <w:pPr>
        <w:ind w:left="700" w:right="40" w:hanging="346"/>
        <w:spacing w:after="0" w:line="291" w:lineRule="auto"/>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Comprehensive energy solution creates new customer base. </w:t>
      </w:r>
      <w:r>
        <w:rPr>
          <w:rFonts w:ascii="Arial" w:cs="Arial" w:eastAsia="Arial" w:hAnsi="Arial"/>
          <w:sz w:val="16"/>
          <w:szCs w:val="16"/>
          <w:color w:val="auto"/>
        </w:rPr>
        <w:t>We offer our customers a comprehensive energy 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the infrastructure and manage the logistics necessary to deliver natural gas or LNG directly to our customers in amounts tailored to their consumption needs. In addition, we offer to construct or convert power generation assets to burn natural gas, thereby producing cleaner and cheaper electricity. By offering a comprehensive solution, we believe we can prompt meaningful numbers of significant energy consumers—such as power utilities, railroads, ships, mining and other industrial operations—looking for a better alternative to oil to convert to natural gas and enter into contracts with us.</w:t>
      </w:r>
    </w:p>
    <w:p>
      <w:pPr>
        <w:spacing w:after="0" w:line="56" w:lineRule="exact"/>
        <w:rPr>
          <w:rFonts w:ascii="Arial" w:cs="Arial" w:eastAsia="Arial" w:hAnsi="Arial"/>
          <w:sz w:val="16"/>
          <w:szCs w:val="16"/>
          <w:color w:val="auto"/>
        </w:rPr>
      </w:pPr>
    </w:p>
    <w:p>
      <w:pPr>
        <w:ind w:left="700" w:right="100" w:hanging="346"/>
        <w:spacing w:after="0" w:line="253"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Demonstrated ability to execute. </w:t>
      </w:r>
      <w:r>
        <w:rPr>
          <w:rFonts w:ascii="Arial" w:cs="Arial" w:eastAsia="Arial" w:hAnsi="Arial"/>
          <w:sz w:val="18"/>
          <w:szCs w:val="18"/>
          <w:color w:val="auto"/>
        </w:rPr>
        <w:t>The success of our business strategy and its benefit to our customers is demonstrated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proven ability to secure long-term, take-or-pay contracts. Our Montego Bay Terminal and related infrastructure (operational since October 30, 2016) has enabled JPS to use natural gas at the Bogue Power Plant, rather than rely on ADO, at prices that are competitive with ADO. We have also entered into a long-term, take-or-pay contract with JPC to supply the Old Harbour Power Plant with LNG, a 20-year SSA to supply Jamalco with steam for use in its alumina refinery operations, and a 20-year PPA to supply electricity to the Jamaica power grid from our CHP Plant in Clarendon, Jamaica, when completed.</w:t>
      </w:r>
    </w:p>
    <w:p>
      <w:pPr>
        <w:spacing w:after="0" w:line="82" w:lineRule="exact"/>
        <w:rPr>
          <w:rFonts w:ascii="Arial" w:cs="Arial" w:eastAsia="Arial" w:hAnsi="Arial"/>
          <w:sz w:val="18"/>
          <w:szCs w:val="18"/>
          <w:color w:val="auto"/>
        </w:rPr>
      </w:pPr>
    </w:p>
    <w:p>
      <w:pPr>
        <w:ind w:left="700" w:hanging="346"/>
        <w:spacing w:after="0" w:line="269" w:lineRule="auto"/>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Economically and environmentally attractive product. </w:t>
      </w:r>
      <w:r>
        <w:rPr>
          <w:rFonts w:ascii="Arial" w:cs="Arial" w:eastAsia="Arial" w:hAnsi="Arial"/>
          <w:sz w:val="17"/>
          <w:szCs w:val="17"/>
          <w:color w:val="auto"/>
        </w:rPr>
        <w:t>We believe natural gas is a cheaper, cleaner and thus superior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alternative energy source to traditional oil-based fuels. According to our internal estimates, on an energy equivalent basis using recent pricing, natural gas provides meaningfully more energy per dollar spent compared to diesel. Importantly, natural gas is also an environmentally cleaner fuel source compared to oil. In a June 2015 study, the U.S. Energy Information Administration conducted an analysis to compare the amount of carbon dioxide emissions per unit of energy output among fossil fuels, including oil, and found that natural gas produces the lowest amount of carbon dioxide of all fossil fuels in the study. Natural gas’s attributes, coupled with an increased focus on economics and the environment, make it a compelling energy source for many energy consumers.</w:t>
      </w:r>
    </w:p>
    <w:p>
      <w:pPr>
        <w:spacing w:after="0" w:line="71" w:lineRule="exact"/>
        <w:rPr>
          <w:rFonts w:ascii="Arial" w:cs="Arial" w:eastAsia="Arial" w:hAnsi="Arial"/>
          <w:sz w:val="17"/>
          <w:szCs w:val="17"/>
          <w:color w:val="auto"/>
        </w:rPr>
      </w:pPr>
    </w:p>
    <w:p>
      <w:pPr>
        <w:ind w:left="700" w:hanging="346"/>
        <w:spacing w:after="0" w:line="288" w:lineRule="auto"/>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Scalable infrastructure can drive margin expansion. </w:t>
      </w:r>
      <w:r>
        <w:rPr>
          <w:rFonts w:ascii="Arial" w:cs="Arial" w:eastAsia="Arial" w:hAnsi="Arial"/>
          <w:sz w:val="16"/>
          <w:szCs w:val="16"/>
          <w:color w:val="auto"/>
        </w:rPr>
        <w:t>Our Montego Bay Terminal and other infrastructure that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developing or will develop in the future, including the CHP Plant and the Old Harbour Terminal, will position us to deliver natural gas to additional islands throughout the Atlantic Basin and beyond. We believe we can augment our existing infrastructure by investing limited amounts of additional capital to expand uses with our largest customers and to secure new customers at favorable margins. We expect that significant expansion of our liquefaction capabilities and our delivery logistics chain through the development, ownership and operation of the Pennsylvania Facility, together with the current operations at the Miami Facility, will enable us to supply our existing and future customers with LNG produced primarily at our own Liquefaction Facilities and will help to reduce the risk of future LNG price variations.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9" w:lineRule="exact"/>
        <w:rPr>
          <w:sz w:val="20"/>
          <w:szCs w:val="20"/>
          <w:color w:val="auto"/>
        </w:rPr>
      </w:pPr>
    </w:p>
    <w:p>
      <w:pPr>
        <w:ind w:right="20" w:firstLine="357"/>
        <w:spacing w:after="0" w:line="253" w:lineRule="auto"/>
        <w:rPr>
          <w:sz w:val="20"/>
          <w:szCs w:val="20"/>
          <w:color w:val="auto"/>
        </w:rPr>
      </w:pPr>
      <w:r>
        <w:rPr>
          <w:rFonts w:ascii="Arial" w:cs="Arial" w:eastAsia="Arial" w:hAnsi="Arial"/>
          <w:sz w:val="18"/>
          <w:szCs w:val="18"/>
          <w:color w:val="auto"/>
        </w:rPr>
        <w:t>In marketing LNG and natural gas, we compete for sales of LNG and natural gas with a variety of competitors, including: major integrated marketers who have large amounts of capital to support their marketing operations and offer a full-range of services and market numerous products other than natural gas; producer marketers who sell their own natural gas production or the production of an affiliated natural gas production company; small geographically focused marketers who focus on marketing natural gas for the geographic area in which their affiliated distributor operates; and aggregators who gather small volumes of natural gas from various sources, combine them and sell the larger volumes for more favorable prices and terms than would be possible selling the smaller volumes separately.</w:t>
      </w:r>
    </w:p>
    <w:p>
      <w:pPr>
        <w:spacing w:after="0" w:line="82" w:lineRule="exact"/>
        <w:rPr>
          <w:sz w:val="20"/>
          <w:szCs w:val="20"/>
          <w:color w:val="auto"/>
        </w:rPr>
      </w:pPr>
    </w:p>
    <w:p>
      <w:pPr>
        <w:jc w:val="both"/>
        <w:ind w:right="240" w:firstLine="357"/>
        <w:spacing w:after="0" w:line="309" w:lineRule="auto"/>
        <w:rPr>
          <w:sz w:val="20"/>
          <w:szCs w:val="20"/>
          <w:color w:val="auto"/>
        </w:rPr>
      </w:pPr>
      <w:r>
        <w:rPr>
          <w:rFonts w:ascii="Arial" w:cs="Arial" w:eastAsia="Arial" w:hAnsi="Arial"/>
          <w:sz w:val="16"/>
          <w:szCs w:val="16"/>
          <w:color w:val="auto"/>
        </w:rPr>
        <w:t>However, we do not expect to experience significant competition for our LNG logistics services with respect to the Jamaica Terminals because we have entered into fixed GSAs with JPS and JPC for the Jamaica Terminals. If and when we have to replace our agreements with JPS or JPC, we may compete with other then-existing LNG logistics companies for these customers.</w:t>
      </w:r>
    </w:p>
    <w:p>
      <w:pPr>
        <w:spacing w:after="0" w:line="41" w:lineRule="exact"/>
        <w:rPr>
          <w:sz w:val="20"/>
          <w:szCs w:val="20"/>
          <w:color w:val="auto"/>
        </w:rPr>
      </w:pPr>
    </w:p>
    <w:p>
      <w:pPr>
        <w:ind w:right="320" w:firstLine="357"/>
        <w:spacing w:after="0" w:line="274" w:lineRule="auto"/>
        <w:rPr>
          <w:sz w:val="20"/>
          <w:szCs w:val="20"/>
          <w:color w:val="auto"/>
        </w:rPr>
      </w:pPr>
      <w:r>
        <w:rPr>
          <w:rFonts w:ascii="Arial" w:cs="Arial" w:eastAsia="Arial" w:hAnsi="Arial"/>
          <w:sz w:val="18"/>
          <w:szCs w:val="18"/>
          <w:color w:val="auto"/>
        </w:rPr>
        <w:t>There are no other liquefaction terminals currently in operation in south Florida. However, a number of plants are currently under development in the region that could compete with our Miami Facility.</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purchasing LNG as part of our logistics business, we will compete for supplies of LNG with:</w:t>
      </w:r>
    </w:p>
    <w:p>
      <w:pPr>
        <w:spacing w:after="0" w:line="115" w:lineRule="exact"/>
        <w:rPr>
          <w:sz w:val="20"/>
          <w:szCs w:val="20"/>
          <w:color w:val="auto"/>
        </w:rPr>
      </w:pPr>
    </w:p>
    <w:p>
      <w:pPr>
        <w:ind w:left="700" w:right="180" w:hanging="346"/>
        <w:spacing w:after="0" w:line="305" w:lineRule="auto"/>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large, multinational and national companies with longer operating histories, more development experience, greater name recognition, larger staffs and substantially greater financial, technical and marketing resources;</w:t>
      </w:r>
    </w:p>
    <w:p>
      <w:pPr>
        <w:spacing w:after="0" w:line="39" w:lineRule="exact"/>
        <w:rPr>
          <w:rFonts w:ascii="Arial" w:cs="Arial" w:eastAsia="Arial" w:hAnsi="Arial"/>
          <w:sz w:val="17"/>
          <w:szCs w:val="17"/>
          <w:color w:val="auto"/>
        </w:rPr>
      </w:pPr>
    </w:p>
    <w:p>
      <w:pPr>
        <w:ind w:left="700" w:hanging="34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oil and gas producers who sell or control LNG derived from their international oil and gas properties; and</w:t>
      </w:r>
    </w:p>
    <w:p>
      <w:pPr>
        <w:spacing w:after="0" w:line="114" w:lineRule="exact"/>
        <w:rPr>
          <w:rFonts w:ascii="Arial" w:cs="Arial" w:eastAsia="Arial" w:hAnsi="Arial"/>
          <w:sz w:val="18"/>
          <w:szCs w:val="18"/>
          <w:color w:val="auto"/>
        </w:rPr>
      </w:pPr>
    </w:p>
    <w:p>
      <w:pPr>
        <w:ind w:left="700" w:hanging="346"/>
        <w:spacing w:after="0" w:line="274"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purchasers located in other countries where prevailing market prices can be substantially different from those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19" w:lineRule="exact"/>
        <w:rPr>
          <w:sz w:val="20"/>
          <w:szCs w:val="20"/>
          <w:color w:val="auto"/>
        </w:rPr>
      </w:pPr>
    </w:p>
    <w:p>
      <w:pPr>
        <w:ind w:firstLine="357"/>
        <w:spacing w:after="0" w:line="271" w:lineRule="auto"/>
        <w:rPr>
          <w:sz w:val="20"/>
          <w:szCs w:val="20"/>
          <w:color w:val="auto"/>
        </w:rPr>
      </w:pPr>
      <w:r>
        <w:rPr>
          <w:rFonts w:ascii="Arial" w:cs="Arial" w:eastAsia="Arial" w:hAnsi="Arial"/>
          <w:sz w:val="17"/>
          <w:szCs w:val="17"/>
          <w:color w:val="auto"/>
        </w:rPr>
        <w:t>Our LNG infrastructure is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DOE Export</w:t>
      </w:r>
    </w:p>
    <w:p>
      <w:pPr>
        <w:spacing w:after="0" w:line="115" w:lineRule="exact"/>
        <w:rPr>
          <w:sz w:val="20"/>
          <w:szCs w:val="20"/>
          <w:color w:val="auto"/>
        </w:rPr>
      </w:pPr>
    </w:p>
    <w:p>
      <w:pPr>
        <w:ind w:right="160" w:firstLine="357"/>
        <w:spacing w:after="0" w:line="268" w:lineRule="auto"/>
        <w:rPr>
          <w:sz w:val="20"/>
          <w:szCs w:val="20"/>
          <w:color w:val="auto"/>
        </w:rPr>
      </w:pPr>
      <w:r>
        <w:rPr>
          <w:rFonts w:ascii="Arial" w:cs="Arial" w:eastAsia="Arial" w:hAnsi="Arial"/>
          <w:sz w:val="17"/>
          <w:szCs w:val="17"/>
          <w:color w:val="auto"/>
        </w:rPr>
        <w:t>The DOE issued orders authorizing us, through our subsidiary, American LNG Marketing or its designee, to export up to a combined total of the equivalent of 60,000 mtpa (approximately 3.02 Bcf/yr) of domestically produced LNG by tanker from the Miami Facility to FTA countries for a 20-year term and to non-FTA countries for a 20-year term under contracts with terms of two years or longer. The 20-year term of the authorizations commenced on February 5, 2016, the date of first export from the Miami Facility. The DOE has also authorized American LNG Marketing to export LNG from the Miami Facility to FTA and non-FTA countries under short-term (less than two years) agreements or on a spot cargo basis. Any LNG exported under the short-term authorization would be counted toward the quantity authorized under the long-term authorizations. These authorizations from the DOE are only applicable to exports of LNG produced at our Miami Facility, and exports of LNG from a liquefaction facility other than the Miami Facility (such as the Pennsylvania Facility) to FTA and/or non-FTA countries will require us to obtain new authorizations from the DOE.</w:t>
      </w:r>
    </w:p>
    <w:p>
      <w:pPr>
        <w:spacing w:after="0" w:line="71" w:lineRule="exact"/>
        <w:rPr>
          <w:sz w:val="20"/>
          <w:szCs w:val="20"/>
          <w:color w:val="auto"/>
        </w:rPr>
      </w:pPr>
    </w:p>
    <w:p>
      <w:pPr>
        <w:ind w:right="60" w:firstLine="357"/>
        <w:spacing w:after="0" w:line="273" w:lineRule="auto"/>
        <w:rPr>
          <w:sz w:val="20"/>
          <w:szCs w:val="20"/>
          <w:color w:val="auto"/>
        </w:rPr>
      </w:pPr>
      <w:r>
        <w:rPr>
          <w:rFonts w:ascii="Arial" w:cs="Arial" w:eastAsia="Arial" w:hAnsi="Arial"/>
          <w:sz w:val="17"/>
          <w:szCs w:val="17"/>
          <w:color w:val="auto"/>
        </w:rPr>
        <w:t>Exports of natural gas to FTA countries are “deemed to be consistent with the public interest” and authorization to export LNG to FTA countries shall be granted by the DOE without “modification or delay.” FTA countries which import LNG now or will do so in the near future include Chile, Mexico, Singapore, South Korea and the Dominican Republic. Exports of natural gas to non-FTA countries are considered by the DOE in the context of a comment period whereby interveners are provided the opportunity to assert that such authorization would not be consistent with the public interest.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Pipelines and Hazardous Materials Safety Administration</w:t>
      </w:r>
    </w:p>
    <w:p>
      <w:pPr>
        <w:spacing w:after="0" w:line="115" w:lineRule="exact"/>
        <w:rPr>
          <w:sz w:val="20"/>
          <w:szCs w:val="20"/>
          <w:color w:val="auto"/>
        </w:rPr>
      </w:pPr>
    </w:p>
    <w:p>
      <w:pPr>
        <w:ind w:right="120" w:firstLine="357"/>
        <w:spacing w:after="0" w:line="268" w:lineRule="auto"/>
        <w:rPr>
          <w:sz w:val="20"/>
          <w:szCs w:val="20"/>
          <w:color w:val="auto"/>
        </w:rPr>
      </w:pPr>
      <w:r>
        <w:rPr>
          <w:rFonts w:ascii="Arial" w:cs="Arial" w:eastAsia="Arial" w:hAnsi="Arial"/>
          <w:sz w:val="17"/>
          <w:szCs w:val="17"/>
          <w:color w:val="auto"/>
        </w:rPr>
        <w:t>Many LNG facilities are also subject to regulation by the DOT, through the PHMSA; PHMSA has established requirements relating to the design, installation, testing, construction, operation, replacement and management of “pipeline facilities,” which PHMSA has defined to include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71"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color w:val="auto"/>
        </w:rPr>
        <w:t>In recent years, PHMSA’s regulation of pipeline facilities has become more stringent. For example, in March 2016, the PHMSA released a comprehensive proposed rulemaking concerning gas pipeline safety that, if adopted, would, among other things, regulate many currently-unregulated gathering lines in rural areas, expand the integrity management requirements beyond “High Consequence Areas” to apply to gas pipelines in newly-defined “Moderate Consequence Areas,” and require pressure testing of many formerly-grandfathered pipelines in place before 1970 to determine their maximum allowable operating pressures. In January 2017, PHMSA issued a pre-publication version of a final rule that amends its pipeline safety regulations for the design, construction, testing, operation and maintenance of hazardous liquids pipelines. Although the Trump Administration has not yet taken any action to finalize these proposed rules, they remain pending. Similar to these efforts, PHMSA’s regulation of LNG facilities could become more stringent in the future.</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5" w:lineRule="exact"/>
        <w:rPr>
          <w:sz w:val="20"/>
          <w:szCs w:val="20"/>
          <w:color w:val="auto"/>
        </w:rPr>
      </w:pPr>
    </w:p>
    <w:p>
      <w:pPr>
        <w:ind w:right="80" w:firstLine="357"/>
        <w:spacing w:after="0" w:line="270" w:lineRule="auto"/>
        <w:rPr>
          <w:sz w:val="20"/>
          <w:szCs w:val="20"/>
          <w:color w:val="auto"/>
        </w:rPr>
      </w:pPr>
      <w:r>
        <w:rPr>
          <w:rFonts w:ascii="Arial" w:cs="Arial" w:eastAsia="Arial" w:hAnsi="Arial"/>
          <w:sz w:val="17"/>
          <w:szCs w:val="17"/>
          <w:color w:val="auto"/>
        </w:rPr>
        <w:t>Our LNG infrastructure and operations are subject to various international, federal, state and local laws and regulations as well as foreign laws and regulations relating to the protection of the environment, natural resources and human health. These environmental laws and regulations may require the installation of controls on emissions and structures to prevent or mitigate any potential harm to human health and the environment.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Clean Air Act</w:t>
      </w:r>
    </w:p>
    <w:p>
      <w:pPr>
        <w:spacing w:after="0" w:line="115" w:lineRule="exact"/>
        <w:rPr>
          <w:sz w:val="20"/>
          <w:szCs w:val="20"/>
          <w:color w:val="auto"/>
        </w:rPr>
      </w:pPr>
    </w:p>
    <w:p>
      <w:pPr>
        <w:ind w:right="40" w:firstLine="357"/>
        <w:spacing w:after="0" w:line="273" w:lineRule="auto"/>
        <w:rPr>
          <w:sz w:val="20"/>
          <w:szCs w:val="20"/>
          <w:color w:val="auto"/>
        </w:rPr>
      </w:pPr>
      <w:r>
        <w:rPr>
          <w:rFonts w:ascii="Arial" w:cs="Arial" w:eastAsia="Arial" w:hAnsi="Arial"/>
          <w:sz w:val="17"/>
          <w:szCs w:val="17"/>
          <w:color w:val="auto"/>
        </w:rPr>
        <w:t>Our LNG infrastructure is subject to the federal CAA and comparable state and local laws. We may be required to incur certain capital expenditures over the next several years for equipment to control air emissions as a condition to maintaining or obtaining permits and approvals. Alternatively, we may be required to restrict or limit the amount of LNG we produce or ship in order to obtain or maintain a permit. We do not believe, however, that our operations, or the construction and operations of our Liquefaction Facilities, will be materially and adversely affected by any such requirements.</w:t>
      </w:r>
    </w:p>
    <w:p>
      <w:pPr>
        <w:spacing w:after="0" w:line="69" w:lineRule="exact"/>
        <w:rPr>
          <w:sz w:val="20"/>
          <w:szCs w:val="20"/>
          <w:color w:val="auto"/>
        </w:rPr>
      </w:pPr>
    </w:p>
    <w:p>
      <w:pPr>
        <w:ind w:right="80" w:firstLine="357"/>
        <w:spacing w:after="0" w:line="268" w:lineRule="auto"/>
        <w:rPr>
          <w:sz w:val="20"/>
          <w:szCs w:val="20"/>
          <w:color w:val="auto"/>
        </w:rPr>
      </w:pPr>
      <w:r>
        <w:rPr>
          <w:rFonts w:ascii="Arial" w:cs="Arial" w:eastAsia="Arial" w:hAnsi="Arial"/>
          <w:sz w:val="17"/>
          <w:szCs w:val="17"/>
          <w:color w:val="auto"/>
        </w:rPr>
        <w:t>In 2009, the EPA promulgated and finalized the Mandatory Greenhouse Gas Reporting Rule for multiple sections of the economy. This rule requires mandatory reporting of GHG emissions from stationary fuel combustion sources as well as all fugitive emissions throughout LNG infrastructure. From time to time, Congress has considered proposed legislation directed at reducing GHG emissions, and the EPA has defined GHG emissions thresholds for requiring certain permits for new and existing industrial sources. In addition, many states have already taken regulatory action to monitor and/or reduce emissions of GHGs, primarily through the development of GHG emission inventories or regional GHG cap and trade programs. It is not possible at this time to predict how future regulations or legislation may address GHG emissions and impact our business. However, future regulations and laws could result in increased compliance costs or additional operating restrictions and could have a material adverse effect on our business, financial position, operating results and cash flows.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Coastal Zone Management Act (“CZMA”)</w:t>
      </w:r>
    </w:p>
    <w:p>
      <w:pPr>
        <w:spacing w:after="0" w:line="115" w:lineRule="exact"/>
        <w:rPr>
          <w:sz w:val="20"/>
          <w:szCs w:val="20"/>
          <w:color w:val="auto"/>
        </w:rPr>
      </w:pPr>
    </w:p>
    <w:p>
      <w:pPr>
        <w:ind w:right="140" w:firstLine="357"/>
        <w:spacing w:after="0" w:line="299" w:lineRule="auto"/>
        <w:rPr>
          <w:sz w:val="20"/>
          <w:szCs w:val="20"/>
          <w:color w:val="auto"/>
        </w:rPr>
      </w:pPr>
      <w:r>
        <w:rPr>
          <w:rFonts w:ascii="Arial" w:cs="Arial" w:eastAsia="Arial" w:hAnsi="Arial"/>
          <w:sz w:val="16"/>
          <w:szCs w:val="16"/>
          <w:color w:val="auto"/>
        </w:rPr>
        <w:t>LNG infrastructure may be subject to the review and requirements of the CZMA when facilities are located within the coastal zone. The CZMA is administered by the states (in Florida, via the Florida Coastal Management Program, which is coordinated by the Florida Department of Environmental Protection). This program is implemented to ensure that impacts to coastal areas are consistent with the intent of the CZMA and each state’s respective CZMA-authorized program to manage the coastal areas.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Clean Water Act</w:t>
      </w:r>
    </w:p>
    <w:p>
      <w:pPr>
        <w:spacing w:after="0" w:line="115" w:lineRule="exact"/>
        <w:rPr>
          <w:sz w:val="20"/>
          <w:szCs w:val="20"/>
          <w:color w:val="auto"/>
        </w:rPr>
      </w:pPr>
    </w:p>
    <w:p>
      <w:pPr>
        <w:ind w:right="120" w:firstLine="357"/>
        <w:spacing w:after="0" w:line="294" w:lineRule="auto"/>
        <w:rPr>
          <w:sz w:val="20"/>
          <w:szCs w:val="20"/>
          <w:color w:val="auto"/>
        </w:rPr>
      </w:pPr>
      <w:r>
        <w:rPr>
          <w:rFonts w:ascii="Arial" w:cs="Arial" w:eastAsia="Arial" w:hAnsi="Arial"/>
          <w:sz w:val="16"/>
          <w:szCs w:val="16"/>
          <w:color w:val="auto"/>
        </w:rPr>
        <w:t>Our LNG infrastructure is also subject to the federal CWA and analogous state and local laws. The CWA imposes strict controls on the discharge of pollutants into the waters of the United States, including discharges of wastewater and storm water runoff and fill/discharges into waters of the United States. Permits must be obtained prior to discharging pollutants into state and federal waters and before constructing infrastructure that requires the dredging and filling of waters of the United States. The CWA is administered by the EPA, the U.S. Army Corps of Engineers (“USACE”) and by the states via the applicable state agency.</w:t>
      </w:r>
    </w:p>
    <w:p>
      <w:pPr>
        <w:spacing w:after="0" w:line="54" w:lineRule="exact"/>
        <w:rPr>
          <w:sz w:val="20"/>
          <w:szCs w:val="20"/>
          <w:color w:val="auto"/>
        </w:rPr>
      </w:pPr>
    </w:p>
    <w:p>
      <w:pPr>
        <w:ind w:right="160" w:firstLine="357"/>
        <w:spacing w:after="0" w:line="257" w:lineRule="auto"/>
        <w:rPr>
          <w:sz w:val="20"/>
          <w:szCs w:val="20"/>
          <w:color w:val="auto"/>
        </w:rPr>
      </w:pPr>
      <w:r>
        <w:rPr>
          <w:rFonts w:ascii="Arial" w:cs="Arial" w:eastAsia="Arial" w:hAnsi="Arial"/>
          <w:sz w:val="18"/>
          <w:szCs w:val="18"/>
          <w:color w:val="auto"/>
        </w:rPr>
        <w:t>We are required to comply with numerous other federal, state and local environmental, health and safety laws and regulations in addition to those previously discussed. These additional laws include, for example, the Rivers and Harbors Act, the federal Resource Conservation and Recovery Act and comparable state statutes, the Endangered Species Act, the National Historic Preservation Act and the Emergency Planning and Community Right-to-Know Act.</w:t>
      </w:r>
    </w:p>
    <w:p>
      <w:pPr>
        <w:spacing w:after="0" w:line="79" w:lineRule="exact"/>
        <w:rPr>
          <w:sz w:val="20"/>
          <w:szCs w:val="20"/>
          <w:color w:val="auto"/>
        </w:rPr>
      </w:pPr>
    </w:p>
    <w:p>
      <w:pPr>
        <w:ind w:firstLine="357"/>
        <w:spacing w:after="0" w:line="270" w:lineRule="auto"/>
        <w:rPr>
          <w:sz w:val="20"/>
          <w:szCs w:val="20"/>
          <w:color w:val="auto"/>
        </w:rPr>
      </w:pPr>
      <w:r>
        <w:rPr>
          <w:rFonts w:ascii="Arial" w:cs="Arial" w:eastAsia="Arial" w:hAnsi="Arial"/>
          <w:sz w:val="17"/>
          <w:szCs w:val="17"/>
          <w:color w:val="auto"/>
        </w:rPr>
        <w:t>Moreover, our current operations and future projects may be subject to additional federal permits, orders, approvals and consultations required by other federal agencies under these and other statutes, including the DOE, Advisory Council on Historic Preservation, the USACE, U.S. Department of Commerce, National Marine Fisheries Services, U.S. Department of the Interior, U.S. Fish and Wildlife Service, the EPA and U.S. Department of Homeland Security. In addition, federal permitting processes may trigger the requirements of NEPA, which requires federal agencies to evaluate major agency actions that have the potential to significantly impact the environment. State permitting regimes may require similar consultations with applicable state-level agencies and/or the preparation of a similar assessment of environmental impacts pursuant to state law.</w:t>
      </w:r>
    </w:p>
    <w:p>
      <w:pPr>
        <w:spacing w:after="0" w:line="70" w:lineRule="exact"/>
        <w:rPr>
          <w:sz w:val="20"/>
          <w:szCs w:val="20"/>
          <w:color w:val="auto"/>
        </w:rPr>
      </w:pPr>
    </w:p>
    <w:p>
      <w:pPr>
        <w:ind w:right="100" w:firstLine="357"/>
        <w:spacing w:after="0" w:line="277" w:lineRule="auto"/>
        <w:rPr>
          <w:sz w:val="20"/>
          <w:szCs w:val="20"/>
          <w:color w:val="auto"/>
        </w:rPr>
      </w:pPr>
      <w:r>
        <w:rPr>
          <w:rFonts w:ascii="Arial" w:cs="Arial" w:eastAsia="Arial" w:hAnsi="Arial"/>
          <w:sz w:val="17"/>
          <w:szCs w:val="17"/>
          <w:color w:val="auto"/>
        </w:rPr>
        <w:t>Additional federal permits that may be required to conduct our current operations or pursue future projects include, for example, a USACE Section 404 permit under the CWA and a Section 10 of the Rivers and Harbors Act Permit, a Title V Operating Permit under the CAA, a Prevention of Significant Deterioration Permit under the CAA and, where applicable, Federal Aviation Administration determinations or approvals relating to certain ground construction activities.</w:t>
      </w:r>
    </w:p>
    <w:p>
      <w:pPr>
        <w:spacing w:after="0" w:line="63" w:lineRule="exact"/>
        <w:rPr>
          <w:sz w:val="20"/>
          <w:szCs w:val="20"/>
          <w:color w:val="auto"/>
        </w:rPr>
      </w:pPr>
    </w:p>
    <w:p>
      <w:pPr>
        <w:ind w:right="380" w:firstLine="357"/>
        <w:spacing w:after="0" w:line="274" w:lineRule="auto"/>
        <w:rPr>
          <w:sz w:val="20"/>
          <w:szCs w:val="20"/>
          <w:color w:val="auto"/>
        </w:rPr>
      </w:pPr>
      <w:r>
        <w:rPr>
          <w:rFonts w:ascii="Arial" w:cs="Arial" w:eastAsia="Arial" w:hAnsi="Arial"/>
          <w:sz w:val="18"/>
          <w:szCs w:val="18"/>
          <w:color w:val="auto"/>
        </w:rPr>
        <w:t>Other local laws and regulations, including local zoning laws and fire protection codes, may also affect where and how we operate.</w:t>
      </w:r>
    </w:p>
    <w:p>
      <w:pPr>
        <w:spacing w:after="0" w:line="64" w:lineRule="exact"/>
        <w:rPr>
          <w:sz w:val="20"/>
          <w:szCs w:val="20"/>
          <w:color w:val="auto"/>
        </w:rPr>
      </w:pPr>
    </w:p>
    <w:p>
      <w:pPr>
        <w:ind w:right="200" w:firstLine="357"/>
        <w:spacing w:after="0" w:line="274" w:lineRule="auto"/>
        <w:rPr>
          <w:sz w:val="20"/>
          <w:szCs w:val="20"/>
          <w:color w:val="auto"/>
        </w:rPr>
      </w:pPr>
      <w:r>
        <w:rPr>
          <w:rFonts w:ascii="Arial" w:cs="Arial" w:eastAsia="Arial" w:hAnsi="Arial"/>
          <w:sz w:val="18"/>
          <w:szCs w:val="18"/>
          <w:color w:val="auto"/>
        </w:rPr>
        <w:t>The costs of compliance with these requirements are not expected to have a material adverse effect on our business, financial condition or results of operations.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Regulation in Ireland</w:t>
      </w:r>
    </w:p>
    <w:p>
      <w:pPr>
        <w:spacing w:after="0" w:line="115" w:lineRule="exact"/>
        <w:rPr>
          <w:sz w:val="20"/>
          <w:szCs w:val="20"/>
          <w:color w:val="auto"/>
        </w:rPr>
      </w:pPr>
    </w:p>
    <w:p>
      <w:pPr>
        <w:ind w:right="220" w:firstLine="357"/>
        <w:spacing w:after="0" w:line="267" w:lineRule="auto"/>
        <w:rPr>
          <w:sz w:val="20"/>
          <w:szCs w:val="20"/>
          <w:color w:val="auto"/>
        </w:rPr>
      </w:pPr>
      <w:r>
        <w:rPr>
          <w:rFonts w:ascii="Arial" w:cs="Arial" w:eastAsia="Arial" w:hAnsi="Arial"/>
          <w:sz w:val="17"/>
          <w:szCs w:val="17"/>
          <w:color w:val="auto"/>
        </w:rPr>
        <w:t>LNG deliveries, storage, regasification and use are extensively regulated in Ireland. Ireland regulates these operations at a national and local level through organic legislation and an array of permits. Ireland’s National Planning Board is the primary regulator for planning and construction, while the Irish Environmental Protection Agency issues industrial emissions licenses that regulate environmental and operational permitting. Safety regulation in Ireland is regulated pursuant to the Control of Major Accidents regime, which sets out various safety criteria that the LNG facility must meet. We are in the process of applying for all necessary permits to build and complete the Ireland Terminal. The issuance of many of these permits will be subject to administrative or judicial challenges, including by non-governmental groups that act on behalf of citizens. For example, in September 2018, an Irish non-governmental organization filed a judicial challenge to the extension of a planning permission associated with our Ireland Terminal, which could delay or protract the process for obtaining and implementing this permission. While we believe that the extension was properly issued, it is not clear how Ireland’s High Court will rule on such a challenge, or whether the ruling of the High Court will be subject to any further appeal.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Regulation in Mexico</w:t>
      </w:r>
    </w:p>
    <w:p>
      <w:pPr>
        <w:spacing w:after="0" w:line="115" w:lineRule="exact"/>
        <w:rPr>
          <w:sz w:val="20"/>
          <w:szCs w:val="20"/>
          <w:color w:val="auto"/>
        </w:rPr>
      </w:pPr>
    </w:p>
    <w:p>
      <w:pPr>
        <w:ind w:right="80" w:firstLine="357"/>
        <w:spacing w:after="0" w:line="269" w:lineRule="auto"/>
        <w:rPr>
          <w:sz w:val="20"/>
          <w:szCs w:val="20"/>
          <w:color w:val="auto"/>
        </w:rPr>
      </w:pPr>
      <w:r>
        <w:rPr>
          <w:rFonts w:ascii="Arial" w:cs="Arial" w:eastAsia="Arial" w:hAnsi="Arial"/>
          <w:sz w:val="17"/>
          <w:szCs w:val="17"/>
          <w:color w:val="auto"/>
        </w:rPr>
        <w:t>Mexican law comprehensively regulates all aspects of the receipt, delivery, storage, re-vaporization of LNG as well as the generation and transmission of electricity. Various federal agencies in Mexico regulate these activities, including the Environment, Natural Resources &amp; Fisheries Ministry and the Agency for Safety, Energy &amp; Environment, which issues permits for all activities associated with the use of fossil fuels. State and local agencies also regulate these activities, issuing permits and authorizing the use of property for such purposes. In order to be able to obtain various permits for operations under Mexican law, the project must first complete environmental and social impact analyses according to the requirements of Mexican law. Each such impact analysis is subject to further appeal. Mexican law allows the governmental entities and, in certain cases, individuals to pursue claims against violators of environmental laws or permits issued pursuant to such laws.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U.S. and International Maritime Regulations of LNG Vessels</w:t>
      </w:r>
    </w:p>
    <w:p>
      <w:pPr>
        <w:spacing w:after="0" w:line="115" w:lineRule="exact"/>
        <w:rPr>
          <w:sz w:val="20"/>
          <w:szCs w:val="20"/>
          <w:color w:val="auto"/>
        </w:rPr>
      </w:pPr>
    </w:p>
    <w:p>
      <w:pPr>
        <w:ind w:right="40" w:firstLine="357"/>
        <w:spacing w:after="0" w:line="254" w:lineRule="auto"/>
        <w:rPr>
          <w:sz w:val="20"/>
          <w:szCs w:val="20"/>
          <w:color w:val="auto"/>
        </w:rPr>
      </w:pPr>
      <w:r>
        <w:rPr>
          <w:rFonts w:ascii="Arial" w:cs="Arial" w:eastAsia="Arial" w:hAnsi="Arial"/>
          <w:sz w:val="18"/>
          <w:szCs w:val="18"/>
          <w:color w:val="auto"/>
        </w:rPr>
        <w:t>IMO is the United Nations agency that provides international regulations governing shipping and international maritime trade. The requirements contained in the ISM Code promulgated by the IMO govern the shipping of our LNG cargoes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also describing procedures for responding to emergencies.</w:t>
      </w:r>
    </w:p>
    <w:p>
      <w:pPr>
        <w:spacing w:after="0" w:line="81" w:lineRule="exact"/>
        <w:rPr>
          <w:sz w:val="20"/>
          <w:szCs w:val="20"/>
          <w:color w:val="auto"/>
        </w:rPr>
      </w:pPr>
    </w:p>
    <w:p>
      <w:pPr>
        <w:ind w:firstLine="357"/>
        <w:spacing w:after="0" w:line="286" w:lineRule="auto"/>
        <w:rPr>
          <w:sz w:val="20"/>
          <w:szCs w:val="20"/>
          <w:color w:val="auto"/>
        </w:rPr>
      </w:pPr>
      <w:r>
        <w:rPr>
          <w:rFonts w:ascii="Arial" w:cs="Arial" w:eastAsia="Arial" w:hAnsi="Arial"/>
          <w:sz w:val="16"/>
          <w:szCs w:val="16"/>
          <w:color w:val="auto"/>
        </w:rPr>
        <w:t>Vessels that transport gas, including LNG carriers,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The completely revised and updated IGC Code entered into force on January 1, 2016, with an implementation/application date of July 1, 2016. The amendments were developed following a comprehensive five-year review and are intended to take into account the latest advances in science and technology. Compliance with the IGC Code must be evidenced by a Certificate of Fitness for the Carriage of Liquefied Gases in Bulk. MARPOL regulates air emissions through Annex VI regulations for the Prevention of Air Pollution from Ships (“Annex VI”), entered into force on May 19, 2005. Annex VI sets limits on sulfur oxide and nitrogen oxide emissions from ship exhausts, emissions of volatile compounds from cargo tanks and incineration of specific substances, and prohibits deliberate emissions of ozone depleting substances.</w:t>
      </w:r>
    </w:p>
    <w:p>
      <w:pPr>
        <w:spacing w:after="0" w:line="61" w:lineRule="exact"/>
        <w:rPr>
          <w:sz w:val="20"/>
          <w:szCs w:val="20"/>
          <w:color w:val="auto"/>
        </w:rPr>
      </w:pPr>
    </w:p>
    <w:p>
      <w:pPr>
        <w:ind w:right="60" w:firstLine="357"/>
        <w:spacing w:after="0" w:line="255" w:lineRule="auto"/>
        <w:rPr>
          <w:sz w:val="20"/>
          <w:szCs w:val="20"/>
          <w:color w:val="auto"/>
        </w:rPr>
      </w:pPr>
      <w:r>
        <w:rPr>
          <w:rFonts w:ascii="Arial" w:cs="Arial" w:eastAsia="Arial" w:hAnsi="Arial"/>
          <w:sz w:val="18"/>
          <w:szCs w:val="18"/>
          <w:color w:val="auto"/>
        </w:rPr>
        <w:t>Additionally, more stringent emission standards apply in coastal areas designated as ECAs, such as the U.S. and Canadian coastal areas, which are designated by the Marine Environment Protection Committee. Effective August 1, 2012, certain coastal areas of North America were designated ECAs. Furthermore, as of January 1, 2014, portions of the U.S. Caribbean Sea were designated ECAs. Annex VI Regulation 14, which came into effect on January 1, 2015, set a 0.1% sulfur limit in areas of the Baltic Sea, North Sea, North America, and U.S. Caribbean Sea that are ECAs.</w:t>
      </w:r>
    </w:p>
    <w:p>
      <w:pPr>
        <w:spacing w:after="0" w:line="81" w:lineRule="exact"/>
        <w:rPr>
          <w:sz w:val="20"/>
          <w:szCs w:val="20"/>
          <w:color w:val="auto"/>
        </w:rPr>
      </w:pPr>
    </w:p>
    <w:p>
      <w:pPr>
        <w:ind w:right="80" w:firstLine="357"/>
        <w:spacing w:after="0" w:line="299" w:lineRule="auto"/>
        <w:rPr>
          <w:sz w:val="20"/>
          <w:szCs w:val="20"/>
          <w:color w:val="auto"/>
        </w:rPr>
      </w:pPr>
      <w:r>
        <w:rPr>
          <w:rFonts w:ascii="Arial" w:cs="Arial" w:eastAsia="Arial" w:hAnsi="Arial"/>
          <w:sz w:val="16"/>
          <w:szCs w:val="16"/>
          <w:color w:val="auto"/>
        </w:rPr>
        <w:t>Amended Annex VI also establishes new tiers of stringent nitrogen oxide emissions standards for new marine engines, depending on their date of installation. The North Sea and Baltic Sea have been formally designated as ECAs for nitrogen oxides effective January 1, 2021. U.S. air emissions standards are now equivalent to these amended Annex VI requirements. Additional or new conventions, laws and regulations may be adopted that could require the installation of expensive emission control systems.</w:t>
      </w:r>
    </w:p>
    <w:p>
      <w:pPr>
        <w:spacing w:after="0" w:line="49" w:lineRule="exact"/>
        <w:rPr>
          <w:sz w:val="20"/>
          <w:szCs w:val="20"/>
          <w:color w:val="auto"/>
        </w:rPr>
      </w:pPr>
    </w:p>
    <w:p>
      <w:pPr>
        <w:ind w:right="120" w:firstLine="357"/>
        <w:spacing w:after="0" w:line="257" w:lineRule="auto"/>
        <w:rPr>
          <w:sz w:val="20"/>
          <w:szCs w:val="20"/>
          <w:color w:val="auto"/>
        </w:rPr>
      </w:pPr>
      <w:r>
        <w:rPr>
          <w:rFonts w:ascii="Arial" w:cs="Arial" w:eastAsia="Arial" w:hAnsi="Arial"/>
          <w:sz w:val="18"/>
          <w:szCs w:val="18"/>
          <w:color w:val="auto"/>
        </w:rPr>
        <w:t>We transact with leading vessel providers in the LNG industry and look to them to ensure that each of our chartered vessels is in compliance with applicable international and in-country requirements. Nevertheless, the IMO continues to review and introduce new regulations. It is impossible to predict what additional regulations, if any, may be passed by the IMO and what effect, if any, such regulation may have on our operations.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LNG and Natural Gas Marketing Governmental Regulation</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Commodity Futures Trading Commission</w:t>
      </w:r>
    </w:p>
    <w:p>
      <w:pPr>
        <w:spacing w:after="0" w:line="115" w:lineRule="exact"/>
        <w:rPr>
          <w:sz w:val="20"/>
          <w:szCs w:val="20"/>
          <w:color w:val="auto"/>
        </w:rPr>
      </w:pPr>
    </w:p>
    <w:p>
      <w:pPr>
        <w:ind w:right="140" w:firstLine="357"/>
        <w:spacing w:after="0" w:line="261" w:lineRule="auto"/>
        <w:rPr>
          <w:sz w:val="20"/>
          <w:szCs w:val="20"/>
          <w:color w:val="auto"/>
        </w:rPr>
      </w:pPr>
      <w:r>
        <w:rPr>
          <w:rFonts w:ascii="Arial" w:cs="Arial" w:eastAsia="Arial" w:hAnsi="Arial"/>
          <w:sz w:val="18"/>
          <w:szCs w:val="18"/>
          <w:color w:val="auto"/>
        </w:rPr>
        <w:t>The Dodd-Frank Act provides for federal regulation of the OTC derivatives market and entities, such as us, that participate in that market. The regulatory regime created by the Dodd-Frank Act is designed primarily to (1) regulate certain participants in the swaps markets, including entities falling within the categories of “Swap</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7" w:right="1400"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Dealer” and “Major Swap Participant,” (2) require clearing and exchange trading of certain classes of swaps as designated by the CFTC, (3) increase swap market transparency through robust reporting and recordkeeping requirements, (4) reduce financial risks in the derivatives market by imposing margin or collateral requirements on both cleared and, in certain cases, uncleared swaps, (5) provide the CFTC with expanded authority to establish position limits on certain swaps and futures products as it finds necessary and appropriate, and (6) otherwise enhance the rulemaking and enforcement authority of the CFTC and the SEC regarding the derivatives markets. As required by the Dodd-Frank Act, the CFTC, the SEC and other regulators have been promulgating rules and regulations implementing the regulatory provisions of the Dodd-Frank Act, although neither the CFTC nor the SEC has yet adopted or implemented all of the rules required by the Dodd-Frank Act. In addition, the CFTC and its staff regularly issue rule amendments and guidance, policy statements and letters interpreting or taking no-action positions, including time-limited no action positions, regarding the derivatives provisions of the Dodd-Frank Act and the rules of the CFTC under these provisions.</w:t>
      </w:r>
    </w:p>
    <w:p>
      <w:pPr>
        <w:spacing w:after="0" w:line="61" w:lineRule="exact"/>
        <w:rPr>
          <w:sz w:val="20"/>
          <w:szCs w:val="20"/>
          <w:color w:val="auto"/>
        </w:rPr>
      </w:pPr>
    </w:p>
    <w:p>
      <w:pPr>
        <w:ind w:firstLine="357"/>
        <w:spacing w:after="0" w:line="288" w:lineRule="auto"/>
        <w:rPr>
          <w:sz w:val="20"/>
          <w:szCs w:val="20"/>
          <w:color w:val="auto"/>
        </w:rPr>
      </w:pPr>
      <w:r>
        <w:rPr>
          <w:rFonts w:ascii="Arial" w:cs="Arial" w:eastAsia="Arial" w:hAnsi="Arial"/>
          <w:sz w:val="16"/>
          <w:szCs w:val="16"/>
          <w:color w:val="auto"/>
        </w:rPr>
        <w:t>A provision of the Dodd-Frank Act requires the CFTC, in order to diminish or prevent excessive speculation in commodity markets, to adopt rules, as it finds necessary and appropriate, imposing new position limits on certain futures contracts, options contracts and economically equivalent physical commodity swaps and on OTC swaps that perform a significant price discovery function with respect to certain markets. In that regard, the CFTC has proposed position limits rules that would modify and expand the applicability of position limits on the amounts of certain core futures contracts and economically equivalent futures contracts, options contracts and swaps for or linked to certain physical commodities, including Henry Hub natural gas, that market participants may hold, subject to limited exemptions for certain bona fide hedging and other types of transactions. It is uncertain at this time whether, when and in what form the CFTC’s proposed new position limits rules may become final and effective.</w:t>
      </w:r>
    </w:p>
    <w:p>
      <w:pPr>
        <w:spacing w:after="0" w:line="58" w:lineRule="exact"/>
        <w:rPr>
          <w:sz w:val="20"/>
          <w:szCs w:val="20"/>
          <w:color w:val="auto"/>
        </w:rPr>
      </w:pPr>
    </w:p>
    <w:p>
      <w:pPr>
        <w:ind w:right="20" w:firstLine="357"/>
        <w:spacing w:after="0" w:line="252" w:lineRule="auto"/>
        <w:rPr>
          <w:sz w:val="20"/>
          <w:szCs w:val="20"/>
          <w:color w:val="auto"/>
        </w:rPr>
      </w:pPr>
      <w:r>
        <w:rPr>
          <w:rFonts w:ascii="Arial" w:cs="Arial" w:eastAsia="Arial" w:hAnsi="Arial"/>
          <w:sz w:val="18"/>
          <w:szCs w:val="18"/>
          <w:color w:val="auto"/>
        </w:rPr>
        <w:t>Pursuant to rules adopted by the CFTC, six classes of OTC interest rate and credit default swaps must be cleared through a derivatives clearing organization and executed on an exchange or swap execution facility. The CFTC has not yet proposed to designate any other classes of swaps, including swaps relating to physical commodities, for mandatory clearing, but could do so in the future. Although we expect to qualify for the “end-user exception” from the mandatory clearing and exchange-trading requirements applicable to any swaps that we enter into to hedge our commercial risks, the mandatory clearing and exchange-trading requirements may apply to other market participants, including our counterparties (who may be registered as Swap Dealers), with respect to other swaps, and the application of such rules may change the cost and availability of the swaps that we use for hedging.</w:t>
      </w:r>
    </w:p>
    <w:p>
      <w:pPr>
        <w:spacing w:after="0" w:line="86"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color w:val="auto"/>
        </w:rPr>
        <w:t>As required by provisions of the Dodd-Frank Act, the CFTC and federal banking regulators have adopted rules to require Swap Dealers and Major Swap Participants, including those that are regulated financial institutions, to collect initial and variation margin with respect to uncleared swaps from their counterparties that are financial end-users, registered Swap Dealers or Major Swap Participants. These rules do not require collection of margin from commercial end-users who qualify for the end-user exception from the mandatory clearing requirement or certain other counterparties. We expect to qualify as such a commercial end-user with respect to the swaps that we enter into to hedge our commercial risks. However, the Dodd-Frank Act’s swaps regulatory provisions and the related rules may also adversely affect our existing derivative contracts and restrict our ability to monetize such contracts, cause us to restructure certain contracts, reduce the availability of derivatives to protect against risks or to optimize assets, adversely affect our ability to execute our hedging strategies and impact the liquidity of certain swaps products, all of which could increase our business costs.</w:t>
      </w:r>
    </w:p>
    <w:p>
      <w:pPr>
        <w:spacing w:after="0" w:line="71" w:lineRule="exact"/>
        <w:rPr>
          <w:sz w:val="20"/>
          <w:szCs w:val="20"/>
          <w:color w:val="auto"/>
        </w:rPr>
      </w:pPr>
    </w:p>
    <w:p>
      <w:pPr>
        <w:ind w:right="140" w:firstLine="357"/>
        <w:spacing w:after="0" w:line="270" w:lineRule="auto"/>
        <w:rPr>
          <w:sz w:val="20"/>
          <w:szCs w:val="20"/>
          <w:color w:val="auto"/>
        </w:rPr>
      </w:pPr>
      <w:r>
        <w:rPr>
          <w:rFonts w:ascii="Arial" w:cs="Arial" w:eastAsia="Arial" w:hAnsi="Arial"/>
          <w:sz w:val="17"/>
          <w:szCs w:val="17"/>
          <w:color w:val="auto"/>
        </w:rPr>
        <w:t>Under the Commodity Exchange Act as amended by the Dodd-Frank Act, the CFTC is directed generally to prevent manipulation, including by fraudulent or deceptive practices, in two markets: (1) physical commodities traded in interstate commerce, including physical energy and other commodities, as well as (2) financial instruments, such as futures, options and swaps. Pursuant to the Dodd-Frank Act, the CFTC has adopted additional anti-manipulation and anti-disruptive trading practices regulations that prohibit, among other things, manipulative or deceptive schemes in the physical commodities, futures, options and swaps markets. Should we violate these laws and regulations, we could be subject to a CFTC enforcement action and material penalties, possibly resulting in changes in the rates we can charge.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European Market Infrastructure Regulation</w:t>
      </w:r>
    </w:p>
    <w:p>
      <w:pPr>
        <w:spacing w:after="0" w:line="115" w:lineRule="exact"/>
        <w:rPr>
          <w:sz w:val="20"/>
          <w:szCs w:val="20"/>
          <w:color w:val="auto"/>
        </w:rPr>
      </w:pPr>
    </w:p>
    <w:p>
      <w:pPr>
        <w:ind w:right="140" w:firstLine="357"/>
        <w:spacing w:after="0" w:line="274" w:lineRule="auto"/>
        <w:rPr>
          <w:sz w:val="20"/>
          <w:szCs w:val="20"/>
          <w:color w:val="auto"/>
        </w:rPr>
      </w:pPr>
      <w:r>
        <w:rPr>
          <w:rFonts w:ascii="Arial" w:cs="Arial" w:eastAsia="Arial" w:hAnsi="Arial"/>
          <w:sz w:val="18"/>
          <w:szCs w:val="18"/>
          <w:color w:val="auto"/>
        </w:rPr>
        <w:t>EMIR is a European Union (“EU”) regulation designed to increase the stability of the OTC derivative markets throughout the EU member states. EMIR regulates OTC derivatives, central counterparties and trade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repositories and imposes requirements for certain market participants with respect to derivatives reporting, clearing and risk mitigation. In addition, certain market participants are subject to a central counterparty clearing obligation and collateral requirements. All non-cleared derivatives require risk management, including timely confirmations of transactions, portfolio reconciliation, portfolio compression (when there exist 500 or more OTC derivatives outstanding with a counterparty) and dispute resolution. In addition, standards for the imposition of margin requirements under EMIR were proposed in June 2015, under which the exchange of initial and variation margin in respect of certain non-cleared derivatives would be required, including from non-financial counterparties that are above the EMIR clearing threshold for the class of derivatives involved. Further, for non-cleared derivatives, outstanding contracts must be marked to market value daily or marked to model where conditions necessitate. Other EMIR risk management requirements for non-cleared derivatives are being considered, but those requirements have yet to be finalized.</w:t>
      </w:r>
    </w:p>
    <w:p>
      <w:pPr>
        <w:spacing w:after="0" w:line="71" w:lineRule="exact"/>
        <w:rPr>
          <w:sz w:val="20"/>
          <w:szCs w:val="20"/>
          <w:color w:val="auto"/>
        </w:rPr>
      </w:pPr>
    </w:p>
    <w:p>
      <w:pPr>
        <w:ind w:right="100" w:firstLine="357"/>
        <w:spacing w:after="0" w:line="261" w:lineRule="auto"/>
        <w:rPr>
          <w:sz w:val="20"/>
          <w:szCs w:val="20"/>
          <w:color w:val="auto"/>
        </w:rPr>
      </w:pPr>
      <w:r>
        <w:rPr>
          <w:rFonts w:ascii="Arial" w:cs="Arial" w:eastAsia="Arial" w:hAnsi="Arial"/>
          <w:sz w:val="18"/>
          <w:szCs w:val="18"/>
          <w:color w:val="auto"/>
        </w:rPr>
        <w:t>Under EMIR, covered entities must report all derivatives concluded and any modification or termination of a derivative to a registered or recognized trade repository within one business day of the transaction. Records related to derivatives must be retained for at least five years following termination.</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Regulation on Wholesale Energy Market Integrity and Transparency</w:t>
      </w:r>
    </w:p>
    <w:p>
      <w:pPr>
        <w:spacing w:after="0" w:line="115" w:lineRule="exact"/>
        <w:rPr>
          <w:sz w:val="20"/>
          <w:szCs w:val="20"/>
          <w:color w:val="auto"/>
        </w:rPr>
      </w:pPr>
    </w:p>
    <w:p>
      <w:pPr>
        <w:ind w:right="80" w:firstLine="357"/>
        <w:spacing w:after="0" w:line="286" w:lineRule="auto"/>
        <w:rPr>
          <w:sz w:val="20"/>
          <w:szCs w:val="20"/>
          <w:color w:val="auto"/>
        </w:rPr>
      </w:pPr>
      <w:r>
        <w:rPr>
          <w:rFonts w:ascii="Arial" w:cs="Arial" w:eastAsia="Arial" w:hAnsi="Arial"/>
          <w:sz w:val="16"/>
          <w:szCs w:val="16"/>
          <w:color w:val="auto"/>
        </w:rPr>
        <w:t>REMIT is an EU regulation that prohibits market manipulation and insider trading in European wholesale energy markets and imposes various obligations on participants in these markets. REMIT requires persons who enter into transactions, including the placing of orders to trade, in one or more wholesale energy markets in the EU to notify the applicable national regulatory authority (“NRA”) of suspected breaches and implement procedures to identify breaches. All market participants, such as us, must disclose inside information and cannot use inside information to buy or sell wholesale energy products for their own account or on behalf of a third party, directly or indirectly, induce others to buy or sell wholesale energy products based on inside information, or disclose such inside information to any other person except in the normal course of employment. Market participants must also register with the relevant NRA (the Office of Gas and Electricity Markets is the NRA in the United Kingdom) and provide a record of wholesale energy market transactions to the European Agency for the Cooperation of Energy Regulators (“ACER”) and information on capacity and utilization for production, storage, consumption or transmission.</w:t>
      </w:r>
    </w:p>
    <w:p>
      <w:pPr>
        <w:spacing w:after="0" w:line="61" w:lineRule="exact"/>
        <w:rPr>
          <w:sz w:val="20"/>
          <w:szCs w:val="20"/>
          <w:color w:val="auto"/>
        </w:rPr>
      </w:pPr>
    </w:p>
    <w:p>
      <w:pPr>
        <w:ind w:right="20" w:firstLine="357"/>
        <w:spacing w:after="0" w:line="271" w:lineRule="auto"/>
        <w:rPr>
          <w:sz w:val="20"/>
          <w:szCs w:val="20"/>
          <w:color w:val="auto"/>
        </w:rPr>
      </w:pPr>
      <w:r>
        <w:rPr>
          <w:rFonts w:ascii="Arial" w:cs="Arial" w:eastAsia="Arial" w:hAnsi="Arial"/>
          <w:sz w:val="17"/>
          <w:szCs w:val="17"/>
          <w:color w:val="auto"/>
        </w:rPr>
        <w:t>Market participants and third parties acting on their behalf are required to report transactions in wholesale energy contracts admitted to trading at organized market places and fundamental data from the European Network of Transmission System Operators for Electricity central information transparency platforms to ACER. Additional records of transactions and fundamental data with respect to the remaining wholesale energy contracts (OTC standard and non-standard supply contracts and transportation contracts) and reportable fundamental data from transmission system operators, storage system operators and LNG system operators had to be provided to ACER as of April 7, 2016.</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Markets in Financial Instruments Directive and Regulation (“MiFID II”)</w:t>
      </w:r>
    </w:p>
    <w:p>
      <w:pPr>
        <w:spacing w:after="0" w:line="115"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MiFID II refers to an EU directive and regulation (together with supplementary delegated acts) that came into effect on January 3, 2018. Under the current regulatory regime, set out in the Markets in Financial Instruments Directive (“MiFID”), we are exempt from needing authorization of any commodity derivative trading activities. MiFID II will narrow the scope of exemptions currently available under MiFID and broaden the directive’s application to the trading of MiFID commodity derivatives that can be physically settled and are traded on an organized trading facility, in addition to those that are traded on regulated markets or multilateral trading facilities.</w:t>
      </w:r>
    </w:p>
    <w:p>
      <w:pPr>
        <w:spacing w:after="0" w:line="81" w:lineRule="exact"/>
        <w:rPr>
          <w:sz w:val="20"/>
          <w:szCs w:val="20"/>
          <w:color w:val="auto"/>
        </w:rPr>
      </w:pPr>
    </w:p>
    <w:p>
      <w:pPr>
        <w:ind w:right="20" w:firstLine="357"/>
        <w:spacing w:after="0" w:line="269" w:lineRule="auto"/>
        <w:rPr>
          <w:sz w:val="20"/>
          <w:szCs w:val="20"/>
          <w:color w:val="auto"/>
        </w:rPr>
      </w:pPr>
      <w:r>
        <w:rPr>
          <w:rFonts w:ascii="Arial" w:cs="Arial" w:eastAsia="Arial" w:hAnsi="Arial"/>
          <w:sz w:val="17"/>
          <w:szCs w:val="17"/>
          <w:color w:val="auto"/>
        </w:rPr>
        <w:t>To the extent that we trade on our own account in MiFID commodity derivatives after MiFID II comes into force, we expect to be able to do so without requiring (i) authorization from any competent authority in the European Union or (ii) (if and when available) registration with the European Securities and Markets Authority (“ESMA”) as a third country firm by relying, if needed by the relevant licensing laws of the EU jurisdictions in which our counterparties are based, on the “ancillary activity” exemption under MiFID II on the basis that (1) such activity is ancillary to our main business, when considered on a group basis, and that main business is not the provision of investment services or market making in relation to MiFID commodity derivatives; (2) we do not apply a high-frequency algorithmic trading technique; and (3) (if required to do so) we notify the relevant competent authority on an annual basis that we are relying on this exemption and, upon request, report the basis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upon which we fall within the exemption. If, however, (x) no general exemption is available to us in the relevant EU jurisdiction in which any of our counterparties are based, (y) we are unable to meet the ancillary activity exemption, and (z) no other MiFID II exemption is available to us, we will need to become either authorized by the appropriate EU competent authority or (if applicable) register with ESMA as a third country firm in order to trade on our own account in MiFID commodity derivatives. Authorization by an EU competent authority would require our compliance with a variety of prudential and conduct of business rules.</w:t>
      </w:r>
    </w:p>
    <w:p>
      <w:pPr>
        <w:spacing w:after="0" w:line="54"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color w:val="auto"/>
        </w:rPr>
        <w:t>Further, if we were to become authorized under MiFID II, we would be deemed to be a financial counterparty (instead of a non-financial counterparty that is not subject to the EMIR clearing obligation) for the purpose of EMIR. This may require us to clear relevant OTC derivative contracts through a central counterparty and subject us to additional reporting obligations and risk mitigation requirements under EMIR, including collateral exchange and marking transactions either to market or to an approved model.</w:t>
      </w:r>
    </w:p>
    <w:p>
      <w:pPr>
        <w:spacing w:after="0" w:line="81" w:lineRule="exact"/>
        <w:rPr>
          <w:sz w:val="20"/>
          <w:szCs w:val="20"/>
          <w:color w:val="auto"/>
        </w:rPr>
      </w:pPr>
    </w:p>
    <w:p>
      <w:pPr>
        <w:ind w:right="180" w:firstLine="357"/>
        <w:spacing w:after="0" w:line="261" w:lineRule="auto"/>
        <w:rPr>
          <w:sz w:val="20"/>
          <w:szCs w:val="20"/>
          <w:color w:val="auto"/>
        </w:rPr>
      </w:pPr>
      <w:r>
        <w:rPr>
          <w:rFonts w:ascii="Arial" w:cs="Arial" w:eastAsia="Arial" w:hAnsi="Arial"/>
          <w:sz w:val="18"/>
          <w:szCs w:val="18"/>
          <w:color w:val="auto"/>
        </w:rPr>
        <w:t>Irrespective of whether we are required to be authorized or registered under MiFID II we will be directly and indirectly impacted by MiFID II’s commodity derivatives position limits and position reporting requirements which include powers given to EU competent authorities to require persons to reduce their commodity derivatives positions.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Market Abuse Regulation (“MAR”)</w:t>
      </w:r>
    </w:p>
    <w:p>
      <w:pPr>
        <w:spacing w:after="0" w:line="115" w:lineRule="exact"/>
        <w:rPr>
          <w:sz w:val="20"/>
          <w:szCs w:val="20"/>
          <w:color w:val="auto"/>
        </w:rPr>
      </w:pPr>
    </w:p>
    <w:p>
      <w:pPr>
        <w:ind w:right="120" w:firstLine="357"/>
        <w:spacing w:after="0" w:line="264" w:lineRule="auto"/>
        <w:rPr>
          <w:sz w:val="20"/>
          <w:szCs w:val="20"/>
          <w:color w:val="auto"/>
        </w:rPr>
      </w:pPr>
      <w:r>
        <w:rPr>
          <w:rFonts w:ascii="Arial" w:cs="Arial" w:eastAsia="Arial" w:hAnsi="Arial"/>
          <w:sz w:val="16"/>
          <w:szCs w:val="16"/>
          <w:color w:val="auto"/>
        </w:rPr>
        <w:t>MAR, which came into effect on July 3, 2016, updated and strengthened the previous EU market abuse framework by extending its scope to new markets and by introducing new requirements. MAR’s scope was extended to MiFID financial instruments traded on an EU multilateral trading facility and (with effect from MiFID II implementation on January 3, 2018) on an EU organized trading facility as well as other financial instruments the price or value of which depends on, or has an effect on the price or value of financial instruments. The previous EU market abuse framework applied only to financial instruments admitted to trading on formally designated EU regulated markets and their related financial instruments. Further, MAR extends the EU market abuse framework to include behavior in relation to certain EU emission allowances and to certain spot commodity contracts. MAR effectively prohibits market abuse concerning relevant EU securities, derivatives, emission allowance products and certain spot commodity markets. This includes (i) the prohibition of trading in MiFID financial instruments on the basis of inside information,</w:t>
      </w:r>
    </w:p>
    <w:p>
      <w:pPr>
        <w:spacing w:after="0" w:line="6" w:lineRule="exact"/>
        <w:rPr>
          <w:sz w:val="20"/>
          <w:szCs w:val="20"/>
          <w:color w:val="auto"/>
        </w:rPr>
      </w:pPr>
    </w:p>
    <w:p>
      <w:pPr>
        <w:ind w:right="400" w:firstLine="5"/>
        <w:spacing w:after="0" w:line="258" w:lineRule="auto"/>
        <w:tabs>
          <w:tab w:leader="none" w:pos="26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improper disclosure of inside information relating to MiFID financial instruments, emission allowances or certain spot commodity contracts and (iii) the manipulation of prices of MiFID financial instruments, certain auctioned emission allowance products and certain spot commodity contracts using a number of prohibited behaviors or techniques.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Local Partners</w:t>
      </w:r>
    </w:p>
    <w:p>
      <w:pPr>
        <w:spacing w:after="0" w:line="106" w:lineRule="exact"/>
        <w:rPr>
          <w:sz w:val="20"/>
          <w:szCs w:val="20"/>
          <w:color w:val="auto"/>
        </w:rPr>
      </w:pPr>
    </w:p>
    <w:p>
      <w:pPr>
        <w:ind w:right="140" w:firstLine="357"/>
        <w:spacing w:after="0" w:line="229" w:lineRule="auto"/>
        <w:rPr>
          <w:sz w:val="20"/>
          <w:szCs w:val="20"/>
          <w:color w:val="auto"/>
        </w:rPr>
      </w:pPr>
      <w:r>
        <w:rPr>
          <w:rFonts w:ascii="Arial" w:cs="Arial" w:eastAsia="Arial" w:hAnsi="Arial"/>
          <w:sz w:val="18"/>
          <w:szCs w:val="18"/>
          <w:color w:val="auto"/>
        </w:rPr>
        <w:t>One of our subsidiaries, Atlantic Distribution Holdings SRL, has entered into a partnership framework agreement, dated as of August 23, 2017 (the “PFA”), with DevTech Environment Limited (“DevTech”). We have partnered with DevTech to pursue strategic investment opportunities related to energy, transportation and infrastructure projects in Jamaica with a total projected cost of development, construction or acquisition of no more than $5 million per project.</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terms of the PFA, when we make an investment related to services provided by DevTech, DevTech will receive</w:t>
      </w:r>
    </w:p>
    <w:p>
      <w:pPr>
        <w:spacing w:after="0" w:line="20" w:lineRule="exact"/>
        <w:rPr>
          <w:sz w:val="20"/>
          <w:szCs w:val="20"/>
          <w:color w:val="auto"/>
        </w:rPr>
      </w:pPr>
    </w:p>
    <w:p>
      <w:pPr>
        <w:jc w:val="both"/>
        <w:ind w:right="100"/>
        <w:spacing w:after="0" w:line="227" w:lineRule="auto"/>
        <w:rPr>
          <w:sz w:val="20"/>
          <w:szCs w:val="20"/>
          <w:color w:val="auto"/>
        </w:rPr>
      </w:pPr>
      <w:r>
        <w:rPr>
          <w:rFonts w:ascii="Arial" w:cs="Arial" w:eastAsia="Arial" w:hAnsi="Arial"/>
          <w:sz w:val="18"/>
          <w:szCs w:val="18"/>
          <w:color w:val="auto"/>
        </w:rPr>
        <w:t>10% of the equity capital in the new investment in exchange for a capital contribution in that proportion. In addition, DevTech will receive profits interests entitling DevTech to 5% of all future distributions once the parties have received a return on the investment equal to their capital contributions.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06" w:lineRule="exact"/>
        <w:rPr>
          <w:sz w:val="20"/>
          <w:szCs w:val="20"/>
          <w:color w:val="auto"/>
        </w:rPr>
      </w:pPr>
    </w:p>
    <w:p>
      <w:pPr>
        <w:ind w:right="180" w:firstLine="357"/>
        <w:spacing w:after="0" w:line="243" w:lineRule="auto"/>
        <w:rPr>
          <w:sz w:val="20"/>
          <w:szCs w:val="20"/>
          <w:color w:val="auto"/>
        </w:rPr>
      </w:pPr>
      <w:r>
        <w:rPr>
          <w:rFonts w:ascii="Arial" w:cs="Arial" w:eastAsia="Arial" w:hAnsi="Arial"/>
          <w:sz w:val="18"/>
          <w:szCs w:val="18"/>
          <w:color w:val="auto"/>
        </w:rPr>
        <w:t>Because of our limited operating history and stage of development, a limited number of customers currently represent a large percentage of our income. During 2017, JPS accounted for more than 10% of our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6" w:lineRule="exact"/>
        <w:rPr>
          <w:sz w:val="20"/>
          <w:szCs w:val="20"/>
          <w:color w:val="auto"/>
        </w:rPr>
      </w:pPr>
    </w:p>
    <w:p>
      <w:pPr>
        <w:jc w:val="both"/>
        <w:ind w:right="460" w:firstLine="357"/>
        <w:spacing w:after="0" w:line="244" w:lineRule="auto"/>
        <w:rPr>
          <w:sz w:val="20"/>
          <w:szCs w:val="20"/>
          <w:color w:val="auto"/>
        </w:rPr>
      </w:pPr>
      <w:r>
        <w:rPr>
          <w:rFonts w:ascii="Arial" w:cs="Arial" w:eastAsia="Arial" w:hAnsi="Arial"/>
          <w:sz w:val="17"/>
          <w:szCs w:val="17"/>
          <w:color w:val="auto"/>
        </w:rPr>
        <w:t>Activity in the Caribbean is often lower during the North Atlantic hurricane season of June through November, although following a hurricane, activity may decrease as there may be business interruptions as a result of damage or destruction to our facilities or the countries in which we operate. Due to these seasonal fluctuations, results of operations for individual quarterly periods may not be indicative of the results that may be realized on an annual basis.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w:t>
      </w:r>
    </w:p>
    <w:p>
      <w:pPr>
        <w:spacing w:after="0" w:line="119" w:lineRule="exact"/>
        <w:rPr>
          <w:sz w:val="20"/>
          <w:szCs w:val="20"/>
          <w:color w:val="auto"/>
        </w:rPr>
      </w:pPr>
    </w:p>
    <w:p>
      <w:pPr>
        <w:ind w:right="120" w:firstLine="357"/>
        <w:spacing w:after="0" w:line="257" w:lineRule="auto"/>
        <w:rPr>
          <w:sz w:val="20"/>
          <w:szCs w:val="20"/>
          <w:color w:val="auto"/>
        </w:rPr>
      </w:pPr>
      <w:r>
        <w:rPr>
          <w:rFonts w:ascii="Arial" w:cs="Arial" w:eastAsia="Arial" w:hAnsi="Arial"/>
          <w:sz w:val="17"/>
          <w:szCs w:val="17"/>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related to property, equipment, automobile, general liability, and the portion of workers’ compensation not covered under a governmental program and are in the process of obtaining environmental liability insurance.</w:t>
      </w:r>
    </w:p>
    <w:p>
      <w:pPr>
        <w:spacing w:after="0" w:line="67" w:lineRule="exact"/>
        <w:rPr>
          <w:sz w:val="20"/>
          <w:szCs w:val="20"/>
          <w:color w:val="auto"/>
        </w:rPr>
      </w:pPr>
    </w:p>
    <w:p>
      <w:pPr>
        <w:jc w:val="both"/>
        <w:ind w:firstLine="357"/>
        <w:spacing w:after="0" w:line="246" w:lineRule="auto"/>
        <w:rPr>
          <w:sz w:val="20"/>
          <w:szCs w:val="20"/>
          <w:color w:val="auto"/>
        </w:rPr>
      </w:pPr>
      <w:r>
        <w:rPr>
          <w:rFonts w:ascii="Arial" w:cs="Arial" w:eastAsia="Arial" w:hAnsi="Arial"/>
          <w:sz w:val="18"/>
          <w:szCs w:val="18"/>
          <w:color w:val="auto"/>
        </w:rPr>
        <w:t>We maintain risk property insurance, including windstorm and flood, related to the operation of the Miami Facility and builders risk insurance at the Montego Bay Terminal. We also maintain pollution liability insurance in the U.S. and other policies in the U.S. and outside of the U.S. customary for our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19" w:lineRule="exact"/>
        <w:rPr>
          <w:sz w:val="20"/>
          <w:szCs w:val="20"/>
          <w:color w:val="auto"/>
        </w:rPr>
      </w:pPr>
    </w:p>
    <w:p>
      <w:pPr>
        <w:ind w:right="120" w:firstLine="357"/>
        <w:spacing w:after="0" w:line="267" w:lineRule="auto"/>
        <w:rPr>
          <w:sz w:val="20"/>
          <w:szCs w:val="20"/>
          <w:color w:val="auto"/>
        </w:rPr>
      </w:pPr>
      <w:r>
        <w:rPr>
          <w:rFonts w:ascii="Arial" w:cs="Arial" w:eastAsia="Arial" w:hAnsi="Arial"/>
          <w:sz w:val="17"/>
          <w:szCs w:val="17"/>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had 147 full-time employees as of September 30, 2018.</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New Fortress Energy LLC</w:t>
      </w:r>
    </w:p>
    <w:p>
      <w:pPr>
        <w:spacing w:after="0" w:line="119" w:lineRule="exact"/>
        <w:rPr>
          <w:sz w:val="20"/>
          <w:szCs w:val="20"/>
          <w:color w:val="auto"/>
        </w:rPr>
      </w:pPr>
    </w:p>
    <w:p>
      <w:pPr>
        <w:ind w:right="120" w:firstLine="357"/>
        <w:spacing w:after="0" w:line="291" w:lineRule="auto"/>
        <w:rPr>
          <w:sz w:val="20"/>
          <w:szCs w:val="20"/>
          <w:color w:val="auto"/>
        </w:rPr>
      </w:pPr>
      <w:r>
        <w:rPr>
          <w:rFonts w:ascii="Arial" w:cs="Arial" w:eastAsia="Arial" w:hAnsi="Arial"/>
          <w:sz w:val="16"/>
          <w:szCs w:val="16"/>
          <w:color w:val="auto"/>
        </w:rPr>
        <w:t>Upon consummation of this offering our operating agreement will provide that our board of directors shall consist of not less than three and not more than nine directors as the board of directors may from time to time determine. Our board of directors currently consists of two directors. Our board of directors will be divided into three classes that are, as nearly as possible, of equal size. Each class of directors will be elected for a three-year term of office, but the terms are staggered so that the term of only one class of directors expires at each annual general meeting. The initial terms of the Class I, Class II and Class III directors will expire in 2020, 2021 and 2022, respectively. All officers serve at the discretion of the board of directors.</w:t>
      </w:r>
    </w:p>
    <w:p>
      <w:pPr>
        <w:spacing w:after="0" w:line="57" w:lineRule="exact"/>
        <w:rPr>
          <w:sz w:val="20"/>
          <w:szCs w:val="20"/>
          <w:color w:val="auto"/>
        </w:rPr>
      </w:pPr>
    </w:p>
    <w:p>
      <w:pPr>
        <w:ind w:right="80" w:firstLine="357"/>
        <w:spacing w:after="0" w:line="261" w:lineRule="auto"/>
        <w:rPr>
          <w:sz w:val="20"/>
          <w:szCs w:val="20"/>
          <w:color w:val="auto"/>
        </w:rPr>
      </w:pPr>
      <w:r>
        <w:rPr>
          <w:rFonts w:ascii="Arial" w:cs="Arial" w:eastAsia="Arial" w:hAnsi="Arial"/>
          <w:sz w:val="18"/>
          <w:szCs w:val="18"/>
          <w:color w:val="auto"/>
        </w:rPr>
        <w:t>Upon consummation of this offering, we will have eight directors. Our board of directors determined that Ms. Wanner and Messrs. Griffin, Mack, Wilkinson, Grain and Catterall qualify as independent directors under the corporate governance standards of NASDAQ.</w:t>
      </w:r>
    </w:p>
    <w:p>
      <w:pPr>
        <w:spacing w:after="0" w:line="76" w:lineRule="exact"/>
        <w:rPr>
          <w:sz w:val="20"/>
          <w:szCs w:val="20"/>
          <w:color w:val="auto"/>
        </w:rPr>
      </w:pPr>
    </w:p>
    <w:p>
      <w:pPr>
        <w:ind w:right="40" w:firstLine="357"/>
        <w:spacing w:after="0" w:line="255" w:lineRule="auto"/>
        <w:rPr>
          <w:sz w:val="20"/>
          <w:szCs w:val="20"/>
          <w:color w:val="auto"/>
        </w:rPr>
      </w:pPr>
      <w:r>
        <w:rPr>
          <w:rFonts w:ascii="Arial" w:cs="Arial" w:eastAsia="Arial" w:hAnsi="Arial"/>
          <w:sz w:val="18"/>
          <w:szCs w:val="18"/>
          <w:color w:val="auto"/>
        </w:rPr>
        <w:t>Our operating agreement does not provide for cumulative voting in the election of directors, which means that the holders of a majority of our issued and outstanding voting shares can elect all of the directors standing for election, and the holders of the remaining shares will not be able to elect any directors. New Fortress Energy Holdings’ beneficial ownership of greater than 50% of our voting shares means New Fortress Energy Holdings will be able to control matters requiring shareholder approval, which includes the election of directors.</w:t>
      </w:r>
    </w:p>
    <w:p>
      <w:pPr>
        <w:spacing w:after="0" w:line="81" w:lineRule="exact"/>
        <w:rPr>
          <w:sz w:val="20"/>
          <w:szCs w:val="20"/>
          <w:color w:val="auto"/>
        </w:rPr>
      </w:pPr>
    </w:p>
    <w:p>
      <w:pPr>
        <w:ind w:right="440" w:firstLine="357"/>
        <w:spacing w:after="0" w:line="309" w:lineRule="auto"/>
        <w:rPr>
          <w:sz w:val="20"/>
          <w:szCs w:val="20"/>
          <w:color w:val="auto"/>
        </w:rPr>
      </w:pPr>
      <w:r>
        <w:rPr>
          <w:rFonts w:ascii="Arial" w:cs="Arial" w:eastAsia="Arial" w:hAnsi="Arial"/>
          <w:sz w:val="16"/>
          <w:szCs w:val="16"/>
          <w:color w:val="auto"/>
        </w:rPr>
        <w:t>In evaluating director candidates, our board of directors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19" w:lineRule="exact"/>
        <w:rPr>
          <w:sz w:val="20"/>
          <w:szCs w:val="20"/>
          <w:color w:val="auto"/>
        </w:rPr>
      </w:pPr>
    </w:p>
    <w:p>
      <w:pPr>
        <w:ind w:right="40" w:firstLine="357"/>
        <w:spacing w:after="0" w:line="255" w:lineRule="auto"/>
        <w:rPr>
          <w:sz w:val="20"/>
          <w:szCs w:val="20"/>
          <w:color w:val="auto"/>
        </w:rPr>
      </w:pPr>
      <w:r>
        <w:rPr>
          <w:rFonts w:ascii="Arial" w:cs="Arial" w:eastAsia="Arial" w:hAnsi="Arial"/>
          <w:sz w:val="18"/>
          <w:szCs w:val="18"/>
          <w:color w:val="auto"/>
        </w:rPr>
        <w:t>The following table shows information for our executive officers and directors upon the consummation of this offering. Directors hold office until their successors have been elected or qualified or until the earlier of their death, resignation, removal or disqualification. Executive officers serve at the discretion of the board. There are no family relationships among any of our directors or executive officers. Some of our directors and our executive officers also serve as executive officers of New Fortress Energy Holdings.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80" w:type="dxa"/>
            <w:vAlign w:val="bottom"/>
          </w:tcPr>
          <w:p>
            <w:pPr>
              <w:spacing w:after="0"/>
              <w:rPr>
                <w:sz w:val="15"/>
                <w:szCs w:val="15"/>
                <w:color w:val="auto"/>
              </w:rPr>
            </w:pPr>
          </w:p>
        </w:tc>
        <w:tc>
          <w:tcPr>
            <w:tcW w:w="502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5"/>
                <w:szCs w:val="15"/>
                <w:color w:val="auto"/>
              </w:rPr>
            </w:pPr>
          </w:p>
        </w:tc>
      </w:tr>
      <w:tr>
        <w:trPr>
          <w:trHeight w:val="241"/>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Wesley R. Edens</w:t>
            </w:r>
          </w:p>
        </w:tc>
        <w:tc>
          <w:tcPr>
            <w:tcW w:w="86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89"/>
              </w:rPr>
              <w:t>57</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 Chairman</w:t>
            </w:r>
          </w:p>
        </w:tc>
      </w:tr>
      <w:tr>
        <w:trPr>
          <w:trHeight w:val="235"/>
        </w:trPr>
        <w:tc>
          <w:tcPr>
            <w:tcW w:w="3340" w:type="dxa"/>
            <w:vAlign w:val="bottom"/>
          </w:tcPr>
          <w:p>
            <w:pPr>
              <w:spacing w:after="0"/>
              <w:rPr>
                <w:sz w:val="20"/>
                <w:szCs w:val="20"/>
                <w:color w:val="auto"/>
              </w:rPr>
            </w:pPr>
            <w:r>
              <w:rPr>
                <w:rFonts w:ascii="Arial" w:cs="Arial" w:eastAsia="Arial" w:hAnsi="Arial"/>
                <w:sz w:val="18"/>
                <w:szCs w:val="18"/>
                <w:color w:val="auto"/>
              </w:rPr>
              <w:t>Christopher S. Guinta</w:t>
            </w:r>
          </w:p>
        </w:tc>
        <w:tc>
          <w:tcPr>
            <w:tcW w:w="8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35</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248"/>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Michael J. Utsler</w:t>
            </w:r>
          </w:p>
        </w:tc>
        <w:tc>
          <w:tcPr>
            <w:tcW w:w="86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89"/>
              </w:rPr>
              <w:t>62</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r>
      <w:tr>
        <w:trPr>
          <w:trHeight w:val="235"/>
        </w:trPr>
        <w:tc>
          <w:tcPr>
            <w:tcW w:w="3340" w:type="dxa"/>
            <w:vAlign w:val="bottom"/>
          </w:tcPr>
          <w:p>
            <w:pPr>
              <w:spacing w:after="0"/>
              <w:rPr>
                <w:sz w:val="20"/>
                <w:szCs w:val="20"/>
                <w:color w:val="auto"/>
              </w:rPr>
            </w:pPr>
            <w:r>
              <w:rPr>
                <w:rFonts w:ascii="Arial" w:cs="Arial" w:eastAsia="Arial" w:hAnsi="Arial"/>
                <w:sz w:val="18"/>
                <w:szCs w:val="18"/>
                <w:color w:val="auto"/>
              </w:rPr>
              <w:t>Randal A. Nardone</w:t>
            </w:r>
          </w:p>
        </w:tc>
        <w:tc>
          <w:tcPr>
            <w:tcW w:w="8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63</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48"/>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Desmond Iain Catterall</w:t>
            </w:r>
          </w:p>
        </w:tc>
        <w:tc>
          <w:tcPr>
            <w:tcW w:w="86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89"/>
              </w:rPr>
              <w:t>61</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 Nominee</w:t>
            </w:r>
          </w:p>
        </w:tc>
      </w:tr>
      <w:tr>
        <w:trPr>
          <w:trHeight w:val="235"/>
        </w:trPr>
        <w:tc>
          <w:tcPr>
            <w:tcW w:w="3340" w:type="dxa"/>
            <w:vAlign w:val="bottom"/>
          </w:tcPr>
          <w:p>
            <w:pPr>
              <w:spacing w:after="0"/>
              <w:rPr>
                <w:sz w:val="20"/>
                <w:szCs w:val="20"/>
                <w:color w:val="auto"/>
              </w:rPr>
            </w:pPr>
            <w:r>
              <w:rPr>
                <w:rFonts w:ascii="Arial" w:cs="Arial" w:eastAsia="Arial" w:hAnsi="Arial"/>
                <w:sz w:val="18"/>
                <w:szCs w:val="18"/>
                <w:color w:val="auto"/>
              </w:rPr>
              <w:t>David J. Grain</w:t>
            </w:r>
          </w:p>
        </w:tc>
        <w:tc>
          <w:tcPr>
            <w:tcW w:w="8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56</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Director Nominee</w:t>
            </w:r>
          </w:p>
        </w:tc>
      </w:tr>
      <w:tr>
        <w:trPr>
          <w:trHeight w:val="248"/>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 William Griffin</w:t>
            </w:r>
          </w:p>
        </w:tc>
        <w:tc>
          <w:tcPr>
            <w:tcW w:w="86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89"/>
              </w:rPr>
              <w:t>67</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 Nominee</w:t>
            </w:r>
          </w:p>
        </w:tc>
      </w:tr>
      <w:tr>
        <w:trPr>
          <w:trHeight w:val="235"/>
        </w:trPr>
        <w:tc>
          <w:tcPr>
            <w:tcW w:w="3340" w:type="dxa"/>
            <w:vAlign w:val="bottom"/>
          </w:tcPr>
          <w:p>
            <w:pPr>
              <w:spacing w:after="0"/>
              <w:rPr>
                <w:sz w:val="20"/>
                <w:szCs w:val="20"/>
                <w:color w:val="auto"/>
              </w:rPr>
            </w:pPr>
            <w:r>
              <w:rPr>
                <w:rFonts w:ascii="Arial" w:cs="Arial" w:eastAsia="Arial" w:hAnsi="Arial"/>
                <w:sz w:val="18"/>
                <w:szCs w:val="18"/>
                <w:color w:val="auto"/>
              </w:rPr>
              <w:t>John J. Mack</w:t>
            </w:r>
          </w:p>
        </w:tc>
        <w:tc>
          <w:tcPr>
            <w:tcW w:w="8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73</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Director Nominee</w:t>
            </w:r>
          </w:p>
        </w:tc>
      </w:tr>
      <w:tr>
        <w:trPr>
          <w:trHeight w:val="248"/>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Katherine E. Wanner</w:t>
            </w:r>
          </w:p>
        </w:tc>
        <w:tc>
          <w:tcPr>
            <w:tcW w:w="86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89"/>
              </w:rPr>
              <w:t>51</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 Nominee</w:t>
            </w: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Matthew Wilkinson</w:t>
            </w:r>
          </w:p>
        </w:tc>
        <w:tc>
          <w:tcPr>
            <w:tcW w:w="8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37</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Director Nominee</w:t>
            </w:r>
          </w:p>
        </w:tc>
      </w:tr>
    </w:tbl>
    <w:p>
      <w:pPr>
        <w:spacing w:after="0" w:line="105" w:lineRule="exact"/>
        <w:rPr>
          <w:sz w:val="20"/>
          <w:szCs w:val="20"/>
          <w:color w:val="auto"/>
        </w:rPr>
      </w:pPr>
    </w:p>
    <w:p>
      <w:pPr>
        <w:ind w:right="40" w:firstLine="357"/>
        <w:spacing w:after="0" w:line="289" w:lineRule="auto"/>
        <w:rPr>
          <w:sz w:val="20"/>
          <w:szCs w:val="20"/>
          <w:color w:val="auto"/>
        </w:rPr>
      </w:pPr>
      <w:r>
        <w:rPr>
          <w:rFonts w:ascii="Arial" w:cs="Arial" w:eastAsia="Arial" w:hAnsi="Arial"/>
          <w:sz w:val="16"/>
          <w:szCs w:val="16"/>
          <w:b w:val="1"/>
          <w:bCs w:val="1"/>
          <w:i w:val="1"/>
          <w:iCs w:val="1"/>
          <w:color w:val="auto"/>
        </w:rPr>
        <w:t>Wesley R. Edens</w:t>
      </w:r>
      <w:r>
        <w:rPr>
          <w:rFonts w:ascii="Arial" w:cs="Arial" w:eastAsia="Arial" w:hAnsi="Arial"/>
          <w:sz w:val="16"/>
          <w:szCs w:val="16"/>
          <w:color w:val="auto"/>
        </w:rPr>
        <w:t>— Mr. Edens has been our Chief Executive Officer and the Chairman of our board of directors since August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He is the Co-Chief Executive Officer of Fortress and has been a member of the board of directors of Fortress since November</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2006. Mr. Edens has been a member of the Management Committee of Fortress since co-founding Fortress in May 1998. Fortress Equity Partners (A) LP, a private equity fund managed by an affiliate of Fortress, currently owns a substantial majority of the equity of New Fortress Energy Holdings. Mr. Edens is responsible for oversight of Fortress’ private equity and publicly traded alternative investment businesses. He is the Chairman of the board of directors of New Media Investment Group Inc. (a publisher of print and online media) and Drive Shack Inc. (an owner and operator of golf-related leisure and entertainment businesses). He is a director of Mapeley Limited (a large full service real estate outsourcing and investment company in the United Kingdom).</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Edens previously served on the board of the following publicly traded companies and registered investment companies: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OneMain Holdings, Inc. (a leading consumer finance company) from November 2010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June 2018, Fortress Transportation and Infrastructure Investors LLC (which owns and acquires high quality infrastructure and equipment essential for the transportation of goods and people globally) from May 2015 to May 2016; Intrawest Resorts Holdings Inc. (a resort and adventure company) from January 2014 to July 2017; Gaming and Leisure Properties, Inc. (an owner and operator in the gaming and racing industry) from October 2013 to October 2016; Nationstar Mortgage Holdings Inc. (a residential mortgage loan originator and servicer) from 2012 to July 2016; New Residential Investment Corp. (a real estate investment trust primarily focused on investing in residential real estate related assets) from April 2013 to May 2016; Brookdale Senior Living Inc., from September 2005 to June 2014; GAGFAH S.A. from September 2006 to June 2014; PENN National Gaming Inc. from October 2008 to November 2013; GateHouse Media Inc. from June 2005 to November 2013; Aircastle Ltd. from August 2006 to August 2012; RailAmerica Inc. from November 2006 to October 2012; Eurocastle Investment Ltd., from August 2003 to November 2011; Whistler Blackcomb Holdings Inc., from October 2010 to November 2012; Fortress Registered Investment Trust, from December 1999 until it deregistered with the SEC in September 2011; FRIT PINN LLC, from November 2001 until it deregistered with the SEC in September 2011; and New Senior Investment Group Inc. (a real estate investment trust with a diversified portfolio of senior housing properties located across the United States) from November 2014 to January 2019.</w:t>
      </w:r>
    </w:p>
    <w:p>
      <w:pPr>
        <w:spacing w:after="0" w:line="67" w:lineRule="exact"/>
        <w:rPr>
          <w:sz w:val="20"/>
          <w:szCs w:val="20"/>
          <w:color w:val="auto"/>
        </w:rPr>
      </w:pPr>
    </w:p>
    <w:p>
      <w:pPr>
        <w:ind w:right="260" w:firstLine="357"/>
        <w:spacing w:after="0" w:line="261" w:lineRule="auto"/>
        <w:rPr>
          <w:sz w:val="20"/>
          <w:szCs w:val="20"/>
          <w:color w:val="auto"/>
        </w:rPr>
      </w:pPr>
      <w:r>
        <w:rPr>
          <w:rFonts w:ascii="Arial" w:cs="Arial" w:eastAsia="Arial" w:hAnsi="Arial"/>
          <w:sz w:val="18"/>
          <w:szCs w:val="18"/>
          <w:color w:val="auto"/>
        </w:rPr>
        <w:t>Prior to co-founding Fortress, Mr. Edens was a partner and managing director of BlackRock Financial Management Inc. (an investment management firm), where he headed BlackRock Asset Investors, a private equity fund. In addition, Mr. Edens was formerly a partner and managing director of Lehman Brothers Holdings Inc.</w:t>
      </w:r>
    </w:p>
    <w:p>
      <w:pPr>
        <w:spacing w:after="0" w:line="76" w:lineRule="exact"/>
        <w:rPr>
          <w:sz w:val="20"/>
          <w:szCs w:val="20"/>
          <w:color w:val="auto"/>
        </w:rPr>
      </w:pPr>
    </w:p>
    <w:p>
      <w:pPr>
        <w:ind w:right="60" w:firstLine="357"/>
        <w:spacing w:after="0" w:line="339" w:lineRule="auto"/>
        <w:rPr>
          <w:sz w:val="20"/>
          <w:szCs w:val="20"/>
          <w:color w:val="auto"/>
        </w:rPr>
      </w:pPr>
      <w:r>
        <w:rPr>
          <w:rFonts w:ascii="Arial" w:cs="Arial" w:eastAsia="Arial" w:hAnsi="Arial"/>
          <w:sz w:val="16"/>
          <w:szCs w:val="16"/>
          <w:color w:val="auto"/>
        </w:rPr>
        <w:t>Mr. Edens’ extensive credit, private equity finance and management expertise, extensive experience as an officer and director of public companies and his deep familiarity with our Company led the Board to conclude that Mr. Edens should serve as a director.</w:t>
      </w:r>
    </w:p>
    <w:p>
      <w:pPr>
        <w:spacing w:after="0" w:line="17" w:lineRule="exact"/>
        <w:rPr>
          <w:sz w:val="20"/>
          <w:szCs w:val="20"/>
          <w:color w:val="auto"/>
        </w:rPr>
      </w:pPr>
    </w:p>
    <w:p>
      <w:pPr>
        <w:ind w:firstLine="357"/>
        <w:spacing w:after="0" w:line="271" w:lineRule="auto"/>
        <w:rPr>
          <w:sz w:val="20"/>
          <w:szCs w:val="20"/>
          <w:color w:val="auto"/>
        </w:rPr>
      </w:pPr>
      <w:r>
        <w:rPr>
          <w:rFonts w:ascii="Arial" w:cs="Arial" w:eastAsia="Arial" w:hAnsi="Arial"/>
          <w:sz w:val="17"/>
          <w:szCs w:val="17"/>
          <w:b w:val="1"/>
          <w:bCs w:val="1"/>
          <w:i w:val="1"/>
          <w:iCs w:val="1"/>
          <w:color w:val="auto"/>
        </w:rPr>
        <w:t>Christopher S. Guinta</w:t>
      </w:r>
      <w:r>
        <w:rPr>
          <w:rFonts w:ascii="Arial" w:cs="Arial" w:eastAsia="Arial" w:hAnsi="Arial"/>
          <w:sz w:val="17"/>
          <w:szCs w:val="17"/>
          <w:color w:val="auto"/>
        </w:rPr>
        <w:t>— Mr. Guinta has been our Chief Financial Officer since August 2018, and the Chief Financial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New Fortress Energy Holdings since April 2017. Prior to joining NFE, Mr. Guinta served as Chief 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 Mr. Guinta graduated from The University of Texas at Austin with a Bachelor of Business Administration and a Masters in Professional Accounting.</w:t>
      </w:r>
    </w:p>
    <w:p>
      <w:pPr>
        <w:spacing w:after="0" w:line="71" w:lineRule="exact"/>
        <w:rPr>
          <w:sz w:val="20"/>
          <w:szCs w:val="20"/>
          <w:color w:val="auto"/>
        </w:rPr>
      </w:pPr>
    </w:p>
    <w:p>
      <w:pPr>
        <w:ind w:right="60" w:firstLine="357"/>
        <w:spacing w:after="0" w:line="253" w:lineRule="auto"/>
        <w:rPr>
          <w:sz w:val="20"/>
          <w:szCs w:val="20"/>
          <w:color w:val="auto"/>
        </w:rPr>
      </w:pPr>
      <w:r>
        <w:rPr>
          <w:rFonts w:ascii="Arial" w:cs="Arial" w:eastAsia="Arial" w:hAnsi="Arial"/>
          <w:sz w:val="18"/>
          <w:szCs w:val="18"/>
          <w:b w:val="1"/>
          <w:bCs w:val="1"/>
          <w:i w:val="1"/>
          <w:iCs w:val="1"/>
          <w:color w:val="auto"/>
        </w:rPr>
        <w:t>Michael J. Utsler</w:t>
      </w:r>
      <w:r>
        <w:rPr>
          <w:rFonts w:ascii="Arial" w:cs="Arial" w:eastAsia="Arial" w:hAnsi="Arial"/>
          <w:sz w:val="18"/>
          <w:szCs w:val="18"/>
          <w:color w:val="auto"/>
        </w:rPr>
        <w:t>— Mr. Utsler has been our Chief Operating Officer since October 2018. Mr. Utsler has over 35 years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in the energy industry. Prior to joining us, Mr. Utsler served as Chief Operating Officer of Woodside Energy Ltd. from December 2013 to October 2018. Prior to Woodside Energy Ltd., Mr. Utsler served in various roles for BP p.l.c. (“BP”) from January 1999 to November 2013, including most recently as Chief Operating Officer and President of the BP Gulf Coast Restoration Organization from August 2010 to November 2013. Before BP, Mr. Utsler served in various roles for Amoco Corporation from 1978 to 1998. Mr. Utsler received a Bachelor of Science degree in Petroleum Engineering from The University of Oklahoma.</w:t>
      </w:r>
    </w:p>
    <w:p>
      <w:pPr>
        <w:spacing w:after="0" w:line="82" w:lineRule="exact"/>
        <w:rPr>
          <w:sz w:val="20"/>
          <w:szCs w:val="20"/>
          <w:color w:val="auto"/>
        </w:rPr>
      </w:pPr>
    </w:p>
    <w:p>
      <w:pPr>
        <w:ind w:right="20" w:firstLine="357"/>
        <w:spacing w:after="0" w:line="266" w:lineRule="auto"/>
        <w:rPr>
          <w:sz w:val="20"/>
          <w:szCs w:val="20"/>
          <w:color w:val="auto"/>
        </w:rPr>
      </w:pPr>
      <w:r>
        <w:rPr>
          <w:rFonts w:ascii="Arial" w:cs="Arial" w:eastAsia="Arial" w:hAnsi="Arial"/>
          <w:sz w:val="17"/>
          <w:szCs w:val="17"/>
          <w:b w:val="1"/>
          <w:bCs w:val="1"/>
          <w:i w:val="1"/>
          <w:iCs w:val="1"/>
          <w:color w:val="auto"/>
        </w:rPr>
        <w:t>Randal A. Nardone</w:t>
      </w:r>
      <w:r>
        <w:rPr>
          <w:rFonts w:ascii="Arial" w:cs="Arial" w:eastAsia="Arial" w:hAnsi="Arial"/>
          <w:sz w:val="17"/>
          <w:szCs w:val="17"/>
          <w:color w:val="auto"/>
        </w:rPr>
        <w:t>— Mr. Nardone has been a member of our board of directors since August 2018. He has also been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board of directors of Fortress since November 2006 and has been a member of the Management Committee of Fortress since he co-founded it in 1998. Mr. Nardone served as Fortress’s Chief Executive Officer from July 2013 through December 2017, after serving as its Interim Chief Executive Officer from December 2011 to July 2013. From June 2002 to September 2016, Mr. Nardone also served as Secretary for Drive Shack Inc., an owner and operator of golf-related leisure and entertainment businesses. Mr. Nardone is a director of Eurocastle Investment Limited. Mr. Nardone also previously served on the board of directors of Alea Group Holdings (Bermuda) Ltd. from July 2007 to September 2014; GAGFAH S.A. from September 2006 to June 2014; and Brookdale Senior Living, Inc. from January 2011 to June 2014. Mr. Nardone was previously a managing director of UBS from May 1997 to May 1998. Prior to joining UBS in 1997, Mr. Nardone was a principal of BlackRock. Prior to joining BlackRock, Mr. Nardone was a partner and a member of the executive committee at the law firm of Thacher Proffitt &amp; Wood. Mr. Nardone received a Bachelor of Arts in English and Biology from the University of Connecticut and a Juris Doctor from Boston University School of Law. We believe that Mr. Nardone’s leadership, management experience and experience with corporate and securities law bring valuable experience to our board of directors.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0" w:firstLine="357"/>
        <w:spacing w:after="0" w:line="288" w:lineRule="auto"/>
        <w:rPr>
          <w:sz w:val="20"/>
          <w:szCs w:val="20"/>
          <w:color w:val="auto"/>
        </w:rPr>
      </w:pPr>
      <w:r>
        <w:rPr>
          <w:rFonts w:ascii="Arial" w:cs="Arial" w:eastAsia="Arial" w:hAnsi="Arial"/>
          <w:sz w:val="16"/>
          <w:szCs w:val="16"/>
          <w:b w:val="1"/>
          <w:bCs w:val="1"/>
          <w:i w:val="1"/>
          <w:iCs w:val="1"/>
          <w:color w:val="auto"/>
        </w:rPr>
        <w:t>Desmond Iain Catterall</w:t>
      </w:r>
      <w:r>
        <w:rPr>
          <w:rFonts w:ascii="Arial" w:cs="Arial" w:eastAsia="Arial" w:hAnsi="Arial"/>
          <w:sz w:val="16"/>
          <w:szCs w:val="16"/>
          <w:color w:val="auto"/>
        </w:rPr>
        <w:t>— Iain Catterall will become a member of our board of directors in connection with our listing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Mr. Catterall currently serves as a principal and Chief Executive Officer of Kirkham Capital, an investment business focused on seeding fund managers, a position he has held since founding the firm in January 2009. Prior to that, Mr. Catterall served as the head of equities at Rand Merchant Bank from January 2003 to December 2008 and was also a member of Rand Merchant Bank’s management board and investment committee. He was also a founding member of Thynk Capital, a private equity company, and, prior to that, a founding director of Cadiz Holdings Limited, a Johannesburg Stock Exchange listed financial services company. Mr. Catterall holds a Bachelor of Commerce degree from the University of Natal (Durban). We believe that Mr. Catterall’s extensive experience in capital markets and financial services brings valuable expertise to our board of directors.</w:t>
      </w:r>
    </w:p>
    <w:p>
      <w:pPr>
        <w:spacing w:after="0" w:line="58" w:lineRule="exact"/>
        <w:rPr>
          <w:sz w:val="20"/>
          <w:szCs w:val="20"/>
          <w:color w:val="auto"/>
        </w:rPr>
      </w:pPr>
    </w:p>
    <w:p>
      <w:pPr>
        <w:ind w:right="20" w:firstLine="357"/>
        <w:spacing w:after="0" w:line="266" w:lineRule="auto"/>
        <w:rPr>
          <w:sz w:val="20"/>
          <w:szCs w:val="20"/>
          <w:color w:val="auto"/>
        </w:rPr>
      </w:pPr>
      <w:r>
        <w:rPr>
          <w:rFonts w:ascii="Arial" w:cs="Arial" w:eastAsia="Arial" w:hAnsi="Arial"/>
          <w:sz w:val="17"/>
          <w:szCs w:val="17"/>
          <w:b w:val="1"/>
          <w:bCs w:val="1"/>
          <w:i w:val="1"/>
          <w:iCs w:val="1"/>
          <w:color w:val="auto"/>
        </w:rPr>
        <w:t>David J. Grain</w:t>
      </w:r>
      <w:r>
        <w:rPr>
          <w:rFonts w:ascii="Arial" w:cs="Arial" w:eastAsia="Arial" w:hAnsi="Arial"/>
          <w:sz w:val="17"/>
          <w:szCs w:val="17"/>
          <w:color w:val="auto"/>
        </w:rPr>
        <w:t>— David Grain will become a member of our board of directors in connection with our listing on NASDAQ.</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Grain currently serves as the Chief Executive Officer of Grain Management, LLC, a private equity firm focused on investments in the media and communications sectors, which he founded in 2006. Prior to founding Grain Management, LLC, from January 2003 to December 2005, Mr. Grain served as the President of Global Signal, Inc. (formerly NYSE: GSL), the largest communication tower owner/operator at the time and an affiliate of Fortress. Prior to joining Global Signal, Inc., from 2000 to 2003, he served as Senior Vice President at AT&amp;T Broadband in New England, a provider of digital video, high speed Internet and digital phone services to more than two million customers in the region. Prior to leading AT&amp;T Broadband’s New England operations, Mr. Grain spent more than a decade in the financial services industry, most recently at Morgan Stanley in New York from 1992 to 2000 where he focused primarily on telecommunications, media and technology companies. Mr. Grain serves on the board of directors of The Southern Company (NYSE: SO), a gas and electric utility company. Mr. Grain earned a Bachelor of Arts degree in English from the College of the Holy Cross and a Master of Business Administration degree from the Amos Tuck School at Dartmouth College. We believe that Mr. Grain’s experience with publicly traded companies as an executive and as a member of the board of directors will bring valuable skills and leadership to our board of directors.</w:t>
      </w:r>
    </w:p>
    <w:p>
      <w:pPr>
        <w:spacing w:after="0" w:line="81" w:lineRule="exact"/>
        <w:rPr>
          <w:sz w:val="20"/>
          <w:szCs w:val="20"/>
          <w:color w:val="auto"/>
        </w:rPr>
      </w:pPr>
    </w:p>
    <w:p>
      <w:pPr>
        <w:ind w:right="80" w:firstLine="357"/>
        <w:spacing w:after="0" w:line="287" w:lineRule="auto"/>
        <w:rPr>
          <w:sz w:val="20"/>
          <w:szCs w:val="20"/>
          <w:color w:val="auto"/>
        </w:rPr>
      </w:pPr>
      <w:r>
        <w:rPr>
          <w:rFonts w:ascii="Arial" w:cs="Arial" w:eastAsia="Arial" w:hAnsi="Arial"/>
          <w:sz w:val="16"/>
          <w:szCs w:val="16"/>
          <w:b w:val="1"/>
          <w:bCs w:val="1"/>
          <w:i w:val="1"/>
          <w:iCs w:val="1"/>
          <w:color w:val="auto"/>
        </w:rPr>
        <w:t>C. William Griffin</w:t>
      </w:r>
      <w:r>
        <w:rPr>
          <w:rFonts w:ascii="Arial" w:cs="Arial" w:eastAsia="Arial" w:hAnsi="Arial"/>
          <w:sz w:val="16"/>
          <w:szCs w:val="16"/>
          <w:color w:val="auto"/>
        </w:rPr>
        <w:t>— Bill Griffin will become a member of our board of directors in connection with our listing on NASDAQ.</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Griffin has more than 45 years of experience in financial services. He currently serves as Executive Vice President, Enterprise Strategy of ServiceLink, LLC, helping deliver end-to-end solutions to large financial institutions, a position he has held since January 2017. Prior to that, Mr. Griffin served in various capacities within Fidelity National Financial, Inc. (“Fidelity”) and its affiliates, including as Executive Vice President of Black Knight Financial Services from January 2014 to December 2016 and Executive Vice President of Sales and Marketing for Lender Processing Services from November 2011 to December 2013. He also served as President and Chief Executive Officer from 2002 to 2003 when Lender Processing Services was acquired by Fidelity. Mr. Griffin holds a Bachelor of Business Administration degree from The University of Georgia. We believe that Mr. Griffin’s leadership and extensive financial experience will bring significant value to our board of directors.</w:t>
      </w:r>
    </w:p>
    <w:p>
      <w:pPr>
        <w:spacing w:after="0" w:line="59" w:lineRule="exact"/>
        <w:rPr>
          <w:sz w:val="20"/>
          <w:szCs w:val="20"/>
          <w:color w:val="auto"/>
        </w:rPr>
      </w:pPr>
    </w:p>
    <w:p>
      <w:pPr>
        <w:ind w:firstLine="357"/>
        <w:spacing w:after="0" w:line="266" w:lineRule="auto"/>
        <w:rPr>
          <w:sz w:val="20"/>
          <w:szCs w:val="20"/>
          <w:color w:val="auto"/>
        </w:rPr>
      </w:pPr>
      <w:r>
        <w:rPr>
          <w:rFonts w:ascii="Arial" w:cs="Arial" w:eastAsia="Arial" w:hAnsi="Arial"/>
          <w:sz w:val="17"/>
          <w:szCs w:val="17"/>
          <w:b w:val="1"/>
          <w:bCs w:val="1"/>
          <w:i w:val="1"/>
          <w:iCs w:val="1"/>
          <w:color w:val="auto"/>
        </w:rPr>
        <w:t>John J. Mack</w:t>
      </w:r>
      <w:r>
        <w:rPr>
          <w:rFonts w:ascii="Arial" w:cs="Arial" w:eastAsia="Arial" w:hAnsi="Arial"/>
          <w:sz w:val="17"/>
          <w:szCs w:val="17"/>
          <w:color w:val="auto"/>
        </w:rPr>
        <w:t>— John Mack will become a member of our board of directors in connection with our listing on NASDAQ.</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March 2012 until his retirement in December 2014, Mr. Mack served as a Senior Advisor for Kohlberg, Kravis, Roberts &amp; Co., L.P. Prior to that, Mr. Mack served as Chairman of the Board of Morgan Stanley, a financial services company, from June 2005 to December 2011, and served as the Chief Executive Officer of Morgan Stanley from June 2005 until December 2009, during which time he oversaw the firm’s conversion into a bank holding company. Mr. Mack was Co-Chief Executive Officer of Credit Suisse Group from 2003 to 2004 and the President, Chief Executive Officer and a director of Credit Suisse First Boston from 2001 to 2004. He became the President, Chief Operating Officer and a director of Morgan Stanley Dean Witter &amp; Co. in May 1997 and served in that position until 2001. Mr. Mack joined Morgan Stanley in May 1972 in the bond department and served as head of the Worldwide Taxable Fixed Income Division from 1985 to 1992, became a member of the board of directors in 1987, became Chairman of the Operating Committee in March 1992 and became President in June 1993. Mr. Mack is a senior advisor to Morgan Stanley &amp; Co. LLC and serves on the board of directors of Glencore plc and LendingClub Corporation. Mr. Mack holds a Bachelor of Arts degree in History from Duke University. Mr. Mack was chosen to serve on our board of directors because of his extensive experience advising and managing banking and financial services companies. We believe that Mr. Mack’s strong business leadership experience brings important insight and skills to our board of directors.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60" w:firstLine="357"/>
        <w:spacing w:after="0" w:line="283" w:lineRule="auto"/>
        <w:rPr>
          <w:sz w:val="20"/>
          <w:szCs w:val="20"/>
          <w:color w:val="auto"/>
        </w:rPr>
      </w:pPr>
      <w:r>
        <w:rPr>
          <w:rFonts w:ascii="Arial" w:cs="Arial" w:eastAsia="Arial" w:hAnsi="Arial"/>
          <w:sz w:val="16"/>
          <w:szCs w:val="16"/>
          <w:b w:val="1"/>
          <w:bCs w:val="1"/>
          <w:i w:val="1"/>
          <w:iCs w:val="1"/>
          <w:color w:val="auto"/>
        </w:rPr>
        <w:t>Katherine E. Wanner</w:t>
      </w:r>
      <w:r>
        <w:rPr>
          <w:rFonts w:ascii="Arial" w:cs="Arial" w:eastAsia="Arial" w:hAnsi="Arial"/>
          <w:sz w:val="16"/>
          <w:szCs w:val="16"/>
          <w:color w:val="auto"/>
        </w:rPr>
        <w:t>— Katherine Wanner will become a member of our board of directors in connection with our listing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From 1993 to 1997, Ms. Wanner served in various roles within the finance, communications and business development groups at Brinson Partners Inc. and UBS Global Asset Management, where she was responsible for the revenue cycle, statistical analysis and market research, and later joined the private equity group in 1998. In 2001, Ms. Wanner was a founding Partner at Adams Street Partners, LLC, a global private equity firm with over $30 billion in assets under its management and offices in six locations around the world, and the successor firm to Brinson Partners Inc. and UBS Global Asset Management. From 2007 until her retirement in 2015, Ms. Wanner managed Adams Street Partners’ US Primary investment team and served on the firm’s Global Primary Investment Committee, which was responsible for sourcing, analyzing and monitoring investments in private equity partnerships, implementing strategy and approving all primary fund investments. Post Ms. Wanner’s retirement from Adams Street Partners in 2015, Ms. Wanner has served as an Operating Partner at Abundant Venture Partners from 2016 to April 2018. Since April 2018 and currently, Ms. Wanner serves as an Advisor at Abundant Venture Partners. Since 1998, Ms. Wanner has served on many private equity and venture capital advisory boards and completed many primary investments across several sectors, and was responsible for managing relationships with several of the firm’s United States based venture, energy focused and special situation managers. Additionally, from 1989 to 1993, Ms. Wanner gained experience in statistical modeling, reporting, tracking and analysis as a Senior Financial Analyst at Frontier Risk Management, Range Wise, Inc. and Morgan Stanley &amp; Company. Ms. Wanner received a Bachelor of Science in Finance from Binghamton University and a Master of Business Administration from the Kellogg School of Management at Northwestern University. We believe Ms. Wanner’s extensive financial experience in business investments and asset management will bring significant value to our board of directors.</w:t>
      </w:r>
    </w:p>
    <w:p>
      <w:pPr>
        <w:spacing w:after="0" w:line="66" w:lineRule="exact"/>
        <w:rPr>
          <w:sz w:val="20"/>
          <w:szCs w:val="20"/>
          <w:color w:val="auto"/>
        </w:rPr>
      </w:pPr>
    </w:p>
    <w:p>
      <w:pPr>
        <w:ind w:right="160" w:firstLine="357"/>
        <w:spacing w:after="0" w:line="286" w:lineRule="auto"/>
        <w:rPr>
          <w:sz w:val="20"/>
          <w:szCs w:val="20"/>
          <w:color w:val="auto"/>
        </w:rPr>
      </w:pPr>
      <w:r>
        <w:rPr>
          <w:rFonts w:ascii="Arial" w:cs="Arial" w:eastAsia="Arial" w:hAnsi="Arial"/>
          <w:sz w:val="16"/>
          <w:szCs w:val="16"/>
          <w:b w:val="1"/>
          <w:bCs w:val="1"/>
          <w:i w:val="1"/>
          <w:iCs w:val="1"/>
          <w:color w:val="auto"/>
        </w:rPr>
        <w:t>Matthew Wilkinson</w:t>
      </w:r>
      <w:r>
        <w:rPr>
          <w:rFonts w:ascii="Arial" w:cs="Arial" w:eastAsia="Arial" w:hAnsi="Arial"/>
          <w:sz w:val="16"/>
          <w:szCs w:val="16"/>
          <w:color w:val="auto"/>
        </w:rPr>
        <w:t>— Matthew Wilkinson will become a member of our board of directors in connection with our listing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Mr. Wilkinson currently serves as a director at ICG Advisors. Prior to that, Mr. Wilkinson served as vice president of strategy for Kayne Anderson Capital Advisors from January 2017 to March 2018. Prior to joining Kayne Anderson Capital Advisors, Mr. Wilkinson was with the State of Michigan Retirement Systems (“SMRS”) from July 2011 to January 2017, most recently serving as a senior portfolio manager in the short-term, absolute return and real return division from September 2014 to January 2017, where he built out and managed a real assets portfolio with $2 billion in commitments and a special situations portfolio with over $800 million in commitments for SMRS. Prior to SMRS, he founded and operated his own investment firm primarily focused on investing in small cap equities. Mr. Wilkinson holds an M.B.A. from Michigan State University and a B.A. (magna cum laude) from Ohio State University. We believe that Mr. Wilkinson’s leadership, management experience and strong background in corporate finance, bring important and valuable skills to our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Controlled Company</w:t>
      </w:r>
    </w:p>
    <w:p>
      <w:pPr>
        <w:spacing w:after="0" w:line="119" w:lineRule="exact"/>
        <w:rPr>
          <w:sz w:val="20"/>
          <w:szCs w:val="20"/>
          <w:color w:val="auto"/>
        </w:rPr>
      </w:pPr>
    </w:p>
    <w:p>
      <w:pPr>
        <w:ind w:firstLine="357"/>
        <w:spacing w:after="0" w:line="267" w:lineRule="auto"/>
        <w:rPr>
          <w:sz w:val="20"/>
          <w:szCs w:val="20"/>
          <w:color w:val="auto"/>
        </w:rPr>
      </w:pPr>
      <w:r>
        <w:rPr>
          <w:rFonts w:ascii="Arial" w:cs="Arial" w:eastAsia="Arial" w:hAnsi="Arial"/>
          <w:sz w:val="17"/>
          <w:szCs w:val="17"/>
          <w:color w:val="auto"/>
        </w:rPr>
        <w:t>Because New Fortress Energy Holdings will initially hold approximately 88.0% (without giving effect to any shares purchased in this offering by New Fortress Energy Holdings, its stockholders or entities affiliated with them) of the voting power of our shares following the completion of this offering, we expect to be a controlled company as of the completion of the offering under the Sarbanes-Oxley Act and NASDAQ corporate governance standards. A controlled company does not need its board of directors to have a majority of independent directors or to form independent compensation and nominating and governance committees. Although we are not required to do so, we intend to establish independent compensation and nominating and governance committees following the completion of this offering. As a controlled company, we will remain subject to the rules of the Sarbanes-Oxley Act and NASDAQ that require us to have an audit committee composed entirely of independent directors. Under these rules, we must have at least one independent director on our audit committee by the date our Class A shares are listed on NASDAQ, at least two independent directors on our audit committee within 90 days of the listing date, and at least three independent directors on our audit committee within one year of the listing date.</w:t>
      </w:r>
    </w:p>
    <w:p>
      <w:pPr>
        <w:spacing w:after="0" w:line="76" w:lineRule="exact"/>
        <w:rPr>
          <w:sz w:val="20"/>
          <w:szCs w:val="20"/>
          <w:color w:val="auto"/>
        </w:rPr>
      </w:pPr>
    </w:p>
    <w:p>
      <w:pPr>
        <w:ind w:right="160" w:firstLine="357"/>
        <w:spacing w:after="0" w:line="261" w:lineRule="auto"/>
        <w:rPr>
          <w:sz w:val="20"/>
          <w:szCs w:val="20"/>
          <w:color w:val="auto"/>
        </w:rPr>
      </w:pPr>
      <w:r>
        <w:rPr>
          <w:rFonts w:ascii="Arial" w:cs="Arial" w:eastAsia="Arial" w:hAnsi="Arial"/>
          <w:sz w:val="18"/>
          <w:szCs w:val="18"/>
          <w:color w:val="auto"/>
        </w:rPr>
        <w:t>If at any time we cease to be a controlled company, we will take all action necessary to comply with the Sarbanes-Oxley Act and NASDAQ corporate governance standards, including by appointing a majority of independent directors to our board of directors, subject to a permitted “phase-in”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19" w:lineRule="exact"/>
        <w:rPr>
          <w:sz w:val="20"/>
          <w:szCs w:val="20"/>
          <w:color w:val="auto"/>
        </w:rPr>
      </w:pPr>
    </w:p>
    <w:p>
      <w:pPr>
        <w:ind w:right="100" w:firstLine="357"/>
        <w:spacing w:after="0" w:line="274" w:lineRule="auto"/>
        <w:rPr>
          <w:sz w:val="20"/>
          <w:szCs w:val="20"/>
          <w:color w:val="auto"/>
        </w:rPr>
      </w:pPr>
      <w:r>
        <w:rPr>
          <w:rFonts w:ascii="Arial" w:cs="Arial" w:eastAsia="Arial" w:hAnsi="Arial"/>
          <w:sz w:val="18"/>
          <w:szCs w:val="18"/>
          <w:color w:val="auto"/>
        </w:rPr>
        <w:t>The Board has determined that Messrs. Catterall, Grain, Griffin, Mack and Wilkinson and Ms. Wanner are independent under the standards adopted by NASDAQ and the SEC.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60" w:firstLine="357"/>
        <w:spacing w:after="0" w:line="269" w:lineRule="auto"/>
        <w:rPr>
          <w:sz w:val="20"/>
          <w:szCs w:val="20"/>
          <w:color w:val="auto"/>
        </w:rPr>
      </w:pPr>
      <w:r>
        <w:rPr>
          <w:rFonts w:ascii="Arial" w:cs="Arial" w:eastAsia="Arial" w:hAnsi="Arial"/>
          <w:sz w:val="17"/>
          <w:szCs w:val="17"/>
          <w:color w:val="auto"/>
        </w:rPr>
        <w:t>Additionally, upon consummation of this offering, the Board will be divided into three classes of directors, with each class as equal in number as possible, serving staggered three-year terms. Class I, Class II and Class III directors will serve until our annual general meeting in 2020, 2021 and 2022, respectively. Messrs. Mack and Wilkinson and Ms. Wanner will be assigned to Class I; Messrs. Grain and Griffin will be assigned to Class II; and Messrs. Edens, Nardone and Catterall will be assigned to Class III. At each annual general meeting held after the initial classification, directors will be elected to succeed the class of directors whose terms have expired. This classification of the Board could have the effect of increasing the length of time necessary to change the composition of a majority of the Board. In general, at least two annual general meetings will be necessary to effect a change in a majority of the members of the Board.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5" w:lineRule="exact"/>
        <w:rPr>
          <w:sz w:val="20"/>
          <w:szCs w:val="20"/>
          <w:color w:val="auto"/>
        </w:rPr>
      </w:pPr>
    </w:p>
    <w:p>
      <w:pPr>
        <w:ind w:firstLine="357"/>
        <w:spacing w:after="0" w:line="288" w:lineRule="auto"/>
        <w:rPr>
          <w:sz w:val="20"/>
          <w:szCs w:val="20"/>
          <w:color w:val="auto"/>
        </w:rPr>
      </w:pPr>
      <w:r>
        <w:rPr>
          <w:rFonts w:ascii="Arial" w:cs="Arial" w:eastAsia="Arial" w:hAnsi="Arial"/>
          <w:sz w:val="16"/>
          <w:szCs w:val="16"/>
          <w:color w:val="auto"/>
        </w:rPr>
        <w:t>We are required to have an audit committee of at least three members, and all of its members are required to meet the independence and experience standards established by NASDAQ and the Securities Exchange Act of 1934, as amended, subject to certain transitional relief during the one-year period following consummation of this offering as described above. We will establish an audit committee compliant with NASDAQ and SEC rules prior to the completion of this offering and expect Ms. Wanner and Messrs. Grain and Griffin will serve as members of such committee with Ms. Wanner serving as the chairperson. SEC rules also require that a public company disclose whether or not its audit committee has an “audit committee financial expert” as a member. Ms. Wanner will satisfy the definition of “audit committee financial expert.” We expect to adopt an audit committee charter defining the committee’s primary duties in a manner consistent with the rules of the SEC and NASDAQ standards.</w:t>
      </w:r>
    </w:p>
    <w:p>
      <w:pPr>
        <w:spacing w:after="0" w:line="58" w:lineRule="exact"/>
        <w:rPr>
          <w:sz w:val="20"/>
          <w:szCs w:val="20"/>
          <w:color w:val="auto"/>
        </w:rPr>
      </w:pPr>
    </w:p>
    <w:p>
      <w:pPr>
        <w:ind w:right="60" w:firstLine="357"/>
        <w:spacing w:after="0" w:line="289" w:lineRule="auto"/>
        <w:rPr>
          <w:sz w:val="20"/>
          <w:szCs w:val="20"/>
          <w:color w:val="auto"/>
        </w:rPr>
      </w:pPr>
      <w:r>
        <w:rPr>
          <w:rFonts w:ascii="Arial" w:cs="Arial" w:eastAsia="Arial" w:hAnsi="Arial"/>
          <w:sz w:val="16"/>
          <w:szCs w:val="16"/>
          <w:color w:val="auto"/>
        </w:rPr>
        <w:t>The audit committee will assist the board of directors in its oversight of the integrity of our financial statements and our compliance with legal and regulatory requirements and company policies and controls. The audit committee will have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will also be responsible for confirming the independence and objectivity of our independent registered public accounting firm. Our independent registered public accounting firm will be given unrestricted access to the audit committee and our management.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5"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color w:val="auto"/>
        </w:rPr>
        <w:t>Because we will be a “controlled company” as of the closing of this offering within the meaning of the NASDAQ corporate governance standards, we will not be required to have a compensation committee. However, we intend to establish a compensation committee to ease the administrative burden on the full board. Our compensation committee will establish and direct our compensation program for our officers and certain other employees, including administration of our incentive compensation and benefit plans, to the full extent permitted pursuant to those plans and arrangements. So long as we continue to be a controlled company, our compensation committee is not required to be comprised solely of independent directors. As a result, the board will retain authority to grant and amend awards under our omnibus incentive plan that are comprised of, or settled in, our Class A shares to our officers who are subject to the reporting obligations of Section 16 of the Exchange Act and members of the Board. In connection with the formation of this committee, we expect to adopt a compensation committee charter defining the committee’s primary duties and authority.</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5" w:lineRule="exact"/>
        <w:rPr>
          <w:sz w:val="20"/>
          <w:szCs w:val="20"/>
          <w:color w:val="auto"/>
        </w:rPr>
      </w:pPr>
    </w:p>
    <w:p>
      <w:pPr>
        <w:ind w:right="300" w:firstLine="357"/>
        <w:spacing w:after="0" w:line="253" w:lineRule="auto"/>
        <w:rPr>
          <w:sz w:val="20"/>
          <w:szCs w:val="20"/>
          <w:color w:val="auto"/>
        </w:rPr>
      </w:pPr>
      <w:r>
        <w:rPr>
          <w:rFonts w:ascii="Arial" w:cs="Arial" w:eastAsia="Arial" w:hAnsi="Arial"/>
          <w:sz w:val="18"/>
          <w:szCs w:val="18"/>
          <w:color w:val="auto"/>
        </w:rPr>
        <w:t>Because we intend to list our Class A shares on NASDAQ, we will not be required to have a nominating and corporate governance committee as of the closing of this offering. However, following the closing of this offering, we intend to establish a nominating and corporate governance committee. This committee will identify, evaluate and recommend qualified nominees to serve on our board of directors, develop and oversee our internal corporate governance processes and maintain a management succession plan. In connection with the formation of this committee, we expect to adopt a nominating and corporate governance committee charter defining the committee’s primary duties in a manner consistent with the rules of the SEC and NASDAQ or market standards.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Advisory Committee Regarding Our Communities &amp; The Environment</w:t>
      </w:r>
    </w:p>
    <w:p>
      <w:pPr>
        <w:spacing w:after="0" w:line="115" w:lineRule="exact"/>
        <w:rPr>
          <w:sz w:val="20"/>
          <w:szCs w:val="20"/>
          <w:color w:val="auto"/>
        </w:rPr>
      </w:pPr>
    </w:p>
    <w:p>
      <w:pPr>
        <w:ind w:firstLine="357"/>
        <w:spacing w:after="0" w:line="288" w:lineRule="auto"/>
        <w:rPr>
          <w:sz w:val="20"/>
          <w:szCs w:val="20"/>
          <w:color w:val="auto"/>
        </w:rPr>
      </w:pPr>
      <w:r>
        <w:rPr>
          <w:rFonts w:ascii="Arial" w:cs="Arial" w:eastAsia="Arial" w:hAnsi="Arial"/>
          <w:sz w:val="16"/>
          <w:szCs w:val="16"/>
          <w:color w:val="auto"/>
        </w:rPr>
        <w:t>We recognize that billions of people around the planet lack access to affordable power. We seek to provide the capital, expertise and vision to address this problem while also making a positive impact on the communities in which we operate and contributing to the preservation of the environment. Following the consummation of this offering, we intend to establish an advisory committee (the “Advisory Committee”) to assist the board of directors in providing a meaningful and positive impact in the areas where we conduct our business. We intend to collaborate with the Advisory Committee to help improve the quality of life and increase advancement opportunities for members of the communities in which we operate. While our product is more environmentally friendly than many traditional distillate fuels, we recognize that our business has an environmental impact. As such, we intend to collaborate with the Advisory Committee to reduce any environmental impact we may have and help contribute to preserving our environment.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9"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None of our executive officers serve on the board of directors or compensation committee of a company that has an executive officer that serves on our board of directors or compensation committee. No member of our board of directors is an executive officer of a company in which one of our executive officers serves as a member of the board of directors or compensation committee of that company.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9" w:lineRule="exact"/>
        <w:rPr>
          <w:sz w:val="20"/>
          <w:szCs w:val="20"/>
          <w:color w:val="auto"/>
        </w:rPr>
      </w:pPr>
    </w:p>
    <w:p>
      <w:pPr>
        <w:ind w:right="80" w:firstLine="357"/>
        <w:spacing w:after="0" w:line="277" w:lineRule="auto"/>
        <w:rPr>
          <w:sz w:val="20"/>
          <w:szCs w:val="20"/>
          <w:color w:val="auto"/>
        </w:rPr>
      </w:pPr>
      <w:r>
        <w:rPr>
          <w:rFonts w:ascii="Arial" w:cs="Arial" w:eastAsia="Arial" w:hAnsi="Arial"/>
          <w:sz w:val="17"/>
          <w:szCs w:val="17"/>
          <w:color w:val="auto"/>
        </w:rPr>
        <w:t>Prior to the completion of this offering, our board of directors will adopt a code of business conduct and ethics applicable to our employees, directors and officers, in accordance with applicable U.S. federal securities laws and the corporate governance rules of NASDAQ. Any waiver of this code may be made only by our board of directors and will be promptly disclosed as required by applicable U.S. federal securities laws and the corporate governance rules of NASDAQ.</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19" w:lineRule="exact"/>
        <w:rPr>
          <w:sz w:val="20"/>
          <w:szCs w:val="20"/>
          <w:color w:val="auto"/>
        </w:rPr>
      </w:pPr>
    </w:p>
    <w:p>
      <w:pPr>
        <w:ind w:right="200" w:firstLine="357"/>
        <w:spacing w:after="0" w:line="261" w:lineRule="auto"/>
        <w:rPr>
          <w:sz w:val="20"/>
          <w:szCs w:val="20"/>
          <w:color w:val="auto"/>
        </w:rPr>
      </w:pPr>
      <w:r>
        <w:rPr>
          <w:rFonts w:ascii="Arial" w:cs="Arial" w:eastAsia="Arial" w:hAnsi="Arial"/>
          <w:sz w:val="18"/>
          <w:szCs w:val="18"/>
          <w:color w:val="auto"/>
        </w:rPr>
        <w:t>As an “emerging growth company,” we are required to provide a Summary Compensation Table and an Outstanding Equity Awards at Fiscal Year End Table, as well as limited narrative disclosures regarding executive compensation for our last completed fiscal year.</w:t>
      </w:r>
    </w:p>
    <w:p>
      <w:pPr>
        <w:spacing w:after="0" w:line="76" w:lineRule="exact"/>
        <w:rPr>
          <w:sz w:val="20"/>
          <w:szCs w:val="20"/>
          <w:color w:val="auto"/>
        </w:rPr>
      </w:pPr>
    </w:p>
    <w:p>
      <w:pPr>
        <w:ind w:right="120" w:firstLine="357"/>
        <w:spacing w:after="0" w:line="268" w:lineRule="auto"/>
        <w:rPr>
          <w:sz w:val="20"/>
          <w:szCs w:val="20"/>
          <w:color w:val="auto"/>
        </w:rPr>
      </w:pPr>
      <w:r>
        <w:rPr>
          <w:rFonts w:ascii="Arial" w:cs="Arial" w:eastAsia="Arial" w:hAnsi="Arial"/>
          <w:sz w:val="17"/>
          <w:szCs w:val="17"/>
          <w:color w:val="auto"/>
        </w:rPr>
        <w:t>We were formed on August 6, 2018 and, as a result, did not have executive officers during 2017 and the majority of 2018. However, because (1) all of the assets and operations of New Fortress Energy Holdings (our predecessor for financial reporting purposes) will be contributed to NFI (which will be our subsidiary) in connection with this offering and such assets and operations will constitute our only assets and operations and (2) one of our executive officers was also an executive officer of New Fortress Energy Holdings and provided the same type of services to New Fortress Energy Holdings in 2017 and 2018 prior to our formation as he provides to us, we have included disclosure regarding compensation paid to the executive officer of New Fortress Energy Holdings for the 2017 fiscal year and for the 2018 fiscal year prior to the date of our formation as well as disclosure regarding compensation paid to all of our executive officers following our formation. The only individual serving as an officer of New Fortress Energy Holdings during 2018 was Christopher S. Guinta.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47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Principal Position (New Fortress Energy Holdings)</w:t>
            </w:r>
          </w:p>
        </w:tc>
      </w:tr>
      <w:tr>
        <w:trPr>
          <w:trHeight w:val="235"/>
        </w:trPr>
        <w:tc>
          <w:tcPr>
            <w:tcW w:w="4600" w:type="dxa"/>
            <w:vAlign w:val="bottom"/>
          </w:tcPr>
          <w:p>
            <w:pPr>
              <w:spacing w:after="0"/>
              <w:rPr>
                <w:sz w:val="20"/>
                <w:szCs w:val="20"/>
                <w:color w:val="auto"/>
              </w:rPr>
            </w:pPr>
            <w:r>
              <w:rPr>
                <w:rFonts w:ascii="Arial" w:cs="Arial" w:eastAsia="Arial" w:hAnsi="Arial"/>
                <w:sz w:val="18"/>
                <w:szCs w:val="18"/>
                <w:color w:val="auto"/>
              </w:rPr>
              <w:t>Wesley R. Edens</w:t>
            </w:r>
          </w:p>
        </w:tc>
        <w:tc>
          <w:tcPr>
            <w:tcW w:w="120" w:type="dxa"/>
            <w:vAlign w:val="bottom"/>
          </w:tcPr>
          <w:p>
            <w:pPr>
              <w:spacing w:after="0"/>
              <w:rPr>
                <w:sz w:val="20"/>
                <w:szCs w:val="20"/>
                <w:color w:val="auto"/>
              </w:rPr>
            </w:pPr>
          </w:p>
        </w:tc>
        <w:tc>
          <w:tcPr>
            <w:tcW w:w="47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41"/>
        </w:trPr>
        <w:tc>
          <w:tcPr>
            <w:tcW w:w="4600" w:type="dxa"/>
            <w:vAlign w:val="bottom"/>
          </w:tcPr>
          <w:p>
            <w:pPr>
              <w:spacing w:after="0"/>
              <w:rPr>
                <w:sz w:val="20"/>
                <w:szCs w:val="20"/>
                <w:color w:val="auto"/>
              </w:rPr>
            </w:pPr>
            <w:r>
              <w:rPr>
                <w:rFonts w:ascii="Arial" w:cs="Arial" w:eastAsia="Arial" w:hAnsi="Arial"/>
                <w:sz w:val="18"/>
                <w:szCs w:val="18"/>
                <w:color w:val="auto"/>
              </w:rPr>
              <w:t>Christopher S. Guinta</w:t>
            </w:r>
          </w:p>
        </w:tc>
        <w:tc>
          <w:tcPr>
            <w:tcW w:w="120" w:type="dxa"/>
            <w:vAlign w:val="bottom"/>
          </w:tcPr>
          <w:p>
            <w:pPr>
              <w:spacing w:after="0"/>
              <w:rPr>
                <w:sz w:val="20"/>
                <w:szCs w:val="20"/>
                <w:color w:val="auto"/>
              </w:rPr>
            </w:pPr>
          </w:p>
        </w:tc>
        <w:tc>
          <w:tcPr>
            <w:tcW w:w="47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41"/>
        </w:trPr>
        <w:tc>
          <w:tcPr>
            <w:tcW w:w="4600" w:type="dxa"/>
            <w:vAlign w:val="bottom"/>
          </w:tcPr>
          <w:p>
            <w:pPr>
              <w:spacing w:after="0"/>
              <w:rPr>
                <w:sz w:val="20"/>
                <w:szCs w:val="20"/>
                <w:color w:val="auto"/>
              </w:rPr>
            </w:pPr>
            <w:r>
              <w:rPr>
                <w:rFonts w:ascii="Arial" w:cs="Arial" w:eastAsia="Arial" w:hAnsi="Arial"/>
                <w:sz w:val="18"/>
                <w:szCs w:val="18"/>
                <w:color w:val="auto"/>
              </w:rPr>
              <w:t>Michael J. Utsler</w:t>
            </w:r>
          </w:p>
        </w:tc>
        <w:tc>
          <w:tcPr>
            <w:tcW w:w="120" w:type="dxa"/>
            <w:vAlign w:val="bottom"/>
          </w:tcPr>
          <w:p>
            <w:pPr>
              <w:spacing w:after="0"/>
              <w:rPr>
                <w:sz w:val="20"/>
                <w:szCs w:val="20"/>
                <w:color w:val="auto"/>
              </w:rPr>
            </w:pPr>
          </w:p>
        </w:tc>
        <w:tc>
          <w:tcPr>
            <w:tcW w:w="4760" w:type="dxa"/>
            <w:vAlign w:val="bottom"/>
          </w:tcPr>
          <w:p>
            <w:pPr>
              <w:ind w:left="40"/>
              <w:spacing w:after="0"/>
              <w:rPr>
                <w:sz w:val="20"/>
                <w:szCs w:val="20"/>
                <w:color w:val="auto"/>
              </w:rPr>
            </w:pPr>
            <w:r>
              <w:rPr>
                <w:rFonts w:ascii="Arial" w:cs="Arial" w:eastAsia="Arial" w:hAnsi="Arial"/>
                <w:sz w:val="18"/>
                <w:szCs w:val="18"/>
                <w:color w:val="auto"/>
              </w:rPr>
              <w:t>Chief Operating Officer</w:t>
            </w:r>
          </w:p>
        </w:tc>
      </w:tr>
    </w:tbl>
    <w:p>
      <w:pPr>
        <w:spacing w:after="0" w:line="106" w:lineRule="exact"/>
        <w:rPr>
          <w:sz w:val="20"/>
          <w:szCs w:val="20"/>
          <w:color w:val="auto"/>
        </w:rPr>
      </w:pPr>
    </w:p>
    <w:p>
      <w:pPr>
        <w:ind w:right="80" w:firstLine="357"/>
        <w:spacing w:after="0" w:line="274" w:lineRule="auto"/>
        <w:rPr>
          <w:sz w:val="20"/>
          <w:szCs w:val="20"/>
          <w:color w:val="auto"/>
        </w:rPr>
      </w:pPr>
      <w:r>
        <w:rPr>
          <w:rFonts w:ascii="Arial" w:cs="Arial" w:eastAsia="Arial" w:hAnsi="Arial"/>
          <w:sz w:val="18"/>
          <w:szCs w:val="18"/>
          <w:color w:val="auto"/>
        </w:rPr>
        <w:t>Mr. Edens was appointed as our Chief Executive Officer effective as of August 6, 2018. Mr. Utsler was appointed as our Chief Operating Officer effective as of October 29, 2018.</w:t>
      </w:r>
    </w:p>
    <w:p>
      <w:pPr>
        <w:spacing w:after="0" w:line="64" w:lineRule="exact"/>
        <w:rPr>
          <w:sz w:val="20"/>
          <w:szCs w:val="20"/>
          <w:color w:val="auto"/>
        </w:rPr>
      </w:pPr>
    </w:p>
    <w:p>
      <w:pPr>
        <w:ind w:right="120" w:firstLine="357"/>
        <w:spacing w:after="0" w:line="294" w:lineRule="auto"/>
        <w:rPr>
          <w:sz w:val="20"/>
          <w:szCs w:val="20"/>
          <w:color w:val="auto"/>
        </w:rPr>
      </w:pPr>
      <w:r>
        <w:rPr>
          <w:rFonts w:ascii="Arial" w:cs="Arial" w:eastAsia="Arial" w:hAnsi="Arial"/>
          <w:sz w:val="16"/>
          <w:szCs w:val="16"/>
          <w:color w:val="auto"/>
        </w:rPr>
        <w:t>Mr. Edens is compensated by FIG LLC for services performed for the benefit of Fortress and certain other Fortress entities. However, none of the compensation received by Mr. Edens from FIG LLC is compensation for services rendered to us. Rather, Mr. Edens has elected to serve as our CEO without compensation, primarily due to his substantial ownership stake in us. Consequently, disclosure of compensation paid by FIG LLC to Mr. Edens would in no way reflect compensation for services provided to us and would be misleading to shareholders. As such, compensation information for Mr. Edens is not included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Summary Compensation Table</w:t>
      </w:r>
    </w:p>
    <w:p>
      <w:pPr>
        <w:spacing w:after="0" w:line="119" w:lineRule="exact"/>
        <w:rPr>
          <w:sz w:val="20"/>
          <w:szCs w:val="20"/>
          <w:color w:val="auto"/>
        </w:rPr>
      </w:pPr>
    </w:p>
    <w:p>
      <w:pPr>
        <w:ind w:right="100" w:firstLine="357"/>
        <w:spacing w:after="0" w:line="274" w:lineRule="auto"/>
        <w:rPr>
          <w:sz w:val="20"/>
          <w:szCs w:val="20"/>
          <w:color w:val="auto"/>
        </w:rPr>
      </w:pPr>
      <w:r>
        <w:rPr>
          <w:rFonts w:ascii="Arial" w:cs="Arial" w:eastAsia="Arial" w:hAnsi="Arial"/>
          <w:sz w:val="18"/>
          <w:szCs w:val="18"/>
          <w:color w:val="auto"/>
        </w:rPr>
        <w:t>The following table provides information regarding the compensation earned by the named executive officers during the fiscal year ended December 31, 2018.</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23"/>
                <w:szCs w:val="23"/>
                <w:b w:val="1"/>
                <w:bCs w:val="1"/>
                <w:color w:val="auto"/>
                <w:vertAlign w:val="superscript"/>
              </w:rPr>
              <w:t>2</w:t>
            </w:r>
          </w:p>
        </w:tc>
        <w:tc>
          <w:tcPr>
            <w:tcW w:w="200" w:type="dxa"/>
            <w:vAlign w:val="bottom"/>
            <w:vMerge w:val="restart"/>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Compensation</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5"/>
                <w:szCs w:val="15"/>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Salary ($)</w:t>
            </w:r>
          </w:p>
        </w:tc>
        <w:tc>
          <w:tcPr>
            <w:tcW w:w="18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Total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0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b w:val="1"/>
                <w:bCs w:val="1"/>
                <w:color w:val="auto"/>
              </w:rPr>
              <w:t xml:space="preserve">Wesley R. Edens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Chief Executive Officer</w:t>
            </w:r>
            <w:r>
              <w:rPr>
                <w:rFonts w:ascii="Arial" w:cs="Arial" w:eastAsia="Arial" w:hAnsi="Arial"/>
                <w:sz w:val="26"/>
                <w:szCs w:val="26"/>
                <w:color w:val="auto"/>
                <w:vertAlign w:val="superscript"/>
              </w:rPr>
              <w:t>1</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2018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Christopher S. Guinta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Chief Financial Officer</w:t>
            </w:r>
          </w:p>
        </w:tc>
        <w:tc>
          <w:tcPr>
            <w:tcW w:w="840" w:type="dxa"/>
            <w:vAlign w:val="bottom"/>
            <w:gridSpan w:val="3"/>
          </w:tcPr>
          <w:p>
            <w:pPr>
              <w:jc w:val="right"/>
              <w:ind w:right="200"/>
              <w:spacing w:after="0"/>
              <w:rPr>
                <w:sz w:val="20"/>
                <w:szCs w:val="20"/>
                <w:color w:val="auto"/>
              </w:rPr>
            </w:pPr>
            <w:r>
              <w:rPr>
                <w:rFonts w:ascii="Arial" w:cs="Arial" w:eastAsia="Arial" w:hAnsi="Arial"/>
                <w:sz w:val="17"/>
                <w:szCs w:val="17"/>
                <w:color w:val="auto"/>
              </w:rPr>
              <w:t>2018</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350,000</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350,000</w:t>
            </w:r>
          </w:p>
        </w:tc>
        <w:tc>
          <w:tcPr>
            <w:tcW w:w="0" w:type="dxa"/>
            <w:vAlign w:val="bottom"/>
          </w:tcPr>
          <w:p>
            <w:pPr>
              <w:spacing w:after="0"/>
              <w:rPr>
                <w:sz w:val="1"/>
                <w:szCs w:val="1"/>
                <w:color w:val="auto"/>
              </w:rPr>
            </w:pPr>
          </w:p>
        </w:tc>
      </w:tr>
      <w:tr>
        <w:trPr>
          <w:trHeight w:val="227"/>
        </w:trPr>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2017</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255,208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475,000</w:t>
            </w:r>
            <w:r>
              <w:rPr>
                <w:rFonts w:ascii="Arial" w:cs="Arial" w:eastAsia="Arial" w:hAnsi="Arial"/>
                <w:sz w:val="14"/>
                <w:szCs w:val="14"/>
                <w:color w:val="auto"/>
              </w:rPr>
              <w:t>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35,422</w:t>
            </w:r>
            <w:r>
              <w:rPr>
                <w:rFonts w:ascii="Arial" w:cs="Arial" w:eastAsia="Arial" w:hAnsi="Arial"/>
                <w:sz w:val="14"/>
                <w:szCs w:val="14"/>
                <w:color w:val="auto"/>
              </w:rPr>
              <w:t>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765,630</w:t>
            </w:r>
          </w:p>
        </w:tc>
        <w:tc>
          <w:tcPr>
            <w:tcW w:w="0" w:type="dxa"/>
            <w:vAlign w:val="bottom"/>
          </w:tcPr>
          <w:p>
            <w:pPr>
              <w:spacing w:after="0"/>
              <w:rPr>
                <w:sz w:val="1"/>
                <w:szCs w:val="1"/>
                <w:color w:val="auto"/>
              </w:rPr>
            </w:pPr>
          </w:p>
        </w:tc>
      </w:tr>
      <w:tr>
        <w:trPr>
          <w:trHeight w:val="234"/>
        </w:trPr>
        <w:tc>
          <w:tcPr>
            <w:tcW w:w="4200" w:type="dxa"/>
            <w:vAlign w:val="bottom"/>
            <w:gridSpan w:val="2"/>
            <w:shd w:val="clear" w:color="auto" w:fill="CCEDFF"/>
          </w:tcPr>
          <w:p>
            <w:pPr>
              <w:spacing w:after="0" w:line="233" w:lineRule="exact"/>
              <w:rPr>
                <w:sz w:val="20"/>
                <w:szCs w:val="20"/>
                <w:color w:val="auto"/>
              </w:rPr>
            </w:pPr>
            <w:r>
              <w:rPr>
                <w:rFonts w:ascii="Arial" w:cs="Arial" w:eastAsia="Arial" w:hAnsi="Arial"/>
                <w:sz w:val="16"/>
                <w:szCs w:val="16"/>
                <w:b w:val="1"/>
                <w:bCs w:val="1"/>
                <w:color w:val="auto"/>
              </w:rPr>
              <w:t xml:space="preserve">Michael J. Utsler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Chief Operating Officer</w:t>
            </w:r>
            <w:r>
              <w:rPr>
                <w:rFonts w:ascii="Arial" w:cs="Arial" w:eastAsia="Arial" w:hAnsi="Arial"/>
                <w:sz w:val="27"/>
                <w:szCs w:val="27"/>
                <w:color w:val="auto"/>
                <w:vertAlign w:val="superscript"/>
              </w:rPr>
              <w:t>5</w:t>
            </w:r>
          </w:p>
        </w:tc>
        <w:tc>
          <w:tcPr>
            <w:tcW w:w="840" w:type="dxa"/>
            <w:vAlign w:val="bottom"/>
            <w:gridSpan w:val="3"/>
            <w:shd w:val="clear" w:color="auto" w:fill="CCEDFF"/>
          </w:tcPr>
          <w:p>
            <w:pPr>
              <w:jc w:val="right"/>
              <w:ind w:right="200"/>
              <w:spacing w:after="0"/>
              <w:rPr>
                <w:sz w:val="20"/>
                <w:szCs w:val="20"/>
                <w:color w:val="auto"/>
              </w:rPr>
            </w:pPr>
            <w:r>
              <w:rPr>
                <w:rFonts w:ascii="Arial" w:cs="Arial" w:eastAsia="Arial" w:hAnsi="Arial"/>
                <w:sz w:val="17"/>
                <w:szCs w:val="17"/>
                <w:color w:val="auto"/>
              </w:rPr>
              <w:t>2018</w:t>
            </w:r>
          </w:p>
        </w:tc>
        <w:tc>
          <w:tcPr>
            <w:tcW w:w="1020" w:type="dxa"/>
            <w:vAlign w:val="bottom"/>
            <w:gridSpan w:val="2"/>
            <w:shd w:val="clear" w:color="auto" w:fill="CCEDFF"/>
          </w:tcPr>
          <w:p>
            <w:pPr>
              <w:jc w:val="right"/>
              <w:ind w:right="180"/>
              <w:spacing w:after="0"/>
              <w:rPr>
                <w:sz w:val="20"/>
                <w:szCs w:val="20"/>
                <w:color w:val="auto"/>
              </w:rPr>
            </w:pPr>
            <w:r>
              <w:rPr>
                <w:rFonts w:ascii="Arial" w:cs="Arial" w:eastAsia="Arial" w:hAnsi="Arial"/>
                <w:sz w:val="17"/>
                <w:szCs w:val="17"/>
                <w:color w:val="auto"/>
              </w:rPr>
              <w:t>212,500</w:t>
            </w:r>
          </w:p>
        </w:tc>
        <w:tc>
          <w:tcPr>
            <w:tcW w:w="1140" w:type="dxa"/>
            <w:vAlign w:val="bottom"/>
            <w:gridSpan w:val="2"/>
            <w:shd w:val="clear" w:color="auto" w:fill="CCEDFF"/>
          </w:tcPr>
          <w:p>
            <w:pPr>
              <w:jc w:val="right"/>
              <w:ind w:right="120"/>
              <w:spacing w:after="0"/>
              <w:rPr>
                <w:sz w:val="20"/>
                <w:szCs w:val="20"/>
                <w:color w:val="auto"/>
              </w:rPr>
            </w:pPr>
            <w:r>
              <w:rPr>
                <w:rFonts w:ascii="Arial" w:cs="Arial" w:eastAsia="Arial" w:hAnsi="Arial"/>
                <w:sz w:val="17"/>
                <w:szCs w:val="17"/>
                <w:color w:val="auto"/>
              </w:rPr>
              <w:t>75,000</w:t>
            </w:r>
            <w:r>
              <w:rPr>
                <w:rFonts w:ascii="Arial" w:cs="Arial" w:eastAsia="Arial" w:hAnsi="Arial"/>
                <w:sz w:val="14"/>
                <w:szCs w:val="14"/>
                <w:color w:val="auto"/>
              </w:rPr>
              <w:t>6</w:t>
            </w:r>
          </w:p>
        </w:tc>
        <w:tc>
          <w:tcPr>
            <w:tcW w:w="1400" w:type="dxa"/>
            <w:vAlign w:val="bottom"/>
            <w:gridSpan w:val="2"/>
            <w:shd w:val="clear" w:color="auto" w:fill="CCEDFF"/>
          </w:tcPr>
          <w:p>
            <w:pPr>
              <w:jc w:val="right"/>
              <w:ind w:right="120"/>
              <w:spacing w:after="0"/>
              <w:rPr>
                <w:sz w:val="20"/>
                <w:szCs w:val="20"/>
                <w:color w:val="auto"/>
              </w:rPr>
            </w:pPr>
            <w:r>
              <w:rPr>
                <w:rFonts w:ascii="Arial" w:cs="Arial" w:eastAsia="Arial" w:hAnsi="Arial"/>
                <w:sz w:val="17"/>
                <w:szCs w:val="17"/>
                <w:color w:val="auto"/>
              </w:rPr>
              <w:t>63,399</w:t>
            </w:r>
            <w:r>
              <w:rPr>
                <w:rFonts w:ascii="Arial" w:cs="Arial" w:eastAsia="Arial" w:hAnsi="Arial"/>
                <w:sz w:val="14"/>
                <w:szCs w:val="14"/>
                <w:color w:val="auto"/>
              </w:rPr>
              <w:t>7</w:t>
            </w:r>
          </w:p>
        </w:tc>
        <w:tc>
          <w:tcPr>
            <w:tcW w:w="900" w:type="dxa"/>
            <w:vAlign w:val="bottom"/>
            <w:gridSpan w:val="2"/>
            <w:shd w:val="clear" w:color="auto" w:fill="CCEDFF"/>
          </w:tcPr>
          <w:p>
            <w:pPr>
              <w:jc w:val="right"/>
              <w:ind w:right="60"/>
              <w:spacing w:after="0"/>
              <w:rPr>
                <w:sz w:val="20"/>
                <w:szCs w:val="20"/>
                <w:color w:val="auto"/>
              </w:rPr>
            </w:pPr>
            <w:r>
              <w:rPr>
                <w:rFonts w:ascii="Arial" w:cs="Arial" w:eastAsia="Arial" w:hAnsi="Arial"/>
                <w:sz w:val="17"/>
                <w:szCs w:val="17"/>
                <w:color w:val="auto"/>
              </w:rPr>
              <w:t>350,899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-288925</wp:posOffset>
            </wp:positionV>
            <wp:extent cx="3373120" cy="1447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73120" cy="1447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127635</wp:posOffset>
            </wp:positionV>
            <wp:extent cx="9029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spacing w:after="0" w:line="297" w:lineRule="exact"/>
        <w:rPr>
          <w:sz w:val="20"/>
          <w:szCs w:val="20"/>
          <w:color w:val="auto"/>
        </w:rPr>
      </w:pPr>
    </w:p>
    <w:p>
      <w:pPr>
        <w:ind w:left="360" w:right="60" w:hanging="355"/>
        <w:spacing w:after="0" w:line="309" w:lineRule="auto"/>
        <w:tabs>
          <w:tab w:leader="none" w:pos="3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Mr. Edens was appointed as our Chief Executive Officer effective as of August 6, 2018. As described more fully above, this table does not include information regarding compensation paid to Mr. Edens because Mr. Edens does not receive any compensation from any party for services rendered to us.</w:t>
      </w:r>
    </w:p>
    <w:p>
      <w:pPr>
        <w:spacing w:after="0" w:line="44" w:lineRule="exact"/>
        <w:rPr>
          <w:rFonts w:ascii="Arial" w:cs="Arial" w:eastAsia="Arial" w:hAnsi="Arial"/>
          <w:sz w:val="13"/>
          <w:szCs w:val="13"/>
          <w:color w:val="auto"/>
        </w:rPr>
      </w:pPr>
    </w:p>
    <w:p>
      <w:pPr>
        <w:jc w:val="both"/>
        <w:ind w:left="360" w:right="340" w:hanging="355"/>
        <w:spacing w:after="0" w:line="284" w:lineRule="auto"/>
        <w:tabs>
          <w:tab w:leader="none" w:pos="3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Bonus amounts for services rendered in 2018 cannot be calculated as of the date of this prospectus. Once bonus amounts for services rendered in 2018 are determined, such amounts (including an updated total of compensation paid for 2018) will be filed with the SEC on Form 8-K. For additional information regarding potential bonuses, see “Narrative Disclosure to Summary Compensation Table — Cash Bonus” below.</w:t>
      </w:r>
    </w:p>
    <w:p>
      <w:pPr>
        <w:spacing w:after="0" w:line="59" w:lineRule="exact"/>
        <w:rPr>
          <w:rFonts w:ascii="Arial" w:cs="Arial" w:eastAsia="Arial" w:hAnsi="Arial"/>
          <w:sz w:val="13"/>
          <w:szCs w:val="13"/>
          <w:color w:val="auto"/>
        </w:rPr>
      </w:pPr>
    </w:p>
    <w:p>
      <w:pPr>
        <w:ind w:left="360" w:right="140" w:hanging="355"/>
        <w:spacing w:after="0" w:line="270"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(i) a $75,000 sign-on bonus paid to Mr. Guinta in 2017 in connection with his appointment and (ii) an annual bonus for services rendered in 2017, but paid in 2018.</w:t>
      </w:r>
    </w:p>
    <w:p>
      <w:pPr>
        <w:spacing w:after="0" w:line="67" w:lineRule="exact"/>
        <w:rPr>
          <w:rFonts w:ascii="Arial" w:cs="Arial" w:eastAsia="Arial" w:hAnsi="Arial"/>
          <w:sz w:val="14"/>
          <w:szCs w:val="14"/>
          <w:color w:val="auto"/>
        </w:rPr>
      </w:pPr>
    </w:p>
    <w:p>
      <w:pPr>
        <w:ind w:left="360" w:right="60" w:hanging="355"/>
        <w:spacing w:after="0" w:line="270"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(i) reimbursement for relocation expenses incurred as a result of Mr. Guinta’s appointment and relocation to New York, New York in the amount of $26,012 and (ii) a tax gross-up payment in the amount of $9,410.</w:t>
      </w:r>
    </w:p>
    <w:p>
      <w:pPr>
        <w:spacing w:after="0" w:line="67" w:lineRule="exact"/>
        <w:rPr>
          <w:rFonts w:ascii="Arial" w:cs="Arial" w:eastAsia="Arial" w:hAnsi="Arial"/>
          <w:sz w:val="14"/>
          <w:szCs w:val="14"/>
          <w:color w:val="auto"/>
        </w:rPr>
      </w:pPr>
    </w:p>
    <w:p>
      <w:pPr>
        <w:ind w:left="360" w:hanging="355"/>
        <w:spacing w:after="0"/>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Utsler was appointed as our Chief Operating Officer effective as of October 29, 2018.</w:t>
      </w:r>
    </w:p>
    <w:p>
      <w:pPr>
        <w:spacing w:after="0" w:line="107" w:lineRule="exact"/>
        <w:rPr>
          <w:rFonts w:ascii="Arial" w:cs="Arial" w:eastAsia="Arial" w:hAnsi="Arial"/>
          <w:sz w:val="14"/>
          <w:szCs w:val="14"/>
          <w:color w:val="auto"/>
        </w:rPr>
      </w:pPr>
    </w:p>
    <w:p>
      <w:pPr>
        <w:ind w:left="360" w:hanging="355"/>
        <w:spacing w:after="0"/>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a sign-on bonus paid to Mr. Utsler in connection with his appointment.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8" w:lineRule="exact"/>
        <w:rPr>
          <w:sz w:val="20"/>
          <w:szCs w:val="20"/>
          <w:color w:val="auto"/>
        </w:rPr>
      </w:pPr>
    </w:p>
    <w:p>
      <w:pPr>
        <w:ind w:left="360" w:right="80" w:hanging="355"/>
        <w:spacing w:after="0" w:line="317" w:lineRule="auto"/>
        <w:tabs>
          <w:tab w:leader="none" w:pos="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Represents (i) a tax gross-up payment made to Mr. Utsler with respect to his sign-on bonus in the amount of $48,366 pursuant to the terms of his employment offer letter and (ii) reimbursement for temporary housing in connection with his relocation to Miami, Florida in the amount of $15,033. For additional information regarding Mr. Utsler’s employment offer letter, see “Narrative Disclosure to Summary Compensation Table — Utsler Offer Letter” below.</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Base Salary</w:t>
      </w:r>
    </w:p>
    <w:p>
      <w:pPr>
        <w:spacing w:after="0" w:line="115" w:lineRule="exact"/>
        <w:rPr>
          <w:sz w:val="20"/>
          <w:szCs w:val="20"/>
          <w:color w:val="auto"/>
        </w:rPr>
      </w:pPr>
    </w:p>
    <w:p>
      <w:pPr>
        <w:ind w:right="40" w:firstLine="357"/>
        <w:spacing w:after="0" w:line="253" w:lineRule="auto"/>
        <w:rPr>
          <w:sz w:val="20"/>
          <w:szCs w:val="20"/>
          <w:color w:val="auto"/>
        </w:rPr>
      </w:pPr>
      <w:r>
        <w:rPr>
          <w:rFonts w:ascii="Arial" w:cs="Arial" w:eastAsia="Arial" w:hAnsi="Arial"/>
          <w:sz w:val="18"/>
          <w:szCs w:val="18"/>
          <w:color w:val="auto"/>
        </w:rPr>
        <w:t>Base salary is a fixed component of compensation for each year, which may be increased from time to time based on the individual’s performance and other factors as determined by the sole member of New Fortress Energy Holdings. Base salaries were originally set pursuant to negotiations with the named executive officer at the time of hire. As previously noted, Mr. Edens does not receive compensation from us. For 2018, annualized base salaries for Mr. Guinta and Mr. Utsler were $350,000 and $1,200,000, respectively. For additional information on the elements of Mr. Guinta’s and Mr. Utsler’s compensation, see “Narrative Disclosure to Summary Compensation Table — Guinta Offer Letter” and “Narrative Disclosure to Summary Compensation Table — Utsler Offer Letter” below.</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Bonus</w:t>
      </w:r>
    </w:p>
    <w:p>
      <w:pPr>
        <w:spacing w:after="0" w:line="115" w:lineRule="exact"/>
        <w:rPr>
          <w:sz w:val="20"/>
          <w:szCs w:val="20"/>
          <w:color w:val="auto"/>
        </w:rPr>
      </w:pPr>
    </w:p>
    <w:p>
      <w:pPr>
        <w:ind w:right="180" w:firstLine="357"/>
        <w:spacing w:after="0" w:line="271" w:lineRule="auto"/>
        <w:rPr>
          <w:sz w:val="20"/>
          <w:szCs w:val="20"/>
          <w:color w:val="auto"/>
        </w:rPr>
      </w:pPr>
      <w:r>
        <w:rPr>
          <w:rFonts w:ascii="Arial" w:cs="Arial" w:eastAsia="Arial" w:hAnsi="Arial"/>
          <w:sz w:val="17"/>
          <w:szCs w:val="17"/>
          <w:color w:val="auto"/>
        </w:rPr>
        <w:t>For 2018, target bonus opportunities for Mr. Guinta and Mr. Utsler were 125% and between 100% and 150% of annualized base salary, respectively. Following a review of performance by our Board of Directors and its subsidiaries as well as the contributions of Mr. Guinta and Mr. Utsler to that performance, our Board of Directors will determine the actual amount of the bonuses payable to Mr. Guinta and Mr. Utsler. For additional information regarding the elements of Mr. Guinta’s and Mr. Utsler’s compensation, see “Narrative Disclosure to Summary Compensation Table — Guinta Offer Letter” and “Narrative Disclosure to Summary Compensation Table — Utsler Offer Letter” below.</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Long-Term Incentive Awards</w:t>
      </w:r>
    </w:p>
    <w:p>
      <w:pPr>
        <w:spacing w:after="0" w:line="115" w:lineRule="exact"/>
        <w:rPr>
          <w:sz w:val="20"/>
          <w:szCs w:val="20"/>
          <w:color w:val="auto"/>
        </w:rPr>
      </w:pPr>
    </w:p>
    <w:p>
      <w:pPr>
        <w:jc w:val="both"/>
        <w:ind w:right="320" w:firstLine="357"/>
        <w:spacing w:after="0" w:line="261" w:lineRule="auto"/>
        <w:rPr>
          <w:sz w:val="20"/>
          <w:szCs w:val="20"/>
          <w:color w:val="auto"/>
        </w:rPr>
      </w:pPr>
      <w:r>
        <w:rPr>
          <w:rFonts w:ascii="Arial" w:cs="Arial" w:eastAsia="Arial" w:hAnsi="Arial"/>
          <w:sz w:val="18"/>
          <w:szCs w:val="18"/>
          <w:color w:val="auto"/>
        </w:rPr>
        <w:t>The named executive officers were not granted long-term incentive awards during 2018. However, in connection with this offering, we intend to adopt a long-term incentive plan. For more details on the terms of the long-term incentive plan, see “NFE 2019 Omnibus Incentive Plan,” below.</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Guinta Offer Letter</w:t>
      </w:r>
    </w:p>
    <w:p>
      <w:pPr>
        <w:spacing w:after="0" w:line="115" w:lineRule="exact"/>
        <w:rPr>
          <w:sz w:val="20"/>
          <w:szCs w:val="20"/>
          <w:color w:val="auto"/>
        </w:rPr>
      </w:pPr>
    </w:p>
    <w:p>
      <w:pPr>
        <w:ind w:firstLine="357"/>
        <w:spacing w:after="0" w:line="288" w:lineRule="auto"/>
        <w:rPr>
          <w:sz w:val="20"/>
          <w:szCs w:val="20"/>
          <w:color w:val="auto"/>
        </w:rPr>
      </w:pPr>
      <w:r>
        <w:rPr>
          <w:rFonts w:ascii="Arial" w:cs="Arial" w:eastAsia="Arial" w:hAnsi="Arial"/>
          <w:sz w:val="16"/>
          <w:szCs w:val="16"/>
          <w:color w:val="auto"/>
        </w:rPr>
        <w:t>On March 14, 2017, NFE Management, LLC entered into an offer letter (the “Guinta Offer Letter”) with Mr. Guinta. The Guinta Offer Letter provides Mr. Guinta with (a) an annualized base salary of $350,000, (b) a discretionary target bonus opportunity equal to 125% of annual base salary (with a guaranteed $250,000 bonus for calendar year 2017), (c) a sign-on bonus of $75,000, which is required to be repaid by Mr. Guinta in the event of his resignation or termination of employment for Cause (as defined below) prior to the first anniversary of his start date, (d) subject to the adoption of a definitive equity compensation plan, an equity award grant with a grant date value of $2,500,000, which will be governed by the terms of such equity compensation plan and the applicable documents underlying the grant, and (e) eligibility to participate in the broad-based employee benefit plans, as may be adopted from time to time, subject to the eligibility requirements of such employee benefit plans.</w:t>
      </w:r>
    </w:p>
    <w:p>
      <w:pPr>
        <w:spacing w:after="0" w:line="58" w:lineRule="exact"/>
        <w:rPr>
          <w:sz w:val="20"/>
          <w:szCs w:val="20"/>
          <w:color w:val="auto"/>
        </w:rPr>
      </w:pPr>
    </w:p>
    <w:p>
      <w:pPr>
        <w:jc w:val="both"/>
        <w:ind w:right="660" w:firstLine="357"/>
        <w:spacing w:after="0" w:line="309" w:lineRule="auto"/>
        <w:rPr>
          <w:sz w:val="20"/>
          <w:szCs w:val="20"/>
          <w:color w:val="auto"/>
        </w:rPr>
      </w:pPr>
      <w:r>
        <w:rPr>
          <w:rFonts w:ascii="Arial" w:cs="Arial" w:eastAsia="Arial" w:hAnsi="Arial"/>
          <w:sz w:val="16"/>
          <w:szCs w:val="16"/>
          <w:color w:val="auto"/>
        </w:rPr>
        <w:t>The Guinta Offer Letter also contains certain restrictive covenants, including (a) non-competition and non-solicitation covenants that are applicable during Mr. Guinta’s term of employment, and for twelve months following his resignation or termination of his employment for Cause and (b) restrictions on disclosure of confidential information.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Utsler Offer Letter</w:t>
      </w:r>
    </w:p>
    <w:p>
      <w:pPr>
        <w:spacing w:after="0" w:line="115"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On August 30, 2018, NFE Management, LLC entered into an offer letter (the “Utsler Offer Letter”) with Mr. Utsler. The Utsler Offer Letter provides Mr. Utsler with (a) an annualized base salary of $1,200,000, (b) a discretionary target bonus opportunity equal to between 100% and 150% of annual base salary (prorated for calendar year 2018), (c) a sign-on bonus of $75,000, calculated and paid on a tax grossed-up basis, a 12-month pro-rated portion of which is required to be repaid by Mr. Utsler in the event of his resignation or termination of employment for Cause (as defined below) prior to the first anniversary of his start date, (d) subject to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adoption of a definitive equity compensation plan, an equity award grant with a grant date value of $10,000,000, which will be governed by the terms of such equity compensation plan and the applicable documents underlying the grant, (e) residential accommodations in Miami, Florida for a period of ninety days to assist with relocation, and (f) eligibility to participate in the broad-based employee benefit plans, as may be adopted from time to time, subject to the eligibility requirements of such employee benefit plans.</w:t>
      </w:r>
    </w:p>
    <w:p>
      <w:pPr>
        <w:spacing w:after="0" w:line="81" w:lineRule="exact"/>
        <w:rPr>
          <w:sz w:val="20"/>
          <w:szCs w:val="20"/>
          <w:color w:val="auto"/>
        </w:rPr>
      </w:pPr>
    </w:p>
    <w:p>
      <w:pPr>
        <w:ind w:right="180" w:firstLine="357"/>
        <w:spacing w:after="0" w:line="261" w:lineRule="auto"/>
        <w:rPr>
          <w:sz w:val="20"/>
          <w:szCs w:val="20"/>
          <w:color w:val="auto"/>
        </w:rPr>
      </w:pPr>
      <w:r>
        <w:rPr>
          <w:rFonts w:ascii="Arial" w:cs="Arial" w:eastAsia="Arial" w:hAnsi="Arial"/>
          <w:sz w:val="18"/>
          <w:szCs w:val="18"/>
          <w:color w:val="auto"/>
        </w:rPr>
        <w:t>The Utsler Offer Letter also contains certain restrictive covenants, including (a) non-competition and non-solicitation covenants that are applicable during Mr. Utsler’s term of employment, and for six months following his resignation or termination of his employment for Cause and (b) restrictions on disclosure of confidential information.</w:t>
      </w:r>
    </w:p>
    <w:p>
      <w:pPr>
        <w:spacing w:after="0" w:line="76"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As used in the Guinta and Utsler Offer Letters, “Cause” generally means the executive’s (i) willful misconduct or gross negligence in the performance of his duties; (ii) failure to perform his duties or to follow the lawful directives of the board of directors; (iii) commission of, indictment for, conviction of, or pleading of guilty or nolo contendere to, a felony or any crime involving moral turpitude; (iv) failure to cooperate in any audit or investigation of the business or financial practices of any member of NFE Management, LLC or any of its affiliates or any facility managed by any of the foregoing entities (collectively, the “Company Group”); (v) performance of any material act of theft, embezzlement, fraud, malfeasance, dishonesty or misappropriation of the property of any member of the Company Group; or (vi) breach of the applicable Offer Letter or any other agreement with a member of the Company Group, including (without limitation), a violation of the code of conduct or other written policy of any such entity.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named executive officers had not been granted equity awards as of December 31, 2018.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 2019 Omnibus Incentive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5" w:lineRule="exact"/>
        <w:rPr>
          <w:sz w:val="20"/>
          <w:szCs w:val="20"/>
          <w:color w:val="auto"/>
        </w:rPr>
      </w:pPr>
    </w:p>
    <w:p>
      <w:pPr>
        <w:ind w:right="40" w:firstLine="357"/>
        <w:spacing w:after="0" w:line="291" w:lineRule="auto"/>
        <w:rPr>
          <w:sz w:val="20"/>
          <w:szCs w:val="20"/>
          <w:color w:val="auto"/>
        </w:rPr>
      </w:pPr>
      <w:r>
        <w:rPr>
          <w:rFonts w:ascii="Arial" w:cs="Arial" w:eastAsia="Arial" w:hAnsi="Arial"/>
          <w:sz w:val="16"/>
          <w:szCs w:val="16"/>
          <w:color w:val="auto"/>
        </w:rPr>
        <w:t>Prior to the completion of this offering, we will adopt the NFE 2019 Omnibus Incentive Plan (the “Plan”). The purposes of the Plan will be to provide additional incentives to selected employees, directors, independent contractors and consultants of NFE or its affiliates, to strengthen their commitment, motivate them to faithfully and diligently perform their responsibilities and to attract and retain competent and dedicated persons who are essential to the success of our business and whose efforts will impact our long-term growth and profitability. To accomplish these purposes, the Plan will provide for the issuance of options, share appreciation rights (“SARs”), restricted shares, restricted share units (“RSUs”), share bonuses, other share-based awards and cash awards.</w:t>
      </w:r>
    </w:p>
    <w:p>
      <w:pPr>
        <w:spacing w:after="0" w:line="57" w:lineRule="exact"/>
        <w:rPr>
          <w:sz w:val="20"/>
          <w:szCs w:val="20"/>
          <w:color w:val="auto"/>
        </w:rPr>
      </w:pPr>
    </w:p>
    <w:p>
      <w:pPr>
        <w:ind w:right="80" w:firstLine="357"/>
        <w:spacing w:after="0" w:line="257" w:lineRule="auto"/>
        <w:rPr>
          <w:sz w:val="20"/>
          <w:szCs w:val="20"/>
          <w:color w:val="auto"/>
        </w:rPr>
      </w:pPr>
      <w:r>
        <w:rPr>
          <w:rFonts w:ascii="Arial" w:cs="Arial" w:eastAsia="Arial" w:hAnsi="Arial"/>
          <w:sz w:val="18"/>
          <w:szCs w:val="18"/>
          <w:color w:val="auto"/>
        </w:rPr>
        <w:t>Effective as of the date of the offering, we intend to grant RSUs under the Plan to our non-employee directors. It is anticipated that the awards to directors will have a grant date value of approximately $1,000,000, calculated based on the price per share in this offering, and that such awards will vest in three equal installments on the date of each of the three annual meetings following the date of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Expected Plan Terms</w:t>
      </w:r>
    </w:p>
    <w:p>
      <w:pPr>
        <w:spacing w:after="0" w:line="115" w:lineRule="exact"/>
        <w:rPr>
          <w:sz w:val="20"/>
          <w:szCs w:val="20"/>
          <w:color w:val="auto"/>
        </w:rPr>
      </w:pPr>
    </w:p>
    <w:p>
      <w:pPr>
        <w:ind w:right="100" w:firstLine="357"/>
        <w:spacing w:after="0" w:line="294" w:lineRule="auto"/>
        <w:rPr>
          <w:sz w:val="20"/>
          <w:szCs w:val="20"/>
          <w:color w:val="auto"/>
        </w:rPr>
      </w:pPr>
      <w:r>
        <w:rPr>
          <w:rFonts w:ascii="Arial" w:cs="Arial" w:eastAsia="Arial" w:hAnsi="Arial"/>
          <w:sz w:val="16"/>
          <w:szCs w:val="16"/>
          <w:color w:val="auto"/>
        </w:rPr>
        <w:t>A total number of our Class A shares equal to 10% of the aggregate of our outstanding Class A and Class B shares as of the completion of this offering will be reserved and available for issuance under the Plan, as increased on the first day of each fiscal year beginning in calendar year 2020 by a number of Class A shares equal to the excess of 10% of the aggregate number of outstanding Class A and Class B shares on the last day of the immediately preceding fiscal year, over the number of Class A shares reserved and available for issuance under the Plan as of the last day of the immediately preceding fiscal year.</w:t>
      </w:r>
    </w:p>
    <w:p>
      <w:pPr>
        <w:spacing w:after="0" w:line="54" w:lineRule="exact"/>
        <w:rPr>
          <w:sz w:val="20"/>
          <w:szCs w:val="20"/>
          <w:color w:val="auto"/>
        </w:rPr>
      </w:pPr>
    </w:p>
    <w:p>
      <w:pPr>
        <w:ind w:right="20" w:firstLine="357"/>
        <w:spacing w:after="0" w:line="289" w:lineRule="auto"/>
        <w:rPr>
          <w:sz w:val="20"/>
          <w:szCs w:val="20"/>
          <w:color w:val="auto"/>
        </w:rPr>
      </w:pPr>
      <w:r>
        <w:rPr>
          <w:rFonts w:ascii="Arial" w:cs="Arial" w:eastAsia="Arial" w:hAnsi="Arial"/>
          <w:sz w:val="16"/>
          <w:szCs w:val="16"/>
          <w:color w:val="auto"/>
        </w:rPr>
        <w:t>Class A shares subject to an award under the Plan that remain unissued upon the cancellation, termination or expiration of the award will again become available for grant under the Plan. Additionally, Class A shares that are exchanged by a participant or withheld by us as full or partial payment in connection with any award under the Plan, as well as any Class A shares exchanged by a participant or withheld by us to satisfy the tax withholding obligations related to any award, will also be available for subsequent awards under the Plan. To the extent an award is paid or settled in cash, the number of Class A shares previously subject to the award will again be available for grants pursuant to the Plan. To the extent that an award can only be settled in cash, such award will not be counted against the total number of Class A shares available for grant under the Plan.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80" w:firstLine="357"/>
        <w:spacing w:after="0" w:line="257" w:lineRule="auto"/>
        <w:rPr>
          <w:sz w:val="20"/>
          <w:szCs w:val="20"/>
          <w:color w:val="auto"/>
        </w:rPr>
      </w:pPr>
      <w:r>
        <w:rPr>
          <w:rFonts w:ascii="Arial" w:cs="Arial" w:eastAsia="Arial" w:hAnsi="Arial"/>
          <w:sz w:val="18"/>
          <w:szCs w:val="18"/>
          <w:color w:val="auto"/>
        </w:rPr>
        <w:t>We expect that the Plan will initially be administered by our board of directors, although in the future it may be administered by our compensation commmittee, once established, or any other committee of our board of directors. The plan administrator may interpret the Plan and may prescribe, amend and rescind rules and make all other determinations necessary or desirable for the administration of the Plan.</w:t>
      </w:r>
    </w:p>
    <w:p>
      <w:pPr>
        <w:spacing w:after="0" w:line="79" w:lineRule="exact"/>
        <w:rPr>
          <w:sz w:val="20"/>
          <w:szCs w:val="20"/>
          <w:color w:val="auto"/>
        </w:rPr>
      </w:pPr>
    </w:p>
    <w:p>
      <w:pPr>
        <w:ind w:right="40" w:firstLine="357"/>
        <w:spacing w:after="0" w:line="255" w:lineRule="auto"/>
        <w:rPr>
          <w:sz w:val="20"/>
          <w:szCs w:val="20"/>
          <w:color w:val="auto"/>
        </w:rPr>
      </w:pPr>
      <w:r>
        <w:rPr>
          <w:rFonts w:ascii="Arial" w:cs="Arial" w:eastAsia="Arial" w:hAnsi="Arial"/>
          <w:sz w:val="18"/>
          <w:szCs w:val="18"/>
          <w:color w:val="auto"/>
        </w:rPr>
        <w:t>The Plan permits the plan administrator to select the officers, employees, non-employee directors, independent contractors and consultants of NFE or its affiliates who will receive awards, to determine the terms and conditions of those awards, including but not limited to the exercise price or other purchase price of an award, the number of our Class A shares or cash or other property subject to an award, the term of an award and the vesting schedule applicable to an award, and to amend the terms and conditions of outstanding awards.</w:t>
      </w:r>
    </w:p>
    <w:p>
      <w:pPr>
        <w:spacing w:after="0" w:line="81" w:lineRule="exact"/>
        <w:rPr>
          <w:sz w:val="20"/>
          <w:szCs w:val="20"/>
          <w:color w:val="auto"/>
        </w:rPr>
      </w:pPr>
    </w:p>
    <w:p>
      <w:pPr>
        <w:ind w:right="20" w:firstLine="357"/>
        <w:spacing w:after="0" w:line="288" w:lineRule="auto"/>
        <w:rPr>
          <w:sz w:val="20"/>
          <w:szCs w:val="20"/>
          <w:color w:val="auto"/>
        </w:rPr>
      </w:pPr>
      <w:r>
        <w:rPr>
          <w:rFonts w:ascii="Arial" w:cs="Arial" w:eastAsia="Arial" w:hAnsi="Arial"/>
          <w:sz w:val="16"/>
          <w:szCs w:val="16"/>
          <w:color w:val="auto"/>
        </w:rPr>
        <w:t>RSUs and restricted shares may be granted under the Plan. The plan administrator will determine the purchase price, vesting schedule and performance objectives, if any, applicable to the grant of RSUs and restricted shares. If the restrictions, performance objectives or other conditions determined by the plan administrator are not satisfied, the RSUs and restricted shares will be forfeited. Subject to the provisions of the Plan and the applicable individual award agreement, the plan administrator may provide for the lapse of restrictions in installments or the acceleration or waiver of restrictions (in whole or part) under certain circumstances as set forth in the applicable individual award agreement, including the attainment of certain performance goals, a participant’s termination of employment or service or a participant’s death or disability. The rights of RSU and restricted shareholders upon a termination of employment or service will be set forth in individual award agreements.</w:t>
      </w:r>
    </w:p>
    <w:p>
      <w:pPr>
        <w:spacing w:after="0" w:line="58"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Unless the applicable award agreement provides otherwise, participants with restricted shares will generally have all of the rights of a Class A shareholder during the restricted period, including the right to vote and receive dividends declared with respect to such restricted shares. Dividends declared during the restricted period with respect to such restricted shares may be paid or distributed when accrued, or may become payable if the underlying restricted shares vest. During the restricted period, participants with RSUs will generally not have any rights of a Class A shareholder, but, if the applicable individual award agreement so provides, may be credited with dividend equivalent rights. Dividend equivalents may be paid or distributed when accrued, or may be paid at the time that our Class A shares in respect of the related RSUs are delivered to the participant.</w:t>
      </w:r>
    </w:p>
    <w:p>
      <w:pPr>
        <w:spacing w:after="0" w:line="59"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We may issue share options under the Plan. Options granted under the Plan may be in the form of non-qualified options or “incentive share options” within the meaning of Section 422 of the Internal Revenue Code, as set forth in the applicable individual option award agreement. The exercise price of all options granted under the Plan will be determined by the plan administrator, but in no event may the exercise price be less than 100% of the fair market value of the related Class A shares on the date of grant. The maximum term of all share options granted under the Plan will be determined by the plan administrator, but may not exceed ten years. Each share option will vest and become exercisable (including in the event of the optionee’s termination of employment or service) at such time and subject to such terms and conditions as determined by the plan administrator in the applicable individual option agreement.</w:t>
      </w:r>
    </w:p>
    <w:p>
      <w:pPr>
        <w:spacing w:after="0" w:line="86" w:lineRule="exact"/>
        <w:rPr>
          <w:sz w:val="20"/>
          <w:szCs w:val="20"/>
          <w:color w:val="auto"/>
        </w:rPr>
      </w:pPr>
    </w:p>
    <w:p>
      <w:pPr>
        <w:ind w:right="80" w:firstLine="357"/>
        <w:spacing w:after="0" w:line="268" w:lineRule="auto"/>
        <w:rPr>
          <w:sz w:val="20"/>
          <w:szCs w:val="20"/>
          <w:color w:val="auto"/>
        </w:rPr>
      </w:pPr>
      <w:r>
        <w:rPr>
          <w:rFonts w:ascii="Arial" w:cs="Arial" w:eastAsia="Arial" w:hAnsi="Arial"/>
          <w:sz w:val="17"/>
          <w:szCs w:val="17"/>
          <w:color w:val="auto"/>
        </w:rPr>
        <w:t>SARs may be granted under the Plan either alone or in conjunction with all or part of any option granted under the Plan. A free-standing SAR granted under the Plan entitles its holder to receive, at the time of exercise, an amount per share equal to the excess of the fair market value (at the date of exercise) of a Class A share over the base price of the free-standing SAR. A SAR granted in conjunction with all or part of an option under the Plan entitles its holder to receive, at the time of exercise of the SAR and surrender of the related option, an amount per share equal to the excess of the fair market value (at the date of exercise) of a Class A share over the exercise price of the related option. Each SAR will be granted with a base price that is not less than 100% of the fair market value of the related Class A shares on the date of grant. The maximum term of all SARs granted under the Plan will be determined by the plan administrator, but may not exceed ten years. The plan administrator may determine to settle the exercise of a SAR in Class A shares, cash, or any combination thereof.</w:t>
      </w:r>
    </w:p>
    <w:p>
      <w:pPr>
        <w:spacing w:after="0" w:line="74" w:lineRule="exact"/>
        <w:rPr>
          <w:sz w:val="20"/>
          <w:szCs w:val="20"/>
          <w:color w:val="auto"/>
        </w:rPr>
      </w:pPr>
    </w:p>
    <w:p>
      <w:pPr>
        <w:ind w:right="100" w:firstLine="357"/>
        <w:spacing w:after="0" w:line="277" w:lineRule="auto"/>
        <w:rPr>
          <w:sz w:val="20"/>
          <w:szCs w:val="20"/>
          <w:color w:val="auto"/>
        </w:rPr>
      </w:pPr>
      <w:r>
        <w:rPr>
          <w:rFonts w:ascii="Arial" w:cs="Arial" w:eastAsia="Arial" w:hAnsi="Arial"/>
          <w:sz w:val="17"/>
          <w:szCs w:val="17"/>
          <w:color w:val="auto"/>
        </w:rPr>
        <w:t>Each free-standing SAR will vest and become exercisable (including in the event of the SAR holder’s termination of employment or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80" w:firstLine="357"/>
        <w:spacing w:after="0" w:line="289" w:lineRule="auto"/>
        <w:rPr>
          <w:sz w:val="20"/>
          <w:szCs w:val="20"/>
          <w:color w:val="auto"/>
        </w:rPr>
      </w:pPr>
      <w:r>
        <w:rPr>
          <w:rFonts w:ascii="Arial" w:cs="Arial" w:eastAsia="Arial" w:hAnsi="Arial"/>
          <w:sz w:val="16"/>
          <w:szCs w:val="16"/>
          <w:color w:val="auto"/>
        </w:rPr>
        <w:t>Other share-based awards, valued in whole or in part by reference to, or otherwise based on, our Class A shares (including dividend equivalents) may be granted under the Plan. Dividends or dividend equivalents awarded under the Plan may be paid or distributed when accrued, or may be subject to the same restrictions, conditions and risks of forfeiture as the underlying awards and only become payable if the underlying awards vest. The plan administrator will determine the terms and conditions of such other share-based awards, including the number of Class A shares to be granted pursuant to such other share-based awards, the manner in which such other share-based awards will be settled (e.g., in Class A shares, cash or other property), and the conditions to the vesting and payment of such other share-based awards (including the achievement of performance objectives).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Bonuses payable in fully vested Class A shares and awards that are payable solely in cash may also be granted under the Plan.</w:t>
      </w:r>
    </w:p>
    <w:p>
      <w:pPr>
        <w:spacing w:after="0" w:line="138" w:lineRule="exact"/>
        <w:rPr>
          <w:sz w:val="20"/>
          <w:szCs w:val="20"/>
          <w:color w:val="auto"/>
        </w:rPr>
      </w:pPr>
    </w:p>
    <w:p>
      <w:pPr>
        <w:ind w:right="360" w:firstLine="357"/>
        <w:spacing w:after="0" w:line="274" w:lineRule="auto"/>
        <w:rPr>
          <w:sz w:val="20"/>
          <w:szCs w:val="20"/>
          <w:color w:val="auto"/>
        </w:rPr>
      </w:pPr>
      <w:r>
        <w:rPr>
          <w:rFonts w:ascii="Arial" w:cs="Arial" w:eastAsia="Arial" w:hAnsi="Arial"/>
          <w:sz w:val="18"/>
          <w:szCs w:val="18"/>
          <w:color w:val="auto"/>
        </w:rPr>
        <w:t>The plan administrator may grant equity-based awards and incentives under the Plan that are subject to the achievement of performance objectives selected by the plan administrator in its sole discretion.</w:t>
      </w:r>
    </w:p>
    <w:p>
      <w:pPr>
        <w:spacing w:after="0" w:line="64" w:lineRule="exact"/>
        <w:rPr>
          <w:sz w:val="20"/>
          <w:szCs w:val="20"/>
          <w:color w:val="auto"/>
        </w:rPr>
      </w:pPr>
    </w:p>
    <w:p>
      <w:pPr>
        <w:ind w:firstLine="357"/>
        <w:spacing w:after="0" w:line="284" w:lineRule="auto"/>
        <w:rPr>
          <w:sz w:val="20"/>
          <w:szCs w:val="20"/>
          <w:color w:val="auto"/>
        </w:rPr>
      </w:pPr>
      <w:r>
        <w:rPr>
          <w:rFonts w:ascii="Arial" w:cs="Arial" w:eastAsia="Arial" w:hAnsi="Arial"/>
          <w:sz w:val="16"/>
          <w:szCs w:val="16"/>
          <w:color w:val="auto"/>
        </w:rPr>
        <w:t>In the event of a merger, consolidation, reclassification, recapitalization, spin-off, spin-out, repurchase, reorganization, corporate transaction or event, special or extraordinary dividend or other extraordinary distribution (whether in the form of Class A shares, cash or other property), share split, reverse share split, subdivision or consolidation, combination, exchange of shares, or other change in corporate structure affecting our Class A shares, an equitable substitution or proportionate adjustment shall be made, at the sole discretion of the plan administrator, in (i) the aggregate number of our Class A shares reserved for issuance under the Plan, (ii) the kind and number of securities subject to, and the exercise price or base price of, any outstanding options and SARs granted under the Plan, (iii) the kind, number and purchase price of our Class A shares, or the amount of cash or amount or type of property, subject to outstanding restricted shares, RSUs, share bonuses and other share-based awards granted under the Plan, or (iv) the performance goals and periods applicable to award granted under the Plan. Equitable substitutions or adjustments other than those listed above may also be made as determined by the plan administrator. In addition, the plan administrator may terminate all outstanding awards for the payment of cash or in-kind consideration having an aggregate fair market value equal to the excess of the fair market value of Class A shares, cash or other property covered by such awards over the aggregate exercise price or base price, if any, of such awards, but if the exercise price or base price of any outstanding award is equal to or greater than the fair market value of our Class A shares, cash or other property covered by such award, the board of directors may cancel the award without the payment of any consideration to the participant.</w:t>
      </w:r>
    </w:p>
    <w:p>
      <w:pPr>
        <w:spacing w:after="0" w:line="61" w:lineRule="exact"/>
        <w:rPr>
          <w:sz w:val="20"/>
          <w:szCs w:val="20"/>
          <w:color w:val="auto"/>
        </w:rPr>
      </w:pPr>
    </w:p>
    <w:p>
      <w:pPr>
        <w:ind w:right="20" w:firstLine="357"/>
        <w:spacing w:after="0" w:line="286" w:lineRule="auto"/>
        <w:rPr>
          <w:sz w:val="20"/>
          <w:szCs w:val="20"/>
          <w:color w:val="auto"/>
        </w:rPr>
      </w:pPr>
      <w:r>
        <w:rPr>
          <w:rFonts w:ascii="Arial" w:cs="Arial" w:eastAsia="Arial" w:hAnsi="Arial"/>
          <w:sz w:val="16"/>
          <w:szCs w:val="16"/>
          <w:color w:val="auto"/>
        </w:rPr>
        <w:t>Each participant will be required to make arrangements satisfactory to the plan administrator regarding payment of an amount up to the maximum statutory tax rates in the participant’s applicable jurisdictions with respect to any award granted under the Plan, as determined by us. Whenever cash is to be paid pursuant to an award, we have the right, to the extent permitted by law, to deduct any such taxes from any payment of any kind otherwise due to the participant. Additionally, whenever Class A shares or other property other than cash are to be delivered pursuant to an award, we may (i) require the participant to pay us an amount in cash, (ii) withhold from delivery of Class A shares or other property, or (iii) accept delivery of already owned unrestricted Class A shares, in each case in the sole discretion of the plan administrator. The Class A shares withheld must have a value not exceeding the applicable taxes to be withheld and applied to the tax obligations, determined based on the greatest withholding rates that may be used without creating adverse accounting treatment with respect to such award. We may also use any other method of obtaining the necessary payment or proceeds, as permitted by law, to satisfy our withholding obligation with respect to any award.</w:t>
      </w:r>
    </w:p>
    <w:p>
      <w:pPr>
        <w:spacing w:after="0" w:line="61" w:lineRule="exact"/>
        <w:rPr>
          <w:sz w:val="20"/>
          <w:szCs w:val="20"/>
          <w:color w:val="auto"/>
        </w:rPr>
      </w:pPr>
    </w:p>
    <w:p>
      <w:pPr>
        <w:jc w:val="both"/>
        <w:ind w:right="40" w:firstLine="357"/>
        <w:spacing w:after="0" w:line="299" w:lineRule="auto"/>
        <w:rPr>
          <w:sz w:val="20"/>
          <w:szCs w:val="20"/>
          <w:color w:val="auto"/>
        </w:rPr>
      </w:pPr>
      <w:r>
        <w:rPr>
          <w:rFonts w:ascii="Arial" w:cs="Arial" w:eastAsia="Arial" w:hAnsi="Arial"/>
          <w:sz w:val="16"/>
          <w:szCs w:val="16"/>
          <w:color w:val="auto"/>
        </w:rPr>
        <w:t>The Plan provides the board of directors with authority to amend, alter or terminate the Plan, but generally such action may not impair the rights of any participant with respect to outstanding awards without the participant’s consent. The plan administrator may amend an award, prospectively or retroactively, but generally such amendment may not impair the rights of any participant without the participant’s consent. Shareholder approval of any such action will be obtained if required to comply with applicable law.</w:t>
      </w:r>
    </w:p>
    <w:p>
      <w:pPr>
        <w:spacing w:after="0" w:line="49" w:lineRule="exact"/>
        <w:rPr>
          <w:sz w:val="20"/>
          <w:szCs w:val="20"/>
          <w:color w:val="auto"/>
        </w:rPr>
      </w:pPr>
    </w:p>
    <w:p>
      <w:pPr>
        <w:jc w:val="both"/>
        <w:ind w:right="40" w:firstLine="357"/>
        <w:spacing w:after="0" w:line="274" w:lineRule="auto"/>
        <w:rPr>
          <w:sz w:val="20"/>
          <w:szCs w:val="20"/>
          <w:color w:val="auto"/>
        </w:rPr>
      </w:pPr>
      <w:r>
        <w:rPr>
          <w:rFonts w:ascii="Arial" w:cs="Arial" w:eastAsia="Arial" w:hAnsi="Arial"/>
          <w:sz w:val="18"/>
          <w:szCs w:val="18"/>
          <w:color w:val="auto"/>
        </w:rPr>
        <w:t>The Plan will terminate on the tenth anniversary of the effective date of the Plan (although awards granted before that time will remain outstanding in accordance with their terms).</w:t>
      </w:r>
    </w:p>
    <w:p>
      <w:pPr>
        <w:spacing w:after="0" w:line="64"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We intend to file with the SEC a registration statement on Form S-8 covering the Class A shares issuable under the Plan.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19"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We were formed on August 6, 2018 and, as a result, did not have any directors for the majority of 2018. New Fortress Energy Holdings (our predecessor for financial reporting purposes) did not award any compensation to members of its board of directors during 2018 prior to our formation and we did not award any compensation to members of our Board of Directors in 2018 following our formation.</w:t>
      </w:r>
    </w:p>
    <w:p>
      <w:pPr>
        <w:spacing w:after="0" w:line="79" w:lineRule="exact"/>
        <w:rPr>
          <w:sz w:val="20"/>
          <w:szCs w:val="20"/>
          <w:color w:val="auto"/>
        </w:rPr>
      </w:pPr>
    </w:p>
    <w:p>
      <w:pPr>
        <w:ind w:firstLine="357"/>
        <w:spacing w:after="0" w:line="288" w:lineRule="auto"/>
        <w:rPr>
          <w:sz w:val="20"/>
          <w:szCs w:val="20"/>
          <w:color w:val="auto"/>
        </w:rPr>
      </w:pPr>
      <w:r>
        <w:rPr>
          <w:rFonts w:ascii="Arial" w:cs="Arial" w:eastAsia="Arial" w:hAnsi="Arial"/>
          <w:sz w:val="16"/>
          <w:szCs w:val="16"/>
          <w:color w:val="auto"/>
        </w:rPr>
        <w:t>Following the closing of this offering, non-employee directors will receive an annual cash retainer equal to $100,000 per year, payable quarterly. Additionally, the chair of the Audit Committee of the board of directors will receive an additional $10,000 annual cash retainer, payable quarterly. Non-employee directors will also receive a one-time equity grant under the Plan with a grant-date value equal to $1,000,000 upon their appointment to the board (an “Initial Grant”). As described in additional detail above under the heading “NFE 2019 Omnibus Incentive Plan – Introduction,” upon the completion of this offering, non-employee directors will receive a grant of RSUs under the Plan equal to $1,000,000 (calculated based on the price per share in this offering), which will vest in equal parts on the day following each of our first three annual meetings. This grant of RSUs will constitute the Initial Grant for each of the persons who will become non-employee directors upon the consummation of this offering.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19"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The following table sets forth the beneficial ownership of our Class A shares and Class B shares that will be issued and outstanding upon the consummation of this offering and the related transactions, and assuming the underwriters do not exercise their option to purchase additional Class A shares and held by:</w:t>
      </w:r>
    </w:p>
    <w:p>
      <w:pPr>
        <w:spacing w:after="0" w:line="76" w:lineRule="exact"/>
        <w:rPr>
          <w:sz w:val="20"/>
          <w:szCs w:val="20"/>
          <w:color w:val="auto"/>
        </w:rPr>
      </w:pPr>
    </w:p>
    <w:p>
      <w:pPr>
        <w:ind w:left="700" w:hanging="34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beneficial owners of 5% or more of any class of our shares;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director, director nominee and named executive officer;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05" w:lineRule="exact"/>
        <w:rPr>
          <w:sz w:val="20"/>
          <w:szCs w:val="20"/>
          <w:color w:val="auto"/>
        </w:rPr>
      </w:pPr>
    </w:p>
    <w:p>
      <w:pPr>
        <w:ind w:right="320" w:firstLine="357"/>
        <w:spacing w:after="0" w:line="201" w:lineRule="auto"/>
        <w:rPr>
          <w:sz w:val="20"/>
          <w:szCs w:val="20"/>
          <w:color w:val="auto"/>
        </w:rPr>
      </w:pPr>
      <w:r>
        <w:rPr>
          <w:rFonts w:ascii="Arial" w:cs="Arial" w:eastAsia="Arial" w:hAnsi="Arial"/>
          <w:sz w:val="18"/>
          <w:szCs w:val="18"/>
          <w:color w:val="auto"/>
        </w:rPr>
        <w:t>Unless otherwise noted, the address for each beneficial owner listed below is 111 W.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Percentage of</w:t>
            </w:r>
          </w:p>
        </w:tc>
      </w:tr>
      <w:tr>
        <w:trPr>
          <w:trHeight w:val="161"/>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Total Class A</w:t>
            </w:r>
          </w:p>
        </w:tc>
      </w:tr>
      <w:tr>
        <w:trPr>
          <w:trHeight w:val="161"/>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Percentage of</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 of</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Shares and</w:t>
            </w:r>
          </w:p>
        </w:tc>
      </w:tr>
      <w:tr>
        <w:trPr>
          <w:trHeight w:val="161"/>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Class A Shares</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Class A Shares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Class B Shares</w:t>
            </w:r>
          </w:p>
        </w:tc>
        <w:tc>
          <w:tcPr>
            <w:tcW w:w="18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Class B Shares</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Class B Shares</w:t>
            </w:r>
          </w:p>
        </w:tc>
      </w:tr>
      <w:tr>
        <w:trPr>
          <w:trHeight w:val="161"/>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Beneficially</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Beneficially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Beneficially</w:t>
            </w:r>
          </w:p>
        </w:tc>
        <w:tc>
          <w:tcPr>
            <w:tcW w:w="18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Beneficially</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Beneficially</w:t>
            </w:r>
          </w:p>
        </w:tc>
      </w:tr>
      <w:tr>
        <w:trPr>
          <w:trHeight w:val="177"/>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100" w:type="dxa"/>
            <w:vAlign w:val="bottom"/>
          </w:tcPr>
          <w:p>
            <w:pPr>
              <w:spacing w:after="0"/>
              <w:rPr>
                <w:sz w:val="15"/>
                <w:szCs w:val="15"/>
                <w:color w:val="auto"/>
              </w:rPr>
            </w:pPr>
          </w:p>
        </w:tc>
      </w:tr>
      <w:tr>
        <w:trPr>
          <w:trHeight w:val="241"/>
        </w:trPr>
        <w:tc>
          <w:tcPr>
            <w:tcW w:w="3060" w:type="dxa"/>
            <w:vAlign w:val="bottom"/>
            <w:shd w:val="clear" w:color="auto" w:fill="CCEEFF"/>
          </w:tcPr>
          <w:p>
            <w:pPr>
              <w:spacing w:after="0" w:line="241" w:lineRule="exact"/>
              <w:rPr>
                <w:sz w:val="20"/>
                <w:szCs w:val="20"/>
                <w:color w:val="auto"/>
              </w:rPr>
            </w:pPr>
            <w:r>
              <w:rPr>
                <w:rFonts w:ascii="Arial" w:cs="Arial" w:eastAsia="Arial" w:hAnsi="Arial"/>
                <w:sz w:val="17"/>
                <w:szCs w:val="17"/>
                <w:color w:val="auto"/>
              </w:rPr>
              <w:t>New Fortress Energy Holdings</w:t>
            </w:r>
            <w:r>
              <w:rPr>
                <w:rFonts w:ascii="Arial" w:cs="Arial" w:eastAsia="Arial" w:hAnsi="Arial"/>
                <w:sz w:val="27"/>
                <w:szCs w:val="27"/>
                <w:color w:val="auto"/>
                <w:vertAlign w:val="superscript"/>
              </w:rPr>
              <w:t>(1)</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147,058,824</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w:t>
            </w:r>
          </w:p>
        </w:tc>
      </w:tr>
      <w:tr>
        <w:trPr>
          <w:trHeight w:val="241"/>
        </w:trPr>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Director Nominees and</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Executive Officers</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1"/>
        </w:trPr>
        <w:tc>
          <w:tcPr>
            <w:tcW w:w="3060" w:type="dxa"/>
            <w:vAlign w:val="bottom"/>
          </w:tcPr>
          <w:p>
            <w:pPr>
              <w:spacing w:after="0" w:line="241" w:lineRule="exact"/>
              <w:rPr>
                <w:sz w:val="20"/>
                <w:szCs w:val="20"/>
                <w:color w:val="auto"/>
              </w:rPr>
            </w:pPr>
            <w:r>
              <w:rPr>
                <w:rFonts w:ascii="Arial" w:cs="Arial" w:eastAsia="Arial" w:hAnsi="Arial"/>
                <w:sz w:val="17"/>
                <w:szCs w:val="17"/>
                <w:color w:val="auto"/>
              </w:rPr>
              <w:t>Wesley R. Edens</w:t>
            </w:r>
            <w:r>
              <w:rPr>
                <w:rFonts w:ascii="Arial" w:cs="Arial" w:eastAsia="Arial" w:hAnsi="Arial"/>
                <w:sz w:val="27"/>
                <w:szCs w:val="27"/>
                <w:color w:val="auto"/>
                <w:vertAlign w:val="superscript"/>
              </w:rPr>
              <w:t>(1)</w:t>
            </w:r>
          </w:p>
        </w:tc>
        <w:tc>
          <w:tcPr>
            <w:tcW w:w="18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147,058,824</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r>
      <w:tr>
        <w:trPr>
          <w:trHeight w:val="241"/>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Chris Guinta</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5"/>
        </w:trPr>
        <w:tc>
          <w:tcPr>
            <w:tcW w:w="3060" w:type="dxa"/>
            <w:vAlign w:val="bottom"/>
          </w:tcPr>
          <w:p>
            <w:pPr>
              <w:spacing w:after="0"/>
              <w:rPr>
                <w:sz w:val="20"/>
                <w:szCs w:val="20"/>
                <w:color w:val="auto"/>
              </w:rPr>
            </w:pPr>
            <w:r>
              <w:rPr>
                <w:rFonts w:ascii="Arial" w:cs="Arial" w:eastAsia="Arial" w:hAnsi="Arial"/>
                <w:sz w:val="18"/>
                <w:szCs w:val="18"/>
                <w:color w:val="auto"/>
              </w:rPr>
              <w:t>Michael J. Utsler</w:t>
            </w:r>
          </w:p>
        </w:tc>
        <w:tc>
          <w:tcPr>
            <w:tcW w:w="18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8"/>
        </w:trPr>
        <w:tc>
          <w:tcPr>
            <w:tcW w:w="3060" w:type="dxa"/>
            <w:vAlign w:val="bottom"/>
            <w:shd w:val="clear" w:color="auto" w:fill="CCEEFF"/>
          </w:tcPr>
          <w:p>
            <w:pPr>
              <w:spacing w:after="0" w:line="247" w:lineRule="exact"/>
              <w:rPr>
                <w:sz w:val="20"/>
                <w:szCs w:val="20"/>
                <w:color w:val="auto"/>
              </w:rPr>
            </w:pPr>
            <w:r>
              <w:rPr>
                <w:rFonts w:ascii="Arial" w:cs="Arial" w:eastAsia="Arial" w:hAnsi="Arial"/>
                <w:sz w:val="17"/>
                <w:szCs w:val="17"/>
                <w:color w:val="auto"/>
              </w:rPr>
              <w:t>Randal A. Nardone</w:t>
            </w:r>
            <w:r>
              <w:rPr>
                <w:rFonts w:ascii="Arial" w:cs="Arial" w:eastAsia="Arial" w:hAnsi="Arial"/>
                <w:sz w:val="28"/>
                <w:szCs w:val="28"/>
                <w:color w:val="auto"/>
                <w:vertAlign w:val="superscript"/>
              </w:rPr>
              <w:t>(1)</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147,058,824</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w:t>
            </w:r>
          </w:p>
        </w:tc>
      </w:tr>
      <w:tr>
        <w:trPr>
          <w:trHeight w:val="235"/>
        </w:trPr>
        <w:tc>
          <w:tcPr>
            <w:tcW w:w="3060" w:type="dxa"/>
            <w:vAlign w:val="bottom"/>
          </w:tcPr>
          <w:p>
            <w:pPr>
              <w:spacing w:after="0"/>
              <w:rPr>
                <w:sz w:val="20"/>
                <w:szCs w:val="20"/>
                <w:color w:val="auto"/>
              </w:rPr>
            </w:pPr>
            <w:r>
              <w:rPr>
                <w:rFonts w:ascii="Arial" w:cs="Arial" w:eastAsia="Arial" w:hAnsi="Arial"/>
                <w:sz w:val="18"/>
                <w:szCs w:val="18"/>
                <w:color w:val="auto"/>
              </w:rPr>
              <w:t>Desmond Iain Catterall</w:t>
            </w:r>
          </w:p>
        </w:tc>
        <w:tc>
          <w:tcPr>
            <w:tcW w:w="18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8"/>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David J. Grain</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5"/>
        </w:trPr>
        <w:tc>
          <w:tcPr>
            <w:tcW w:w="3060" w:type="dxa"/>
            <w:vAlign w:val="bottom"/>
          </w:tcPr>
          <w:p>
            <w:pPr>
              <w:spacing w:after="0"/>
              <w:rPr>
                <w:sz w:val="20"/>
                <w:szCs w:val="20"/>
                <w:color w:val="auto"/>
              </w:rPr>
            </w:pPr>
            <w:r>
              <w:rPr>
                <w:rFonts w:ascii="Arial" w:cs="Arial" w:eastAsia="Arial" w:hAnsi="Arial"/>
                <w:sz w:val="18"/>
                <w:szCs w:val="18"/>
                <w:color w:val="auto"/>
              </w:rPr>
              <w:t>C. William Griffin</w:t>
            </w:r>
          </w:p>
        </w:tc>
        <w:tc>
          <w:tcPr>
            <w:tcW w:w="18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8"/>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John J. Mack</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5"/>
        </w:trPr>
        <w:tc>
          <w:tcPr>
            <w:tcW w:w="3060" w:type="dxa"/>
            <w:vAlign w:val="bottom"/>
          </w:tcPr>
          <w:p>
            <w:pPr>
              <w:spacing w:after="0"/>
              <w:rPr>
                <w:sz w:val="20"/>
                <w:szCs w:val="20"/>
                <w:color w:val="auto"/>
              </w:rPr>
            </w:pPr>
            <w:r>
              <w:rPr>
                <w:rFonts w:ascii="Arial" w:cs="Arial" w:eastAsia="Arial" w:hAnsi="Arial"/>
                <w:sz w:val="18"/>
                <w:szCs w:val="18"/>
                <w:color w:val="auto"/>
              </w:rPr>
              <w:t>Katherine E. Wanner</w:t>
            </w:r>
          </w:p>
        </w:tc>
        <w:tc>
          <w:tcPr>
            <w:tcW w:w="18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8"/>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Matthew Wilkinson</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4"/>
        </w:trPr>
        <w:tc>
          <w:tcPr>
            <w:tcW w:w="3060" w:type="dxa"/>
            <w:vAlign w:val="bottom"/>
          </w:tcPr>
          <w:p>
            <w:pPr>
              <w:spacing w:after="0"/>
              <w:rPr>
                <w:sz w:val="20"/>
                <w:szCs w:val="20"/>
                <w:color w:val="auto"/>
              </w:rPr>
            </w:pPr>
            <w:r>
              <w:rPr>
                <w:rFonts w:ascii="Arial" w:cs="Arial" w:eastAsia="Arial" w:hAnsi="Arial"/>
                <w:sz w:val="18"/>
                <w:szCs w:val="18"/>
                <w:color w:val="auto"/>
                <w:w w:val="97"/>
              </w:rPr>
              <w:t>All executive officers and directors as a</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060" w:type="dxa"/>
            <w:vAlign w:val="bottom"/>
          </w:tcPr>
          <w:p>
            <w:pPr>
              <w:ind w:left="180"/>
              <w:spacing w:after="0"/>
              <w:rPr>
                <w:sz w:val="20"/>
                <w:szCs w:val="20"/>
                <w:color w:val="auto"/>
              </w:rPr>
            </w:pPr>
            <w:r>
              <w:rPr>
                <w:rFonts w:ascii="Arial" w:cs="Arial" w:eastAsia="Arial" w:hAnsi="Arial"/>
                <w:sz w:val="18"/>
                <w:szCs w:val="18"/>
                <w:color w:val="auto"/>
              </w:rPr>
              <w:t>group (10 persons)</w:t>
            </w:r>
          </w:p>
        </w:tc>
        <w:tc>
          <w:tcPr>
            <w:tcW w:w="1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147,058,824</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9029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spacing w:after="0" w:line="283" w:lineRule="exact"/>
        <w:rPr>
          <w:sz w:val="20"/>
          <w:szCs w:val="20"/>
          <w:color w:val="auto"/>
        </w:rPr>
      </w:pPr>
    </w:p>
    <w:p>
      <w:pPr>
        <w:ind w:left="360" w:hanging="355"/>
        <w:spacing w:after="0" w:line="246" w:lineRule="auto"/>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New Fortress Energy Holdings, which directly holds the Class B shares of the Company, is majority-owned and controlled by the Fortress Shareholder. Fortress Shareholder is controlled by Wesley R. Edens, our Chief Executive Officer. Mr. Edens exercises voting power over the shares held by New Fortress Energy Holdings and may be deemed to be the beneficial owner thereof. Each of Mr. Edens and Mr. Nardone has the right to acquire beneficial ownership of his pro rata portion of the Class B shares and corresponding NFI LLC Units held directly by New Fortress Energy Holdings at his election pursuant to the NFI LLC Agreement and may be deemed to share dispositive power over such Class B shares and NFI LLC Units. New Fortress Energy Holdings, its stockholders, or entities affiliated with them may purchase shares in the offering.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19" w:lineRule="exact"/>
        <w:rPr>
          <w:sz w:val="20"/>
          <w:szCs w:val="20"/>
          <w:color w:val="auto"/>
        </w:rPr>
      </w:pPr>
    </w:p>
    <w:p>
      <w:pPr>
        <w:jc w:val="both"/>
        <w:ind w:right="240" w:firstLine="357"/>
        <w:spacing w:after="0" w:line="309" w:lineRule="auto"/>
        <w:rPr>
          <w:sz w:val="20"/>
          <w:szCs w:val="20"/>
          <w:color w:val="auto"/>
        </w:rPr>
      </w:pPr>
      <w:r>
        <w:rPr>
          <w:rFonts w:ascii="Arial" w:cs="Arial" w:eastAsia="Arial" w:hAnsi="Arial"/>
          <w:sz w:val="16"/>
          <w:szCs w:val="16"/>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Affiliates in Connection with the Transactions</w:t>
      </w:r>
    </w:p>
    <w:p>
      <w:pPr>
        <w:spacing w:after="0" w:line="119" w:lineRule="exact"/>
        <w:rPr>
          <w:sz w:val="20"/>
          <w:szCs w:val="20"/>
          <w:color w:val="auto"/>
        </w:rPr>
      </w:pPr>
    </w:p>
    <w:p>
      <w:pPr>
        <w:ind w:right="340" w:firstLine="357"/>
        <w:spacing w:after="0" w:line="274" w:lineRule="auto"/>
        <w:rPr>
          <w:sz w:val="20"/>
          <w:szCs w:val="20"/>
          <w:color w:val="auto"/>
        </w:rPr>
      </w:pPr>
      <w:r>
        <w:rPr>
          <w:rFonts w:ascii="Arial" w:cs="Arial" w:eastAsia="Arial" w:hAnsi="Arial"/>
          <w:sz w:val="18"/>
          <w:szCs w:val="18"/>
          <w:color w:val="auto"/>
        </w:rPr>
        <w:t>In connection with this offering, we will enter into certain agreements with New Fortress Energy Holdings, as described in more detail below.</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115"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color w:val="auto"/>
        </w:rPr>
        <w:t>In connection with the closing of this offering, we will enter into a contribution agreement that will effect the Transactions, including the transfer of the ownership interests in NFI to us, and the use of the net proceeds of this offering. While we believe this agreement is on terms no less favorable to any party than those that could have been negotiated with an unaffiliated third party, it will not be the result of arm’s-length negotiations. All of the transaction expenses incurred in connection with these transactions will be paid from the proceeds of this offering.</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the completion of this offering, we will enter into the Shareholders’ Agreement with New Fortress Energy Holdings.</w:t>
      </w:r>
    </w:p>
    <w:p>
      <w:pPr>
        <w:spacing w:after="0" w:line="138" w:lineRule="exact"/>
        <w:rPr>
          <w:sz w:val="20"/>
          <w:szCs w:val="20"/>
          <w:color w:val="auto"/>
        </w:rPr>
      </w:pPr>
    </w:p>
    <w:p>
      <w:pPr>
        <w:ind w:right="140" w:firstLine="357"/>
        <w:spacing w:after="0" w:line="274" w:lineRule="auto"/>
        <w:rPr>
          <w:sz w:val="20"/>
          <w:szCs w:val="20"/>
          <w:color w:val="auto"/>
        </w:rPr>
      </w:pPr>
      <w:r>
        <w:rPr>
          <w:rFonts w:ascii="Arial" w:cs="Arial" w:eastAsia="Arial" w:hAnsi="Arial"/>
          <w:sz w:val="18"/>
          <w:szCs w:val="18"/>
          <w:color w:val="auto"/>
        </w:rPr>
        <w:t>As discussed further below, the Shareholders’ Agreement will provide certain rights to New Fortress Energy Holdings and its affiliates.</w:t>
      </w:r>
    </w:p>
    <w:p>
      <w:pPr>
        <w:spacing w:after="0" w:line="64" w:lineRule="exact"/>
        <w:rPr>
          <w:sz w:val="20"/>
          <w:szCs w:val="20"/>
          <w:color w:val="auto"/>
        </w:rPr>
      </w:pPr>
    </w:p>
    <w:p>
      <w:pPr>
        <w:ind w:right="60" w:firstLine="357"/>
        <w:spacing w:after="0" w:line="291" w:lineRule="auto"/>
        <w:rPr>
          <w:sz w:val="20"/>
          <w:szCs w:val="20"/>
          <w:color w:val="auto"/>
        </w:rPr>
      </w:pPr>
      <w:r>
        <w:rPr>
          <w:rFonts w:ascii="Arial" w:cs="Arial" w:eastAsia="Arial" w:hAnsi="Arial"/>
          <w:sz w:val="16"/>
          <w:szCs w:val="16"/>
          <w:color w:val="auto"/>
        </w:rPr>
        <w:t>Our Shareholders’ Agreement will provide that the parties thereto will use their respective reasonable efforts (including voting or causing to be voted all of our voting shares beneficially owned by each) so that no amendment is made to our operating agreement in effect as of the date of the Shareholders’ Agreement that would add restrictions to the transferability of our shares by New Fortress Energy Holdings or its permitted transferees which are beyond those provided for in our operating agreement, the Shareholders’ Agreement or applicable securities laws, or that nullify the rights set out in the Shareholders’ Agreements of New Fortress Energy Holdings or its permitted transferees unless such amendment is approved by New Fortress Energy Holdings.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Designation and Election of Directors</w:t>
      </w:r>
    </w:p>
    <w:p>
      <w:pPr>
        <w:spacing w:after="0" w:line="115" w:lineRule="exact"/>
        <w:rPr>
          <w:sz w:val="20"/>
          <w:szCs w:val="20"/>
          <w:color w:val="auto"/>
        </w:rPr>
      </w:pPr>
    </w:p>
    <w:p>
      <w:pPr>
        <w:ind w:right="140" w:firstLine="357"/>
        <w:spacing w:after="0" w:line="291" w:lineRule="auto"/>
        <w:rPr>
          <w:sz w:val="20"/>
          <w:szCs w:val="20"/>
          <w:color w:val="auto"/>
        </w:rPr>
      </w:pPr>
      <w:r>
        <w:rPr>
          <w:rFonts w:ascii="Arial" w:cs="Arial" w:eastAsia="Arial" w:hAnsi="Arial"/>
          <w:sz w:val="16"/>
          <w:szCs w:val="16"/>
          <w:color w:val="auto"/>
        </w:rPr>
        <w:t>Our Shareholders’ Agreement will provide that, for so long as the Shareholders’ Agreement is in effect, we and New Fortress Energy Holdings shall take all reasonable actions within our respective control (including voting or causing to be voted all of the securities entitled to vote generally in the election of our directors held of record or beneficially owned by New Fortress Energy Holdings or its affiliates, and, with respect to us, including in the slate of nominees recommended by the board those individuals designated by New Fortress Energy Holdings) so as to elect to the board, and to cause to continue in office, not more than eight directors (or such other number as New Fortress Energy Holdings may agree in writing), of whom, at any given time:</w:t>
      </w:r>
    </w:p>
    <w:p>
      <w:pPr>
        <w:spacing w:after="0" w:line="57" w:lineRule="exact"/>
        <w:rPr>
          <w:sz w:val="20"/>
          <w:szCs w:val="20"/>
          <w:color w:val="auto"/>
        </w:rPr>
      </w:pPr>
    </w:p>
    <w:p>
      <w:pPr>
        <w:ind w:left="700" w:right="80" w:hanging="346"/>
        <w:spacing w:after="0" w:line="255"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number of directors equal to a majority of the board of directors, plus one director, shall be individuals designated by New Fortress Energy Holdings, for so long as New Fortress Energy Holdings directly or indirectly beneficially owns, together with its affiliates and permitted transferees, at least 30% of our voting power, provided that if the board consists of six or fewer directors, then New Fortress Energy Holdings shall have the right to designate a number of directors equal to a majority of the board;</w:t>
      </w:r>
    </w:p>
    <w:p>
      <w:pPr>
        <w:spacing w:after="0" w:line="80" w:lineRule="exact"/>
        <w:rPr>
          <w:rFonts w:ascii="Arial" w:cs="Arial" w:eastAsia="Arial" w:hAnsi="Arial"/>
          <w:sz w:val="18"/>
          <w:szCs w:val="18"/>
          <w:color w:val="auto"/>
        </w:rPr>
      </w:pPr>
    </w:p>
    <w:p>
      <w:pPr>
        <w:ind w:left="700" w:hanging="346"/>
        <w:spacing w:after="0" w:line="255"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number equal to a majority of the board of directors, minus one director, shall be individuals designated by New Fortress Energy Holdings, for so long as New Fortress Energy Holdings directly or indirectly beneficially owns, together with its affiliates and permitted transferees, less than 30% but at least 20% of our voting power, provided that if the board of directors consists of six or fewer directors, then New Fortress Energy Holdings shall have the right to designate a number of directors equal to three directors;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right="120" w:hanging="346"/>
        <w:spacing w:after="0" w:line="254"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New Fortress Energy Holdings’ proportional representation on the board of directors shall be individuals designated by New Fortress Energy Holdings for so long as New Fortress Energy Holdings directly or indirectly beneficially owns, together with its affiliates and permitted transferees, less than 20% but at least 10% of our voting power, provided that if the board of directors consists of six or fewer directors, then New Fortress Energy Holdings shall have the right to designate a number of directors equal to two directors; and</w:t>
      </w:r>
    </w:p>
    <w:p>
      <w:pPr>
        <w:spacing w:after="0" w:line="80" w:lineRule="exact"/>
        <w:rPr>
          <w:rFonts w:ascii="Arial" w:cs="Arial" w:eastAsia="Arial" w:hAnsi="Arial"/>
          <w:sz w:val="18"/>
          <w:szCs w:val="18"/>
          <w:color w:val="auto"/>
        </w:rPr>
      </w:pPr>
    </w:p>
    <w:p>
      <w:pPr>
        <w:ind w:left="700" w:right="120" w:hanging="346"/>
        <w:spacing w:after="0" w:line="254"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New Fortress Energy Holdings’ proportional representation on the board of directors shall be individuals designated by New Fortress Energy Holdings for so long as New Fortress Energy Holdings directly or indirectly beneficially owns, together with its affiliates and permitted transferees, less than 10% but at least 5% of our voting power, provided that if the board of directors consists of six or fewer directors, then New Fortress Energy Holdings shall have the right to designate a number of directors equal to one director.</w:t>
      </w:r>
    </w:p>
    <w:p>
      <w:pPr>
        <w:spacing w:after="0" w:line="81" w:lineRule="exact"/>
        <w:rPr>
          <w:sz w:val="20"/>
          <w:szCs w:val="20"/>
          <w:color w:val="auto"/>
        </w:rPr>
      </w:pPr>
    </w:p>
    <w:p>
      <w:pPr>
        <w:ind w:right="40" w:firstLine="357"/>
        <w:spacing w:after="0" w:line="261" w:lineRule="auto"/>
        <w:rPr>
          <w:sz w:val="20"/>
          <w:szCs w:val="20"/>
          <w:color w:val="auto"/>
        </w:rPr>
      </w:pPr>
      <w:r>
        <w:rPr>
          <w:rFonts w:ascii="Arial" w:cs="Arial" w:eastAsia="Arial" w:hAnsi="Arial"/>
          <w:sz w:val="18"/>
          <w:szCs w:val="18"/>
          <w:color w:val="auto"/>
        </w:rPr>
        <w:t>So long as New Fortress Energy Holdings is entitled to designate one or more nominees to the board and notifies the board of directors of its desire to remove, with or without cause, any director previously designated by it to the board, we are required to take all necessary action to cause such removal.</w:t>
      </w:r>
    </w:p>
    <w:p>
      <w:pPr>
        <w:spacing w:after="0" w:line="76" w:lineRule="exact"/>
        <w:rPr>
          <w:sz w:val="20"/>
          <w:szCs w:val="20"/>
          <w:color w:val="auto"/>
        </w:rPr>
      </w:pPr>
    </w:p>
    <w:p>
      <w:pPr>
        <w:ind w:right="440" w:firstLine="357"/>
        <w:spacing w:after="0" w:line="274" w:lineRule="auto"/>
        <w:rPr>
          <w:sz w:val="20"/>
          <w:szCs w:val="20"/>
          <w:color w:val="auto"/>
        </w:rPr>
      </w:pPr>
      <w:r>
        <w:rPr>
          <w:rFonts w:ascii="Arial" w:cs="Arial" w:eastAsia="Arial" w:hAnsi="Arial"/>
          <w:sz w:val="18"/>
          <w:szCs w:val="18"/>
          <w:color w:val="auto"/>
        </w:rPr>
        <w:t>In accordance with the Shareholders’ Agreement, New Fortress Energy Holdings has designated Messrs. Catterall, Grain, Griffin, Mack and Wilkinson for election to our board of directors.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Indemnification</w:t>
      </w:r>
    </w:p>
    <w:p>
      <w:pPr>
        <w:spacing w:after="0" w:line="115"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The agreement will provide that we will indemnify New Fortress Energy Holdings and its officers, directors, employees, agents and affiliates against losses arising out of third-party claims (including litigation matters and other claims) based on, arising out of or resulting from:</w:t>
      </w:r>
    </w:p>
    <w:p>
      <w:pPr>
        <w:spacing w:after="0" w:line="76" w:lineRule="exact"/>
        <w:rPr>
          <w:sz w:val="20"/>
          <w:szCs w:val="20"/>
          <w:color w:val="auto"/>
        </w:rPr>
      </w:pPr>
    </w:p>
    <w:p>
      <w:pPr>
        <w:ind w:left="700" w:right="640" w:hanging="346"/>
        <w:spacing w:after="0" w:line="274"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ownership or the operation of our assets or properties, and the operation or conduct of our business, prior to or following this offering; and</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activities we engage in.</w:t>
      </w:r>
    </w:p>
    <w:p>
      <w:pPr>
        <w:spacing w:after="0" w:line="115" w:lineRule="exact"/>
        <w:rPr>
          <w:sz w:val="20"/>
          <w:szCs w:val="20"/>
          <w:color w:val="auto"/>
        </w:rPr>
      </w:pPr>
    </w:p>
    <w:p>
      <w:pPr>
        <w:ind w:right="140" w:firstLine="357"/>
        <w:spacing w:after="0" w:line="254" w:lineRule="auto"/>
        <w:rPr>
          <w:sz w:val="20"/>
          <w:szCs w:val="20"/>
          <w:color w:val="auto"/>
        </w:rPr>
      </w:pPr>
      <w:r>
        <w:rPr>
          <w:rFonts w:ascii="Arial" w:cs="Arial" w:eastAsia="Arial" w:hAnsi="Arial"/>
          <w:sz w:val="18"/>
          <w:szCs w:val="18"/>
          <w:color w:val="auto"/>
        </w:rPr>
        <w:t>In addition, we will agree to indemnify New Fortress Energy Holdings and its officers, directors, employees, agents and affiliates against losses, including liabilities under the Securities Act and the Exchange Act, relating to misstatements in or omissions from the registration statement of which this prospectus is a part and any other registration statement or report that we file, other than misstatements or omissions made in reliance on information relating to and furnished by New Fortress Energy Holdings for use in the preparation of that registration statement or report, against which New Fortress Energy Holdings will agree to indemnify us.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Registration Rights</w:t>
      </w:r>
    </w:p>
    <w:p>
      <w:pPr>
        <w:spacing w:after="0" w:line="115" w:lineRule="exact"/>
        <w:rPr>
          <w:sz w:val="20"/>
          <w:szCs w:val="20"/>
          <w:color w:val="auto"/>
        </w:rPr>
      </w:pPr>
    </w:p>
    <w:p>
      <w:pPr>
        <w:ind w:right="40" w:firstLine="357"/>
        <w:spacing w:after="0" w:line="267" w:lineRule="auto"/>
        <w:rPr>
          <w:sz w:val="20"/>
          <w:szCs w:val="20"/>
          <w:color w:val="auto"/>
        </w:rPr>
      </w:pPr>
      <w:r>
        <w:rPr>
          <w:rFonts w:ascii="Arial" w:cs="Arial" w:eastAsia="Arial" w:hAnsi="Arial"/>
          <w:sz w:val="17"/>
          <w:szCs w:val="17"/>
          <w:i w:val="1"/>
          <w:iCs w:val="1"/>
          <w:color w:val="auto"/>
        </w:rPr>
        <w:t>Demand Rights</w:t>
      </w:r>
      <w:r>
        <w:rPr>
          <w:rFonts w:ascii="Arial" w:cs="Arial" w:eastAsia="Arial" w:hAnsi="Arial"/>
          <w:sz w:val="17"/>
          <w:szCs w:val="17"/>
          <w:color w:val="auto"/>
        </w:rPr>
        <w:t>. Under our Shareholders’ Agreement, New Fortress Energy Holdings will have, for so long as New Fortress</w:t>
      </w:r>
      <w:r>
        <w:rPr>
          <w:rFonts w:ascii="Arial" w:cs="Arial" w:eastAsia="Arial" w:hAnsi="Arial"/>
          <w:sz w:val="17"/>
          <w:szCs w:val="17"/>
          <w:i w:val="1"/>
          <w:iCs w:val="1"/>
          <w:color w:val="auto"/>
        </w:rPr>
        <w:t xml:space="preserve"> </w:t>
      </w:r>
      <w:r>
        <w:rPr>
          <w:rFonts w:ascii="Arial" w:cs="Arial" w:eastAsia="Arial" w:hAnsi="Arial"/>
          <w:sz w:val="17"/>
          <w:szCs w:val="17"/>
          <w:color w:val="auto"/>
        </w:rPr>
        <w:t>Energy Holdings directly or indirectly beneficially owns, together with its affiliates and permitted transferees, an amount of our Class A and Class B shares (whether owned at the time of this offering or subsequently acquired) equal to or greater than 1% of the Class A and Class B shares issued and outstanding immediately after the consummation of this offering (a “Registrable Amount”), “demand” registration rights that allow New Fortress Energy Holdings, for itself and for its affiliates and permitted transferees, at any time after 180 days following the consummation of this offering, to request that we register under the Securities Act an amount of Class A shares equal to or greater than a Registrable Amount. New Fortress Energy Holdings, for itself and for its affiliates and permitted transferees, will be entitled to unlimited demand registrations so long as such persons, together, beneficially own a Registrable Amount. We will also not be required to effect any demand registration within one month of a “firm commitment” underwritten offering to which the requestor held “piggyback” rights, described below, and which included at least 50% of the Class A shares requested by the requestor to be included or within one month of any other underwritten offering pursuant to a shelf registration statement.</w:t>
      </w:r>
    </w:p>
    <w:p>
      <w:pPr>
        <w:spacing w:after="0" w:line="73" w:lineRule="exact"/>
        <w:rPr>
          <w:sz w:val="20"/>
          <w:szCs w:val="20"/>
          <w:color w:val="auto"/>
        </w:rPr>
      </w:pPr>
    </w:p>
    <w:p>
      <w:pPr>
        <w:ind w:right="260" w:firstLine="357"/>
        <w:spacing w:after="0" w:line="274" w:lineRule="auto"/>
        <w:rPr>
          <w:sz w:val="20"/>
          <w:szCs w:val="20"/>
          <w:color w:val="auto"/>
        </w:rPr>
      </w:pPr>
      <w:r>
        <w:rPr>
          <w:rFonts w:ascii="Arial" w:cs="Arial" w:eastAsia="Arial" w:hAnsi="Arial"/>
          <w:sz w:val="18"/>
          <w:szCs w:val="18"/>
          <w:i w:val="1"/>
          <w:iCs w:val="1"/>
          <w:color w:val="auto"/>
        </w:rPr>
        <w:t>Piggyback Rights</w:t>
      </w:r>
      <w:r>
        <w:rPr>
          <w:rFonts w:ascii="Arial" w:cs="Arial" w:eastAsia="Arial" w:hAnsi="Arial"/>
          <w:sz w:val="18"/>
          <w:szCs w:val="18"/>
          <w:color w:val="auto"/>
        </w:rPr>
        <w:t>. For so long as New Fortress Energy Holdings beneficially owns, together with its affiliates and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transferees, a Registrable Amount, New Fortress Energy Holdings (and its affiliates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permitted transferees) will also have “piggyback” registration rights that allow them to include Class A shares that they own in any public offering of equity securities initiated by us (other than those public offerings pursuant to registration statements on Form S-4 or Form S-8 or pursuant to an employee benefit plan arrangement) or by any of our other shareholders that have registration rights. These “piggyback” registration rights will be subject to proportional cutbacks based on the manner of the offering and the identity of the party initiating such offering.</w:t>
      </w:r>
    </w:p>
    <w:p>
      <w:pPr>
        <w:spacing w:after="0" w:line="81"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i w:val="1"/>
          <w:iCs w:val="1"/>
          <w:color w:val="auto"/>
        </w:rPr>
        <w:t>Shelf Registration</w:t>
      </w:r>
      <w:r>
        <w:rPr>
          <w:rFonts w:ascii="Arial" w:cs="Arial" w:eastAsia="Arial" w:hAnsi="Arial"/>
          <w:sz w:val="17"/>
          <w:szCs w:val="17"/>
          <w:color w:val="auto"/>
        </w:rPr>
        <w:t>. Under our Shareholders’ Agreement, we will grant to New Fortress Energy Holdings or any of its permitted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transferees, for so long as New Fortress Energy Holdings, together with its affiliates and permitted transferees, beneficially owns a Registrable Amount, the right to request a shelf registration on Form S-3 providing for offerings of Class A shares issuable upon exercise of the Redemption Right to be made on a continuous basis until all shares covered by such registration have been sold, subject to our right to suspend the use of the shelf registration prospectuses for a reasonable period of time (not exceeding 60 days in succession or 90 days in the aggregate in any 12 month period) if we determine that certain disclosures required by the shelf registration statement would be detrimental to us or our shareholders. In addition, New Fortress Energy Holdings, for itself and for its affiliates and permitted transferees, may elect to participate in such shelf registrations within ten days after notice of the registration is given.</w:t>
      </w:r>
    </w:p>
    <w:p>
      <w:pPr>
        <w:spacing w:after="0" w:line="74"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i w:val="1"/>
          <w:iCs w:val="1"/>
          <w:color w:val="auto"/>
        </w:rPr>
        <w:t>Indemnification; Expenses; Lock-ups</w:t>
      </w:r>
      <w:r>
        <w:rPr>
          <w:rFonts w:ascii="Arial" w:cs="Arial" w:eastAsia="Arial" w:hAnsi="Arial"/>
          <w:sz w:val="17"/>
          <w:szCs w:val="17"/>
          <w:color w:val="auto"/>
        </w:rPr>
        <w:t>. Under our Shareholders’ Agreement, we will agree to indemnify the applicable selling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 and its officers, directors, employees, managers, members partners, agents and controlling persons against any losses or damages resulting from any untrue statement or omission of material fact in any registration statement or prospectus pursuant to which it sells Class A shares, unless such liability arose from the applicable selling shareholder’s misstatement or omission, and the applicable selling shareholder will agree to indemnify us against all losses caused by its misstatements or omissions. We will pay all registration and offering-related expenses incidental to our performance under the Shareholders’ Agreement, and the applicable selling shareholder will pay its portion of all underwriting discounts, commissions and transfer taxes, if any, relating to the sale of its Class A shares under the Shareholders’ Agreement. We have agreed to enter into, and to cause our officers and directors to enter into, lock-up agreements in connection with any exercise of registration rights by New Fortress Energy Holdings, for itself and for its affiliates and permitted transferees.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Information Rights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our Shareholders’ Agreement, New Fortress Energy Holdings will have the right to request certain information from us.</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Assistance in the Sale of New Fortress Energy Holdings’ Shares</w:t>
      </w:r>
    </w:p>
    <w:p>
      <w:pPr>
        <w:spacing w:after="0" w:line="115" w:lineRule="exact"/>
        <w:rPr>
          <w:sz w:val="20"/>
          <w:szCs w:val="20"/>
          <w:color w:val="auto"/>
        </w:rPr>
      </w:pPr>
    </w:p>
    <w:p>
      <w:pPr>
        <w:jc w:val="both"/>
        <w:ind w:right="60" w:firstLine="357"/>
        <w:spacing w:after="0" w:line="284" w:lineRule="auto"/>
        <w:rPr>
          <w:sz w:val="20"/>
          <w:szCs w:val="20"/>
          <w:color w:val="auto"/>
        </w:rPr>
      </w:pPr>
      <w:r>
        <w:rPr>
          <w:rFonts w:ascii="Arial" w:cs="Arial" w:eastAsia="Arial" w:hAnsi="Arial"/>
          <w:sz w:val="17"/>
          <w:szCs w:val="17"/>
          <w:color w:val="auto"/>
        </w:rPr>
        <w:t>Under our Shareholders’ Agreement, if New Fortress Energy Holdings seeks to sell its Class A shares other than pursuant to a registration statement, we shall use our reasonable best efforts to assist New Fortress Energy Holdings in the sale process, including by providing information to potential purchasers as requested by New Fortress Energy Holdings.</w:t>
      </w:r>
    </w:p>
    <w:p>
      <w:pPr>
        <w:spacing w:after="0" w:line="57" w:lineRule="exact"/>
        <w:rPr>
          <w:sz w:val="20"/>
          <w:szCs w:val="20"/>
          <w:color w:val="auto"/>
        </w:rPr>
      </w:pPr>
    </w:p>
    <w:p>
      <w:pPr>
        <w:ind w:right="100" w:firstLine="357"/>
        <w:spacing w:after="0" w:line="257" w:lineRule="auto"/>
        <w:rPr>
          <w:sz w:val="20"/>
          <w:szCs w:val="20"/>
          <w:color w:val="auto"/>
        </w:rPr>
      </w:pPr>
      <w:r>
        <w:rPr>
          <w:rFonts w:ascii="Arial" w:cs="Arial" w:eastAsia="Arial" w:hAnsi="Arial"/>
          <w:sz w:val="18"/>
          <w:szCs w:val="18"/>
          <w:color w:val="auto"/>
        </w:rPr>
        <w:t>In addition, if the board of the directors starts and then abandons a sale process, and New Fortress Energy Holdings subsequently indicates that it wants to sell its Class A shares, we shall permit New Fortress Energy Holdings to engage in discussions with potential purchasers who participated in the abandoned sales process. We shall be obligated to assist New Fortress Energy Holdings in any such sale process.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Amended and Restated Limited Liability Company Agreement of NFI</w:t>
      </w:r>
    </w:p>
    <w:p>
      <w:pPr>
        <w:spacing w:after="0" w:line="115" w:lineRule="exact"/>
        <w:rPr>
          <w:sz w:val="20"/>
          <w:szCs w:val="20"/>
          <w:color w:val="auto"/>
        </w:rPr>
      </w:pPr>
    </w:p>
    <w:p>
      <w:pPr>
        <w:ind w:right="160" w:firstLine="357"/>
        <w:spacing w:after="0" w:line="274" w:lineRule="auto"/>
        <w:rPr>
          <w:sz w:val="20"/>
          <w:szCs w:val="20"/>
          <w:color w:val="auto"/>
        </w:rPr>
      </w:pPr>
      <w:r>
        <w:rPr>
          <w:rFonts w:ascii="Arial" w:cs="Arial" w:eastAsia="Arial" w:hAnsi="Arial"/>
          <w:sz w:val="18"/>
          <w:szCs w:val="18"/>
          <w:color w:val="auto"/>
        </w:rPr>
        <w:t>The form of NFI LLC Agreement is filed as an exhibit to the registration statement of which this prospectus forms a part, and the following description of the NFI LLC Agreement is qualified in its entirety by reference thereto.</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Redemption Rights</w:t>
      </w:r>
    </w:p>
    <w:p>
      <w:pPr>
        <w:spacing w:after="0" w:line="115" w:lineRule="exact"/>
        <w:rPr>
          <w:sz w:val="20"/>
          <w:szCs w:val="20"/>
          <w:color w:val="auto"/>
        </w:rPr>
      </w:pPr>
    </w:p>
    <w:p>
      <w:pPr>
        <w:jc w:val="both"/>
        <w:ind w:right="60" w:firstLine="357"/>
        <w:spacing w:after="0" w:line="261" w:lineRule="auto"/>
        <w:rPr>
          <w:sz w:val="20"/>
          <w:szCs w:val="20"/>
          <w:color w:val="auto"/>
        </w:rPr>
      </w:pPr>
      <w:r>
        <w:rPr>
          <w:rFonts w:ascii="Arial" w:cs="Arial" w:eastAsia="Arial" w:hAnsi="Arial"/>
          <w:sz w:val="18"/>
          <w:szCs w:val="18"/>
          <w:color w:val="auto"/>
        </w:rPr>
        <w:t>Following this offering, under the NFI LLC Agreement, New Fortress Energy Holdings and any permitted transferees of their NFI LLC Units will, subject to certain limitations, have the right, pursuant to the Redemption Right, to cause NFI to acquire all or a portion of its NFI LLC Units for, at NFI’s election, (i) Class A shares at 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redemption ratio of one Class A share for each NFI LLC Unit redeemed, subject to conversion rate adjustments for equity splits, equity dividends and reclassification and other similar transactions or (ii) an equivalent amount of cash. NFI will determine whether to issue Class A shares or cash based on facts in existence at the time of the decision, which we expect would include the relative value of the Class A shares (including trading prices for the Class A shares at the time), the cash purchase price, the availability of other sources of liquidity to acquire the NFI LLC Units and alternative uses for such cash. As the sole managing member of NFI, our decision to make a cash payment upon the redemption of NFI LLC Units will be made by a committee of our board of directors. Alternatively, upon the exercise of the Redemption Right, NFE (instead of NFI) will have the right, pursuant to the Call Right, to, for administrative convenience, acquire each tendered NFI LLC Unit directly from the redeeming NFI unitholder for, at its election,</w:t>
      </w:r>
    </w:p>
    <w:p>
      <w:pPr>
        <w:spacing w:after="0" w:line="2" w:lineRule="exact"/>
        <w:rPr>
          <w:sz w:val="20"/>
          <w:szCs w:val="20"/>
          <w:color w:val="auto"/>
        </w:rPr>
      </w:pPr>
    </w:p>
    <w:p>
      <w:pPr>
        <w:ind w:firstLine="5"/>
        <w:spacing w:after="0" w:line="251" w:lineRule="auto"/>
        <w:tabs>
          <w:tab w:leader="none" w:pos="2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one Class A share, subject to conversion rate adjustments for equity splits, equity dividends and reclassification and other similar transactions or (y) an equivalent amount of cash. Our decision with respect to the Call Right will be made by a committee of our board of directors. In connection with any redemption of NFI LLC Units pursuant to the Redemption Right or our Call Right, the corresponding number of Class B shares will be cancelled.</w:t>
      </w:r>
    </w:p>
    <w:p>
      <w:pPr>
        <w:spacing w:after="0" w:line="85" w:lineRule="exact"/>
        <w:rPr>
          <w:sz w:val="20"/>
          <w:szCs w:val="20"/>
          <w:color w:val="auto"/>
        </w:rPr>
      </w:pPr>
    </w:p>
    <w:p>
      <w:pPr>
        <w:ind w:right="80" w:firstLine="357"/>
        <w:spacing w:after="0" w:line="257" w:lineRule="auto"/>
        <w:rPr>
          <w:sz w:val="20"/>
          <w:szCs w:val="20"/>
          <w:color w:val="auto"/>
        </w:rPr>
      </w:pPr>
      <w:r>
        <w:rPr>
          <w:rFonts w:ascii="Arial" w:cs="Arial" w:eastAsia="Arial" w:hAnsi="Arial"/>
          <w:sz w:val="18"/>
          <w:szCs w:val="18"/>
          <w:color w:val="auto"/>
        </w:rPr>
        <w:t>For purposes of any transfer or exchange of NFI LLC Units initially owned by New Fortress Energy Holdings and our Class B shares, the NFI LLC Agreement and our operating agreement will contain provisions effectively linking each NFI LLC Unit with one of our Class B shares. Class B shares cannot be transferred without transferring an equal number of NFI LLC Units and vice versa.</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Distributions and Allocations</w:t>
      </w:r>
    </w:p>
    <w:p>
      <w:pPr>
        <w:spacing w:after="0" w:line="115" w:lineRule="exact"/>
        <w:rPr>
          <w:sz w:val="20"/>
          <w:szCs w:val="20"/>
          <w:color w:val="auto"/>
        </w:rPr>
      </w:pPr>
    </w:p>
    <w:p>
      <w:pPr>
        <w:ind w:right="80" w:firstLine="357"/>
        <w:spacing w:after="0" w:line="277" w:lineRule="auto"/>
        <w:rPr>
          <w:sz w:val="20"/>
          <w:szCs w:val="20"/>
          <w:color w:val="auto"/>
        </w:rPr>
      </w:pPr>
      <w:r>
        <w:rPr>
          <w:rFonts w:ascii="Arial" w:cs="Arial" w:eastAsia="Arial" w:hAnsi="Arial"/>
          <w:sz w:val="17"/>
          <w:szCs w:val="17"/>
          <w:color w:val="auto"/>
        </w:rPr>
        <w:t>In accordance with the NFI LLC Agreement, subject to the requirement to make tax distributions described below, we will have the right to determine when distributions will be made to the holders of NFI LLC Units and the amount of any such distributions. Following this offering, if we authorize a distribution, such distribution will be made to the holders of NFI LLC Units generally on a pro rata basis in accordance with their respective percentage ownership of NFI LLC Units.</w:t>
      </w:r>
    </w:p>
    <w:p>
      <w:pPr>
        <w:spacing w:after="0" w:line="63" w:lineRule="exact"/>
        <w:rPr>
          <w:sz w:val="20"/>
          <w:szCs w:val="20"/>
          <w:color w:val="auto"/>
        </w:rPr>
      </w:pPr>
    </w:p>
    <w:p>
      <w:pPr>
        <w:ind w:right="40" w:firstLine="357"/>
        <w:spacing w:after="0" w:line="285" w:lineRule="auto"/>
        <w:rPr>
          <w:sz w:val="20"/>
          <w:szCs w:val="20"/>
          <w:color w:val="auto"/>
        </w:rPr>
      </w:pPr>
      <w:r>
        <w:rPr>
          <w:rFonts w:ascii="Arial" w:cs="Arial" w:eastAsia="Arial" w:hAnsi="Arial"/>
          <w:sz w:val="16"/>
          <w:szCs w:val="16"/>
          <w:color w:val="auto"/>
        </w:rPr>
        <w:t>NFI will allocate its net income or net loss for each year to the holders of NFI LLC Units pursuant to the terms of the NFI LLC Agreement, and the holders of NFI LLC Units, including NFE, will generally incur U.S. federal, state and local income taxes on their share of any taxable income of NFI. Net income and losses of NFI generally will be allocated to the holders of NFI LLC Units on a pro rata basis in accordance with their respective percentage ownership of NFI LLC Units, subject to requirements under U.S. federal income tax law that certain items of income, gain, loss or deduction be allocated disproportionately in certain circumstances. To the extent NFI has available cash and subject to the terms of NFE’s credit agreements and any other debt instruments, we will cause NFI to make (i) generally pro rata distributions to holders of NFI LLC Units, including NFE, in an amount sufficient to allow NFE to pay its taxes, (ii) additional pro rata distributions to all holders of NFI LLC Units in an amount generally intended to allow holders of NFI LLC Units (other than NFE) to satisfy their respective income tax liabilities with respect to their allocable share of the income of NFI (based on certain assumptions and conventions and as determined by NFI Holdings), and (iii) non-pro rata distributions to NFE in an amount at least sufficient to reimburse it for its corporate and other overhead expenses.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Issuance of Equity</w:t>
      </w:r>
    </w:p>
    <w:p>
      <w:pPr>
        <w:spacing w:after="0" w:line="115" w:lineRule="exact"/>
        <w:rPr>
          <w:sz w:val="20"/>
          <w:szCs w:val="20"/>
          <w:color w:val="auto"/>
        </w:rPr>
      </w:pPr>
    </w:p>
    <w:p>
      <w:pPr>
        <w:ind w:right="200" w:firstLine="357"/>
        <w:spacing w:after="0" w:line="253" w:lineRule="auto"/>
        <w:rPr>
          <w:sz w:val="20"/>
          <w:szCs w:val="20"/>
          <w:color w:val="auto"/>
        </w:rPr>
      </w:pPr>
      <w:r>
        <w:rPr>
          <w:rFonts w:ascii="Arial" w:cs="Arial" w:eastAsia="Arial" w:hAnsi="Arial"/>
          <w:sz w:val="18"/>
          <w:szCs w:val="18"/>
          <w:color w:val="auto"/>
        </w:rPr>
        <w:t>The NFI LLC Agreement will provide that, except as otherwise determined by us, at any time NFE issues a Class A share or any other equity security, the net proceeds received by NFE with respect to such issuance, if any, shall be concurrently invested in NFI, and NFI shall issue to NFE one NFI LLC Unit or other economically equivalent equity interest unless such net proceeds are used by NFE to acquire a NFI LLC Unit pursuant to NFE’s exercise of the Call Right. Conversely, if at any time, any of NFE’s Class A shares are redeemed, repurchased or otherwise acquired, NFI shall redeem, repurchase or otherwise acquire an equal number of NFI LLC Units held by NFE, upon the same terms and for the same price, as our Class A shares are redeemed, repurchased or otherwise acquired.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Persons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Miami Ground Lease</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lease the property for our Miami Facility from an affiliate of Fortress.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i w:val="1"/>
          <w:iCs w:val="1"/>
          <w:color w:val="auto"/>
        </w:rPr>
        <w:t>The Lease</w:t>
      </w:r>
      <w:r>
        <w:rPr>
          <w:rFonts w:ascii="Arial" w:cs="Arial" w:eastAsia="Arial" w:hAnsi="Arial"/>
          <w:sz w:val="18"/>
          <w:szCs w:val="18"/>
          <w:color w:val="auto"/>
        </w:rPr>
        <w:t>. Our subsidiary, LNG Holdings (Florida) LLC (“Florida Holdings”), is the owner and operator of the Miami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Florida Holdings holds rights to the real property on which the Miami Facility is located pursuant to that certain Ground Lease Agreement dated November 20, 2014 (the “Miami Lease”), by and between FDG LR 7 LLC, as landlord (“Miami Landlord”), and Florida Holdings, as tenant (in such capacity, “Miami Tenant”). The Miami Landlord is owned by certain funds managed by an affiliate of Fortress.</w:t>
      </w:r>
    </w:p>
    <w:p>
      <w:pPr>
        <w:spacing w:after="0" w:line="81" w:lineRule="exact"/>
        <w:rPr>
          <w:sz w:val="20"/>
          <w:szCs w:val="20"/>
          <w:color w:val="auto"/>
        </w:rPr>
      </w:pPr>
    </w:p>
    <w:p>
      <w:pPr>
        <w:ind w:right="200" w:firstLine="357"/>
        <w:spacing w:after="0" w:line="261"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the Miami Lease commenced November 20, 2014, and expires November 19, 2019. The term will</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extend for five additional periods of five years each (unless Miami Tenant notifies Miami Landlord otherwise as set forth in the Miami Lease).</w:t>
      </w:r>
    </w:p>
    <w:p>
      <w:pPr>
        <w:spacing w:after="0" w:line="76" w:lineRule="exact"/>
        <w:rPr>
          <w:sz w:val="20"/>
          <w:szCs w:val="20"/>
          <w:color w:val="auto"/>
        </w:rPr>
      </w:pPr>
    </w:p>
    <w:p>
      <w:pPr>
        <w:ind w:right="80" w:firstLine="357"/>
        <w:spacing w:after="0" w:line="299" w:lineRule="auto"/>
        <w:rPr>
          <w:sz w:val="20"/>
          <w:szCs w:val="20"/>
          <w:color w:val="auto"/>
        </w:rPr>
      </w:pPr>
      <w:r>
        <w:rPr>
          <w:rFonts w:ascii="Arial" w:cs="Arial" w:eastAsia="Arial" w:hAnsi="Arial"/>
          <w:sz w:val="16"/>
          <w:szCs w:val="16"/>
          <w:i w:val="1"/>
          <w:iCs w:val="1"/>
          <w:color w:val="auto"/>
        </w:rPr>
        <w:t>Rent; Security</w:t>
      </w:r>
      <w:r>
        <w:rPr>
          <w:rFonts w:ascii="Arial" w:cs="Arial" w:eastAsia="Arial" w:hAnsi="Arial"/>
          <w:sz w:val="16"/>
          <w:szCs w:val="16"/>
          <w:color w:val="auto"/>
        </w:rPr>
        <w:t>. Miami Tenant pays base rent in the amount of $270,000 per year, which amount shall escalate by 2.5% on each</w:t>
      </w:r>
      <w:r>
        <w:rPr>
          <w:rFonts w:ascii="Arial" w:cs="Arial" w:eastAsia="Arial" w:hAnsi="Arial"/>
          <w:sz w:val="16"/>
          <w:szCs w:val="16"/>
          <w:i w:val="1"/>
          <w:iCs w:val="1"/>
          <w:color w:val="auto"/>
        </w:rPr>
        <w:t xml:space="preserve"> </w:t>
      </w:r>
      <w:r>
        <w:rPr>
          <w:rFonts w:ascii="Arial" w:cs="Arial" w:eastAsia="Arial" w:hAnsi="Arial"/>
          <w:sz w:val="16"/>
          <w:szCs w:val="16"/>
          <w:color w:val="auto"/>
        </w:rPr>
        <w:t>anniversary of the commencement date. Miami Tenant has delivered a security deposit in the amount of $135,000, which will be reduced to $70,000 upon commencement of the first renewal term, and further reduced to $0 upon commencement of the second renewal term. Miami Tenant has the right to provide the security deposit in the form of letter of credit.</w:t>
      </w:r>
    </w:p>
    <w:p>
      <w:pPr>
        <w:spacing w:after="0" w:line="49" w:lineRule="exact"/>
        <w:rPr>
          <w:sz w:val="20"/>
          <w:szCs w:val="20"/>
          <w:color w:val="auto"/>
        </w:rPr>
      </w:pPr>
    </w:p>
    <w:p>
      <w:pPr>
        <w:ind w:right="580" w:firstLine="357"/>
        <w:spacing w:after="0" w:line="305" w:lineRule="auto"/>
        <w:rPr>
          <w:sz w:val="20"/>
          <w:szCs w:val="20"/>
          <w:color w:val="auto"/>
        </w:rPr>
      </w:pPr>
      <w:r>
        <w:rPr>
          <w:rFonts w:ascii="Arial" w:cs="Arial" w:eastAsia="Arial" w:hAnsi="Arial"/>
          <w:sz w:val="17"/>
          <w:szCs w:val="17"/>
          <w:i w:val="1"/>
          <w:iCs w:val="1"/>
          <w:color w:val="auto"/>
        </w:rPr>
        <w:t>Net Lease</w:t>
      </w:r>
      <w:r>
        <w:rPr>
          <w:rFonts w:ascii="Arial" w:cs="Arial" w:eastAsia="Arial" w:hAnsi="Arial"/>
          <w:sz w:val="17"/>
          <w:szCs w:val="17"/>
          <w:color w:val="auto"/>
        </w:rPr>
        <w:t>. Miami Tenant is responsible for all other costs attributable to the Miami leased premises and Miami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all property taxes, insurance, and utilities, as well as all maintenance, repair, and replacement costs.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Private Aircraft</w:t>
      </w:r>
    </w:p>
    <w:p>
      <w:pPr>
        <w:spacing w:after="0" w:line="115" w:lineRule="exact"/>
        <w:rPr>
          <w:sz w:val="20"/>
          <w:szCs w:val="20"/>
          <w:color w:val="auto"/>
        </w:rPr>
      </w:pPr>
    </w:p>
    <w:p>
      <w:pPr>
        <w:ind w:right="80" w:firstLine="357"/>
        <w:spacing w:after="0" w:line="255" w:lineRule="auto"/>
        <w:rPr>
          <w:sz w:val="20"/>
          <w:szCs w:val="20"/>
          <w:color w:val="auto"/>
        </w:rPr>
      </w:pPr>
      <w:r>
        <w:rPr>
          <w:rFonts w:ascii="Arial" w:cs="Arial" w:eastAsia="Arial" w:hAnsi="Arial"/>
          <w:sz w:val="18"/>
          <w:szCs w:val="18"/>
          <w:color w:val="auto"/>
        </w:rPr>
        <w:t>Mr. Edens owns or leases an aircraft that we charter from a third-party aircraft operator for business purposes in the ordinary course of operations. We incurred $2.9 million and $1.6 million for the years ended December 31, 2017 and 2016, respectively, and such amounts are included within Selling, general and administrative charges reimbursed to FIG LLC pursuant to the management services agreement described below. We paid the aircraft operator market rates for the charters. The operator remits a portion of these amounts to Mr. Edens.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115" w:lineRule="exact"/>
        <w:rPr>
          <w:sz w:val="20"/>
          <w:szCs w:val="20"/>
          <w:color w:val="auto"/>
        </w:rPr>
      </w:pPr>
    </w:p>
    <w:p>
      <w:pPr>
        <w:ind w:right="60" w:firstLine="357"/>
        <w:spacing w:after="0" w:line="255" w:lineRule="auto"/>
        <w:rPr>
          <w:sz w:val="20"/>
          <w:szCs w:val="20"/>
          <w:color w:val="auto"/>
        </w:rPr>
      </w:pPr>
      <w:r>
        <w:rPr>
          <w:rFonts w:ascii="Arial" w:cs="Arial" w:eastAsia="Arial" w:hAnsi="Arial"/>
          <w:sz w:val="18"/>
          <w:szCs w:val="18"/>
          <w:color w:val="auto"/>
        </w:rPr>
        <w:t>We are party to a management services agreement with FIG LLC, an affiliate of Fortress, pursuant to which FIG LLC provides us with certain back-office services and charges us for selling, general and administrative expenses incurred to provide these services. For the years ended December 31, 2017 and 2016, we paid FIG LLC $3.9 million and $2.2 million, respectively, for services provided under the management services agreement. The management services agreement will be terminated in connection with the closing of this offering.</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5" w:lineRule="exact"/>
        <w:rPr>
          <w:sz w:val="20"/>
          <w:szCs w:val="20"/>
          <w:color w:val="auto"/>
        </w:rPr>
      </w:pPr>
    </w:p>
    <w:p>
      <w:pPr>
        <w:jc w:val="both"/>
        <w:ind w:right="380" w:firstLine="357"/>
        <w:spacing w:after="0" w:line="261" w:lineRule="auto"/>
        <w:rPr>
          <w:sz w:val="20"/>
          <w:szCs w:val="20"/>
          <w:color w:val="auto"/>
        </w:rPr>
      </w:pPr>
      <w:r>
        <w:rPr>
          <w:rFonts w:ascii="Arial" w:cs="Arial" w:eastAsia="Arial" w:hAnsi="Arial"/>
          <w:sz w:val="18"/>
          <w:szCs w:val="18"/>
          <w:color w:val="auto"/>
        </w:rPr>
        <w:t>We intend to enter into an administrative services agreement with FIG LLC, an affiliate of Fortress, in connection with the closing of this offering, pursuant to which FIG LLC will provide us with certain back-office services and charge us for selling, general and administrative expenses incurred to provide these services.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Corporate Headquarters Lease</w:t>
      </w:r>
    </w:p>
    <w:p>
      <w:pPr>
        <w:spacing w:after="0" w:line="115" w:lineRule="exact"/>
        <w:rPr>
          <w:sz w:val="20"/>
          <w:szCs w:val="20"/>
          <w:color w:val="auto"/>
        </w:rPr>
      </w:pPr>
    </w:p>
    <w:p>
      <w:pPr>
        <w:ind w:right="80" w:firstLine="357"/>
        <w:spacing w:after="0" w:line="299" w:lineRule="auto"/>
        <w:rPr>
          <w:sz w:val="20"/>
          <w:szCs w:val="20"/>
          <w:color w:val="auto"/>
        </w:rPr>
      </w:pPr>
      <w:r>
        <w:rPr>
          <w:rFonts w:ascii="Arial" w:cs="Arial" w:eastAsia="Arial" w:hAnsi="Arial"/>
          <w:sz w:val="16"/>
          <w:szCs w:val="16"/>
          <w:color w:val="auto"/>
        </w:rPr>
        <w:t>In November 2018, we entered into a month-to-month non-exclusive license agreement, pursuant to which we lease our corporate offices from Fortress Shareholder, an entity owned jointly by Wesley R. Edens and Randal A. Nardone. Annual rent for the year ended December 31, 2018 under this license agreement is approximately $1,100,000. Fortress Shareholder agreed to be the lessor of record for the lease to facilitate the Company’s ability to occupy the space in the timeframe desired by the Company.</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Participation in this Offering</w:t>
      </w:r>
    </w:p>
    <w:p>
      <w:pPr>
        <w:spacing w:after="0" w:line="115" w:lineRule="exact"/>
        <w:rPr>
          <w:sz w:val="20"/>
          <w:szCs w:val="20"/>
          <w:color w:val="auto"/>
        </w:rPr>
      </w:pPr>
    </w:p>
    <w:p>
      <w:pPr>
        <w:ind w:right="40" w:firstLine="357"/>
        <w:spacing w:after="0" w:line="291" w:lineRule="auto"/>
        <w:rPr>
          <w:sz w:val="20"/>
          <w:szCs w:val="20"/>
          <w:color w:val="auto"/>
        </w:rPr>
      </w:pPr>
      <w:r>
        <w:rPr>
          <w:rFonts w:ascii="Arial" w:cs="Arial" w:eastAsia="Arial" w:hAnsi="Arial"/>
          <w:sz w:val="16"/>
          <w:szCs w:val="16"/>
          <w:color w:val="auto"/>
        </w:rPr>
        <w:t>Certain of our existing shareholders, directors, including our chairman, and entities affiliated with certain of our directors, have indicated an interest in purchasing Class A shares in this offering at the initial public offering price per share and on the same terms as the other purchasers in this offering. Because indications of interest are not binding agreements or commitments to purchase, any of the persons described above may determine to purchase more, fewer or no shares in this offering. The underwriters will receive the same underwriting discount on any shares purchased by these shareholders as they will on any other shares sold to the public in this offering and will allocate any such shares as directed by us as the issuer.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Procedures for Review, Approval and Ratification of Transactions with Related Persons</w:t>
      </w:r>
    </w:p>
    <w:p>
      <w:pPr>
        <w:spacing w:after="0" w:line="115"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We expect that our Board will adopt a written policy that outlines procedures for approving transactions with related persons, and that any such transactions will be reviewed and approved or ratified by a majority of our disinterested and independent directors pursuant to the procedures outlined in any such policy. In determining whether to approve or ratify a transaction with a related person, we expect that the independent and disinterested directors will consider a variety of factors they deem relevant.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Shares</w:t>
      </w:r>
    </w:p>
    <w:p>
      <w:pPr>
        <w:spacing w:after="0" w:line="119" w:lineRule="exact"/>
        <w:rPr>
          <w:sz w:val="20"/>
          <w:szCs w:val="20"/>
          <w:color w:val="auto"/>
        </w:rPr>
      </w:pPr>
    </w:p>
    <w:p>
      <w:pPr>
        <w:ind w:right="20" w:firstLine="357"/>
        <w:spacing w:after="0" w:line="270"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Class A shares are entitled to one vote per share held of record on all matters to be voted upon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A shares do not have cumulative voting rights in the election of directors.</w:t>
      </w:r>
    </w:p>
    <w:p>
      <w:pPr>
        <w:spacing w:after="0" w:line="70" w:lineRule="exact"/>
        <w:rPr>
          <w:sz w:val="20"/>
          <w:szCs w:val="20"/>
          <w:color w:val="auto"/>
        </w:rPr>
      </w:pPr>
    </w:p>
    <w:p>
      <w:pPr>
        <w:ind w:right="160" w:firstLine="357"/>
        <w:spacing w:after="0" w:line="284"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Holders of our Class A shares are entitled to ratably receive dividends when and if declared by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out of funds legally available for that purpose, subject to any statutory or contractual restrictions on the payment of dividends and to any prior rights and preferences that may be applicable to any outstanding preferred shares.</w:t>
      </w:r>
    </w:p>
    <w:p>
      <w:pPr>
        <w:spacing w:after="0" w:line="57" w:lineRule="exact"/>
        <w:rPr>
          <w:sz w:val="20"/>
          <w:szCs w:val="20"/>
          <w:color w:val="auto"/>
        </w:rPr>
      </w:pPr>
    </w:p>
    <w:p>
      <w:pPr>
        <w:jc w:val="both"/>
        <w:ind w:right="100" w:firstLine="357"/>
        <w:spacing w:after="0" w:line="261"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Upon our liquidation, dissolution, distribution of assets or other winding up, the holders of Class A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are entitled to receive ratably the assets available for distribution to the shareholders after payment of liabilities and the liquidation preference of any of our outstanding preferred shares.</w:t>
      </w:r>
    </w:p>
    <w:p>
      <w:pPr>
        <w:spacing w:after="0" w:line="76" w:lineRule="exact"/>
        <w:rPr>
          <w:sz w:val="20"/>
          <w:szCs w:val="20"/>
          <w:color w:val="auto"/>
        </w:rPr>
      </w:pPr>
    </w:p>
    <w:p>
      <w:pPr>
        <w:ind w:right="180" w:firstLine="357"/>
        <w:spacing w:after="0" w:line="261" w:lineRule="auto"/>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The Class A shares have no preemptive or conversion rights and are not subject to further calls or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by us. There are no redemption or sinking fund provisions applicable to the Class A shares. All outstanding Class A shares, including the Class A shares offered in this offering, are fully paid and non-assessable.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Shares</w:t>
      </w:r>
    </w:p>
    <w:p>
      <w:pPr>
        <w:spacing w:after="0" w:line="119" w:lineRule="exact"/>
        <w:rPr>
          <w:sz w:val="20"/>
          <w:szCs w:val="20"/>
          <w:color w:val="auto"/>
        </w:rPr>
      </w:pPr>
    </w:p>
    <w:p>
      <w:pPr>
        <w:jc w:val="both"/>
        <w:ind w:right="80" w:firstLine="357"/>
        <w:spacing w:after="0" w:line="257" w:lineRule="auto"/>
        <w:rPr>
          <w:sz w:val="20"/>
          <w:szCs w:val="20"/>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In connection with the reorganization and this offering, the NFI unitholders will receive one Class B share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NFI LLC Unit that they hold. Accordingly, the NFI unitholders will have a number of votes in NFE equal to the aggregate number of NFI LLC Units that they hold. Class B shares cannot be transferred without transferring an equal number of NFI LLC Units and vice versa.</w:t>
      </w:r>
    </w:p>
    <w:p>
      <w:pPr>
        <w:spacing w:after="0" w:line="79" w:lineRule="exact"/>
        <w:rPr>
          <w:sz w:val="20"/>
          <w:szCs w:val="20"/>
          <w:color w:val="auto"/>
        </w:rPr>
      </w:pPr>
    </w:p>
    <w:p>
      <w:pPr>
        <w:ind w:right="20" w:firstLine="357"/>
        <w:spacing w:after="0" w:line="270"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Class B shares are entitled to one vote per share held of record on all matters to be voted upon by</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shareholders. 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B shares do not have cumulative voting rights in the election of directors.</w:t>
      </w:r>
    </w:p>
    <w:p>
      <w:pPr>
        <w:spacing w:after="0" w:line="70" w:lineRule="exact"/>
        <w:rPr>
          <w:sz w:val="20"/>
          <w:szCs w:val="20"/>
          <w:color w:val="auto"/>
        </w:rPr>
      </w:pPr>
    </w:p>
    <w:p>
      <w:pPr>
        <w:ind w:right="20" w:firstLine="357"/>
        <w:spacing w:after="0" w:line="254" w:lineRule="auto"/>
        <w:rPr>
          <w:sz w:val="20"/>
          <w:szCs w:val="20"/>
          <w:color w:val="auto"/>
        </w:rPr>
      </w:pPr>
      <w:r>
        <w:rPr>
          <w:rFonts w:ascii="Arial" w:cs="Arial" w:eastAsia="Arial" w:hAnsi="Arial"/>
          <w:sz w:val="18"/>
          <w:szCs w:val="18"/>
          <w:i w:val="1"/>
          <w:iCs w:val="1"/>
          <w:color w:val="auto"/>
        </w:rPr>
        <w:t>Dividend and Liquidation Rights</w:t>
      </w:r>
      <w:r>
        <w:rPr>
          <w:rFonts w:ascii="Arial" w:cs="Arial" w:eastAsia="Arial" w:hAnsi="Arial"/>
          <w:sz w:val="18"/>
          <w:szCs w:val="18"/>
          <w:color w:val="auto"/>
        </w:rPr>
        <w:t>. Holders of our Class B shares do not have any right to receive dividends, unless the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our Class B shares or of rights, options, warrants or other securities convertible or exercisable into or exchangeable for Class B shares paid proportionally with respect to each outstanding Class B share and a dividend consisting of Class A shares or of rights, options, warrants or other securities convertible or exercisable into or exchangeable for Class A shares on the same terms is simultaneously paid to the holders of Class A shares. Holders of our Class B shares do not have any right to receive a distribution upon our liquidation or winding 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19"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Pursuant to our operating agreement,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The rights with respect to a series of preferred shares may be more favorable to the holder(s) thereof than the rights attached to our Class A shares. It is not possible to state the actual effect of the issuance of any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preferred shares on the rights of holders of our Class A shares until our board of directors determines the specific rights attached to such preference share. The effect of issuing preferred shares may include, among other things, one or more of the following:</w:t>
      </w:r>
    </w:p>
    <w:p>
      <w:pPr>
        <w:spacing w:after="0" w:line="17" w:lineRule="exact"/>
        <w:rPr>
          <w:sz w:val="20"/>
          <w:szCs w:val="20"/>
          <w:color w:val="auto"/>
        </w:rPr>
      </w:pPr>
    </w:p>
    <w:p>
      <w:pPr>
        <w:ind w:left="700" w:hanging="34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restricting any dividends in respect of our Class A shares;</w:t>
      </w:r>
    </w:p>
    <w:p>
      <w:pPr>
        <w:spacing w:after="0" w:line="114" w:lineRule="exact"/>
        <w:rPr>
          <w:rFonts w:ascii="Arial" w:cs="Arial" w:eastAsia="Arial" w:hAnsi="Arial"/>
          <w:sz w:val="18"/>
          <w:szCs w:val="18"/>
          <w:color w:val="auto"/>
        </w:rPr>
      </w:pPr>
    </w:p>
    <w:p>
      <w:pPr>
        <w:ind w:left="700" w:right="360" w:hanging="346"/>
        <w:spacing w:after="0" w:line="274"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diluting the voting power of our Class A shares or providing that holders of preferred shares have the right to vote on matters as a class;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impairing the liquidation rights of our Class A shares;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delaying or preventing a change of control of us; or</w:t>
      </w:r>
    </w:p>
    <w:p>
      <w:pPr>
        <w:spacing w:after="0" w:line="114" w:lineRule="exact"/>
        <w:rPr>
          <w:rFonts w:ascii="Arial" w:cs="Arial" w:eastAsia="Arial" w:hAnsi="Arial"/>
          <w:sz w:val="18"/>
          <w:szCs w:val="18"/>
          <w:color w:val="auto"/>
        </w:rPr>
      </w:pPr>
    </w:p>
    <w:p>
      <w:pPr>
        <w:ind w:left="700" w:right="80" w:hanging="346"/>
        <w:spacing w:after="0" w:line="261"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NFE issues preferred shares, NFI will concurrently issue to NFE an equal number of preferred units, corresponding to the preferred shares issued by NFE. Such preferred units will have substantially the same rights to distributions and other economic rights as those of the preferred shares of NFE.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Duties</w:t>
      </w:r>
    </w:p>
    <w:p>
      <w:pPr>
        <w:spacing w:after="0" w:line="115" w:lineRule="exact"/>
        <w:rPr>
          <w:sz w:val="20"/>
          <w:szCs w:val="20"/>
          <w:color w:val="auto"/>
        </w:rPr>
      </w:pPr>
    </w:p>
    <w:p>
      <w:pPr>
        <w:ind w:right="100" w:firstLine="357"/>
        <w:spacing w:after="0" w:line="261" w:lineRule="auto"/>
        <w:rPr>
          <w:sz w:val="20"/>
          <w:szCs w:val="20"/>
          <w:color w:val="auto"/>
        </w:rPr>
      </w:pPr>
      <w:r>
        <w:rPr>
          <w:rFonts w:ascii="Arial" w:cs="Arial" w:eastAsia="Arial" w:hAnsi="Arial"/>
          <w:sz w:val="18"/>
          <w:szCs w:val="18"/>
          <w:color w:val="auto"/>
        </w:rPr>
        <w:t>American Stock Transfer &amp; Trust Company, LLC will serve as the registrar and transfer agent for the Class A shares. We will pay all fees charged by the transfer agent for transfers of Class A shares except the following, which must be paid by our Class A shareholders:</w:t>
      </w:r>
    </w:p>
    <w:p>
      <w:pPr>
        <w:spacing w:after="0" w:line="76" w:lineRule="exact"/>
        <w:rPr>
          <w:sz w:val="20"/>
          <w:szCs w:val="20"/>
          <w:color w:val="auto"/>
        </w:rPr>
      </w:pPr>
    </w:p>
    <w:p>
      <w:pPr>
        <w:ind w:left="700" w:hanging="34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Class A share;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115"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There will be no charge to our Class A shareholders for disbursements of any dividends. We will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may resign, by notice to us, or be removed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and Class B shares</w:t>
      </w:r>
    </w:p>
    <w:p>
      <w:pPr>
        <w:spacing w:after="0" w:line="119" w:lineRule="exact"/>
        <w:rPr>
          <w:sz w:val="20"/>
          <w:szCs w:val="20"/>
          <w:color w:val="auto"/>
        </w:rPr>
      </w:pPr>
    </w:p>
    <w:p>
      <w:pPr>
        <w:ind w:right="20" w:firstLine="357"/>
        <w:spacing w:after="0" w:line="261" w:lineRule="auto"/>
        <w:rPr>
          <w:sz w:val="20"/>
          <w:szCs w:val="20"/>
          <w:color w:val="auto"/>
        </w:rPr>
      </w:pPr>
      <w:r>
        <w:rPr>
          <w:rFonts w:ascii="Arial" w:cs="Arial" w:eastAsia="Arial" w:hAnsi="Arial"/>
          <w:sz w:val="18"/>
          <w:szCs w:val="18"/>
          <w:color w:val="auto"/>
        </w:rPr>
        <w:t>Upon the transfer of a Class A share or a Class B share in accordance with our operating agreement, the transferee of the Class A share or Class B share shall be admitted as a member with respect to the class of shares transferred when such transfer and admission are reflected in our books and records. Each transferee:</w:t>
      </w:r>
    </w:p>
    <w:p>
      <w:pPr>
        <w:spacing w:after="0" w:line="76" w:lineRule="exact"/>
        <w:rPr>
          <w:sz w:val="20"/>
          <w:szCs w:val="20"/>
          <w:color w:val="auto"/>
        </w:rPr>
      </w:pPr>
    </w:p>
    <w:p>
      <w:pPr>
        <w:ind w:left="700" w:hanging="34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automatically becomes bound by the terms and conditions of our operating agreement;</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represents that the transferee has the capacity, power and authority to enter into our operating agreement; and</w:t>
      </w:r>
    </w:p>
    <w:p>
      <w:pPr>
        <w:spacing w:after="0" w:line="126" w:lineRule="exact"/>
        <w:rPr>
          <w:rFonts w:ascii="Arial" w:cs="Arial" w:eastAsia="Arial" w:hAnsi="Arial"/>
          <w:sz w:val="17"/>
          <w:szCs w:val="17"/>
          <w:color w:val="auto"/>
        </w:rPr>
      </w:pPr>
    </w:p>
    <w:p>
      <w:pPr>
        <w:ind w:left="700" w:right="320" w:hanging="346"/>
        <w:spacing w:after="0" w:line="339" w:lineRule="auto"/>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makes the consents, acknowledgements and waivers contained in our operating agreement, such as the approval of all transactions and agreements that we are entering into in connection with our formation and this offering.</w:t>
      </w:r>
    </w:p>
    <w:p>
      <w:pPr>
        <w:spacing w:after="0" w:line="17" w:lineRule="exact"/>
        <w:rPr>
          <w:sz w:val="20"/>
          <w:szCs w:val="20"/>
          <w:color w:val="auto"/>
        </w:rPr>
      </w:pPr>
    </w:p>
    <w:p>
      <w:pPr>
        <w:ind w:right="120" w:firstLine="357"/>
        <w:spacing w:after="0" w:line="274" w:lineRule="auto"/>
        <w:rPr>
          <w:sz w:val="20"/>
          <w:szCs w:val="20"/>
          <w:color w:val="auto"/>
        </w:rPr>
      </w:pPr>
      <w:r>
        <w:rPr>
          <w:rFonts w:ascii="Arial" w:cs="Arial" w:eastAsia="Arial" w:hAnsi="Arial"/>
          <w:sz w:val="18"/>
          <w:szCs w:val="18"/>
          <w:color w:val="auto"/>
        </w:rPr>
        <w:t>We will cause any transfers to be recorded on our books and records from time to time (or shall cause the transfer agent to do so, as applicable).</w:t>
      </w:r>
    </w:p>
    <w:p>
      <w:pPr>
        <w:spacing w:after="0" w:line="64" w:lineRule="exact"/>
        <w:rPr>
          <w:sz w:val="20"/>
          <w:szCs w:val="20"/>
          <w:color w:val="auto"/>
        </w:rPr>
      </w:pPr>
    </w:p>
    <w:p>
      <w:pPr>
        <w:jc w:val="both"/>
        <w:ind w:right="80" w:firstLine="357"/>
        <w:spacing w:after="0" w:line="261" w:lineRule="auto"/>
        <w:rPr>
          <w:sz w:val="20"/>
          <w:szCs w:val="20"/>
          <w:color w:val="auto"/>
        </w:rPr>
      </w:pPr>
      <w:r>
        <w:rPr>
          <w:rFonts w:ascii="Arial" w:cs="Arial" w:eastAsia="Arial" w:hAnsi="Arial"/>
          <w:sz w:val="18"/>
          <w:szCs w:val="18"/>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Class A shares and Class B shares are securities and any transfers are subject to the laws governing the transfer of securities.</w:t>
      </w:r>
    </w:p>
    <w:p>
      <w:pPr>
        <w:spacing w:after="0" w:line="138" w:lineRule="exact"/>
        <w:rPr>
          <w:sz w:val="20"/>
          <w:szCs w:val="20"/>
          <w:color w:val="auto"/>
        </w:rPr>
      </w:pPr>
    </w:p>
    <w:p>
      <w:pPr>
        <w:jc w:val="both"/>
        <w:ind w:right="20" w:firstLine="357"/>
        <w:spacing w:after="0" w:line="261" w:lineRule="auto"/>
        <w:rPr>
          <w:sz w:val="20"/>
          <w:szCs w:val="20"/>
          <w:color w:val="auto"/>
        </w:rPr>
      </w:pPr>
      <w:r>
        <w:rPr>
          <w:rFonts w:ascii="Arial" w:cs="Arial" w:eastAsia="Arial" w:hAnsi="Arial"/>
          <w:sz w:val="18"/>
          <w:szCs w:val="18"/>
          <w:color w:val="auto"/>
        </w:rPr>
        <w:t>Until a Class A share or Class B share has been transferred on our books, we and the transfer agent may treat the record holder of the Class A share or Class B share as the absolute owner for all purposes, except as otherwise required by law or stock exchange regulations.</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OPERATING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119" w:lineRule="exact"/>
        <w:rPr>
          <w:sz w:val="20"/>
          <w:szCs w:val="20"/>
          <w:color w:val="auto"/>
        </w:rPr>
      </w:pPr>
    </w:p>
    <w:p>
      <w:pPr>
        <w:ind w:right="100" w:firstLine="357"/>
        <w:spacing w:after="0" w:line="274" w:lineRule="auto"/>
        <w:rPr>
          <w:sz w:val="20"/>
          <w:szCs w:val="20"/>
          <w:color w:val="auto"/>
        </w:rPr>
      </w:pPr>
      <w:r>
        <w:rPr>
          <w:rFonts w:ascii="Arial" w:cs="Arial" w:eastAsia="Arial" w:hAnsi="Arial"/>
          <w:sz w:val="18"/>
          <w:szCs w:val="18"/>
          <w:color w:val="auto"/>
        </w:rPr>
        <w:t>Our limited liability company was formed on August 6, 2018, and will remain in existence until dissolved in accordance with our operating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19" w:lineRule="exact"/>
        <w:rPr>
          <w:sz w:val="20"/>
          <w:szCs w:val="20"/>
          <w:color w:val="auto"/>
        </w:rPr>
      </w:pPr>
    </w:p>
    <w:p>
      <w:pPr>
        <w:jc w:val="both"/>
        <w:ind w:right="440" w:firstLine="357"/>
        <w:spacing w:after="0" w:line="261" w:lineRule="auto"/>
        <w:rPr>
          <w:sz w:val="20"/>
          <w:szCs w:val="20"/>
          <w:color w:val="auto"/>
        </w:rPr>
      </w:pPr>
      <w:r>
        <w:rPr>
          <w:rFonts w:ascii="Arial" w:cs="Arial" w:eastAsia="Arial" w:hAnsi="Arial"/>
          <w:sz w:val="18"/>
          <w:szCs w:val="18"/>
          <w:color w:val="auto"/>
        </w:rPr>
        <w:t>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be Bound by our Operating Agreement</w:t>
      </w:r>
    </w:p>
    <w:p>
      <w:pPr>
        <w:spacing w:after="0" w:line="119" w:lineRule="exact"/>
        <w:rPr>
          <w:sz w:val="20"/>
          <w:szCs w:val="20"/>
          <w:color w:val="auto"/>
        </w:rPr>
      </w:pPr>
    </w:p>
    <w:p>
      <w:pPr>
        <w:ind w:right="200" w:firstLine="357"/>
        <w:spacing w:after="0" w:line="274" w:lineRule="auto"/>
        <w:rPr>
          <w:sz w:val="20"/>
          <w:szCs w:val="20"/>
          <w:color w:val="auto"/>
        </w:rPr>
      </w:pPr>
      <w:r>
        <w:rPr>
          <w:rFonts w:ascii="Arial" w:cs="Arial" w:eastAsia="Arial" w:hAnsi="Arial"/>
          <w:sz w:val="18"/>
          <w:szCs w:val="18"/>
          <w:color w:val="auto"/>
        </w:rPr>
        <w:t>By purchasing our Class A shares, you will be admitted as a member of our limited liability company and will be deemed to have agreed to be bound by the terms of our operating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Our Operating Agreement</w:t>
      </w:r>
    </w:p>
    <w:p>
      <w:pPr>
        <w:spacing w:after="0" w:line="119" w:lineRule="exact"/>
        <w:rPr>
          <w:sz w:val="20"/>
          <w:szCs w:val="20"/>
          <w:color w:val="auto"/>
        </w:rPr>
      </w:pPr>
    </w:p>
    <w:p>
      <w:pPr>
        <w:ind w:right="100" w:firstLine="357"/>
        <w:spacing w:after="0" w:line="277" w:lineRule="auto"/>
        <w:rPr>
          <w:sz w:val="20"/>
          <w:szCs w:val="20"/>
          <w:color w:val="auto"/>
        </w:rPr>
      </w:pPr>
      <w:r>
        <w:rPr>
          <w:rFonts w:ascii="Arial" w:cs="Arial" w:eastAsia="Arial" w:hAnsi="Arial"/>
          <w:sz w:val="17"/>
          <w:szCs w:val="17"/>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Prohibited Amendments</w:t>
      </w:r>
      <w:r>
        <w:rPr>
          <w:rFonts w:ascii="Arial" w:cs="Arial" w:eastAsia="Arial" w:hAnsi="Arial"/>
          <w:sz w:val="18"/>
          <w:szCs w:val="18"/>
          <w:color w:val="auto"/>
        </w:rPr>
        <w:t>. No amendment may be made that would:</w:t>
      </w:r>
    </w:p>
    <w:p>
      <w:pPr>
        <w:spacing w:after="0" w:line="115" w:lineRule="exact"/>
        <w:rPr>
          <w:sz w:val="20"/>
          <w:szCs w:val="20"/>
          <w:color w:val="auto"/>
        </w:rPr>
      </w:pPr>
    </w:p>
    <w:p>
      <w:pPr>
        <w:ind w:left="700" w:right="200" w:hanging="346"/>
        <w:spacing w:after="0" w:line="274"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w:t>
      </w:r>
    </w:p>
    <w:p>
      <w:pPr>
        <w:spacing w:after="0" w:line="63" w:lineRule="exact"/>
        <w:rPr>
          <w:rFonts w:ascii="Arial" w:cs="Arial" w:eastAsia="Arial" w:hAnsi="Arial"/>
          <w:sz w:val="18"/>
          <w:szCs w:val="18"/>
          <w:color w:val="auto"/>
        </w:rPr>
      </w:pPr>
    </w:p>
    <w:p>
      <w:pPr>
        <w:ind w:left="700" w:right="60" w:hanging="346"/>
        <w:spacing w:after="0" w:line="274"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that we are not dissolved upon an election to dissolve our limited liability company by our board of directors that is approved by holders of a majority of the outstanding shares;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 the term of existence of our company; or</w:t>
      </w:r>
    </w:p>
    <w:p>
      <w:pPr>
        <w:spacing w:after="0" w:line="114" w:lineRule="exact"/>
        <w:rPr>
          <w:rFonts w:ascii="Arial" w:cs="Arial" w:eastAsia="Arial" w:hAnsi="Arial"/>
          <w:sz w:val="18"/>
          <w:szCs w:val="18"/>
          <w:color w:val="auto"/>
        </w:rPr>
      </w:pPr>
    </w:p>
    <w:p>
      <w:pPr>
        <w:ind w:left="700" w:right="100" w:hanging="346"/>
        <w:spacing w:after="0" w:line="261"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give any person the right to dissolve our limited liability company other than our board of directors’ right to dissolve our limited liability company with the approval of the Consenting Entities and holders of a majority of the total combined voting power of our outstanding shares.</w:t>
      </w:r>
    </w:p>
    <w:p>
      <w:pPr>
        <w:spacing w:after="0" w:line="76" w:lineRule="exact"/>
        <w:rPr>
          <w:sz w:val="20"/>
          <w:szCs w:val="20"/>
          <w:color w:val="auto"/>
        </w:rPr>
      </w:pPr>
    </w:p>
    <w:p>
      <w:pPr>
        <w:ind w:right="60" w:firstLine="357"/>
        <w:spacing w:after="0" w:line="339" w:lineRule="auto"/>
        <w:rPr>
          <w:sz w:val="20"/>
          <w:szCs w:val="20"/>
          <w:color w:val="auto"/>
        </w:rPr>
      </w:pPr>
      <w:r>
        <w:rPr>
          <w:rFonts w:ascii="Arial" w:cs="Arial" w:eastAsia="Arial" w:hAnsi="Arial"/>
          <w:sz w:val="16"/>
          <w:szCs w:val="16"/>
          <w:color w:val="auto"/>
        </w:rPr>
        <w:t>The provision of our operating agreement preventing the amendments having the effects described in any of the clauses above can be amended upon the approval of the Consenting Entities and holders of at least two-thirds of the outstanding shares.</w:t>
      </w:r>
    </w:p>
    <w:p>
      <w:pPr>
        <w:spacing w:after="0" w:line="17" w:lineRule="exact"/>
        <w:rPr>
          <w:sz w:val="20"/>
          <w:szCs w:val="20"/>
          <w:color w:val="auto"/>
        </w:rPr>
      </w:pPr>
    </w:p>
    <w:p>
      <w:pPr>
        <w:ind w:right="280" w:firstLine="357"/>
        <w:spacing w:after="0" w:line="274" w:lineRule="auto"/>
        <w:rPr>
          <w:sz w:val="20"/>
          <w:szCs w:val="20"/>
          <w:color w:val="auto"/>
        </w:rPr>
      </w:pPr>
      <w:r>
        <w:rPr>
          <w:rFonts w:ascii="Arial" w:cs="Arial" w:eastAsia="Arial" w:hAnsi="Arial"/>
          <w:sz w:val="18"/>
          <w:szCs w:val="18"/>
          <w:i w:val="1"/>
          <w:iCs w:val="1"/>
          <w:color w:val="auto"/>
        </w:rPr>
        <w:t>No Shareholder Approval</w:t>
      </w:r>
      <w:r>
        <w:rPr>
          <w:rFonts w:ascii="Arial" w:cs="Arial" w:eastAsia="Arial" w:hAnsi="Arial"/>
          <w:sz w:val="18"/>
          <w:szCs w:val="18"/>
          <w:color w:val="auto"/>
        </w:rPr>
        <w:t>. Our board of directors may generally make amendments to our operating agreement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any shareholder or assignee to reflect:</w:t>
      </w:r>
    </w:p>
    <w:p>
      <w:pPr>
        <w:spacing w:after="0" w:line="64" w:lineRule="exact"/>
        <w:rPr>
          <w:sz w:val="20"/>
          <w:szCs w:val="20"/>
          <w:color w:val="auto"/>
        </w:rPr>
      </w:pPr>
    </w:p>
    <w:p>
      <w:pPr>
        <w:ind w:left="700" w:hanging="346"/>
        <w:spacing w:after="0"/>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change in our name, the location of our principal place of our business, our registered agent or our registered office;</w:t>
      </w:r>
    </w:p>
    <w:p>
      <w:pPr>
        <w:spacing w:after="0" w:line="137" w:lineRule="exact"/>
        <w:rPr>
          <w:rFonts w:ascii="Arial" w:cs="Arial" w:eastAsia="Arial" w:hAnsi="Arial"/>
          <w:sz w:val="16"/>
          <w:szCs w:val="16"/>
          <w:color w:val="auto"/>
        </w:rPr>
      </w:pPr>
    </w:p>
    <w:p>
      <w:pPr>
        <w:ind w:left="700" w:hanging="346"/>
        <w:spacing w:after="0"/>
        <w:tabs>
          <w:tab w:leader="none" w:pos="7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admission, substitution, withdrawal or removal of shareholders in accordance with our operating agreement;</w:t>
      </w:r>
    </w:p>
    <w:p>
      <w:pPr>
        <w:spacing w:after="0" w:line="126" w:lineRule="exact"/>
        <w:rPr>
          <w:rFonts w:ascii="Arial" w:cs="Arial" w:eastAsia="Arial" w:hAnsi="Arial"/>
          <w:sz w:val="17"/>
          <w:szCs w:val="17"/>
          <w:color w:val="auto"/>
        </w:rPr>
      </w:pPr>
    </w:p>
    <w:p>
      <w:pPr>
        <w:jc w:val="both"/>
        <w:ind w:left="700" w:right="80" w:hanging="346"/>
        <w:spacing w:after="0" w:line="261"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75" w:lineRule="exact"/>
        <w:rPr>
          <w:rFonts w:ascii="Arial" w:cs="Arial" w:eastAsia="Arial" w:hAnsi="Arial"/>
          <w:sz w:val="18"/>
          <w:szCs w:val="18"/>
          <w:color w:val="auto"/>
        </w:rPr>
      </w:pPr>
    </w:p>
    <w:p>
      <w:pPr>
        <w:ind w:left="700" w:right="840" w:hanging="346"/>
        <w:spacing w:after="0" w:line="339" w:lineRule="auto"/>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continue our qualification as a company in which our members have limited liability under the laws of any state;</w:t>
      </w:r>
    </w:p>
    <w:p>
      <w:pPr>
        <w:spacing w:after="0" w:line="16" w:lineRule="exact"/>
        <w:rPr>
          <w:rFonts w:ascii="Arial" w:cs="Arial" w:eastAsia="Arial" w:hAnsi="Arial"/>
          <w:sz w:val="16"/>
          <w:szCs w:val="16"/>
          <w:color w:val="auto"/>
        </w:rPr>
      </w:pPr>
    </w:p>
    <w:p>
      <w:pPr>
        <w:ind w:left="700" w:hanging="346"/>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change in our legal form from a limited liability company to a corporation;</w:t>
      </w:r>
    </w:p>
    <w:p>
      <w:pPr>
        <w:spacing w:after="0" w:line="114" w:lineRule="exact"/>
        <w:rPr>
          <w:rFonts w:ascii="Arial" w:cs="Arial" w:eastAsia="Arial" w:hAnsi="Arial"/>
          <w:sz w:val="18"/>
          <w:szCs w:val="18"/>
          <w:color w:val="auto"/>
        </w:rPr>
      </w:pPr>
    </w:p>
    <w:p>
      <w:pPr>
        <w:ind w:left="700" w:right="80" w:hanging="346"/>
        <w:spacing w:after="0" w:line="274"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based upon the advice of counsel, to be necessary or appropriate to prevent us, members of our board, or our officers, agents or trustees from</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20" w:right="40"/>
        <w:spacing w:after="0" w:line="284" w:lineRule="auto"/>
        <w:rPr>
          <w:sz w:val="20"/>
          <w:szCs w:val="20"/>
          <w:color w:val="auto"/>
        </w:rPr>
      </w:pPr>
      <w:r>
        <w:rPr>
          <w:rFonts w:ascii="Arial" w:cs="Arial" w:eastAsia="Arial" w:hAnsi="Arial"/>
          <w:sz w:val="17"/>
          <w:szCs w:val="17"/>
          <w:color w:val="auto"/>
        </w:rPr>
        <w:t>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57" w:lineRule="exact"/>
        <w:rPr>
          <w:sz w:val="20"/>
          <w:szCs w:val="20"/>
          <w:color w:val="auto"/>
        </w:rPr>
      </w:pPr>
    </w:p>
    <w:p>
      <w:pPr>
        <w:ind w:left="700" w:right="300" w:hanging="346"/>
        <w:spacing w:after="0" w:line="274"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securities;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amendment expressly permitted in our operating agreement to be made by our board of directors acting alone;</w:t>
      </w:r>
    </w:p>
    <w:p>
      <w:pPr>
        <w:spacing w:after="0" w:line="126" w:lineRule="exact"/>
        <w:rPr>
          <w:rFonts w:ascii="Arial" w:cs="Arial" w:eastAsia="Arial" w:hAnsi="Arial"/>
          <w:sz w:val="17"/>
          <w:szCs w:val="17"/>
          <w:color w:val="auto"/>
        </w:rPr>
      </w:pPr>
    </w:p>
    <w:p>
      <w:pPr>
        <w:ind w:left="700" w:right="200" w:hanging="346"/>
        <w:spacing w:after="0" w:line="274"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operating agreement;</w:t>
      </w:r>
    </w:p>
    <w:p>
      <w:pPr>
        <w:spacing w:after="0" w:line="63" w:lineRule="exact"/>
        <w:rPr>
          <w:rFonts w:ascii="Arial" w:cs="Arial" w:eastAsia="Arial" w:hAnsi="Arial"/>
          <w:sz w:val="18"/>
          <w:szCs w:val="18"/>
          <w:color w:val="auto"/>
        </w:rPr>
      </w:pPr>
    </w:p>
    <w:p>
      <w:pPr>
        <w:ind w:left="700" w:right="260" w:hanging="346"/>
        <w:spacing w:after="0" w:line="339" w:lineRule="auto"/>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16" w:lineRule="exact"/>
        <w:rPr>
          <w:rFonts w:ascii="Arial" w:cs="Arial" w:eastAsia="Arial" w:hAnsi="Arial"/>
          <w:sz w:val="16"/>
          <w:szCs w:val="16"/>
          <w:color w:val="auto"/>
        </w:rPr>
      </w:pPr>
    </w:p>
    <w:p>
      <w:pPr>
        <w:ind w:left="700" w:hanging="3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115" w:lineRule="exact"/>
        <w:rPr>
          <w:sz w:val="20"/>
          <w:szCs w:val="20"/>
          <w:color w:val="auto"/>
        </w:rPr>
      </w:pPr>
    </w:p>
    <w:p>
      <w:pPr>
        <w:ind w:right="40" w:firstLine="357"/>
        <w:spacing w:after="0" w:line="274" w:lineRule="auto"/>
        <w:rPr>
          <w:sz w:val="20"/>
          <w:szCs w:val="20"/>
          <w:color w:val="auto"/>
        </w:rPr>
      </w:pPr>
      <w:r>
        <w:rPr>
          <w:rFonts w:ascii="Arial" w:cs="Arial" w:eastAsia="Arial" w:hAnsi="Arial"/>
          <w:sz w:val="18"/>
          <w:szCs w:val="18"/>
          <w:color w:val="auto"/>
        </w:rPr>
        <w:t>In addition, our board of directors may make amendments to our operating agreement without the approval of any shareholder or assignee if our board of directors determines that those amendments:</w:t>
      </w:r>
    </w:p>
    <w:p>
      <w:pPr>
        <w:spacing w:after="0" w:line="64" w:lineRule="exact"/>
        <w:rPr>
          <w:sz w:val="20"/>
          <w:szCs w:val="20"/>
          <w:color w:val="auto"/>
        </w:rPr>
      </w:pPr>
    </w:p>
    <w:p>
      <w:pPr>
        <w:ind w:left="700" w:hanging="34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114" w:lineRule="exact"/>
        <w:rPr>
          <w:rFonts w:ascii="Arial" w:cs="Arial" w:eastAsia="Arial" w:hAnsi="Arial"/>
          <w:sz w:val="18"/>
          <w:szCs w:val="18"/>
          <w:color w:val="auto"/>
        </w:rPr>
      </w:pPr>
    </w:p>
    <w:p>
      <w:pPr>
        <w:ind w:left="700" w:right="180" w:hanging="346"/>
        <w:spacing w:after="0" w:line="339" w:lineRule="auto"/>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6" w:lineRule="exact"/>
        <w:rPr>
          <w:rFonts w:ascii="Arial" w:cs="Arial" w:eastAsia="Arial" w:hAnsi="Arial"/>
          <w:sz w:val="16"/>
          <w:szCs w:val="16"/>
          <w:color w:val="auto"/>
        </w:rPr>
      </w:pPr>
    </w:p>
    <w:p>
      <w:pPr>
        <w:ind w:left="700" w:hanging="346"/>
        <w:spacing w:after="0" w:line="261"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75" w:lineRule="exact"/>
        <w:rPr>
          <w:rFonts w:ascii="Arial" w:cs="Arial" w:eastAsia="Arial" w:hAnsi="Arial"/>
          <w:sz w:val="18"/>
          <w:szCs w:val="18"/>
          <w:color w:val="auto"/>
        </w:rPr>
      </w:pPr>
    </w:p>
    <w:p>
      <w:pPr>
        <w:ind w:left="700" w:right="360" w:hanging="346"/>
        <w:spacing w:after="0" w:line="274"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operating agreement; or</w:t>
      </w:r>
    </w:p>
    <w:p>
      <w:pPr>
        <w:spacing w:after="0" w:line="63" w:lineRule="exact"/>
        <w:rPr>
          <w:rFonts w:ascii="Arial" w:cs="Arial" w:eastAsia="Arial" w:hAnsi="Arial"/>
          <w:sz w:val="18"/>
          <w:szCs w:val="18"/>
          <w:color w:val="auto"/>
        </w:rPr>
      </w:pPr>
    </w:p>
    <w:p>
      <w:pPr>
        <w:ind w:left="700" w:right="160" w:hanging="346"/>
        <w:spacing w:after="0" w:line="274"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our operating agreement or are otherwise contemplated by our operating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119" w:lineRule="exact"/>
        <w:rPr>
          <w:sz w:val="20"/>
          <w:szCs w:val="20"/>
          <w:color w:val="auto"/>
        </w:rPr>
      </w:pPr>
    </w:p>
    <w:p>
      <w:pPr>
        <w:ind w:right="20" w:firstLine="357"/>
        <w:spacing w:after="0" w:line="286" w:lineRule="auto"/>
        <w:rPr>
          <w:sz w:val="20"/>
          <w:szCs w:val="20"/>
          <w:color w:val="auto"/>
        </w:rPr>
      </w:pPr>
      <w:r>
        <w:rPr>
          <w:rFonts w:ascii="Arial" w:cs="Arial" w:eastAsia="Arial" w:hAnsi="Arial"/>
          <w:sz w:val="16"/>
          <w:szCs w:val="16"/>
          <w:color w:val="auto"/>
        </w:rPr>
        <w:t>We will continue as a limited liability company until terminated under our operating agreement. We will dissolve upon: (1) the election of our board of directors to dissolve us, if approved by the Consenting Entities and the holders of a majority of our outstanding shares; (2) the sale, exchange or other disposition of all or substantially all of our assets and those of our subsidiaries;</w:t>
      </w:r>
    </w:p>
    <w:p>
      <w:pPr>
        <w:spacing w:after="0" w:line="1" w:lineRule="exact"/>
        <w:rPr>
          <w:sz w:val="20"/>
          <w:szCs w:val="20"/>
          <w:color w:val="auto"/>
        </w:rPr>
      </w:pPr>
    </w:p>
    <w:p>
      <w:pPr>
        <w:ind w:right="320" w:firstLine="5"/>
        <w:spacing w:after="0" w:line="253" w:lineRule="auto"/>
        <w:tabs>
          <w:tab w:leader="none" w:pos="2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entry of a decree of judicial dissolution of our limited liability company; or (4) at any time that we no longer have any shareholders, unless our business is continued in accordance with the Delaware Limited Liability Company Act (the “Delaware LLC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119" w:lineRule="exact"/>
        <w:rPr>
          <w:sz w:val="20"/>
          <w:szCs w:val="20"/>
          <w:color w:val="auto"/>
        </w:rPr>
      </w:pPr>
    </w:p>
    <w:p>
      <w:pPr>
        <w:ind w:firstLine="357"/>
        <w:spacing w:after="0" w:line="269" w:lineRule="auto"/>
        <w:rPr>
          <w:sz w:val="20"/>
          <w:szCs w:val="20"/>
          <w:color w:val="auto"/>
        </w:rPr>
      </w:pPr>
      <w:r>
        <w:rPr>
          <w:rFonts w:ascii="Arial" w:cs="Arial" w:eastAsia="Arial" w:hAnsi="Arial"/>
          <w:sz w:val="17"/>
          <w:szCs w:val="17"/>
          <w:color w:val="auto"/>
        </w:rPr>
        <w:t>We are required to keep appropriate books of our business at our principal offices. The books will be maintained for both tax and financial reporting purposes on an accrual basis. For financial reporting purposes and for tax purposes, our fiscal year is the calendar year. Our operating agreement provides that our shareholders have the right, subject to certain restrictions stated therein, to obtain access to certain of our books and records upon reasonable demand for any purpose reasonably related to such shareholder’s interest as a shareholder. We will use reasonable efforts to furnish to you an annual report containing audited consolidated financial statements and a report on those consolidated financial statements by our independent public accountants. We will be deemed to have made any such report available if we file such report with the SEC on EDGAR or make the report available on a publicly available website that we maintain.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Operating Agreement</w:t>
      </w:r>
    </w:p>
    <w:p>
      <w:pPr>
        <w:spacing w:after="0" w:line="119" w:lineRule="exact"/>
        <w:rPr>
          <w:sz w:val="20"/>
          <w:szCs w:val="20"/>
          <w:color w:val="auto"/>
        </w:rPr>
      </w:pPr>
    </w:p>
    <w:p>
      <w:pPr>
        <w:ind w:right="180" w:firstLine="357"/>
        <w:spacing w:after="0" w:line="309" w:lineRule="auto"/>
        <w:rPr>
          <w:sz w:val="20"/>
          <w:szCs w:val="20"/>
          <w:color w:val="auto"/>
        </w:rPr>
      </w:pPr>
      <w:r>
        <w:rPr>
          <w:rFonts w:ascii="Arial" w:cs="Arial" w:eastAsia="Arial" w:hAnsi="Arial"/>
          <w:sz w:val="16"/>
          <w:szCs w:val="16"/>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Class A shares held by Class A shareholders.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Additional Interests</w:t>
      </w:r>
    </w:p>
    <w:p>
      <w:pPr>
        <w:spacing w:after="0" w:line="115" w:lineRule="exact"/>
        <w:rPr>
          <w:sz w:val="20"/>
          <w:szCs w:val="20"/>
          <w:color w:val="auto"/>
        </w:rPr>
      </w:pPr>
    </w:p>
    <w:p>
      <w:pPr>
        <w:ind w:right="20" w:firstLine="357"/>
        <w:spacing w:after="0" w:line="271" w:lineRule="auto"/>
        <w:rPr>
          <w:sz w:val="20"/>
          <w:szCs w:val="20"/>
          <w:color w:val="auto"/>
        </w:rPr>
      </w:pPr>
      <w:r>
        <w:rPr>
          <w:rFonts w:ascii="Arial" w:cs="Arial" w:eastAsia="Arial" w:hAnsi="Arial"/>
          <w:sz w:val="17"/>
          <w:szCs w:val="17"/>
          <w:color w:val="auto"/>
        </w:rPr>
        <w:t>Our operating agreement authorizes us to issue an unlimited number of additional limited liability company interests for the consideration and on the terms and conditions determined by our board of directors without the approval of the shareholders, subject to the requirements of NASDAQ. These additional limited liability company interests may be utilized for a variety of corporate purposes, including future offerings to raise additional capital and corporate acquisitions. The existence of authorized but unissued limited liability company interests could render more difficult or discourage an attempt to obtain control over us by means of a proxy contest, tender offer, merger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Statute—Section 203</w:t>
      </w:r>
    </w:p>
    <w:p>
      <w:pPr>
        <w:spacing w:after="0" w:line="115" w:lineRule="exact"/>
        <w:rPr>
          <w:sz w:val="20"/>
          <w:szCs w:val="20"/>
          <w:color w:val="auto"/>
        </w:rPr>
      </w:pPr>
    </w:p>
    <w:p>
      <w:pPr>
        <w:ind w:right="260" w:firstLine="357"/>
        <w:spacing w:after="0" w:line="274" w:lineRule="auto"/>
        <w:rPr>
          <w:sz w:val="20"/>
          <w:szCs w:val="20"/>
          <w:color w:val="auto"/>
        </w:rPr>
      </w:pPr>
      <w:r>
        <w:rPr>
          <w:rFonts w:ascii="Arial" w:cs="Arial" w:eastAsia="Arial" w:hAnsi="Arial"/>
          <w:sz w:val="18"/>
          <w:szCs w:val="18"/>
          <w:color w:val="auto"/>
        </w:rPr>
        <w:t>We are a limited liability company organized under Delaware law. Some provisions of Delaware law may delay or prevent a transaction that would cause a change in our control.</w:t>
      </w:r>
    </w:p>
    <w:p>
      <w:pPr>
        <w:spacing w:after="0" w:line="64" w:lineRule="exact"/>
        <w:rPr>
          <w:sz w:val="20"/>
          <w:szCs w:val="20"/>
          <w:color w:val="auto"/>
        </w:rPr>
      </w:pPr>
    </w:p>
    <w:p>
      <w:pPr>
        <w:ind w:right="40" w:firstLine="357"/>
        <w:spacing w:after="0" w:line="269" w:lineRule="auto"/>
        <w:rPr>
          <w:sz w:val="20"/>
          <w:szCs w:val="20"/>
          <w:color w:val="auto"/>
        </w:rPr>
      </w:pPr>
      <w:r>
        <w:rPr>
          <w:rFonts w:ascii="Arial" w:cs="Arial" w:eastAsia="Arial" w:hAnsi="Arial"/>
          <w:sz w:val="17"/>
          <w:szCs w:val="17"/>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 For purposes of Section 203, a business combination includes a merger, asset sale or other transaction resulting in a financial benefit to the interested shareholder, and an interested shareholder is a person who, together with affiliates and associates, owns, or within three years prior, did own, 15% or more of voting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 of Our Operating Agreement</w:t>
      </w:r>
    </w:p>
    <w:p>
      <w:pPr>
        <w:spacing w:after="0" w:line="115"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color w:val="auto"/>
        </w:rPr>
        <w:t>Our operating agreement provides that our board shall consist of not fewer than three and not more than nine directors as the board of directors may from time to time determine, subject to the consent rights of the Consenting Entities described under “— Consent Rights” below. Our board of directors will consist of directors and will be divided into three classes that are, as nearly as possible, of equal size. Each class of directors is elected for a three-year term of office, but the terms are staggered so that the term of only one class of directors expires at each annual general meeting. The current terms of the Class I, Class II and Class III directors will expire in 2020, 2021, and 2022, respectively.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71" w:lineRule="exact"/>
        <w:rPr>
          <w:sz w:val="20"/>
          <w:szCs w:val="20"/>
          <w:color w:val="auto"/>
        </w:rPr>
      </w:pPr>
    </w:p>
    <w:p>
      <w:pPr>
        <w:ind w:right="140" w:firstLine="357"/>
        <w:spacing w:after="0" w:line="261" w:lineRule="auto"/>
        <w:rPr>
          <w:sz w:val="20"/>
          <w:szCs w:val="20"/>
          <w:color w:val="auto"/>
        </w:rPr>
      </w:pPr>
      <w:r>
        <w:rPr>
          <w:rFonts w:ascii="Arial" w:cs="Arial" w:eastAsia="Arial" w:hAnsi="Arial"/>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76" w:lineRule="exact"/>
        <w:rPr>
          <w:sz w:val="20"/>
          <w:szCs w:val="20"/>
          <w:color w:val="auto"/>
        </w:rPr>
      </w:pPr>
    </w:p>
    <w:p>
      <w:pPr>
        <w:ind w:right="80" w:firstLine="357"/>
        <w:spacing w:after="0" w:line="261" w:lineRule="auto"/>
        <w:rPr>
          <w:sz w:val="20"/>
          <w:szCs w:val="20"/>
          <w:color w:val="auto"/>
        </w:rPr>
      </w:pPr>
      <w:r>
        <w:rPr>
          <w:rFonts w:ascii="Arial" w:cs="Arial" w:eastAsia="Arial" w:hAnsi="Arial"/>
          <w:sz w:val="18"/>
          <w:szCs w:val="18"/>
          <w:color w:val="auto"/>
        </w:rPr>
        <w:t>In addition, our operating agreement provides that any director or the entire board of directors may be removed, with or without cause, at any time, by holders of a majority of the total combined voting power of all of our outstanding Class A shares and Class B shares then entitled to vote at an election of directors.</w:t>
      </w:r>
    </w:p>
    <w:p>
      <w:pPr>
        <w:spacing w:after="0" w:line="76" w:lineRule="exact"/>
        <w:rPr>
          <w:sz w:val="20"/>
          <w:szCs w:val="20"/>
          <w:color w:val="auto"/>
        </w:rPr>
      </w:pPr>
    </w:p>
    <w:p>
      <w:pPr>
        <w:ind w:right="160" w:firstLine="357"/>
        <w:spacing w:after="0" w:line="261" w:lineRule="auto"/>
        <w:rPr>
          <w:sz w:val="20"/>
          <w:szCs w:val="20"/>
          <w:color w:val="auto"/>
        </w:rPr>
      </w:pPr>
      <w:r>
        <w:rPr>
          <w:rFonts w:ascii="Arial" w:cs="Arial" w:eastAsia="Arial" w:hAnsi="Arial"/>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60" w:firstLine="357"/>
        <w:spacing w:after="0" w:line="257" w:lineRule="auto"/>
        <w:rPr>
          <w:sz w:val="20"/>
          <w:szCs w:val="20"/>
          <w:color w:val="auto"/>
        </w:rPr>
      </w:pPr>
      <w:r>
        <w:rPr>
          <w:rFonts w:ascii="Arial" w:cs="Arial" w:eastAsia="Arial" w:hAnsi="Arial"/>
          <w:sz w:val="18"/>
          <w:szCs w:val="18"/>
          <w:color w:val="auto"/>
        </w:rPr>
        <w:t>Pursuant to our operating agreement, preferred shares may be issued from time to time, and the board of directors is authorized to determine and alter all designations, preferences, rights, powers and duties without limitation. See “Description of Shares— Preferred Shares.” Our operating agreement does not provide our shareholders with the ability to call a special meeting of the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of Our Shareholders to Act</w:t>
      </w:r>
    </w:p>
    <w:p>
      <w:pPr>
        <w:spacing w:after="0" w:line="115" w:lineRule="exact"/>
        <w:rPr>
          <w:sz w:val="20"/>
          <w:szCs w:val="20"/>
          <w:color w:val="auto"/>
        </w:rPr>
      </w:pPr>
    </w:p>
    <w:p>
      <w:pPr>
        <w:ind w:right="80" w:firstLine="357"/>
        <w:spacing w:after="0" w:line="255" w:lineRule="auto"/>
        <w:rPr>
          <w:sz w:val="20"/>
          <w:szCs w:val="20"/>
          <w:color w:val="auto"/>
        </w:rPr>
      </w:pPr>
      <w:r>
        <w:rPr>
          <w:rFonts w:ascii="Arial" w:cs="Arial" w:eastAsia="Arial" w:hAnsi="Arial"/>
          <w:sz w:val="18"/>
          <w:szCs w:val="18"/>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81" w:lineRule="exact"/>
        <w:rPr>
          <w:sz w:val="20"/>
          <w:szCs w:val="20"/>
          <w:color w:val="auto"/>
        </w:rPr>
      </w:pPr>
    </w:p>
    <w:p>
      <w:pPr>
        <w:ind w:right="280" w:firstLine="357"/>
        <w:spacing w:after="0" w:line="274" w:lineRule="auto"/>
        <w:rPr>
          <w:sz w:val="20"/>
          <w:szCs w:val="20"/>
          <w:color w:val="auto"/>
        </w:rPr>
      </w:pPr>
      <w:r>
        <w:rPr>
          <w:rFonts w:ascii="Arial" w:cs="Arial" w:eastAsia="Arial" w:hAnsi="Arial"/>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64" w:lineRule="exact"/>
        <w:rPr>
          <w:sz w:val="20"/>
          <w:szCs w:val="20"/>
          <w:color w:val="auto"/>
        </w:rPr>
      </w:pPr>
    </w:p>
    <w:p>
      <w:pPr>
        <w:ind w:firstLine="357"/>
        <w:spacing w:after="0" w:line="284" w:lineRule="auto"/>
        <w:rPr>
          <w:sz w:val="20"/>
          <w:szCs w:val="20"/>
          <w:color w:val="auto"/>
        </w:rPr>
      </w:pPr>
      <w:r>
        <w:rPr>
          <w:rFonts w:ascii="Arial" w:cs="Arial" w:eastAsia="Arial" w:hAnsi="Arial"/>
          <w:sz w:val="16"/>
          <w:szCs w:val="16"/>
          <w:color w:val="auto"/>
        </w:rPr>
        <w:t>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provided, however,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Officers and Directors</w:t>
      </w:r>
    </w:p>
    <w:p>
      <w:pPr>
        <w:spacing w:after="0" w:line="119" w:lineRule="exact"/>
        <w:rPr>
          <w:sz w:val="20"/>
          <w:szCs w:val="20"/>
          <w:color w:val="auto"/>
        </w:rPr>
      </w:pPr>
    </w:p>
    <w:p>
      <w:pPr>
        <w:ind w:right="120" w:firstLine="357"/>
        <w:spacing w:after="0" w:line="289" w:lineRule="auto"/>
        <w:rPr>
          <w:sz w:val="20"/>
          <w:szCs w:val="20"/>
          <w:color w:val="auto"/>
        </w:rPr>
      </w:pPr>
      <w:r>
        <w:rPr>
          <w:rFonts w:ascii="Arial" w:cs="Arial" w:eastAsia="Arial" w:hAnsi="Arial"/>
          <w:sz w:val="16"/>
          <w:szCs w:val="16"/>
          <w:color w:val="auto"/>
        </w:rPr>
        <w:t>Our operating agreement provides that our business and affairs shall be managed under the direction of our board of directors, which shall have the power to appoint our officers. Our operating agreement further provides that the authority and function of our board of directors and officers shall be identical to the authority and functions of a board of directors and officers of a corporation organized under the Delaware General Corporation Law, or DGCL, except as expressly modified by the terms of the operating agreement. Finally, our operating agreement provides that except as specifically provided therein, the fiduciary duties and obligations owed to our limited liability company and to our members shall be the same as the respective duties and obligations owed by officers and directors of a corporation organized under the DGCL to their corporation and stockholders, respectively.</w:t>
      </w:r>
    </w:p>
    <w:p>
      <w:pPr>
        <w:spacing w:after="0" w:line="59" w:lineRule="exact"/>
        <w:rPr>
          <w:sz w:val="20"/>
          <w:szCs w:val="20"/>
          <w:color w:val="auto"/>
        </w:rPr>
      </w:pPr>
    </w:p>
    <w:p>
      <w:pPr>
        <w:ind w:right="80" w:firstLine="357"/>
        <w:spacing w:after="0" w:line="253" w:lineRule="auto"/>
        <w:rPr>
          <w:sz w:val="20"/>
          <w:szCs w:val="20"/>
          <w:color w:val="auto"/>
        </w:rPr>
      </w:pPr>
      <w:r>
        <w:rPr>
          <w:rFonts w:ascii="Arial" w:cs="Arial" w:eastAsia="Arial" w:hAnsi="Arial"/>
          <w:sz w:val="18"/>
          <w:szCs w:val="18"/>
          <w:color w:val="auto"/>
        </w:rPr>
        <w:t>However, there are certain provisions in our operating agreement that modify duties and obligations owed by our directors and officers from those required under the DGCL and provide for exculpation and indemnification of our officers and directors that differ from the DGCL. First, our operating agreement provides that to the fullest extent permitted by applicable law our directors or officers will not be liable to us. Unlike under our operating agreement, under the DGCL, a director or officer would be liable to us for (i) breach of duty of loyalty to us or our shareholders, (ii) intentional misconduct or knowing violations of the law that are not done in good faith, (iii) improper redemption of stock or declaration of a dividend, or (iv) a transaction from which the director derived an improper personal benefit.</w:t>
      </w:r>
    </w:p>
    <w:p>
      <w:pPr>
        <w:spacing w:after="0" w:line="82" w:lineRule="exact"/>
        <w:rPr>
          <w:sz w:val="20"/>
          <w:szCs w:val="20"/>
          <w:color w:val="auto"/>
        </w:rPr>
      </w:pPr>
    </w:p>
    <w:p>
      <w:pPr>
        <w:ind w:right="120" w:firstLine="357"/>
        <w:spacing w:after="0" w:line="255" w:lineRule="auto"/>
        <w:rPr>
          <w:sz w:val="20"/>
          <w:szCs w:val="20"/>
          <w:color w:val="auto"/>
        </w:rPr>
      </w:pPr>
      <w:r>
        <w:rPr>
          <w:rFonts w:ascii="Arial" w:cs="Arial" w:eastAsia="Arial" w:hAnsi="Arial"/>
          <w:sz w:val="18"/>
          <w:szCs w:val="18"/>
          <w:color w:val="auto"/>
        </w:rPr>
        <w:t>Second, our operating agreement provides that we indemnify our directors and officers for acts or omissions to the fullest extent permitted by law. In contrast, under the DGCL, a corporation can only indemnify directors and officers for acts or omissions if the director or officer acted in good faith, in a manner the person reasonably believed to be in or not opposed to the best interests of the corporation, and, in a criminal action, if the officer or director had no reasonable cause to believe the person's conduct was unlawful.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firstLine="357"/>
        <w:spacing w:after="0" w:line="284" w:lineRule="auto"/>
        <w:rPr>
          <w:sz w:val="20"/>
          <w:szCs w:val="20"/>
          <w:color w:val="auto"/>
        </w:rPr>
      </w:pPr>
      <w:r>
        <w:rPr>
          <w:rFonts w:ascii="Arial" w:cs="Arial" w:eastAsia="Arial" w:hAnsi="Arial"/>
          <w:sz w:val="16"/>
          <w:szCs w:val="16"/>
          <w:color w:val="auto"/>
        </w:rPr>
        <w:t>Third, our operating agreement provides that in the event a potential conflict of interest exists or arises between any of our directors or their respective affiliates, on the one hand, and us, any of our subsidiaries or any of our shareholders, on the other hand, a resolution or course of action by our board of directors shall be deemed approved by all of our shareholders, and shall not constitute a breach of the fiduciary duties of members of the board to us or our shareholders, if such resolution or course of action is</w:t>
      </w:r>
    </w:p>
    <w:p>
      <w:pPr>
        <w:spacing w:after="0" w:line="2" w:lineRule="exact"/>
        <w:rPr>
          <w:sz w:val="20"/>
          <w:szCs w:val="20"/>
          <w:color w:val="auto"/>
        </w:rPr>
      </w:pPr>
    </w:p>
    <w:p>
      <w:pPr>
        <w:ind w:right="20" w:firstLine="5"/>
        <w:spacing w:after="0" w:line="251" w:lineRule="auto"/>
        <w:tabs>
          <w:tab w:leader="none" w:pos="213"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approved by a conflicts committee, which is composed of independent directors, (ii) approved by shareholders holding a majority of our shares that are disinterested parties, (iii) on terms that, when taken together in their entirety, are no less favorable than those generally provided to or available from unrelated third parties, or (iv) fair and reasonable to us. On the other hand, under the DGCL, a corporation is not permitted to automatically exempt board members from claims of breach of fiduciary duty under such circumstances.</w:t>
      </w:r>
    </w:p>
    <w:p>
      <w:pPr>
        <w:spacing w:after="0" w:line="83" w:lineRule="exact"/>
        <w:rPr>
          <w:sz w:val="20"/>
          <w:szCs w:val="20"/>
          <w:color w:val="auto"/>
        </w:rPr>
      </w:pPr>
    </w:p>
    <w:p>
      <w:pPr>
        <w:ind w:right="140" w:firstLine="357"/>
        <w:spacing w:after="0" w:line="261" w:lineRule="auto"/>
        <w:rPr>
          <w:sz w:val="20"/>
          <w:szCs w:val="20"/>
          <w:color w:val="auto"/>
        </w:rPr>
      </w:pPr>
      <w:r>
        <w:rPr>
          <w:rFonts w:ascii="Arial" w:cs="Arial" w:eastAsia="Arial" w:hAnsi="Arial"/>
          <w:sz w:val="18"/>
          <w:szCs w:val="18"/>
          <w:color w:val="auto"/>
        </w:rPr>
        <w:t>Fourth, our operating agreement provides that, in our capacity as the managing member of NFI, our board of directors may approve amendments to the NFI LLC Agreement relating to the mechanics of a redemption of NFI LLC Units (together with Class B Shares) for Class A Shares without any duty to us.</w:t>
      </w:r>
    </w:p>
    <w:p>
      <w:pPr>
        <w:spacing w:after="0" w:line="76" w:lineRule="exact"/>
        <w:rPr>
          <w:sz w:val="20"/>
          <w:szCs w:val="20"/>
          <w:color w:val="auto"/>
        </w:rPr>
      </w:pPr>
    </w:p>
    <w:p>
      <w:pPr>
        <w:ind w:right="220" w:firstLine="357"/>
        <w:spacing w:after="0" w:line="261" w:lineRule="auto"/>
        <w:rPr>
          <w:sz w:val="20"/>
          <w:szCs w:val="20"/>
          <w:color w:val="auto"/>
        </w:rPr>
      </w:pPr>
      <w:r>
        <w:rPr>
          <w:rFonts w:ascii="Arial" w:cs="Arial" w:eastAsia="Arial" w:hAnsi="Arial"/>
          <w:sz w:val="18"/>
          <w:szCs w:val="18"/>
          <w:color w:val="auto"/>
        </w:rPr>
        <w:t>In addition, our operating agreement provides that all conflicts of interest described in this prospectus, including, but not limited to, our agreements with an affiliate of Fortress for the use of facilities at a port along the Delaware River and a port on the Texas Gulf Coast, are deemed to have been specifically approved by all of our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Members of Our Board of Directors</w:t>
      </w:r>
    </w:p>
    <w:p>
      <w:pPr>
        <w:spacing w:after="0" w:line="119" w:lineRule="exact"/>
        <w:rPr>
          <w:sz w:val="20"/>
          <w:szCs w:val="20"/>
          <w:color w:val="auto"/>
        </w:rPr>
      </w:pPr>
    </w:p>
    <w:p>
      <w:pPr>
        <w:ind w:right="60" w:firstLine="357"/>
        <w:spacing w:after="0" w:line="271" w:lineRule="auto"/>
        <w:rPr>
          <w:sz w:val="20"/>
          <w:szCs w:val="20"/>
          <w:color w:val="auto"/>
        </w:rPr>
      </w:pPr>
      <w:r>
        <w:rPr>
          <w:rFonts w:ascii="Arial" w:cs="Arial" w:eastAsia="Arial" w:hAnsi="Arial"/>
          <w:sz w:val="17"/>
          <w:szCs w:val="17"/>
          <w:color w:val="auto"/>
        </w:rPr>
        <w:t>Beginning with our first annual meeting of shareholders following this offering, certain members of our board of directors will be elected by our shareholders on a staggered basis. Our board of directors will initially consist of eight directors. Our board is divided into three classes that are, as nearly as possible, of equal size. Each class of directors is elected for a three-year term of office, but the terms are staggered so that the term of only one class of directors expires at each annual general meeting. The current terms of the Class I, Class II and Class III directors will expire in 2020, 2021, and 2022, respectively. Any vacancy on the board of directors may be filled by a majority of the directors then in office.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Members of Our Board of Directors</w:t>
      </w:r>
    </w:p>
    <w:p>
      <w:pPr>
        <w:spacing w:after="0" w:line="119" w:lineRule="exact"/>
        <w:rPr>
          <w:sz w:val="20"/>
          <w:szCs w:val="20"/>
          <w:color w:val="auto"/>
        </w:rPr>
      </w:pPr>
    </w:p>
    <w:p>
      <w:pPr>
        <w:ind w:right="60" w:firstLine="357"/>
        <w:spacing w:after="0" w:line="257" w:lineRule="auto"/>
        <w:rPr>
          <w:sz w:val="20"/>
          <w:szCs w:val="20"/>
          <w:color w:val="auto"/>
        </w:rPr>
      </w:pPr>
      <w:r>
        <w:rPr>
          <w:rFonts w:ascii="Arial" w:cs="Arial" w:eastAsia="Arial" w:hAnsi="Arial"/>
          <w:sz w:val="18"/>
          <w:szCs w:val="18"/>
          <w:color w:val="auto"/>
        </w:rPr>
        <w:t>A director or the entire board of directors may be removed, with or without cause, at any time, by holders of a majority of the total combined voting power of all of our outstanding Class A shares and Class B shares then entitled to vote at an election of directors. The vacancy in the board of directors caused by any such removal will be filled by a vote of the majority of directors then in office.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119" w:lineRule="exact"/>
        <w:rPr>
          <w:sz w:val="20"/>
          <w:szCs w:val="20"/>
          <w:color w:val="auto"/>
        </w:rPr>
      </w:pPr>
    </w:p>
    <w:p>
      <w:pPr>
        <w:ind w:firstLine="357"/>
        <w:spacing w:after="0" w:line="269" w:lineRule="auto"/>
        <w:rPr>
          <w:sz w:val="20"/>
          <w:szCs w:val="20"/>
          <w:color w:val="auto"/>
        </w:rPr>
      </w:pPr>
      <w:r>
        <w:rPr>
          <w:rFonts w:ascii="Arial" w:cs="Arial" w:eastAsia="Arial" w:hAnsi="Arial"/>
          <w:sz w:val="17"/>
          <w:szCs w:val="17"/>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operating agreement will provide that unless we consent in writing to the selection of an alternative forum, the Court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Chancery of the State of Delaware will, to the fullest extent permitted by applicable law, be the sole and exclusive forum for:</w:t>
      </w:r>
    </w:p>
    <w:p>
      <w:pPr>
        <w:spacing w:after="0" w:line="112" w:lineRule="exact"/>
        <w:rPr>
          <w:sz w:val="20"/>
          <w:szCs w:val="20"/>
          <w:color w:val="auto"/>
        </w:rPr>
      </w:pPr>
    </w:p>
    <w:p>
      <w:pPr>
        <w:ind w:left="700" w:hanging="34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4" w:lineRule="exact"/>
        <w:rPr>
          <w:rFonts w:ascii="Arial" w:cs="Arial" w:eastAsia="Arial" w:hAnsi="Arial"/>
          <w:sz w:val="18"/>
          <w:szCs w:val="18"/>
          <w:color w:val="auto"/>
        </w:rPr>
      </w:pPr>
    </w:p>
    <w:p>
      <w:pPr>
        <w:ind w:left="700" w:right="60" w:hanging="346"/>
        <w:spacing w:after="0" w:line="274"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shareholders;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right="680" w:hanging="346"/>
        <w:spacing w:after="0" w:line="274"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arising pursuant to any provision of the Delaware LLC Act or our operating agreement; or</w:t>
      </w:r>
    </w:p>
    <w:p>
      <w:pPr>
        <w:spacing w:after="0" w:line="63" w:lineRule="exact"/>
        <w:rPr>
          <w:rFonts w:ascii="Arial" w:cs="Arial" w:eastAsia="Arial" w:hAnsi="Arial"/>
          <w:sz w:val="18"/>
          <w:szCs w:val="18"/>
          <w:color w:val="auto"/>
        </w:rPr>
      </w:pPr>
    </w:p>
    <w:p>
      <w:pPr>
        <w:ind w:left="700" w:right="100" w:hanging="346"/>
        <w:spacing w:after="0" w:line="261"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76"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Our operating agreement will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operating agreements or certificates of incorporation has been challenged in legal proceedings, and it is possible that, in connection with one or more actions or proceedings described above, a court could rule that this provision in our operating agreement is inapplicable or unenforceable.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119" w:lineRule="exact"/>
        <w:rPr>
          <w:sz w:val="20"/>
          <w:szCs w:val="20"/>
          <w:color w:val="auto"/>
        </w:rPr>
      </w:pPr>
    </w:p>
    <w:p>
      <w:pPr>
        <w:ind w:right="160" w:firstLine="357"/>
        <w:spacing w:after="0" w:line="261" w:lineRule="auto"/>
        <w:rPr>
          <w:sz w:val="20"/>
          <w:szCs w:val="20"/>
          <w:color w:val="auto"/>
        </w:rPr>
      </w:pPr>
      <w:r>
        <w:rPr>
          <w:rFonts w:ascii="Arial" w:cs="Arial" w:eastAsia="Arial" w:hAnsi="Arial"/>
          <w:sz w:val="18"/>
          <w:szCs w:val="18"/>
          <w:color w:val="auto"/>
        </w:rPr>
        <w:t>Our operating agreement provides that our directors will not be personally liable to us or our shareholders for monetary damages for breach of a fiduciary duty as a director, except to the extent such exemption is not permitted under the Delaware LLC Act.</w:t>
      </w:r>
    </w:p>
    <w:p>
      <w:pPr>
        <w:spacing w:after="0" w:line="76" w:lineRule="exact"/>
        <w:rPr>
          <w:sz w:val="20"/>
          <w:szCs w:val="20"/>
          <w:color w:val="auto"/>
        </w:rPr>
      </w:pPr>
    </w:p>
    <w:p>
      <w:pPr>
        <w:ind w:right="120" w:firstLine="357"/>
        <w:spacing w:after="0" w:line="255" w:lineRule="auto"/>
        <w:rPr>
          <w:sz w:val="20"/>
          <w:szCs w:val="20"/>
          <w:color w:val="auto"/>
        </w:rPr>
      </w:pPr>
      <w:r>
        <w:rPr>
          <w:rFonts w:ascii="Arial" w:cs="Arial" w:eastAsia="Arial" w:hAnsi="Arial"/>
          <w:sz w:val="18"/>
          <w:szCs w:val="18"/>
          <w:color w:val="auto"/>
        </w:rPr>
        <w:t>Our operating agreement provides that we must indemnify our directors and officers to the fullest extent permitted by law. We are also expressly authorized to advance certain expenses (including attorneys’ fees and disbursements and court costs) to our directors and officers and carry directors’ and officers’ insurance providing indemnification for our directors and officers for some liabilities. We believe that these indemnification provisions and insurance are useful to attract and retain qualified directors and officers.</w:t>
      </w:r>
    </w:p>
    <w:p>
      <w:pPr>
        <w:spacing w:after="0" w:line="81" w:lineRule="exact"/>
        <w:rPr>
          <w:sz w:val="20"/>
          <w:szCs w:val="20"/>
          <w:color w:val="auto"/>
        </w:rPr>
      </w:pPr>
    </w:p>
    <w:p>
      <w:pPr>
        <w:ind w:right="120" w:firstLine="357"/>
        <w:spacing w:after="0" w:line="288" w:lineRule="auto"/>
        <w:rPr>
          <w:sz w:val="20"/>
          <w:szCs w:val="20"/>
          <w:color w:val="auto"/>
        </w:rPr>
      </w:pPr>
      <w:r>
        <w:rPr>
          <w:rFonts w:ascii="Arial" w:cs="Arial" w:eastAsia="Arial" w:hAnsi="Arial"/>
          <w:sz w:val="16"/>
          <w:szCs w:val="16"/>
          <w:color w:val="auto"/>
        </w:rPr>
        <w:t>Prior to the completion of this offering, we intend to enter into separate indemnification agreements with each of our directors and executive officers. Each indemnification agreement will provide, among other things, for indemnification to the fullest extent permitted by law and our operating agreement against (i) any and all expenses and liabilities, including judgments, fines, penalties and amounts paid in settlement of any claim with our approval and counsel fees and disbursements, (ii) any liability pursuant to a loan guarantee, or otherwise, for any of our indebtedness, and (iii) any liabilities incurred as a result of acting on our behalf (as a fiduciary or otherwise) in connection with an employee benefit plan. The indemnification agreements will provide for the advancement or payment of all expenses to the indemnitee and for reimbursement to us if it is found that such indemnitee is not entitled to such indemnification under applicable law and our operating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Rights</w:t>
      </w:r>
    </w:p>
    <w:p>
      <w:pPr>
        <w:spacing w:after="0" w:line="119" w:lineRule="exact"/>
        <w:rPr>
          <w:sz w:val="20"/>
          <w:szCs w:val="20"/>
          <w:color w:val="auto"/>
        </w:rPr>
      </w:pPr>
    </w:p>
    <w:p>
      <w:pPr>
        <w:ind w:right="20" w:firstLine="357"/>
        <w:spacing w:after="0" w:line="277" w:lineRule="auto"/>
        <w:rPr>
          <w:sz w:val="20"/>
          <w:szCs w:val="20"/>
          <w:color w:val="auto"/>
        </w:rPr>
      </w:pPr>
      <w:r>
        <w:rPr>
          <w:rFonts w:ascii="Arial" w:cs="Arial" w:eastAsia="Arial" w:hAnsi="Arial"/>
          <w:sz w:val="17"/>
          <w:szCs w:val="17"/>
          <w:color w:val="auto"/>
        </w:rPr>
        <w:t>So long as the Consenting Entities and their affiliates collectively, directly or indirectly, own at least 30% of the outstanding Class A shares and Class B shares,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63" w:lineRule="exact"/>
        <w:rPr>
          <w:sz w:val="20"/>
          <w:szCs w:val="20"/>
          <w:color w:val="auto"/>
        </w:rPr>
      </w:pPr>
    </w:p>
    <w:p>
      <w:pPr>
        <w:ind w:left="700" w:right="20" w:hanging="346"/>
        <w:spacing w:after="0" w:line="274"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material change, through any acquisition, disposition of assets or otherwise, in the nature of our business or operations and our subsidiaries as of the date of our operating agreement;</w:t>
      </w:r>
    </w:p>
    <w:p>
      <w:pPr>
        <w:spacing w:after="0" w:line="63" w:lineRule="exact"/>
        <w:rPr>
          <w:rFonts w:ascii="Arial" w:cs="Arial" w:eastAsia="Arial" w:hAnsi="Arial"/>
          <w:sz w:val="18"/>
          <w:szCs w:val="18"/>
          <w:color w:val="auto"/>
        </w:rPr>
      </w:pPr>
    </w:p>
    <w:p>
      <w:pPr>
        <w:ind w:left="700" w:right="40" w:hanging="346"/>
        <w:spacing w:after="0" w:line="274"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terminating Wesley Edens as our chief executive officer or as Chairman of the Board of Directors and hiring or appointing his successor;</w:t>
      </w:r>
    </w:p>
    <w:p>
      <w:pPr>
        <w:spacing w:after="0" w:line="63" w:lineRule="exact"/>
        <w:rPr>
          <w:rFonts w:ascii="Arial" w:cs="Arial" w:eastAsia="Arial" w:hAnsi="Arial"/>
          <w:sz w:val="18"/>
          <w:szCs w:val="18"/>
          <w:color w:val="auto"/>
        </w:rPr>
      </w:pPr>
    </w:p>
    <w:p>
      <w:pPr>
        <w:ind w:left="700" w:right="320" w:hanging="346"/>
        <w:spacing w:after="0" w:line="261"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transaction that, if consummated, would constitute a Change of Control (as defined in our operating agreement) or entering into any definitive agreement or series of related agreements that govern any transaction or series of related transactions that, if consummated, would result in a Change of Control;</w:t>
      </w:r>
    </w:p>
    <w:p>
      <w:pPr>
        <w:spacing w:after="0" w:line="75" w:lineRule="exact"/>
        <w:rPr>
          <w:rFonts w:ascii="Arial" w:cs="Arial" w:eastAsia="Arial" w:hAnsi="Arial"/>
          <w:sz w:val="18"/>
          <w:szCs w:val="18"/>
          <w:color w:val="auto"/>
        </w:rPr>
      </w:pPr>
    </w:p>
    <w:p>
      <w:pPr>
        <w:ind w:left="700" w:right="640" w:hanging="346"/>
        <w:spacing w:after="0" w:line="274"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of Directors, committees of the Board of Directors and board and committees of our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right="340" w:hanging="346"/>
        <w:spacing w:after="0" w:line="274"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voluntary election by us or any of our subsidiaries to liquidate or dissolve or commence bankruptcy or insolvency proceedings or the adoption of a plan with respect to any of the foregoing; and</w:t>
      </w:r>
    </w:p>
    <w:p>
      <w:pPr>
        <w:spacing w:after="0" w:line="63" w:lineRule="exact"/>
        <w:rPr>
          <w:rFonts w:ascii="Arial" w:cs="Arial" w:eastAsia="Arial" w:hAnsi="Arial"/>
          <w:sz w:val="18"/>
          <w:szCs w:val="18"/>
          <w:color w:val="auto"/>
        </w:rPr>
      </w:pPr>
    </w:p>
    <w:p>
      <w:pPr>
        <w:jc w:val="both"/>
        <w:ind w:left="700" w:right="180" w:hanging="346"/>
        <w:spacing w:after="0" w:line="339" w:lineRule="auto"/>
        <w:tabs>
          <w:tab w:leader="none" w:pos="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amendment, modification or waiver of our operating agreement or any other of our governing documents following the date of our operating agreement that materially and adversely affects any Consenting Entity or any of their affiliates.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our operating agreement, to the extent permitted by law:</w:t>
      </w:r>
    </w:p>
    <w:p>
      <w:pPr>
        <w:spacing w:after="0" w:line="115" w:lineRule="exact"/>
        <w:rPr>
          <w:sz w:val="20"/>
          <w:szCs w:val="20"/>
          <w:color w:val="auto"/>
        </w:rPr>
      </w:pPr>
    </w:p>
    <w:p>
      <w:pPr>
        <w:ind w:left="700" w:right="120" w:hanging="346"/>
        <w:spacing w:after="0" w:line="284" w:lineRule="auto"/>
        <w:tabs>
          <w:tab w:leader="none" w:pos="7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New Fortress Energy Holdings and its respective affiliates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57" w:lineRule="exact"/>
        <w:rPr>
          <w:rFonts w:ascii="Arial" w:cs="Arial" w:eastAsia="Arial" w:hAnsi="Arial"/>
          <w:sz w:val="17"/>
          <w:szCs w:val="17"/>
          <w:color w:val="auto"/>
        </w:rPr>
      </w:pPr>
    </w:p>
    <w:p>
      <w:pPr>
        <w:ind w:left="700" w:right="520" w:hanging="346"/>
        <w:spacing w:after="0" w:line="261"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New Fortress Energy Holdings and its respective affiliates or any of their officers, directors or employees acquire knowledge of a potential transaction that could be a corporate opportunity, it has no duty to offer such corporate opportunity to us, our Class A shareholders or affiliates;</w:t>
      </w:r>
    </w:p>
    <w:p>
      <w:pPr>
        <w:spacing w:after="0" w:line="75" w:lineRule="exact"/>
        <w:rPr>
          <w:rFonts w:ascii="Arial" w:cs="Arial" w:eastAsia="Arial" w:hAnsi="Arial"/>
          <w:sz w:val="18"/>
          <w:szCs w:val="18"/>
          <w:color w:val="auto"/>
        </w:rPr>
      </w:pPr>
    </w:p>
    <w:p>
      <w:pPr>
        <w:ind w:left="700" w:right="480" w:hanging="346"/>
        <w:spacing w:after="0" w:line="274"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have renounced any interest or expectancy in, or in being offered an opportunity to participate in, such corporate opportunities; and</w:t>
      </w:r>
    </w:p>
    <w:p>
      <w:pPr>
        <w:spacing w:after="0" w:line="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event that any of our directors and officers who is also a director, officer or employee of New Fortress Energy Holdings and their respective affiliates acquire knowledge of a corporate opportunity or is offered a corporate opportunity, provided that this knowledge was not acquired solely in such person’s capacity as our director or officer and such person acted in good faith, then such person is deemed to have fully satisfied such person’s fiduciary duty and is not liable to us if New Fortress Energy Holdings and their respective affiliates pursues or acquires the corporate opportunity or if such person did not present the corporate opportunity to 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119"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Immediately prior to this offering, there was no public market for our Class A shares. Future sales of substantial amounts of Class A shares in the market (including Class A shares issuable upon exercise of the Redemption Right), or the perception that such sales may occur, could adversely affect the market price of our Class A shares.</w:t>
      </w:r>
    </w:p>
    <w:p>
      <w:pPr>
        <w:spacing w:after="0" w:line="76" w:lineRule="exact"/>
        <w:rPr>
          <w:sz w:val="20"/>
          <w:szCs w:val="20"/>
          <w:color w:val="auto"/>
        </w:rPr>
      </w:pPr>
    </w:p>
    <w:p>
      <w:pPr>
        <w:ind w:right="60" w:firstLine="357"/>
        <w:spacing w:after="0" w:line="271" w:lineRule="auto"/>
        <w:rPr>
          <w:sz w:val="20"/>
          <w:szCs w:val="20"/>
          <w:color w:val="auto"/>
        </w:rPr>
      </w:pPr>
      <w:r>
        <w:rPr>
          <w:rFonts w:ascii="Arial" w:cs="Arial" w:eastAsia="Arial" w:hAnsi="Arial"/>
          <w:sz w:val="17"/>
          <w:szCs w:val="17"/>
          <w:color w:val="auto"/>
        </w:rPr>
        <w:t>Upon the closing of this offering, we will have outstanding an aggregate of 20,000,000 Class A shares, assuming the issuance of 20,000,000 Class A shares offering by us in this offering. Our Class A shares sold in this offering will generally be freely transferable without restriction or further registration under the Securities Act, except that any Class A shares held by an “affiliate” of ours may not be resold publicly except in compliance with the registration requirements of the Securities Act or under an exemption under Rule 144 or otherwise. Rule 144 permits securities acquired by an affiliate of the issuer to be sold into the market in an amount that does not exceed, during any three-month period, the greater of:</w:t>
      </w:r>
    </w:p>
    <w:p>
      <w:pPr>
        <w:spacing w:after="0" w:line="71" w:lineRule="exact"/>
        <w:rPr>
          <w:sz w:val="20"/>
          <w:szCs w:val="20"/>
          <w:color w:val="auto"/>
        </w:rPr>
      </w:pPr>
    </w:p>
    <w:p>
      <w:pPr>
        <w:ind w:left="700" w:hanging="346"/>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 of the total number of the securities outstanding; or</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Class A shares for the four weeks prior to the sale.</w:t>
      </w:r>
    </w:p>
    <w:p>
      <w:pPr>
        <w:spacing w:after="0" w:line="115" w:lineRule="exact"/>
        <w:rPr>
          <w:sz w:val="20"/>
          <w:szCs w:val="20"/>
          <w:color w:val="auto"/>
        </w:rPr>
      </w:pPr>
    </w:p>
    <w:p>
      <w:pPr>
        <w:ind w:right="20" w:firstLine="357"/>
        <w:spacing w:after="0" w:line="268" w:lineRule="auto"/>
        <w:rPr>
          <w:sz w:val="20"/>
          <w:szCs w:val="20"/>
          <w:color w:val="auto"/>
        </w:rPr>
      </w:pPr>
      <w:r>
        <w:rPr>
          <w:rFonts w:ascii="Arial" w:cs="Arial" w:eastAsia="Arial" w:hAnsi="Arial"/>
          <w:sz w:val="17"/>
          <w:szCs w:val="17"/>
          <w:color w:val="auto"/>
        </w:rPr>
        <w:t>Sales under Rule 144 are also subject to specific manner of sale provisions, holding period requirements, notice requirements and the availability of current public information about us. A person who is not deemed to have been an affiliate of ours at any time during the three months preceding a sale, and who has beneficially owned our Class A shares for at least six months (provided we are in compliance with the current public information requirement), or one year (regardless of whether we are in compliance with the current public information requirement), would be entitled to sell those Class A shares under Rule 144, subject only to the current public information requirement. After beneficially owning Rule 144 restricted shares for at least one year, a person who is not deemed to have been an affiliate of ours at any time during the 90 days preceding a sale would be entitled to freely sell those Class A shares without regard to the public information requirements, volume limitations, manner of sale provisions and notice requirements of Rule 144.</w:t>
      </w:r>
    </w:p>
    <w:p>
      <w:pPr>
        <w:spacing w:after="0" w:line="74" w:lineRule="exact"/>
        <w:rPr>
          <w:sz w:val="20"/>
          <w:szCs w:val="20"/>
          <w:color w:val="auto"/>
        </w:rPr>
      </w:pPr>
    </w:p>
    <w:p>
      <w:pPr>
        <w:ind w:right="40" w:firstLine="357"/>
        <w:spacing w:after="0" w:line="294" w:lineRule="auto"/>
        <w:rPr>
          <w:sz w:val="20"/>
          <w:szCs w:val="20"/>
          <w:color w:val="auto"/>
        </w:rPr>
      </w:pPr>
      <w:r>
        <w:rPr>
          <w:rFonts w:ascii="Arial" w:cs="Arial" w:eastAsia="Arial" w:hAnsi="Arial"/>
          <w:sz w:val="16"/>
          <w:szCs w:val="16"/>
          <w:color w:val="auto"/>
        </w:rPr>
        <w:t>Our operating agreement provides that we may issue an unlimited number of limited liability company interests of any type at any time without a vote of the shareholders, subject to the requirements of NASDAQ. Any issuance of additional Class A shares or other limited liability company interests would result in a corresponding decrease in the proportionate ownership interest in us represented by, and could adversely affect the market price of, Class A shares then outstanding. Please read “Our Operating Agreement—Anti-Takeover Effects of Delaware Law and Our Operating Agreement—Issuance of Additional Interests.”</w:t>
      </w:r>
    </w:p>
    <w:p>
      <w:pPr>
        <w:spacing w:after="0" w:line="54"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color w:val="auto"/>
        </w:rPr>
        <w:t>Under the Shareholders’ Agreement that we expect to enter into, New Fortress Energy Holdings and its affiliates will have the right to cause us to register under the Securities Act and applicable state securities laws the offer and sale of any shares that they hold. Subject to the terms and conditions of the Shareholders’ Agreement, these registration rights allow New Fortress Energy Holdings and its affiliates or their assignees holding any shares to require registration of any of these shares and to include any of these shares in a registration by us of other shares, including shares offered by us or by any shareholder. In connection with any registration of this kind, we will indemnify each shareholder participating in the registration and its officers, directors, and controlling persons from and against any liabilities under the Securities Act or any applicable state securities laws arising from the registration statement or prospectus. We will bear all costs and expenses incidental to any registration, excluding any underwriting discount. Except as described below, New Fortress Energy Holdings and its affiliates may sell their shares in private transactions at any time, subject to compliance with applicable laws.</w:t>
      </w:r>
    </w:p>
    <w:p>
      <w:pPr>
        <w:spacing w:after="0" w:line="71" w:lineRule="exact"/>
        <w:rPr>
          <w:sz w:val="20"/>
          <w:szCs w:val="20"/>
          <w:color w:val="auto"/>
        </w:rPr>
      </w:pPr>
    </w:p>
    <w:p>
      <w:pPr>
        <w:ind w:right="300" w:firstLine="357"/>
        <w:spacing w:after="0" w:line="261" w:lineRule="auto"/>
        <w:rPr>
          <w:sz w:val="20"/>
          <w:szCs w:val="20"/>
          <w:color w:val="auto"/>
        </w:rPr>
      </w:pPr>
      <w:r>
        <w:rPr>
          <w:rFonts w:ascii="Arial" w:cs="Arial" w:eastAsia="Arial" w:hAnsi="Arial"/>
          <w:sz w:val="18"/>
          <w:szCs w:val="18"/>
          <w:color w:val="auto"/>
        </w:rPr>
        <w:t>Our executive officers and directors and New Fortress Energy Holdings will agree not to sell any Class A shares they beneficially own for a period of 180 days from the date of the underwriting agreement to be entered into in connection with this offering. Please read “Underwriting” for a description of these lock-up provisions.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119" w:lineRule="exact"/>
        <w:rPr>
          <w:sz w:val="20"/>
          <w:szCs w:val="20"/>
          <w:color w:val="auto"/>
        </w:rPr>
      </w:pPr>
    </w:p>
    <w:p>
      <w:pPr>
        <w:ind w:firstLine="357"/>
        <w:spacing w:after="0" w:line="269" w:lineRule="auto"/>
        <w:rPr>
          <w:sz w:val="20"/>
          <w:szCs w:val="20"/>
          <w:color w:val="auto"/>
        </w:rPr>
      </w:pPr>
      <w:r>
        <w:rPr>
          <w:rFonts w:ascii="Arial" w:cs="Arial" w:eastAsia="Arial" w:hAnsi="Arial"/>
          <w:sz w:val="17"/>
          <w:szCs w:val="17"/>
          <w:color w:val="auto"/>
        </w:rPr>
        <w:t>The following is a summary of the material U.S. federal income tax considerations related to the purchase, ownership and disposition of our Class A shares by a non-U.S. holder (as defined below),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possibly with retroactive effect. We cannot assure you that a change in law will not significantly alter the tax considerations that we describe in this summary. We have not sought any ruling from the Internal Revenue Services (the “IRS”) with respect to the statements made and the conclusions reached in the following summary, and there can be no assurance that the IRS or a court will agree with such statements and conclusions.</w:t>
      </w:r>
    </w:p>
    <w:p>
      <w:pPr>
        <w:spacing w:after="0" w:line="72" w:lineRule="exact"/>
        <w:rPr>
          <w:sz w:val="20"/>
          <w:szCs w:val="20"/>
          <w:color w:val="auto"/>
        </w:rPr>
      </w:pPr>
    </w:p>
    <w:p>
      <w:pPr>
        <w:ind w:right="100" w:firstLine="357"/>
        <w:spacing w:after="0" w:line="299" w:lineRule="auto"/>
        <w:rPr>
          <w:sz w:val="20"/>
          <w:szCs w:val="20"/>
          <w:color w:val="auto"/>
        </w:rPr>
      </w:pPr>
      <w:r>
        <w:rPr>
          <w:rFonts w:ascii="Arial" w:cs="Arial" w:eastAsia="Arial" w:hAnsi="Arial"/>
          <w:sz w:val="16"/>
          <w:szCs w:val="16"/>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49" w:lineRule="exact"/>
        <w:rPr>
          <w:sz w:val="20"/>
          <w:szCs w:val="20"/>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14" w:lineRule="exact"/>
        <w:rPr>
          <w:rFonts w:ascii="Arial" w:cs="Arial" w:eastAsia="Arial" w:hAnsi="Arial"/>
          <w:sz w:val="18"/>
          <w:szCs w:val="18"/>
          <w:color w:val="auto"/>
        </w:rPr>
      </w:pPr>
    </w:p>
    <w:p>
      <w:pPr>
        <w:ind w:left="700" w:hanging="346"/>
        <w:spacing w:after="0" w:line="339" w:lineRule="auto"/>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qualified foreign pension funds (or any entities all of the interests of which are held by a qualified foreign pension fund) or any other person that is subject to special rules or exemptions under the Foreign Investment in Real Property Tax Act;</w:t>
      </w:r>
    </w:p>
    <w:p>
      <w:pPr>
        <w:spacing w:after="0" w:line="16" w:lineRule="exact"/>
        <w:rPr>
          <w:rFonts w:ascii="Arial" w:cs="Arial" w:eastAsia="Arial" w:hAnsi="Arial"/>
          <w:sz w:val="16"/>
          <w:szCs w:val="16"/>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14" w:lineRule="exact"/>
        <w:rPr>
          <w:rFonts w:ascii="Arial" w:cs="Arial" w:eastAsia="Arial" w:hAnsi="Arial"/>
          <w:sz w:val="18"/>
          <w:szCs w:val="18"/>
          <w:color w:val="auto"/>
        </w:rPr>
      </w:pPr>
    </w:p>
    <w:p>
      <w:pPr>
        <w:ind w:left="700" w:right="120" w:hanging="346"/>
        <w:spacing w:after="0" w:line="274"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partnerships or other pass-through entities for U.S. federal income tax purposes or holders of interests therein;</w:t>
      </w:r>
    </w:p>
    <w:p>
      <w:pPr>
        <w:spacing w:after="0" w:line="126" w:lineRule="exact"/>
        <w:rPr>
          <w:rFonts w:ascii="Arial" w:cs="Arial" w:eastAsia="Arial" w:hAnsi="Arial"/>
          <w:sz w:val="17"/>
          <w:szCs w:val="17"/>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114" w:lineRule="exact"/>
        <w:rPr>
          <w:rFonts w:ascii="Arial" w:cs="Arial" w:eastAsia="Arial" w:hAnsi="Arial"/>
          <w:sz w:val="18"/>
          <w:szCs w:val="18"/>
          <w:color w:val="auto"/>
        </w:rPr>
      </w:pPr>
    </w:p>
    <w:p>
      <w:pPr>
        <w:ind w:left="700" w:right="100" w:hanging="346"/>
        <w:spacing w:after="0" w:line="274"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 and</w:t>
      </w:r>
    </w:p>
    <w:p>
      <w:pPr>
        <w:spacing w:after="0" w:line="114" w:lineRule="exact"/>
        <w:rPr>
          <w:rFonts w:ascii="Arial" w:cs="Arial" w:eastAsia="Arial" w:hAnsi="Arial"/>
          <w:sz w:val="18"/>
          <w:szCs w:val="18"/>
          <w:color w:val="auto"/>
        </w:rPr>
      </w:pPr>
    </w:p>
    <w:p>
      <w:pPr>
        <w:ind w:left="700" w:right="640" w:hanging="346"/>
        <w:spacing w:after="0" w:line="274"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60" w:lineRule="exact"/>
        <w:rPr>
          <w:sz w:val="20"/>
          <w:szCs w:val="20"/>
          <w:color w:val="auto"/>
        </w:rPr>
      </w:pPr>
    </w:p>
    <w:p>
      <w:pPr>
        <w:ind w:firstLine="357"/>
        <w:spacing w:after="0" w:line="275" w:lineRule="auto"/>
        <w:rPr>
          <w:sz w:val="20"/>
          <w:szCs w:val="20"/>
          <w:color w:val="auto"/>
        </w:rPr>
      </w:pPr>
      <w:r>
        <w:rPr>
          <w:rFonts w:ascii="Arial" w:cs="Arial" w:eastAsia="Arial" w:hAnsi="Arial"/>
          <w:sz w:val="17"/>
          <w:szCs w:val="17"/>
          <w:b w:val="1"/>
          <w:bCs w:val="1"/>
          <w:color w:val="auto"/>
        </w:rPr>
        <w:t>PROSPECTIVE INVESTORS ARE ENCOURAGED TO CONSULT THEIR TAX ADVISORS WITH RESPECT TO THE APPLICATION OF THE U.S. FEDERAL INCOME TAX LAWS TO THEIR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19" w:lineRule="exact"/>
        <w:rPr>
          <w:sz w:val="20"/>
          <w:szCs w:val="20"/>
          <w:color w:val="auto"/>
        </w:rPr>
      </w:pPr>
    </w:p>
    <w:p>
      <w:pPr>
        <w:ind w:right="400" w:firstLine="357"/>
        <w:spacing w:after="0" w:line="274" w:lineRule="auto"/>
        <w:rPr>
          <w:sz w:val="20"/>
          <w:szCs w:val="20"/>
          <w:color w:val="auto"/>
        </w:rPr>
      </w:pPr>
      <w:r>
        <w:rPr>
          <w:rFonts w:ascii="Arial" w:cs="Arial" w:eastAsia="Arial" w:hAnsi="Arial"/>
          <w:sz w:val="18"/>
          <w:szCs w:val="18"/>
          <w:color w:val="auto"/>
        </w:rPr>
        <w:t>For purposes of this discussion, a “non-U.S. holder” is a beneficial owner of our Class A shares that is not for U.S. federal income tax purposes a partnership or any of the following:</w:t>
      </w:r>
    </w:p>
    <w:p>
      <w:pPr>
        <w:spacing w:after="0" w:line="64" w:lineRule="exact"/>
        <w:rPr>
          <w:sz w:val="20"/>
          <w:szCs w:val="20"/>
          <w:color w:val="auto"/>
        </w:rPr>
      </w:pPr>
    </w:p>
    <w:p>
      <w:pPr>
        <w:ind w:left="700" w:hanging="34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4" w:lineRule="exact"/>
        <w:rPr>
          <w:rFonts w:ascii="Arial" w:cs="Arial" w:eastAsia="Arial" w:hAnsi="Arial"/>
          <w:sz w:val="18"/>
          <w:szCs w:val="18"/>
          <w:color w:val="auto"/>
        </w:rPr>
      </w:pPr>
    </w:p>
    <w:p>
      <w:pPr>
        <w:ind w:left="700" w:right="400" w:hanging="346"/>
        <w:spacing w:after="0" w:line="274"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4" w:lineRule="exact"/>
        <w:rPr>
          <w:rFonts w:ascii="Arial" w:cs="Arial" w:eastAsia="Arial" w:hAnsi="Arial"/>
          <w:sz w:val="18"/>
          <w:szCs w:val="18"/>
          <w:color w:val="auto"/>
        </w:rPr>
      </w:pPr>
    </w:p>
    <w:p>
      <w:pPr>
        <w:ind w:left="700" w:hanging="346"/>
        <w:spacing w:after="0" w:line="261"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76" w:lineRule="exact"/>
        <w:rPr>
          <w:sz w:val="20"/>
          <w:szCs w:val="20"/>
          <w:color w:val="auto"/>
        </w:rPr>
      </w:pPr>
    </w:p>
    <w:p>
      <w:pPr>
        <w:ind w:right="40" w:firstLine="357"/>
        <w:spacing w:after="0" w:line="254"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Class A shares to consult their tax advisors regarding the U.S. federal income tax considerations of the purchase, ownership and disposition of our Class A shares by such partnership.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 U.S. Federal Income Taxation</w:t>
      </w:r>
    </w:p>
    <w:p>
      <w:pPr>
        <w:spacing w:after="0" w:line="119" w:lineRule="exact"/>
        <w:rPr>
          <w:sz w:val="20"/>
          <w:szCs w:val="20"/>
          <w:color w:val="auto"/>
        </w:rPr>
      </w:pPr>
    </w:p>
    <w:p>
      <w:pPr>
        <w:ind w:right="60" w:firstLine="357"/>
        <w:spacing w:after="0" w:line="305" w:lineRule="auto"/>
        <w:rPr>
          <w:sz w:val="20"/>
          <w:szCs w:val="20"/>
          <w:color w:val="auto"/>
        </w:rPr>
      </w:pPr>
      <w:r>
        <w:rPr>
          <w:rFonts w:ascii="Arial" w:cs="Arial" w:eastAsia="Arial" w:hAnsi="Arial"/>
          <w:sz w:val="17"/>
          <w:szCs w:val="17"/>
          <w:color w:val="auto"/>
        </w:rPr>
        <w:t>Although NFE was formed as a limited liability company, we have elected to be taxed as a corporation for U.S. federal income tax purposes. Thus, NFE is generally obligated to pay U.S. federal income tax on our worldwide net taxable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19" w:lineRule="exact"/>
        <w:rPr>
          <w:sz w:val="20"/>
          <w:szCs w:val="20"/>
          <w:color w:val="auto"/>
        </w:rPr>
      </w:pPr>
    </w:p>
    <w:p>
      <w:pPr>
        <w:ind w:right="140" w:firstLine="357"/>
        <w:spacing w:after="0" w:line="270" w:lineRule="auto"/>
        <w:rPr>
          <w:sz w:val="20"/>
          <w:szCs w:val="20"/>
          <w:color w:val="auto"/>
        </w:rPr>
      </w:pPr>
      <w:r>
        <w:rPr>
          <w:rFonts w:ascii="Arial" w:cs="Arial" w:eastAsia="Arial" w:hAnsi="Arial"/>
          <w:sz w:val="17"/>
          <w:szCs w:val="17"/>
          <w:color w:val="auto"/>
        </w:rPr>
        <w:t>As described in the section entitled “Dividend Policy,” we do not plan to make any distributions on our Class A shares for the foreseeable future. However, in the event we do make distributions of cash or other property on our Class A shares, such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Class A shares (and will reduce such tax basis) and thereafter as capital gain from the sale or exchange of such Class A shares. See “—Gain on Disposition of Class A Shares.”</w:t>
      </w:r>
    </w:p>
    <w:p>
      <w:pPr>
        <w:spacing w:after="0" w:line="70" w:lineRule="exact"/>
        <w:rPr>
          <w:sz w:val="20"/>
          <w:szCs w:val="20"/>
          <w:color w:val="auto"/>
        </w:rPr>
      </w:pPr>
    </w:p>
    <w:p>
      <w:pPr>
        <w:ind w:right="40" w:firstLine="357"/>
        <w:spacing w:after="0" w:line="294" w:lineRule="auto"/>
        <w:rPr>
          <w:sz w:val="20"/>
          <w:szCs w:val="20"/>
          <w:color w:val="auto"/>
        </w:rPr>
      </w:pPr>
      <w:r>
        <w:rPr>
          <w:rFonts w:ascii="Arial" w:cs="Arial" w:eastAsia="Arial" w:hAnsi="Arial"/>
          <w:sz w:val="16"/>
          <w:szCs w:val="16"/>
          <w:color w:val="auto"/>
        </w:rPr>
        <w:t>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an IRS Form W-8BEN or IRS Form W-8BEN-E (or other applicable or successor form) certifying qualification for the reduced rate.</w:t>
      </w:r>
    </w:p>
    <w:p>
      <w:pPr>
        <w:spacing w:after="0" w:line="54" w:lineRule="exact"/>
        <w:rPr>
          <w:sz w:val="20"/>
          <w:szCs w:val="20"/>
          <w:color w:val="auto"/>
        </w:rPr>
      </w:pPr>
    </w:p>
    <w:p>
      <w:pPr>
        <w:ind w:right="20" w:firstLine="357"/>
        <w:spacing w:after="0" w:line="287" w:lineRule="auto"/>
        <w:rPr>
          <w:sz w:val="20"/>
          <w:szCs w:val="20"/>
          <w:color w:val="auto"/>
        </w:rPr>
      </w:pPr>
      <w:r>
        <w:rPr>
          <w:rFonts w:ascii="Arial" w:cs="Arial" w:eastAsia="Arial" w:hAnsi="Arial"/>
          <w:sz w:val="16"/>
          <w:szCs w:val="16"/>
          <w:color w:val="auto"/>
        </w:rPr>
        <w:t>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(including backup withholding described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119" w:lineRule="exact"/>
        <w:rPr>
          <w:sz w:val="20"/>
          <w:szCs w:val="20"/>
          <w:color w:val="auto"/>
        </w:rPr>
      </w:pPr>
    </w:p>
    <w:p>
      <w:pPr>
        <w:ind w:right="200" w:firstLine="357"/>
        <w:spacing w:after="0" w:line="261" w:lineRule="auto"/>
        <w:rPr>
          <w:sz w:val="20"/>
          <w:szCs w:val="20"/>
          <w:color w:val="auto"/>
        </w:rPr>
      </w:pPr>
      <w:r>
        <w:rPr>
          <w:rFonts w:ascii="Arial" w:cs="Arial" w:eastAsia="Arial" w:hAnsi="Arial"/>
          <w:sz w:val="18"/>
          <w:szCs w:val="18"/>
          <w:color w:val="auto"/>
        </w:rPr>
        <w:t>Subject to the discussion below under “—Backup Withholding and Information Reporting,” a non-U.S. holder generally will not be subject to U.S. federal income tax or withholding on any gain realized upon the sale or other disposition of our Class A shares unless:</w:t>
      </w:r>
    </w:p>
    <w:p>
      <w:pPr>
        <w:spacing w:after="0" w:line="76" w:lineRule="exact"/>
        <w:rPr>
          <w:sz w:val="20"/>
          <w:szCs w:val="20"/>
          <w:color w:val="auto"/>
        </w:rPr>
      </w:pPr>
    </w:p>
    <w:p>
      <w:pPr>
        <w:ind w:left="700" w:right="300" w:hanging="346"/>
        <w:spacing w:after="0" w:line="339"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6" w:lineRule="exact"/>
        <w:rPr>
          <w:rFonts w:ascii="Arial" w:cs="Arial" w:eastAsia="Arial" w:hAnsi="Arial"/>
          <w:sz w:val="16"/>
          <w:szCs w:val="16"/>
          <w:color w:val="auto"/>
        </w:rPr>
      </w:pPr>
    </w:p>
    <w:p>
      <w:pPr>
        <w:ind w:left="700" w:right="280" w:hanging="346"/>
        <w:spacing w:after="0" w:line="261"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75" w:lineRule="exact"/>
        <w:rPr>
          <w:rFonts w:ascii="Arial" w:cs="Arial" w:eastAsia="Arial" w:hAnsi="Arial"/>
          <w:sz w:val="18"/>
          <w:szCs w:val="18"/>
          <w:color w:val="auto"/>
        </w:rPr>
      </w:pPr>
    </w:p>
    <w:p>
      <w:pPr>
        <w:ind w:left="700" w:right="120" w:hanging="346"/>
        <w:spacing w:after="0" w:line="309"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in the event that we are or become a United States real property holding corporation (“USRPHC”) for U.S. federal income tax purposes and as a result such gain is treated as effectively connected with a trade or business conducted by the non-U.S. holder in the United States.</w:t>
      </w:r>
    </w:p>
    <w:p>
      <w:pPr>
        <w:spacing w:after="0" w:line="41" w:lineRule="exact"/>
        <w:rPr>
          <w:sz w:val="20"/>
          <w:szCs w:val="20"/>
          <w:color w:val="auto"/>
        </w:rPr>
      </w:pPr>
    </w:p>
    <w:p>
      <w:pPr>
        <w:ind w:right="160" w:firstLine="357"/>
        <w:spacing w:after="0" w:line="261"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76" w:lineRule="exact"/>
        <w:rPr>
          <w:sz w:val="20"/>
          <w:szCs w:val="20"/>
          <w:color w:val="auto"/>
        </w:rPr>
      </w:pPr>
    </w:p>
    <w:p>
      <w:pPr>
        <w:ind w:right="60" w:firstLine="357"/>
        <w:spacing w:after="0" w:line="291"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57" w:lineRule="exact"/>
        <w:rPr>
          <w:sz w:val="20"/>
          <w:szCs w:val="20"/>
          <w:color w:val="auto"/>
        </w:rPr>
      </w:pPr>
    </w:p>
    <w:p>
      <w:pPr>
        <w:ind w:firstLine="357"/>
        <w:spacing w:after="0" w:line="283" w:lineRule="auto"/>
        <w:rPr>
          <w:sz w:val="20"/>
          <w:szCs w:val="20"/>
          <w:color w:val="auto"/>
        </w:rPr>
      </w:pPr>
      <w:r>
        <w:rPr>
          <w:rFonts w:ascii="Arial" w:cs="Arial" w:eastAsia="Arial" w:hAnsi="Arial"/>
          <w:sz w:val="16"/>
          <w:szCs w:val="16"/>
          <w:color w:val="auto"/>
        </w:rPr>
        <w:t>With respect to the third bullet point above, 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although this determination is not free from doubt, and we may become a USRPHC in the future depending on the manner in which we expand our business. In the event that we are or become a USRPHC, as long as our Class A shares are treated as “regularly traded on an established securities market” (within the meaning of the U.S. Treasury Regulations) at the time of the disposition,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U.S. real property interest and will be taxable on gain realized on the disposition of our Class A shares as a result of our status as a USRPHC. If we are or become a USRPHC and our Class A shares were not considered to be regularly traded on an established securities market, such holder (regardless of the percentage of stock owned) would be treated as disposing of a U.S. real property interest and would be subject to U.S. federal income tax on a taxable disposition of our Class A shares (as described in the preceding paragraph), and a 15% withholding tax would apply to the gross proceeds from such disposition. In addition, if we are or become a USRPHC, we may be required to withhold 15% of any distribution to a non-U.S. holder to the extent such distribution is not treated as paid from our current or accumulated earnings and profits if either our Class A shares are not then treated as regularly traded on an established securities market or the non-U.S. holder owns in excess of 5% of our Class A shares.</w:t>
      </w:r>
    </w:p>
    <w:p>
      <w:pPr>
        <w:spacing w:after="0" w:line="64" w:lineRule="exact"/>
        <w:rPr>
          <w:sz w:val="20"/>
          <w:szCs w:val="20"/>
          <w:color w:val="auto"/>
        </w:rPr>
      </w:pPr>
    </w:p>
    <w:p>
      <w:pPr>
        <w:ind w:right="40" w:firstLine="357"/>
        <w:spacing w:after="0" w:line="279" w:lineRule="auto"/>
        <w:rPr>
          <w:sz w:val="20"/>
          <w:szCs w:val="20"/>
          <w:color w:val="auto"/>
        </w:rPr>
      </w:pPr>
      <w:r>
        <w:rPr>
          <w:rFonts w:ascii="Arial" w:cs="Arial" w:eastAsia="Arial" w:hAnsi="Arial"/>
          <w:sz w:val="18"/>
          <w:szCs w:val="18"/>
          <w:b w:val="1"/>
          <w:bCs w:val="1"/>
          <w:color w:val="auto"/>
        </w:rPr>
        <w:t>NON-U.S. HOLDERS SHOULD CONSULT THEIR TAX ADVISORS WITH RESPECT TO THE APPLICATION OF THE FOREGOING RULES TO THEIR OWNERSHIP AND DISPOSITION OF OUR CLASS A SHARES.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19" w:lineRule="exact"/>
        <w:rPr>
          <w:sz w:val="20"/>
          <w:szCs w:val="20"/>
          <w:color w:val="auto"/>
        </w:rPr>
      </w:pPr>
    </w:p>
    <w:p>
      <w:pPr>
        <w:ind w:right="440" w:firstLine="357"/>
        <w:spacing w:after="0" w:line="261" w:lineRule="auto"/>
        <w:rPr>
          <w:sz w:val="20"/>
          <w:szCs w:val="20"/>
          <w:color w:val="auto"/>
        </w:rPr>
      </w:pPr>
      <w:r>
        <w:rPr>
          <w:rFonts w:ascii="Arial" w:cs="Arial" w:eastAsia="Arial" w:hAnsi="Arial"/>
          <w:sz w:val="18"/>
          <w:szCs w:val="18"/>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subject to backup withholding if the non-U.S. holder establishes an exemption by properly certifying its non-U.S. status on an IRS Form W-8BEN or IRS Form W-8BEN-E (or other applicable or successor form).</w:t>
      </w:r>
    </w:p>
    <w:p>
      <w:pPr>
        <w:spacing w:after="0" w:line="64" w:lineRule="exact"/>
        <w:rPr>
          <w:sz w:val="20"/>
          <w:szCs w:val="20"/>
          <w:color w:val="auto"/>
        </w:rPr>
      </w:pPr>
    </w:p>
    <w:p>
      <w:pPr>
        <w:ind w:right="40" w:firstLine="357"/>
        <w:spacing w:after="0" w:line="287" w:lineRule="auto"/>
        <w:rPr>
          <w:sz w:val="20"/>
          <w:szCs w:val="20"/>
          <w:color w:val="auto"/>
        </w:rPr>
      </w:pPr>
      <w:r>
        <w:rPr>
          <w:rFonts w:ascii="Arial" w:cs="Arial" w:eastAsia="Arial" w:hAnsi="Arial"/>
          <w:sz w:val="16"/>
          <w:szCs w:val="16"/>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59" w:lineRule="exact"/>
        <w:rPr>
          <w:sz w:val="20"/>
          <w:szCs w:val="20"/>
          <w:color w:val="auto"/>
        </w:rPr>
      </w:pPr>
    </w:p>
    <w:p>
      <w:pPr>
        <w:jc w:val="both"/>
        <w:ind w:right="80" w:firstLine="357"/>
        <w:spacing w:after="0" w:line="261"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119" w:lineRule="exact"/>
        <w:rPr>
          <w:sz w:val="20"/>
          <w:szCs w:val="20"/>
          <w:color w:val="auto"/>
        </w:rPr>
      </w:pPr>
    </w:p>
    <w:p>
      <w:pPr>
        <w:ind w:firstLine="357"/>
        <w:spacing w:after="0" w:line="266" w:lineRule="auto"/>
        <w:rPr>
          <w:sz w:val="20"/>
          <w:szCs w:val="20"/>
          <w:color w:val="auto"/>
        </w:rPr>
      </w:pPr>
      <w:r>
        <w:rPr>
          <w:rFonts w:ascii="Arial" w:cs="Arial" w:eastAsia="Arial" w:hAnsi="Arial"/>
          <w:sz w:val="17"/>
          <w:szCs w:val="17"/>
          <w:color w:val="auto"/>
        </w:rPr>
        <w:t>Sections 1471 through 1474 of the Code, and the U.S. Treasury regulations and administrative guidance issued thereunder (“FATCA”), impose a 30% withholding tax on any dividends paid on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Class A shares.</w:t>
      </w:r>
    </w:p>
    <w:p>
      <w:pPr>
        <w:spacing w:after="0" w:line="73" w:lineRule="exact"/>
        <w:rPr>
          <w:sz w:val="20"/>
          <w:szCs w:val="20"/>
          <w:color w:val="auto"/>
        </w:rPr>
      </w:pPr>
    </w:p>
    <w:p>
      <w:pPr>
        <w:jc w:val="both"/>
        <w:ind w:right="80" w:firstLine="357"/>
        <w:spacing w:after="0" w:line="259" w:lineRule="auto"/>
        <w:rPr>
          <w:sz w:val="20"/>
          <w:szCs w:val="20"/>
          <w:color w:val="auto"/>
        </w:rPr>
      </w:pPr>
      <w:r>
        <w:rPr>
          <w:rFonts w:ascii="Arial" w:cs="Arial" w:eastAsia="Arial" w:hAnsi="Arial"/>
          <w:sz w:val="18"/>
          <w:szCs w:val="18"/>
          <w:b w:val="1"/>
          <w:bCs w:val="1"/>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ERISA CONSIDERATIONS</w:t>
      </w:r>
    </w:p>
    <w:p>
      <w:pPr>
        <w:spacing w:after="0" w:line="119" w:lineRule="exact"/>
        <w:rPr>
          <w:sz w:val="20"/>
          <w:szCs w:val="20"/>
          <w:color w:val="auto"/>
        </w:rPr>
      </w:pPr>
    </w:p>
    <w:p>
      <w:pPr>
        <w:ind w:right="120" w:firstLine="357"/>
        <w:spacing w:after="0" w:line="289" w:lineRule="auto"/>
        <w:rPr>
          <w:sz w:val="20"/>
          <w:szCs w:val="20"/>
          <w:color w:val="auto"/>
        </w:rPr>
      </w:pPr>
      <w:r>
        <w:rPr>
          <w:rFonts w:ascii="Arial" w:cs="Arial" w:eastAsia="Arial" w:hAnsi="Arial"/>
          <w:sz w:val="16"/>
          <w:szCs w:val="16"/>
          <w:color w:val="auto"/>
        </w:rPr>
        <w:t>The following is a summary of certain considerations associated with the acquisition and holding of our Class A shares by employee benefit plans that are subject to Title I of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4(b)(4) of ERISA)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59" w:lineRule="exact"/>
        <w:rPr>
          <w:sz w:val="20"/>
          <w:szCs w:val="20"/>
          <w:color w:val="auto"/>
        </w:rPr>
      </w:pPr>
    </w:p>
    <w:p>
      <w:pPr>
        <w:ind w:right="80" w:firstLine="357"/>
        <w:spacing w:after="0" w:line="254" w:lineRule="auto"/>
        <w:rPr>
          <w:sz w:val="20"/>
          <w:szCs w:val="20"/>
          <w:color w:val="auto"/>
        </w:rPr>
      </w:pPr>
      <w:r>
        <w:rPr>
          <w:rFonts w:ascii="Arial" w:cs="Arial" w:eastAsia="Arial" w:hAnsi="Arial"/>
          <w:sz w:val="18"/>
          <w:szCs w:val="18"/>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Fiduciary Matters</w:t>
      </w:r>
    </w:p>
    <w:p>
      <w:pPr>
        <w:spacing w:after="0" w:line="119" w:lineRule="exact"/>
        <w:rPr>
          <w:sz w:val="20"/>
          <w:szCs w:val="20"/>
          <w:color w:val="auto"/>
        </w:rPr>
      </w:pPr>
    </w:p>
    <w:p>
      <w:pPr>
        <w:ind w:firstLine="357"/>
        <w:spacing w:after="0" w:line="294"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54" w:lineRule="exact"/>
        <w:rPr>
          <w:sz w:val="20"/>
          <w:szCs w:val="20"/>
          <w:color w:val="auto"/>
        </w:rPr>
      </w:pPr>
    </w:p>
    <w:p>
      <w:pPr>
        <w:ind w:right="160" w:firstLine="357"/>
        <w:spacing w:after="0" w:line="299" w:lineRule="auto"/>
        <w:rPr>
          <w:sz w:val="20"/>
          <w:szCs w:val="20"/>
          <w:color w:val="auto"/>
        </w:rPr>
      </w:pPr>
      <w:r>
        <w:rPr>
          <w:rFonts w:ascii="Arial" w:cs="Arial" w:eastAsia="Arial" w:hAnsi="Arial"/>
          <w:sz w:val="16"/>
          <w:szCs w:val="16"/>
          <w:color w:val="auto"/>
        </w:rPr>
        <w:t>In considering an investment in our Class A shares with a portion of the assets of any Plan, a fiduciary should consider the Plan’s particular circumstances and all of the facts and circumstances of the investment and determine whether the acquisition and holding of such Class A shares is in accordance with the documents and instruments governing the Plan and the applicable provisions of ERISA, the Code, or any Similar Law relating to the fiduciary’s duties to the Plan, including, without limitation:</w:t>
      </w:r>
    </w:p>
    <w:p>
      <w:pPr>
        <w:spacing w:after="0" w:line="49" w:lineRule="exact"/>
        <w:rPr>
          <w:sz w:val="20"/>
          <w:szCs w:val="20"/>
          <w:color w:val="auto"/>
        </w:rPr>
      </w:pPr>
    </w:p>
    <w:p>
      <w:pPr>
        <w:ind w:left="700" w:hanging="346"/>
        <w:spacing w:after="0"/>
        <w:tabs>
          <w:tab w:leader="none" w:pos="7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whether the investment is prudent under Section 404(a)(1)(B) of ERISA and any other applicable Similar Laws;</w:t>
      </w:r>
    </w:p>
    <w:p>
      <w:pPr>
        <w:spacing w:after="0" w:line="126" w:lineRule="exact"/>
        <w:rPr>
          <w:rFonts w:ascii="Arial" w:cs="Arial" w:eastAsia="Arial" w:hAnsi="Arial"/>
          <w:sz w:val="17"/>
          <w:szCs w:val="17"/>
          <w:color w:val="auto"/>
        </w:rPr>
      </w:pPr>
    </w:p>
    <w:p>
      <w:pPr>
        <w:ind w:left="700" w:hanging="346"/>
        <w:spacing w:after="0" w:line="274"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in making the investment, the ERISA Plan will satisfy the diversification requirements of Section 404(a)(1)(C) of ERISA and any other applicable Similar Laws;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investment is permitted under the terms of the applicable documents governing the Plan;</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in the future there may be no market in which to sell or otherwise dispose of the Class A shares;</w:t>
      </w:r>
    </w:p>
    <w:p>
      <w:pPr>
        <w:spacing w:after="0" w:line="114" w:lineRule="exact"/>
        <w:rPr>
          <w:rFonts w:ascii="Arial" w:cs="Arial" w:eastAsia="Arial" w:hAnsi="Arial"/>
          <w:sz w:val="18"/>
          <w:szCs w:val="18"/>
          <w:color w:val="auto"/>
        </w:rPr>
      </w:pPr>
    </w:p>
    <w:p>
      <w:pPr>
        <w:ind w:left="700" w:right="160" w:hanging="346"/>
        <w:spacing w:after="0" w:line="339" w:lineRule="auto"/>
        <w:tabs>
          <w:tab w:leader="none" w:pos="7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whether the acquisition or holding of such Class A shares will constitute a “prohibited transaction” under Section 406 of ERISA or Section 4975 of the Code (please see discussion under “—Prohibited Transaction Issues” below); and</w:t>
      </w:r>
    </w:p>
    <w:p>
      <w:pPr>
        <w:spacing w:after="0" w:line="16" w:lineRule="exact"/>
        <w:rPr>
          <w:rFonts w:ascii="Arial" w:cs="Arial" w:eastAsia="Arial" w:hAnsi="Arial"/>
          <w:sz w:val="16"/>
          <w:szCs w:val="16"/>
          <w:color w:val="auto"/>
        </w:rPr>
      </w:pPr>
    </w:p>
    <w:p>
      <w:pPr>
        <w:ind w:left="700" w:right="60" w:hanging="346"/>
        <w:spacing w:after="0" w:line="274"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Plan will be considered to hold, as plan assets, (i) only such Class A shares or (ii) an undivided interest in our underlying assets (please see the discussion under “—Plan Asset Issues”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 Issues</w:t>
      </w:r>
    </w:p>
    <w:p>
      <w:pPr>
        <w:spacing w:after="0" w:line="119" w:lineRule="exact"/>
        <w:rPr>
          <w:sz w:val="20"/>
          <w:szCs w:val="20"/>
          <w:color w:val="auto"/>
        </w:rPr>
      </w:pPr>
    </w:p>
    <w:p>
      <w:pPr>
        <w:ind w:right="40" w:firstLine="357"/>
        <w:spacing w:after="0" w:line="294" w:lineRule="auto"/>
        <w:rPr>
          <w:sz w:val="20"/>
          <w:szCs w:val="20"/>
          <w:color w:val="auto"/>
        </w:rPr>
      </w:pPr>
      <w:r>
        <w:rPr>
          <w:rFonts w:ascii="Arial" w:cs="Arial" w:eastAsia="Arial" w:hAnsi="Arial"/>
          <w:sz w:val="16"/>
          <w:szCs w:val="16"/>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liabilities under ERISA and the Code. The acquisition and/or holding of our Class A shares by an ERISA Plan with respect to which the issuer, the initial purchaser, or a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49" w:lineRule="exact"/>
        <w:rPr>
          <w:sz w:val="20"/>
          <w:szCs w:val="20"/>
          <w:color w:val="auto"/>
        </w:rPr>
      </w:pPr>
    </w:p>
    <w:p>
      <w:pPr>
        <w:jc w:val="both"/>
        <w:ind w:right="60" w:firstLine="357"/>
        <w:spacing w:after="0" w:line="261" w:lineRule="auto"/>
        <w:rPr>
          <w:sz w:val="20"/>
          <w:szCs w:val="20"/>
          <w:color w:val="auto"/>
        </w:rPr>
      </w:pPr>
      <w:r>
        <w:rPr>
          <w:rFonts w:ascii="Arial" w:cs="Arial" w:eastAsia="Arial" w:hAnsi="Arial"/>
          <w:sz w:val="18"/>
          <w:szCs w:val="18"/>
          <w:color w:val="auto"/>
        </w:rPr>
        <w:t>Because of the foregoing, our Class A shares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 Issues</w:t>
      </w:r>
    </w:p>
    <w:p>
      <w:pPr>
        <w:spacing w:after="0" w:line="119" w:lineRule="exact"/>
        <w:rPr>
          <w:sz w:val="20"/>
          <w:szCs w:val="20"/>
          <w:color w:val="auto"/>
        </w:rPr>
      </w:pPr>
    </w:p>
    <w:p>
      <w:pPr>
        <w:ind w:right="20" w:firstLine="357"/>
        <w:spacing w:after="0" w:line="257" w:lineRule="auto"/>
        <w:rPr>
          <w:sz w:val="20"/>
          <w:szCs w:val="20"/>
          <w:color w:val="auto"/>
        </w:rPr>
      </w:pPr>
      <w:r>
        <w:rPr>
          <w:rFonts w:ascii="Arial" w:cs="Arial" w:eastAsia="Arial" w:hAnsi="Arial"/>
          <w:sz w:val="18"/>
          <w:szCs w:val="18"/>
          <w:color w:val="auto"/>
        </w:rPr>
        <w:t>Additionally, a fiduciary of a Plan should consider whether the Plan will, by investing in our Class A shares,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79"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The Department of Labor (the “DOL”) regulations provide guidance with respect to whether the assets of an entity in which ERISA Plans acquire equity interests would be deemed “plan assets” under some circumstances. Under these regulations, an entity’s assets generally would not be considered to be “plan assets” if, among other things:</w:t>
      </w:r>
    </w:p>
    <w:p>
      <w:pPr>
        <w:spacing w:after="0" w:line="76" w:lineRule="exact"/>
        <w:rPr>
          <w:sz w:val="20"/>
          <w:szCs w:val="20"/>
          <w:color w:val="auto"/>
        </w:rPr>
      </w:pPr>
    </w:p>
    <w:p>
      <w:pPr>
        <w:ind w:left="700" w:right="180" w:hanging="346"/>
        <w:spacing w:after="0" w:line="299" w:lineRule="auto"/>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equity interests acquired by ERISA Plans are “publicly offered securities” (as defined in the 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ERISA Plan as part of a public offering under certain conditions;</w:t>
      </w:r>
    </w:p>
    <w:p>
      <w:pPr>
        <w:spacing w:after="0" w:line="48" w:lineRule="exact"/>
        <w:rPr>
          <w:rFonts w:ascii="Arial" w:cs="Arial" w:eastAsia="Arial" w:hAnsi="Arial"/>
          <w:sz w:val="16"/>
          <w:szCs w:val="16"/>
          <w:color w:val="auto"/>
        </w:rPr>
      </w:pPr>
    </w:p>
    <w:p>
      <w:pPr>
        <w:ind w:left="700" w:hanging="346"/>
        <w:spacing w:after="0" w:line="261"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75" w:lineRule="exact"/>
        <w:rPr>
          <w:rFonts w:ascii="Arial" w:cs="Arial" w:eastAsia="Arial" w:hAnsi="Arial"/>
          <w:sz w:val="18"/>
          <w:szCs w:val="18"/>
          <w:color w:val="auto"/>
        </w:rPr>
      </w:pPr>
    </w:p>
    <w:p>
      <w:pPr>
        <w:ind w:left="700" w:hanging="346"/>
        <w:spacing w:after="0" w:line="270" w:lineRule="auto"/>
        <w:tabs>
          <w:tab w:leader="none" w:pos="7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there is no significant investment by benefit plan investors, which is defined to mean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70" w:lineRule="exact"/>
        <w:rPr>
          <w:sz w:val="20"/>
          <w:szCs w:val="20"/>
          <w:color w:val="auto"/>
        </w:rPr>
      </w:pPr>
    </w:p>
    <w:p>
      <w:pPr>
        <w:ind w:right="40" w:firstLine="357"/>
        <w:spacing w:after="0" w:line="287" w:lineRule="auto"/>
        <w:rPr>
          <w:sz w:val="20"/>
          <w:szCs w:val="20"/>
          <w:color w:val="auto"/>
        </w:rPr>
      </w:pPr>
      <w:r>
        <w:rPr>
          <w:rFonts w:ascii="Arial" w:cs="Arial" w:eastAsia="Arial" w:hAnsi="Arial"/>
          <w:sz w:val="16"/>
          <w:szCs w:val="16"/>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Class A shares on behalf of, or with the assets of, any Plan, consult with their counsel regarding the potential applicability of ERISA, Section 4975 of the Code and any Similar Laws to such investment and whether an exemption would be applicable to the acquisition and holding of such Class A shares. Purchasers of our Class A shares have the exclusive responsibility for ensuring that their acquisition and holding of such Class A shares complies with the fiduciary responsibility rules of ERISA and does not violate the prohibited transaction rules of ERISA, the Code or applicable Similar Laws. The sale of our Class A shares to a Plan is in no respect a representation by us or any of our respective affiliates or representatives that such an investment meets all relevant legal requirements with respect to investments by any such Plan or that such investment is appropriate for any such Plan.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19" w:lineRule="exact"/>
        <w:rPr>
          <w:sz w:val="20"/>
          <w:szCs w:val="20"/>
          <w:color w:val="auto"/>
        </w:rPr>
      </w:pPr>
    </w:p>
    <w:p>
      <w:pPr>
        <w:ind w:right="20" w:firstLine="357"/>
        <w:spacing w:after="0" w:line="257" w:lineRule="auto"/>
        <w:rPr>
          <w:sz w:val="20"/>
          <w:szCs w:val="20"/>
          <w:color w:val="auto"/>
        </w:rPr>
      </w:pPr>
      <w:r>
        <w:rPr>
          <w:rFonts w:ascii="Arial" w:cs="Arial" w:eastAsia="Arial" w:hAnsi="Arial"/>
          <w:sz w:val="18"/>
          <w:szCs w:val="18"/>
          <w:color w:val="auto"/>
        </w:rPr>
        <w:t>Under the terms and subject to the conditions in an underwriting agreement to be entered into in connection with this offering, the underwriters named below, for whom Morgan Stanley &amp; Co. LLC, Barclays Capital Inc., Citigroup Global Markets Inc. and Credit Suisse Securities (USA) LLC are acting as representatives, will severally agree to purchase, and we will agree to sell to them, the number of Class A shares indicated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 of</w:t>
            </w:r>
          </w:p>
        </w:tc>
      </w:tr>
      <w:tr>
        <w:trPr>
          <w:trHeight w:val="177"/>
        </w:trPr>
        <w:tc>
          <w:tcPr>
            <w:tcW w:w="7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50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89"/>
              </w:rPr>
              <w:t>Class A shares</w:t>
            </w:r>
          </w:p>
        </w:tc>
        <w:tc>
          <w:tcPr>
            <w:tcW w:w="100" w:type="dxa"/>
            <w:vAlign w:val="bottom"/>
          </w:tcPr>
          <w:p>
            <w:pPr>
              <w:spacing w:after="0"/>
              <w:rPr>
                <w:sz w:val="15"/>
                <w:szCs w:val="15"/>
                <w:color w:val="auto"/>
              </w:rPr>
            </w:pPr>
          </w:p>
        </w:tc>
      </w:tr>
      <w:tr>
        <w:trPr>
          <w:trHeight w:val="241"/>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r>
      <w:tr>
        <w:trPr>
          <w:trHeight w:val="235"/>
        </w:trPr>
        <w:tc>
          <w:tcPr>
            <w:tcW w:w="7700" w:type="dxa"/>
            <w:vAlign w:val="bottom"/>
          </w:tcPr>
          <w:p>
            <w:pPr>
              <w:spacing w:after="0"/>
              <w:rPr>
                <w:sz w:val="20"/>
                <w:szCs w:val="20"/>
                <w:color w:val="auto"/>
              </w:rPr>
            </w:pPr>
            <w:r>
              <w:rPr>
                <w:rFonts w:ascii="Arial" w:cs="Arial" w:eastAsia="Arial" w:hAnsi="Arial"/>
                <w:sz w:val="18"/>
                <w:szCs w:val="18"/>
                <w:color w:val="auto"/>
              </w:rPr>
              <w:t>Barclays Capital Inc.</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4,000,000</w:t>
            </w:r>
          </w:p>
        </w:tc>
      </w:tr>
      <w:tr>
        <w:trPr>
          <w:trHeight w:val="24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2,200,000</w:t>
            </w:r>
          </w:p>
        </w:tc>
      </w:tr>
      <w:tr>
        <w:trPr>
          <w:trHeight w:val="235"/>
        </w:trPr>
        <w:tc>
          <w:tcPr>
            <w:tcW w:w="770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2,200,000</w:t>
            </w:r>
          </w:p>
        </w:tc>
      </w:tr>
      <w:tr>
        <w:trPr>
          <w:trHeight w:val="24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Evercore Group L.L.C.</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2,200,000</w:t>
            </w:r>
          </w:p>
        </w:tc>
      </w:tr>
      <w:tr>
        <w:trPr>
          <w:trHeight w:val="235"/>
        </w:trPr>
        <w:tc>
          <w:tcPr>
            <w:tcW w:w="7700" w:type="dxa"/>
            <w:vAlign w:val="bottom"/>
          </w:tcPr>
          <w:p>
            <w:pPr>
              <w:spacing w:after="0"/>
              <w:rPr>
                <w:sz w:val="20"/>
                <w:szCs w:val="20"/>
                <w:color w:val="auto"/>
              </w:rPr>
            </w:pPr>
            <w:r>
              <w:rPr>
                <w:rFonts w:ascii="Arial" w:cs="Arial" w:eastAsia="Arial" w:hAnsi="Arial"/>
                <w:sz w:val="18"/>
                <w:szCs w:val="18"/>
                <w:color w:val="auto"/>
              </w:rPr>
              <w:t>Allen &amp; Company LLC</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2,000,000</w:t>
            </w:r>
          </w:p>
        </w:tc>
      </w:tr>
      <w:tr>
        <w:trPr>
          <w:trHeight w:val="24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1,200,000</w:t>
            </w:r>
          </w:p>
        </w:tc>
      </w:tr>
      <w:tr>
        <w:trPr>
          <w:trHeight w:val="235"/>
        </w:trPr>
        <w:tc>
          <w:tcPr>
            <w:tcW w:w="7700" w:type="dxa"/>
            <w:vAlign w:val="bottom"/>
          </w:tcPr>
          <w:p>
            <w:pPr>
              <w:spacing w:after="0"/>
              <w:rPr>
                <w:sz w:val="20"/>
                <w:szCs w:val="20"/>
                <w:color w:val="auto"/>
              </w:rPr>
            </w:pPr>
            <w:r>
              <w:rPr>
                <w:rFonts w:ascii="Arial" w:cs="Arial" w:eastAsia="Arial" w:hAnsi="Arial"/>
                <w:sz w:val="18"/>
                <w:szCs w:val="18"/>
                <w:color w:val="auto"/>
              </w:rPr>
              <w:t>Stifel, Nicolaus &amp; Company, Incorporated</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1,200,000</w:t>
            </w:r>
          </w:p>
        </w:tc>
      </w:tr>
      <w:tr>
        <w:trPr>
          <w:trHeight w:val="254"/>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right w:val="single" w:sz="8" w:color="CCEEFF"/>
            </w:tcBorders>
            <w:shd w:val="clear" w:color="auto" w:fill="CCEEFF"/>
          </w:tcPr>
          <w:p>
            <w:pPr>
              <w:spacing w:after="0"/>
              <w:rPr>
                <w:sz w:val="22"/>
                <w:szCs w:val="22"/>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20,000,000</w:t>
            </w:r>
          </w:p>
        </w:tc>
      </w:tr>
      <w:tr>
        <w:trPr>
          <w:trHeight w:val="27"/>
        </w:trPr>
        <w:tc>
          <w:tcPr>
            <w:tcW w:w="77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5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ind w:right="60" w:firstLine="357"/>
        <w:spacing w:after="0" w:line="270"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Class A shares subject to their acceptance of the Class A shares from us and subject to prior sale. The underwriting agreement provides that the obligations of the several underwriters to pay for and accept delivery of the Class A shares offered by this prospectus are subject to the approval of certain legal matters by their counsel and to certain other conditions. The underwriters are obligated to take and pay for all of the Class A shares offered by this prospectus if any such Class A shares are taken. However, the underwriters are not required to take or pay for the Class A shares covered by the underwriters’ over-allotment option described below.</w:t>
      </w:r>
    </w:p>
    <w:p>
      <w:pPr>
        <w:spacing w:after="0" w:line="70" w:lineRule="exact"/>
        <w:rPr>
          <w:sz w:val="20"/>
          <w:szCs w:val="20"/>
          <w:color w:val="auto"/>
        </w:rPr>
      </w:pPr>
    </w:p>
    <w:p>
      <w:pPr>
        <w:ind w:right="120" w:firstLine="357"/>
        <w:spacing w:after="0" w:line="257" w:lineRule="auto"/>
        <w:rPr>
          <w:sz w:val="20"/>
          <w:szCs w:val="20"/>
          <w:color w:val="auto"/>
        </w:rPr>
      </w:pPr>
      <w:r>
        <w:rPr>
          <w:rFonts w:ascii="Arial" w:cs="Arial" w:eastAsia="Arial" w:hAnsi="Arial"/>
          <w:sz w:val="18"/>
          <w:szCs w:val="18"/>
          <w:color w:val="auto"/>
        </w:rPr>
        <w:t>The underwriters initially propose to offer part of the Class A shares directly to the public at the offering price listed on the cover page of this prospectus and part to certain dealers at a price that represents a concession not in excess of $0.5175 per Class A share under the public offering price. After the initial offering of the Class A shares, the offering price and other selling terms may from time to time be varied by the representatives.</w:t>
      </w:r>
    </w:p>
    <w:p>
      <w:pPr>
        <w:spacing w:after="0" w:line="79" w:lineRule="exact"/>
        <w:rPr>
          <w:sz w:val="20"/>
          <w:szCs w:val="20"/>
          <w:color w:val="auto"/>
        </w:rPr>
      </w:pPr>
    </w:p>
    <w:p>
      <w:pPr>
        <w:ind w:right="80" w:firstLine="357"/>
        <w:spacing w:after="0" w:line="289" w:lineRule="auto"/>
        <w:rPr>
          <w:sz w:val="20"/>
          <w:szCs w:val="20"/>
          <w:color w:val="auto"/>
        </w:rPr>
      </w:pPr>
      <w:r>
        <w:rPr>
          <w:rFonts w:ascii="Arial" w:cs="Arial" w:eastAsia="Arial" w:hAnsi="Arial"/>
          <w:sz w:val="16"/>
          <w:szCs w:val="16"/>
          <w:color w:val="auto"/>
        </w:rPr>
        <w:t>Under the underwriting agreement, we will grant to the underwriters an option, exercisable for 30 days from the date of the underwriting agreement, to purchase up to 3,000,000 additional Class A shares at the initial public offering price listed on the cover page of this prospectus, less underwriting discounts and commissions. The underwriters may exercise this option solely for the purpose of covering over-allotments, if any, made in connection with the offering of the Class A shares offered by this prospectus. To the extent the option is exercised, each underwriter will become obligated, subject to certain conditions, to purchase about the same percentage of the additional Class A shares as the number listed next to the underwriter’s name in the preceding table bears to the total number of Class A shares listed next to the names of all underwriters in the preceding table.</w:t>
      </w:r>
    </w:p>
    <w:p>
      <w:pPr>
        <w:spacing w:after="0" w:line="59" w:lineRule="exact"/>
        <w:rPr>
          <w:sz w:val="20"/>
          <w:szCs w:val="20"/>
          <w:color w:val="auto"/>
        </w:rPr>
      </w:pPr>
    </w:p>
    <w:p>
      <w:pPr>
        <w:ind w:right="40" w:firstLine="357"/>
        <w:spacing w:after="0" w:line="291" w:lineRule="auto"/>
        <w:rPr>
          <w:sz w:val="20"/>
          <w:szCs w:val="20"/>
          <w:color w:val="auto"/>
        </w:rPr>
      </w:pPr>
      <w:r>
        <w:rPr>
          <w:rFonts w:ascii="Arial" w:cs="Arial" w:eastAsia="Arial" w:hAnsi="Arial"/>
          <w:sz w:val="16"/>
          <w:szCs w:val="16"/>
          <w:color w:val="auto"/>
        </w:rPr>
        <w:t>Certain of our existing shareholders, directors, including our chairman, and entities affiliated with certain of our directors, have indicated an interest in purchasing Class A shares in this offering at the initial public offering price per share and on the same terms as the other purchasers in this offering. Because indications of interest are not binding agreements or commitments to purchase, any of the persons described above may determine to purchase more, fewer or no shares in this offering. The underwriters will receive the same underwriting discount on any shares purchased by these shareholders as they will on any other shares sold to the public in this offering and will allocate any such shares as directed by us as the issuer.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0" w:firstLine="357"/>
        <w:spacing w:after="0" w:line="261" w:lineRule="auto"/>
        <w:rPr>
          <w:sz w:val="20"/>
          <w:szCs w:val="20"/>
          <w:color w:val="auto"/>
        </w:rPr>
      </w:pPr>
      <w:r>
        <w:rPr>
          <w:rFonts w:ascii="Arial" w:cs="Arial" w:eastAsia="Arial" w:hAnsi="Arial"/>
          <w:sz w:val="18"/>
          <w:szCs w:val="18"/>
          <w:color w:val="auto"/>
        </w:rPr>
        <w:t>The following table shows the per Class A share and total public offering price, underwriting discounts and commissions, and proceeds before expenses to us. These amounts are shown assuming both no exercise and full exercise of the underwriters’ option to purchase up to an additional 3,000,000 Class A shares.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Per Class A</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5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7"/>
              </w:rPr>
              <w:t>No Exercise</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Full Exercise</w:t>
            </w:r>
          </w:p>
        </w:tc>
        <w:tc>
          <w:tcPr>
            <w:tcW w:w="60" w:type="dxa"/>
            <w:vAlign w:val="bottom"/>
          </w:tcPr>
          <w:p>
            <w:pPr>
              <w:spacing w:after="0"/>
              <w:rPr>
                <w:sz w:val="15"/>
                <w:szCs w:val="15"/>
                <w:color w:val="auto"/>
              </w:rPr>
            </w:pPr>
          </w:p>
        </w:tc>
      </w:tr>
      <w:tr>
        <w:trPr>
          <w:trHeight w:val="235"/>
        </w:trPr>
        <w:tc>
          <w:tcPr>
            <w:tcW w:w="5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Proposed initial public offering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300,000,000</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345,000,000</w:t>
            </w:r>
          </w:p>
        </w:tc>
      </w:tr>
      <w:tr>
        <w:trPr>
          <w:trHeight w:val="241"/>
        </w:trPr>
        <w:tc>
          <w:tcPr>
            <w:tcW w:w="570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0.8625</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17,250,000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19,837,500</w:t>
            </w:r>
          </w:p>
        </w:tc>
      </w:tr>
      <w:tr>
        <w:trPr>
          <w:trHeight w:val="20"/>
        </w:trPr>
        <w:tc>
          <w:tcPr>
            <w:tcW w:w="57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5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14.1375</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282,750,000</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325,162,500</w:t>
            </w:r>
          </w:p>
        </w:tc>
      </w:tr>
    </w:tbl>
    <w:p>
      <w:pPr>
        <w:spacing w:after="0" w:line="93" w:lineRule="exact"/>
        <w:rPr>
          <w:sz w:val="20"/>
          <w:szCs w:val="20"/>
          <w:color w:val="auto"/>
        </w:rPr>
      </w:pPr>
    </w:p>
    <w:p>
      <w:pPr>
        <w:jc w:val="both"/>
        <w:ind w:right="220" w:firstLine="357"/>
        <w:spacing w:after="0" w:line="261"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$6,300,000. Under the underwriting agreement, we will agree to reimburse the underwriters for expenses relating to clearance of this offering with the Financial Industry Regulatory Authority up to $35,000.</w:t>
      </w:r>
    </w:p>
    <w:p>
      <w:pPr>
        <w:spacing w:after="0" w:line="76" w:lineRule="exact"/>
        <w:rPr>
          <w:sz w:val="20"/>
          <w:szCs w:val="20"/>
          <w:color w:val="auto"/>
        </w:rPr>
      </w:pPr>
    </w:p>
    <w:p>
      <w:pPr>
        <w:ind w:right="140" w:firstLine="357"/>
        <w:spacing w:after="0" w:line="274"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Class A shares offered by them.</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been authorized to list our Class A shares on NASDAQ under the trading symbol “NFE.”</w:t>
      </w:r>
    </w:p>
    <w:p>
      <w:pPr>
        <w:spacing w:after="0" w:line="115" w:lineRule="exact"/>
        <w:rPr>
          <w:sz w:val="20"/>
          <w:szCs w:val="20"/>
          <w:color w:val="auto"/>
        </w:rPr>
      </w:pPr>
    </w:p>
    <w:p>
      <w:pPr>
        <w:ind w:right="60" w:firstLine="357"/>
        <w:spacing w:after="0" w:line="257" w:lineRule="auto"/>
        <w:rPr>
          <w:sz w:val="20"/>
          <w:szCs w:val="20"/>
          <w:color w:val="auto"/>
        </w:rPr>
      </w:pPr>
      <w:r>
        <w:rPr>
          <w:rFonts w:ascii="Arial" w:cs="Arial" w:eastAsia="Arial" w:hAnsi="Arial"/>
          <w:sz w:val="18"/>
          <w:szCs w:val="18"/>
          <w:color w:val="auto"/>
        </w:rPr>
        <w:t>We, all of our directors and officers and the holders of all of our outstanding stock and stock options and New Fortress Energy Holdings will agree that, subject to certain exceptions, without the prior written consent of Morgan Stanley &amp; Co. LLC on behalf of the underwriters, we and they will not, during the period ending 180 days after the date of the underwriting agreement (the “restricted period”):</w:t>
      </w:r>
    </w:p>
    <w:p>
      <w:pPr>
        <w:spacing w:after="0" w:line="79" w:lineRule="exact"/>
        <w:rPr>
          <w:sz w:val="20"/>
          <w:szCs w:val="20"/>
          <w:color w:val="auto"/>
        </w:rPr>
      </w:pPr>
    </w:p>
    <w:p>
      <w:pPr>
        <w:ind w:left="700" w:right="20" w:hanging="346"/>
        <w:spacing w:after="0" w:line="309"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Class A shares, Class B shares or any securities convertible into or exercisable or exchangeable for Class A shares or Class B shares;</w:t>
      </w:r>
    </w:p>
    <w:p>
      <w:pPr>
        <w:spacing w:after="0" w:line="40" w:lineRule="exact"/>
        <w:rPr>
          <w:rFonts w:ascii="Arial" w:cs="Arial" w:eastAsia="Arial" w:hAnsi="Arial"/>
          <w:sz w:val="16"/>
          <w:szCs w:val="16"/>
          <w:color w:val="auto"/>
        </w:rPr>
      </w:pPr>
    </w:p>
    <w:p>
      <w:pPr>
        <w:ind w:left="700" w:hanging="346"/>
        <w:spacing w:after="0" w:line="339"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file any registration statement with the Securities and Exchange Commission relating to the offering of any Class A shares, Class B shares or any securities convertible into or exercisable or exchangeable for Class A shares or Class B shares; or</w:t>
      </w:r>
    </w:p>
    <w:p>
      <w:pPr>
        <w:spacing w:after="0" w:line="16" w:lineRule="exact"/>
        <w:rPr>
          <w:rFonts w:ascii="Arial" w:cs="Arial" w:eastAsia="Arial" w:hAnsi="Arial"/>
          <w:sz w:val="16"/>
          <w:szCs w:val="16"/>
          <w:color w:val="auto"/>
        </w:rPr>
      </w:pPr>
    </w:p>
    <w:p>
      <w:pPr>
        <w:ind w:left="700" w:right="140" w:hanging="346"/>
        <w:spacing w:after="0" w:line="274" w:lineRule="auto"/>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Class A shares or Class B shares,</w:t>
      </w:r>
    </w:p>
    <w:p>
      <w:pPr>
        <w:spacing w:after="0" w:line="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whether any such transaction described above is to be settled by delivery of Class A shares or such other securities, in cash or otherwise. In addition, we and each such person agrees that, without the prior written consent of Morgan Stanley &amp; Co. LLC on behalf of the underwriters, we or such other person will not, during the restricted period, make any demand for, or exercise any right with respect to, the registration of any Class A shares, Class B shares or any security convertible into or exercisable or exchangeable for Class A shares or Class B shares.</w:t>
      </w:r>
    </w:p>
    <w:p>
      <w:pPr>
        <w:spacing w:after="0" w:line="81" w:lineRule="exact"/>
        <w:rPr>
          <w:sz w:val="20"/>
          <w:szCs w:val="20"/>
          <w:color w:val="auto"/>
        </w:rPr>
      </w:pPr>
    </w:p>
    <w:p>
      <w:pPr>
        <w:ind w:right="280" w:firstLine="357"/>
        <w:spacing w:after="0" w:line="274" w:lineRule="auto"/>
        <w:rPr>
          <w:sz w:val="20"/>
          <w:szCs w:val="20"/>
          <w:color w:val="auto"/>
        </w:rPr>
      </w:pPr>
      <w:r>
        <w:rPr>
          <w:rFonts w:ascii="Arial" w:cs="Arial" w:eastAsia="Arial" w:hAnsi="Arial"/>
          <w:sz w:val="18"/>
          <w:szCs w:val="18"/>
          <w:color w:val="auto"/>
        </w:rPr>
        <w:t>Morgan Stanley &amp; Co. LLC, in its sole discretion, may release the Class A shares and other securities subject to the lock-up agreements described above in whole or in part at any time.</w:t>
      </w:r>
    </w:p>
    <w:p>
      <w:pPr>
        <w:spacing w:after="0" w:line="64" w:lineRule="exact"/>
        <w:rPr>
          <w:sz w:val="20"/>
          <w:szCs w:val="20"/>
          <w:color w:val="auto"/>
        </w:rPr>
      </w:pPr>
    </w:p>
    <w:p>
      <w:pPr>
        <w:ind w:right="20" w:firstLine="357"/>
        <w:spacing w:after="0" w:line="267" w:lineRule="auto"/>
        <w:rPr>
          <w:sz w:val="20"/>
          <w:szCs w:val="20"/>
          <w:color w:val="auto"/>
        </w:rPr>
      </w:pPr>
      <w:r>
        <w:rPr>
          <w:rFonts w:ascii="Arial" w:cs="Arial" w:eastAsia="Arial" w:hAnsi="Arial"/>
          <w:sz w:val="17"/>
          <w:szCs w:val="17"/>
          <w:color w:val="auto"/>
        </w:rPr>
        <w:t>In order to facilitate the offering of the Class A shares, the underwriters may engage in transactions that stabilize, maintain or otherwise affect the price of the Class A shares. Specifically, the underwriters may sell more Class A shares than they are obligated to purchase under the underwriting agreement, creating a short position. A short sale is covered if the short position is no greater than the number of Class A shares available for purchase by the underwriters under the over-allotment option. The underwriters can close out a covered short sale by exercising the over-allotment option or purchasing Class A shares in the open market. In determining the source of Class A shares to close out a covered short sale, the underwriters will consider, among other things, the open market price of Class A shares compared to the price available under the over-allotment option. The underwriters may also sell Class A shares in excess of the over-allotment option, creating a naked short position. The underwriters must close out any naked short position by purchasing Class A shares in the open market. A naked short position is more likely to be created if the underwriters are concerned that there may be downward pressure on the price of the Class A shares in the open market after pricing that could adversely affect investors who purchase in this offering. As an additional means of facilitating this offering, the underwriters may bid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and purchase, Class A shares in the open market to stabilize the price of the Class A shares. These activities may raise or maintain the market price of the Class A shares above independent market levels or prevent or retard a decline in the market price of the Class A shares. The underwriters are not required to engage in these activities and may end any of these activities at any time.</w:t>
      </w:r>
    </w:p>
    <w:p>
      <w:pPr>
        <w:spacing w:after="0" w:line="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the underwriters will agree to indemnify each other against certain liabilities, including liabilities under the Securities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00"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Class A shares to underwriters for sale to their online brokerage account holders. Internet distributions will be allocated by the representatives to underwriters that may make Internet distributions on the same basis as other allocations.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19" w:lineRule="exact"/>
        <w:rPr>
          <w:sz w:val="20"/>
          <w:szCs w:val="20"/>
          <w:color w:val="auto"/>
        </w:rPr>
      </w:pPr>
    </w:p>
    <w:p>
      <w:pPr>
        <w:ind w:right="40" w:firstLine="357"/>
        <w:spacing w:after="0" w:line="29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Affiliates of certain of the underwriters are also lenders under our Term Loan Facility. An affiliate of Morgan Stanley &amp; Co. LLC is the administrative agent under our Term Loan Facility.</w:t>
      </w:r>
    </w:p>
    <w:p>
      <w:pPr>
        <w:spacing w:after="0" w:line="57" w:lineRule="exact"/>
        <w:rPr>
          <w:sz w:val="20"/>
          <w:szCs w:val="20"/>
          <w:color w:val="auto"/>
        </w:rPr>
      </w:pPr>
    </w:p>
    <w:p>
      <w:pPr>
        <w:ind w:right="40" w:firstLine="357"/>
        <w:spacing w:after="0" w:line="270"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70" w:lineRule="exact"/>
        <w:rPr>
          <w:sz w:val="20"/>
          <w:szCs w:val="20"/>
          <w:color w:val="auto"/>
        </w:rPr>
      </w:pPr>
    </w:p>
    <w:p>
      <w:pPr>
        <w:ind w:firstLine="357"/>
        <w:spacing w:after="0" w:line="269" w:lineRule="auto"/>
        <w:rPr>
          <w:sz w:val="20"/>
          <w:szCs w:val="20"/>
          <w:color w:val="auto"/>
        </w:rPr>
      </w:pPr>
      <w:r>
        <w:rPr>
          <w:rFonts w:ascii="Arial" w:cs="Arial" w:eastAsia="Arial" w:hAnsi="Arial"/>
          <w:sz w:val="17"/>
          <w:szCs w:val="17"/>
          <w:color w:val="auto"/>
        </w:rPr>
        <w:t>Effective as of the date of the offering, we intend to grant RSUs under the NFE 2019 Omnibus Incentive Plan to our non-employee directors. One of our non-employee directors is also a senior advisor to one of the underwriters. The RSUs to be received by such non-employee director will be deemed to be underwriting compensation in connection with this offering and will be subject to lock-up restrictions, as required by FINRA Rule 5110(g)(1). Such securities and the shares they represent may not be sold during the offering, or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of the registration statement of which this prospectus forms a part or commencement of sales of the offering, except as provided in FINRA Rule 5110(g)(2).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119" w:lineRule="exact"/>
        <w:rPr>
          <w:sz w:val="20"/>
          <w:szCs w:val="20"/>
          <w:color w:val="auto"/>
        </w:rPr>
      </w:pPr>
    </w:p>
    <w:p>
      <w:pPr>
        <w:ind w:right="60" w:firstLine="357"/>
        <w:spacing w:after="0" w:line="309" w:lineRule="auto"/>
        <w:rPr>
          <w:sz w:val="20"/>
          <w:szCs w:val="20"/>
          <w:color w:val="auto"/>
        </w:rPr>
      </w:pPr>
      <w:r>
        <w:rPr>
          <w:rFonts w:ascii="Arial" w:cs="Arial" w:eastAsia="Arial" w:hAnsi="Arial"/>
          <w:sz w:val="16"/>
          <w:szCs w:val="16"/>
          <w:color w:val="auto"/>
        </w:rPr>
        <w:t>We have granted to Morgan Stanley &amp; Co. LLC and Barclays Capital Inc. a right of first refusal to provide certain financing services to us for which they may receive fees. This right of first refusal is considered to be an item of value in connection with this offering pursuant to FINRA Rule 5110 and has a deemed compensation value of 1.0% of the offering proceeds of this offering.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19" w:lineRule="exact"/>
        <w:rPr>
          <w:sz w:val="20"/>
          <w:szCs w:val="20"/>
          <w:color w:val="auto"/>
        </w:rPr>
      </w:pPr>
    </w:p>
    <w:p>
      <w:pPr>
        <w:ind w:right="400" w:firstLine="357"/>
        <w:spacing w:after="0" w:line="273" w:lineRule="auto"/>
        <w:rPr>
          <w:sz w:val="20"/>
          <w:szCs w:val="20"/>
          <w:color w:val="auto"/>
        </w:rPr>
      </w:pPr>
      <w:r>
        <w:rPr>
          <w:rFonts w:ascii="Arial" w:cs="Arial" w:eastAsia="Arial" w:hAnsi="Arial"/>
          <w:sz w:val="17"/>
          <w:szCs w:val="17"/>
          <w:color w:val="auto"/>
        </w:rPr>
        <w:t>Prior to this offering, there has been no public market for our Class A shares. The initial public offering price will be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5" w:lineRule="exact"/>
        <w:rPr>
          <w:sz w:val="20"/>
          <w:szCs w:val="20"/>
          <w:color w:val="auto"/>
        </w:rPr>
      </w:pPr>
    </w:p>
    <w:p>
      <w:pPr>
        <w:ind w:firstLine="357"/>
        <w:spacing w:after="0" w:line="277"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our Class A shares may not be made in that Relevant Member State, except that an offer to the public in that Relevant Member State of our Class A shares may be made at any time under the following exemptions under the Prospectus Directive, if they have been implemented in that Relevant Member State:</w:t>
      </w:r>
    </w:p>
    <w:p>
      <w:pPr>
        <w:spacing w:after="0" w:line="63" w:lineRule="exact"/>
        <w:rPr>
          <w:sz w:val="20"/>
          <w:szCs w:val="20"/>
          <w:color w:val="auto"/>
        </w:rPr>
      </w:pPr>
    </w:p>
    <w:p>
      <w:pPr>
        <w:ind w:left="700" w:hanging="346"/>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4" w:lineRule="exact"/>
        <w:rPr>
          <w:rFonts w:ascii="Arial" w:cs="Arial" w:eastAsia="Arial" w:hAnsi="Arial"/>
          <w:sz w:val="18"/>
          <w:szCs w:val="18"/>
          <w:color w:val="auto"/>
        </w:rPr>
      </w:pPr>
    </w:p>
    <w:p>
      <w:pPr>
        <w:ind w:left="700" w:hanging="346"/>
        <w:spacing w:after="0" w:line="309" w:lineRule="auto"/>
        <w:tabs>
          <w:tab w:leader="none" w:pos="7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40" w:lineRule="exact"/>
        <w:rPr>
          <w:rFonts w:ascii="Arial" w:cs="Arial" w:eastAsia="Arial" w:hAnsi="Arial"/>
          <w:sz w:val="16"/>
          <w:szCs w:val="16"/>
          <w:color w:val="auto"/>
        </w:rPr>
      </w:pPr>
    </w:p>
    <w:p>
      <w:pPr>
        <w:jc w:val="both"/>
        <w:ind w:left="700" w:right="40" w:hanging="346"/>
        <w:spacing w:after="0" w:line="261" w:lineRule="auto"/>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Class A shares shall result in a requirement for the publication by us or any underwriter of a prospectus pursuant to Article 3 of the Prospectus Directive.</w:t>
      </w:r>
    </w:p>
    <w:p>
      <w:pPr>
        <w:spacing w:after="0" w:line="76" w:lineRule="exact"/>
        <w:rPr>
          <w:sz w:val="20"/>
          <w:szCs w:val="20"/>
          <w:color w:val="auto"/>
        </w:rPr>
      </w:pPr>
    </w:p>
    <w:p>
      <w:pPr>
        <w:ind w:right="100" w:firstLine="357"/>
        <w:spacing w:after="0" w:line="270" w:lineRule="auto"/>
        <w:rPr>
          <w:sz w:val="20"/>
          <w:szCs w:val="20"/>
          <w:color w:val="auto"/>
        </w:rPr>
      </w:pPr>
      <w:r>
        <w:rPr>
          <w:rFonts w:ascii="Arial" w:cs="Arial" w:eastAsia="Arial" w:hAnsi="Arial"/>
          <w:sz w:val="17"/>
          <w:szCs w:val="17"/>
          <w:color w:val="auto"/>
        </w:rPr>
        <w:t>For the purposes of this provision, the expression an “offer to the public” in relation to our Class A shares in any Relevant Member State means the communication in any form and by any means of sufficient information on the terms of the offer and our Class A shares to be offered so as to enable an investor to decide to purchase our Class A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115" w:lineRule="exact"/>
        <w:rPr>
          <w:sz w:val="20"/>
          <w:szCs w:val="20"/>
          <w:color w:val="auto"/>
        </w:rPr>
      </w:pPr>
    </w:p>
    <w:p>
      <w:pPr>
        <w:ind w:left="700" w:right="60" w:hanging="346"/>
        <w:spacing w:after="0" w:line="257" w:lineRule="auto"/>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our Class A shares in circumstances in which Section 21(1) of the FSMA does not apply to us; and</w:t>
      </w:r>
    </w:p>
    <w:p>
      <w:pPr>
        <w:spacing w:after="0" w:line="79" w:lineRule="exact"/>
        <w:rPr>
          <w:rFonts w:ascii="Arial" w:cs="Arial" w:eastAsia="Arial" w:hAnsi="Arial"/>
          <w:sz w:val="18"/>
          <w:szCs w:val="18"/>
          <w:color w:val="auto"/>
        </w:rPr>
      </w:pPr>
    </w:p>
    <w:p>
      <w:pPr>
        <w:ind w:left="700" w:right="20" w:hanging="346"/>
        <w:spacing w:after="0" w:line="274" w:lineRule="auto"/>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our Class A shares in, from or otherwise involving the United Kingdom.</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France</w:t>
      </w:r>
    </w:p>
    <w:p>
      <w:pPr>
        <w:spacing w:after="0" w:line="115" w:lineRule="exact"/>
        <w:rPr>
          <w:sz w:val="20"/>
          <w:szCs w:val="20"/>
          <w:color w:val="auto"/>
        </w:rPr>
      </w:pPr>
    </w:p>
    <w:p>
      <w:pPr>
        <w:ind w:firstLine="357"/>
        <w:spacing w:after="0" w:line="253" w:lineRule="auto"/>
        <w:rPr>
          <w:sz w:val="20"/>
          <w:szCs w:val="20"/>
          <w:color w:val="auto"/>
        </w:rPr>
      </w:pPr>
      <w:r>
        <w:rPr>
          <w:rFonts w:ascii="Arial" w:cs="Arial" w:eastAsia="Arial" w:hAnsi="Arial"/>
          <w:sz w:val="18"/>
          <w:szCs w:val="18"/>
          <w:color w:val="auto"/>
        </w:rPr>
        <w:t xml:space="preserve">Neither this prospectus nor any other offering material relating to the Class A shares described in this prospectus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The Class A shares have not been offered or sold and will not be offered or sold, directly or indirectly, to the public in France. Neither this prospectus nor any other offering material relating to the Class A shares has been or will be (i) released, issued, distributed or caused to be released, issued or distributed to the public in France; or (ii) used in connection with any offer for subscription or sale of the Class A shares to the public in France.</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15" w:lineRule="exact"/>
        <w:rPr>
          <w:sz w:val="20"/>
          <w:szCs w:val="20"/>
          <w:color w:val="auto"/>
        </w:rPr>
      </w:pPr>
    </w:p>
    <w:p>
      <w:pPr>
        <w:ind w:left="700" w:right="120" w:hanging="346"/>
        <w:spacing w:after="0" w:line="284" w:lineRule="auto"/>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qualified investors (</w:t>
      </w:r>
      <w:r>
        <w:rPr>
          <w:rFonts w:ascii="Arial" w:cs="Arial" w:eastAsia="Arial" w:hAnsi="Arial"/>
          <w:sz w:val="17"/>
          <w:szCs w:val="17"/>
          <w:i w:val="1"/>
          <w:iCs w:val="1"/>
          <w:color w:val="auto"/>
        </w:rPr>
        <w:t>investisseurs qualifiés</w:t>
      </w:r>
      <w:r>
        <w:rPr>
          <w:rFonts w:ascii="Arial" w:cs="Arial" w:eastAsia="Arial" w:hAnsi="Arial"/>
          <w:sz w:val="17"/>
          <w:szCs w:val="17"/>
          <w:color w:val="auto"/>
        </w:rPr>
        <w:t>) and/or to a restricted circle of investors (</w:t>
      </w:r>
      <w:r>
        <w:rPr>
          <w:rFonts w:ascii="Arial" w:cs="Arial" w:eastAsia="Arial" w:hAnsi="Arial"/>
          <w:sz w:val="17"/>
          <w:szCs w:val="17"/>
          <w:i w:val="1"/>
          <w:iCs w:val="1"/>
          <w:color w:val="auto"/>
        </w:rPr>
        <w:t>cercle restreint d'investisseurs</w:t>
      </w:r>
      <w:r>
        <w:rPr>
          <w:rFonts w:ascii="Arial" w:cs="Arial" w:eastAsia="Arial" w:hAnsi="Arial"/>
          <w:sz w:val="17"/>
          <w:szCs w:val="17"/>
          <w:color w:val="auto"/>
        </w:rPr>
        <w:t xml:space="preserve">), in each case investing for their own account, all as defined in, and in accordance with, articles L.411-2, D.411-1, D.411-2, D.734-1, D.744-1, D.754-1 and D.764-1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700" w:hanging="346"/>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right="100" w:hanging="346"/>
        <w:spacing w:after="0" w:line="261" w:lineRule="auto"/>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in a transaction that, in accordance with article L.411-2-II-1°-or-2°-or 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xml:space="preserve">)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does not constitute a public offer (</w:t>
      </w:r>
      <w:r>
        <w:rPr>
          <w:rFonts w:ascii="Arial" w:cs="Arial" w:eastAsia="Arial" w:hAnsi="Arial"/>
          <w:sz w:val="18"/>
          <w:szCs w:val="18"/>
          <w:i w:val="1"/>
          <w:iCs w:val="1"/>
          <w:color w:val="auto"/>
        </w:rPr>
        <w:t>appel public à l'épargne</w:t>
      </w:r>
      <w:r>
        <w:rPr>
          <w:rFonts w:ascii="Arial" w:cs="Arial" w:eastAsia="Arial" w:hAnsi="Arial"/>
          <w:sz w:val="18"/>
          <w:szCs w:val="18"/>
          <w:color w:val="auto"/>
        </w:rPr>
        <w:t>).</w:t>
      </w:r>
    </w:p>
    <w:p>
      <w:pPr>
        <w:spacing w:after="0" w:line="76" w:lineRule="exact"/>
        <w:rPr>
          <w:sz w:val="20"/>
          <w:szCs w:val="20"/>
          <w:color w:val="auto"/>
        </w:rPr>
      </w:pPr>
    </w:p>
    <w:p>
      <w:pPr>
        <w:ind w:right="40" w:firstLine="357"/>
        <w:spacing w:after="0" w:line="274" w:lineRule="auto"/>
        <w:rPr>
          <w:sz w:val="20"/>
          <w:szCs w:val="20"/>
          <w:color w:val="auto"/>
        </w:rPr>
      </w:pPr>
      <w:r>
        <w:rPr>
          <w:rFonts w:ascii="Arial" w:cs="Arial" w:eastAsia="Arial" w:hAnsi="Arial"/>
          <w:sz w:val="18"/>
          <w:szCs w:val="18"/>
          <w:color w:val="auto"/>
        </w:rPr>
        <w:t xml:space="preserve">The Class A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115" w:lineRule="exact"/>
        <w:rPr>
          <w:sz w:val="20"/>
          <w:szCs w:val="20"/>
          <w:color w:val="auto"/>
        </w:rPr>
      </w:pPr>
    </w:p>
    <w:p>
      <w:pPr>
        <w:ind w:right="40" w:firstLine="357"/>
        <w:spacing w:after="0" w:line="271" w:lineRule="auto"/>
        <w:rPr>
          <w:sz w:val="20"/>
          <w:szCs w:val="20"/>
          <w:color w:val="auto"/>
        </w:rPr>
      </w:pPr>
      <w:r>
        <w:rPr>
          <w:rFonts w:ascii="Arial" w:cs="Arial" w:eastAsia="Arial" w:hAnsi="Arial"/>
          <w:sz w:val="17"/>
          <w:szCs w:val="17"/>
          <w:color w:val="auto"/>
        </w:rPr>
        <w:t>The Class A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1" w:lineRule="exact"/>
        <w:rPr>
          <w:sz w:val="20"/>
          <w:szCs w:val="20"/>
          <w:color w:val="auto"/>
        </w:rPr>
      </w:pPr>
    </w:p>
    <w:p>
      <w:pPr>
        <w:ind w:right="80" w:firstLine="357"/>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Class A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the Class A shares.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5"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shares to which this prospectus relates may be illiquid and/or subject to restrictions on their resale. Prospective purchasers of the Class A shares offered should conduct their own due diligence on the Class A shares. If you do not understand the contents of this prospectus you should consult an authorized financial advisor.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15" w:lineRule="exact"/>
        <w:rPr>
          <w:sz w:val="20"/>
          <w:szCs w:val="20"/>
          <w:color w:val="auto"/>
        </w:rPr>
      </w:pPr>
    </w:p>
    <w:p>
      <w:pPr>
        <w:ind w:firstLine="357"/>
        <w:spacing w:after="0" w:line="273" w:lineRule="auto"/>
        <w:rPr>
          <w:sz w:val="20"/>
          <w:szCs w:val="20"/>
          <w:color w:val="auto"/>
        </w:rPr>
      </w:pPr>
      <w:r>
        <w:rPr>
          <w:rFonts w:ascii="Arial" w:cs="Arial" w:eastAsia="Arial" w:hAnsi="Arial"/>
          <w:sz w:val="17"/>
          <w:szCs w:val="17"/>
          <w:color w:val="auto"/>
        </w:rPr>
        <w:t xml:space="preserve">The Class A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w:t>
      </w:r>
      <w:r>
        <w:rPr>
          <w:rFonts w:ascii="Arial" w:cs="Arial" w:eastAsia="Arial" w:hAnsi="Arial"/>
          <w:sz w:val="17"/>
          <w:szCs w:val="17"/>
          <w:color w:val="auto"/>
        </w:rPr>
        <w:t>. Any resale of the Class A shares must be made in accordance with an exemption from, or in a transaction not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prospectus requirements of applicable securities laws.</w:t>
      </w:r>
    </w:p>
    <w:p>
      <w:pPr>
        <w:spacing w:after="0" w:line="69" w:lineRule="exact"/>
        <w:rPr>
          <w:sz w:val="20"/>
          <w:szCs w:val="20"/>
          <w:color w:val="auto"/>
        </w:rPr>
      </w:pPr>
    </w:p>
    <w:p>
      <w:pPr>
        <w:ind w:right="40" w:firstLine="357"/>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69" w:lineRule="exact"/>
        <w:rPr>
          <w:sz w:val="20"/>
          <w:szCs w:val="20"/>
          <w:color w:val="auto"/>
        </w:rPr>
      </w:pPr>
    </w:p>
    <w:p>
      <w:pPr>
        <w:ind w:right="80" w:firstLine="357"/>
        <w:spacing w:after="0" w:line="261"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representatives are not required to comply with the disclosure requirements of NI 33-105 regarding underwriter conflicts of interest in connection with this offering.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5" w:lineRule="exact"/>
        <w:rPr>
          <w:sz w:val="20"/>
          <w:szCs w:val="20"/>
          <w:color w:val="auto"/>
        </w:rPr>
      </w:pPr>
    </w:p>
    <w:p>
      <w:pPr>
        <w:ind w:right="80" w:firstLine="357"/>
        <w:spacing w:after="0" w:line="261" w:lineRule="auto"/>
        <w:rPr>
          <w:sz w:val="20"/>
          <w:szCs w:val="20"/>
          <w:color w:val="auto"/>
        </w:rPr>
      </w:pPr>
      <w:r>
        <w:rPr>
          <w:rFonts w:ascii="Arial" w:cs="Arial" w:eastAsia="Arial" w:hAnsi="Arial"/>
          <w:sz w:val="18"/>
          <w:szCs w:val="18"/>
          <w:color w:val="auto"/>
        </w:rPr>
        <w:t>The Class A shares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Class A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Class A shares which are or are intended to be disposed of only to persons outside Hong Kong or only to “professional investors” within the meaning of the Securities and Futures Ordinance (Cap. 571, Laws of Hong Kong) and any rules made thereunder.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15" w:lineRule="exact"/>
        <w:rPr>
          <w:sz w:val="20"/>
          <w:szCs w:val="20"/>
          <w:color w:val="auto"/>
        </w:rPr>
      </w:pPr>
    </w:p>
    <w:p>
      <w:pPr>
        <w:ind w:right="20" w:firstLine="357"/>
        <w:spacing w:after="0" w:line="271" w:lineRule="auto"/>
        <w:rPr>
          <w:sz w:val="20"/>
          <w:szCs w:val="20"/>
          <w:color w:val="auto"/>
        </w:rPr>
      </w:pPr>
      <w:r>
        <w:rPr>
          <w:rFonts w:ascii="Arial" w:cs="Arial" w:eastAsia="Arial" w:hAnsi="Arial"/>
          <w:sz w:val="17"/>
          <w:szCs w:val="17"/>
          <w:color w:val="auto"/>
        </w:rPr>
        <w:t>The Class A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15" w:lineRule="exact"/>
        <w:rPr>
          <w:sz w:val="20"/>
          <w:szCs w:val="20"/>
          <w:color w:val="auto"/>
        </w:rPr>
      </w:pPr>
    </w:p>
    <w:p>
      <w:pPr>
        <w:ind w:right="20" w:firstLine="357"/>
        <w:spacing w:after="0" w:line="255"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81" w:lineRule="exact"/>
        <w:rPr>
          <w:sz w:val="20"/>
          <w:szCs w:val="20"/>
          <w:color w:val="auto"/>
        </w:rPr>
      </w:pPr>
    </w:p>
    <w:p>
      <w:pPr>
        <w:ind w:right="60" w:firstLine="357"/>
        <w:spacing w:after="0" w:line="299" w:lineRule="auto"/>
        <w:rPr>
          <w:sz w:val="20"/>
          <w:szCs w:val="20"/>
          <w:color w:val="auto"/>
        </w:rPr>
      </w:pPr>
      <w:r>
        <w:rPr>
          <w:rFonts w:ascii="Arial" w:cs="Arial" w:eastAsia="Arial" w:hAnsi="Arial"/>
          <w:sz w:val="16"/>
          <w:szCs w:val="16"/>
          <w:color w:val="auto"/>
        </w:rPr>
        <w:t>Any offer in Australia of the Class A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Class A shares without disclosure to investors under Chapter 6D of the Corporations Act.</w:t>
      </w:r>
    </w:p>
    <w:p>
      <w:pPr>
        <w:spacing w:after="0" w:line="49" w:lineRule="exact"/>
        <w:rPr>
          <w:sz w:val="20"/>
          <w:szCs w:val="20"/>
          <w:color w:val="auto"/>
        </w:rPr>
      </w:pPr>
    </w:p>
    <w:p>
      <w:pPr>
        <w:ind w:right="20" w:firstLine="357"/>
        <w:spacing w:after="0" w:line="273" w:lineRule="auto"/>
        <w:rPr>
          <w:sz w:val="20"/>
          <w:szCs w:val="20"/>
          <w:color w:val="auto"/>
        </w:rPr>
      </w:pPr>
      <w:r>
        <w:rPr>
          <w:rFonts w:ascii="Arial" w:cs="Arial" w:eastAsia="Arial" w:hAnsi="Arial"/>
          <w:sz w:val="17"/>
          <w:szCs w:val="17"/>
          <w:color w:val="auto"/>
        </w:rPr>
        <w:t>The Class A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Class A shares must observe such Australian on-sale restrictions.</w:t>
      </w:r>
    </w:p>
    <w:p>
      <w:pPr>
        <w:spacing w:after="0" w:line="69" w:lineRule="exact"/>
        <w:rPr>
          <w:sz w:val="20"/>
          <w:szCs w:val="20"/>
          <w:color w:val="auto"/>
        </w:rPr>
      </w:pPr>
    </w:p>
    <w:p>
      <w:pPr>
        <w:ind w:right="40" w:firstLine="357"/>
        <w:spacing w:after="0" w:line="277" w:lineRule="auto"/>
        <w:rPr>
          <w:sz w:val="20"/>
          <w:szCs w:val="20"/>
          <w:color w:val="auto"/>
        </w:rPr>
      </w:pPr>
      <w:r>
        <w:rPr>
          <w:rFonts w:ascii="Arial" w:cs="Arial" w:eastAsia="Arial" w:hAnsi="Arial"/>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15" w:lineRule="exact"/>
        <w:rPr>
          <w:sz w:val="20"/>
          <w:szCs w:val="20"/>
          <w:color w:val="auto"/>
        </w:rPr>
      </w:pPr>
    </w:p>
    <w:p>
      <w:pPr>
        <w:ind w:firstLine="357"/>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other document or material in connection with the offer or sale, or invitation for subscription or purchase, of the Class A shares may not be circulated or distributed, nor may the Class A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w:t>
      </w:r>
    </w:p>
    <w:p>
      <w:pPr>
        <w:spacing w:after="0" w:line="1" w:lineRule="exact"/>
        <w:rPr>
          <w:sz w:val="20"/>
          <w:szCs w:val="20"/>
          <w:color w:val="auto"/>
        </w:rPr>
      </w:pPr>
    </w:p>
    <w:p>
      <w:pPr>
        <w:ind w:left="4620" w:right="1540" w:hanging="4615"/>
        <w:spacing w:after="0" w:line="506" w:lineRule="auto"/>
        <w:tabs>
          <w:tab w:leader="none" w:pos="318"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603059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Where the Class A shares are subscribed or purchased under Section 275 of the SFA by a relevant person which is:</w:t>
      </w:r>
    </w:p>
    <w:p>
      <w:pPr>
        <w:spacing w:after="0" w:line="126" w:lineRule="exact"/>
        <w:rPr>
          <w:sz w:val="20"/>
          <w:szCs w:val="20"/>
          <w:color w:val="auto"/>
        </w:rPr>
      </w:pPr>
    </w:p>
    <w:p>
      <w:pPr>
        <w:ind w:left="700" w:hanging="346"/>
        <w:spacing w:after="0" w:line="261"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700" w:right="740" w:hanging="346"/>
        <w:spacing w:after="0" w:line="274"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6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Class A shares pursuant to an offer made under Section 275 of the SFA except:</w:t>
      </w:r>
    </w:p>
    <w:p>
      <w:pPr>
        <w:spacing w:after="0" w:line="76" w:lineRule="exact"/>
        <w:rPr>
          <w:sz w:val="20"/>
          <w:szCs w:val="20"/>
          <w:color w:val="auto"/>
        </w:rPr>
      </w:pPr>
    </w:p>
    <w:p>
      <w:pPr>
        <w:ind w:left="700" w:right="200" w:hanging="346"/>
        <w:spacing w:after="0" w:line="274"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4" w:lineRule="exact"/>
        <w:rPr>
          <w:rFonts w:ascii="Arial" w:cs="Arial" w:eastAsia="Arial" w:hAnsi="Arial"/>
          <w:sz w:val="18"/>
          <w:szCs w:val="18"/>
          <w:color w:val="auto"/>
        </w:rPr>
      </w:pPr>
    </w:p>
    <w:p>
      <w:pPr>
        <w:ind w:left="700" w:right="200" w:hanging="346"/>
        <w:spacing w:after="0" w:line="274"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w:t>
      </w:r>
    </w:p>
    <w:p>
      <w:pPr>
        <w:spacing w:after="0" w:line="115" w:lineRule="exact"/>
        <w:rPr>
          <w:sz w:val="20"/>
          <w:szCs w:val="20"/>
          <w:color w:val="auto"/>
        </w:rPr>
      </w:pPr>
    </w:p>
    <w:p>
      <w:pPr>
        <w:ind w:right="460" w:firstLine="357"/>
        <w:spacing w:after="0" w:line="261" w:lineRule="auto"/>
        <w:rPr>
          <w:sz w:val="20"/>
          <w:szCs w:val="20"/>
          <w:color w:val="auto"/>
        </w:rPr>
      </w:pPr>
      <w:r>
        <w:rPr>
          <w:rFonts w:ascii="Arial" w:cs="Arial" w:eastAsia="Arial" w:hAnsi="Arial"/>
          <w:sz w:val="18"/>
          <w:szCs w:val="18"/>
          <w:color w:val="auto"/>
        </w:rPr>
        <w:t>This prospectus does not constitute a public offer of the Class A shares, whether by sale or subscription, in the People's Republic of China (the “PRC”). The Class A shares are not being offered or sold directly or indirectly in the PRC to or for the benefit of, legal or natural persons of the PRC.</w:t>
      </w:r>
    </w:p>
    <w:p>
      <w:pPr>
        <w:spacing w:after="0" w:line="76" w:lineRule="exact"/>
        <w:rPr>
          <w:sz w:val="20"/>
          <w:szCs w:val="20"/>
          <w:color w:val="auto"/>
        </w:rPr>
      </w:pPr>
    </w:p>
    <w:p>
      <w:pPr>
        <w:jc w:val="both"/>
        <w:ind w:firstLine="357"/>
        <w:spacing w:after="0" w:line="284" w:lineRule="auto"/>
        <w:rPr>
          <w:sz w:val="20"/>
          <w:szCs w:val="20"/>
          <w:color w:val="auto"/>
        </w:rPr>
      </w:pPr>
      <w:r>
        <w:rPr>
          <w:rFonts w:ascii="Arial" w:cs="Arial" w:eastAsia="Arial" w:hAnsi="Arial"/>
          <w:sz w:val="17"/>
          <w:szCs w:val="17"/>
          <w:color w:val="auto"/>
        </w:rPr>
        <w:t>Further, no legal or natural persons of the PRC may directly or indirectly purchase any of the Class A shares without obtaining all prior PRC's governmental approvals that are required, whether statutorily or otherwise. Persons who come into possession of this prospectus are required by the issuer and its representatives to observe these restrictions.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5" w:lineRule="exact"/>
        <w:rPr>
          <w:sz w:val="20"/>
          <w:szCs w:val="20"/>
          <w:color w:val="auto"/>
        </w:rPr>
      </w:pPr>
    </w:p>
    <w:p>
      <w:pPr>
        <w:ind w:right="80" w:firstLine="357"/>
        <w:spacing w:after="0" w:line="271" w:lineRule="auto"/>
        <w:rPr>
          <w:sz w:val="20"/>
          <w:szCs w:val="20"/>
          <w:color w:val="auto"/>
        </w:rPr>
      </w:pPr>
      <w:r>
        <w:rPr>
          <w:rFonts w:ascii="Arial" w:cs="Arial" w:eastAsia="Arial" w:hAnsi="Arial"/>
          <w:sz w:val="17"/>
          <w:szCs w:val="17"/>
          <w:color w:val="auto"/>
        </w:rPr>
        <w:t>The Class A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19" w:lineRule="exact"/>
        <w:rPr>
          <w:sz w:val="20"/>
          <w:szCs w:val="20"/>
          <w:color w:val="auto"/>
        </w:rPr>
      </w:pPr>
    </w:p>
    <w:p>
      <w:pPr>
        <w:jc w:val="both"/>
        <w:ind w:right="80" w:firstLine="357"/>
        <w:spacing w:after="0" w:line="261"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Certain legal matters in connection with our Class A shares offered hereby will be passed upon for the underwriters by Skadden, Arps, Slate, Meagher &amp; Flom LLP, New York, New York.</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19" w:lineRule="exact"/>
        <w:rPr>
          <w:sz w:val="20"/>
          <w:szCs w:val="20"/>
          <w:color w:val="auto"/>
        </w:rPr>
      </w:pPr>
    </w:p>
    <w:p>
      <w:pPr>
        <w:jc w:val="both"/>
        <w:ind w:right="100" w:firstLine="357"/>
        <w:spacing w:after="0" w:line="299" w:lineRule="auto"/>
        <w:rPr>
          <w:sz w:val="20"/>
          <w:szCs w:val="20"/>
          <w:color w:val="auto"/>
        </w:rPr>
      </w:pPr>
      <w:r>
        <w:rPr>
          <w:rFonts w:ascii="Arial" w:cs="Arial" w:eastAsia="Arial" w:hAnsi="Arial"/>
          <w:sz w:val="16"/>
          <w:szCs w:val="16"/>
          <w:color w:val="auto"/>
        </w:rPr>
        <w:t>The consolidated financial statements of New Fortress Energy Holdings LLC at December 31, 2017 and 2016, and for each of the two years in the period ended December 31, 2017,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19" w:lineRule="exact"/>
        <w:rPr>
          <w:sz w:val="20"/>
          <w:szCs w:val="20"/>
          <w:color w:val="auto"/>
        </w:rPr>
      </w:pPr>
    </w:p>
    <w:p>
      <w:pPr>
        <w:ind w:right="100" w:firstLine="357"/>
        <w:spacing w:after="0" w:line="255" w:lineRule="auto"/>
        <w:rPr>
          <w:sz w:val="20"/>
          <w:szCs w:val="20"/>
          <w:color w:val="auto"/>
        </w:rPr>
      </w:pPr>
      <w:r>
        <w:rPr>
          <w:rFonts w:ascii="Arial" w:cs="Arial" w:eastAsia="Arial" w:hAnsi="Arial"/>
          <w:sz w:val="18"/>
          <w:szCs w:val="18"/>
          <w:color w:val="auto"/>
        </w:rPr>
        <w:t xml:space="preserve">We have filed with the SEC a registration statement on Form S-1 regarding our Class A shares. This prospectus does not contain all of the information found in the registration statement. For further information regarding us and the Class A shares offered by this prospectus, you may desire to review the full registration statement, including its exhibits and schedules, filed under the Securities Act. The registration statement of which this prospectus forms a part, including its exhibits and schedules can be downloaded from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81"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 xml:space="preserve">Upon completion of this offering, we will file with or furnish to the SEC periodic reports and other information. These reports and other information may be inspected and copied at the public reference facilities maintained by the SEC or obtained from the SEC’s website as provided above. Our website on the Internet is located at </w:t>
      </w:r>
      <w:r>
        <w:rPr>
          <w:rFonts w:ascii="Arial" w:cs="Arial" w:eastAsia="Arial" w:hAnsi="Arial"/>
          <w:sz w:val="16"/>
          <w:szCs w:val="16"/>
          <w:i w:val="1"/>
          <w:iCs w:val="1"/>
          <w:color w:val="auto"/>
        </w:rPr>
        <w:t>www.newfortresenergy.com</w:t>
      </w:r>
      <w:r>
        <w:rPr>
          <w:rFonts w:ascii="Arial" w:cs="Arial" w:eastAsia="Arial" w:hAnsi="Arial"/>
          <w:sz w:val="16"/>
          <w:szCs w:val="16"/>
          <w:color w:val="auto"/>
        </w:rPr>
        <w:t xml:space="preserve"> and we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57" w:lineRule="exact"/>
        <w:rPr>
          <w:sz w:val="20"/>
          <w:szCs w:val="20"/>
          <w:color w:val="auto"/>
        </w:rPr>
      </w:pPr>
    </w:p>
    <w:p>
      <w:pPr>
        <w:ind w:right="40" w:firstLine="357"/>
        <w:spacing w:after="0" w:line="284" w:lineRule="auto"/>
        <w:rPr>
          <w:sz w:val="20"/>
          <w:szCs w:val="20"/>
          <w:color w:val="auto"/>
        </w:rPr>
      </w:pPr>
      <w:r>
        <w:rPr>
          <w:rFonts w:ascii="Arial" w:cs="Arial" w:eastAsia="Arial" w:hAnsi="Arial"/>
          <w:sz w:val="17"/>
          <w:szCs w:val="17"/>
          <w:color w:val="auto"/>
        </w:rPr>
        <w:t>We intend to furnish or make available to our shareholders annual reports containing our audited financial statements and furnish or make available to our shareholders quarterly reports containing our unaudited interim financial information, including the information required by Form 10-Q, for the first three fiscal quarters of each fiscal year.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241"/>
        </w:trPr>
        <w:tc>
          <w:tcPr>
            <w:tcW w:w="884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2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88"/>
        </w:trPr>
        <w:tc>
          <w:tcPr>
            <w:tcW w:w="8840" w:type="dxa"/>
            <w:vAlign w:val="bottom"/>
            <w:gridSpan w:val="12"/>
          </w:tcPr>
          <w:p>
            <w:pPr>
              <w:spacing w:after="0" w:line="188" w:lineRule="exact"/>
              <w:rPr>
                <w:rFonts w:ascii="Arial" w:cs="Arial" w:eastAsia="Arial" w:hAnsi="Arial"/>
                <w:sz w:val="18"/>
                <w:szCs w:val="18"/>
                <w:color w:val="0000EE"/>
              </w:rPr>
            </w:pPr>
            <w:hyperlink w:anchor="page142">
              <w:r>
                <w:rPr>
                  <w:rFonts w:ascii="Arial" w:cs="Arial" w:eastAsia="Arial" w:hAnsi="Arial"/>
                  <w:sz w:val="18"/>
                  <w:szCs w:val="18"/>
                  <w:color w:val="0000EE"/>
                </w:rPr>
                <w:t>Condensed Consolidated Balance Sheets</w:t>
              </w:r>
            </w:hyperlink>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100"/>
              <w:spacing w:after="0" w:line="188" w:lineRule="exact"/>
              <w:rPr>
                <w:rFonts w:ascii="Arial" w:cs="Arial" w:eastAsia="Arial" w:hAnsi="Arial"/>
                <w:sz w:val="18"/>
                <w:szCs w:val="18"/>
                <w:color w:val="0000EE"/>
                <w:w w:val="81"/>
              </w:rPr>
            </w:pPr>
            <w:hyperlink w:anchor="page142">
              <w:r>
                <w:rPr>
                  <w:rFonts w:ascii="Arial" w:cs="Arial" w:eastAsia="Arial" w:hAnsi="Arial"/>
                  <w:sz w:val="18"/>
                  <w:szCs w:val="18"/>
                  <w:color w:val="0000EE"/>
                  <w:w w:val="81"/>
                </w:rPr>
                <w:t>F-2</w:t>
              </w:r>
            </w:hyperlink>
          </w:p>
        </w:tc>
      </w:tr>
      <w:tr>
        <w:trPr>
          <w:trHeight w:val="34"/>
        </w:trPr>
        <w:tc>
          <w:tcPr>
            <w:tcW w:w="20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5500" w:type="dxa"/>
            <w:vAlign w:val="bottom"/>
            <w:gridSpan w:val="11"/>
            <w:shd w:val="clear" w:color="auto" w:fill="CCEEFF"/>
          </w:tcPr>
          <w:p>
            <w:pPr>
              <w:spacing w:after="0" w:line="188"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Condensed Consolidated Statements of Operations and Comprehensive Loss</w:t>
              </w:r>
            </w:hyperlink>
          </w:p>
        </w:tc>
        <w:tc>
          <w:tcPr>
            <w:tcW w:w="3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00"/>
              <w:spacing w:after="0" w:line="188" w:lineRule="exact"/>
              <w:rPr>
                <w:rFonts w:ascii="Arial" w:cs="Arial" w:eastAsia="Arial" w:hAnsi="Arial"/>
                <w:sz w:val="18"/>
                <w:szCs w:val="18"/>
                <w:color w:val="0000EE"/>
                <w:w w:val="81"/>
              </w:rPr>
            </w:pPr>
            <w:hyperlink w:anchor="page143">
              <w:r>
                <w:rPr>
                  <w:rFonts w:ascii="Arial" w:cs="Arial" w:eastAsia="Arial" w:hAnsi="Arial"/>
                  <w:sz w:val="18"/>
                  <w:szCs w:val="18"/>
                  <w:color w:val="0000EE"/>
                  <w:w w:val="81"/>
                </w:rPr>
                <w:t>F-3</w:t>
              </w:r>
            </w:hyperlink>
          </w:p>
        </w:tc>
      </w:tr>
      <w:tr>
        <w:trPr>
          <w:trHeight w:val="34"/>
        </w:trPr>
        <w:tc>
          <w:tcPr>
            <w:tcW w:w="20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3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5500" w:type="dxa"/>
            <w:vAlign w:val="bottom"/>
            <w:gridSpan w:val="11"/>
          </w:tcPr>
          <w:p>
            <w:pPr>
              <w:spacing w:after="0" w:line="188" w:lineRule="exact"/>
              <w:rPr>
                <w:rFonts w:ascii="Arial" w:cs="Arial" w:eastAsia="Arial" w:hAnsi="Arial"/>
                <w:sz w:val="18"/>
                <w:szCs w:val="18"/>
                <w:color w:val="0000EE"/>
              </w:rPr>
            </w:pPr>
            <w:hyperlink w:anchor="page144">
              <w:r>
                <w:rPr>
                  <w:rFonts w:ascii="Arial" w:cs="Arial" w:eastAsia="Arial" w:hAnsi="Arial"/>
                  <w:sz w:val="18"/>
                  <w:szCs w:val="18"/>
                  <w:color w:val="0000EE"/>
                </w:rPr>
                <w:t>Condensed Consolidated Statement of Changes in Members’ Equity</w:t>
              </w:r>
            </w:hyperlink>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100"/>
              <w:spacing w:after="0" w:line="188" w:lineRule="exact"/>
              <w:rPr>
                <w:rFonts w:ascii="Arial" w:cs="Arial" w:eastAsia="Arial" w:hAnsi="Arial"/>
                <w:sz w:val="18"/>
                <w:szCs w:val="18"/>
                <w:color w:val="0000EE"/>
                <w:w w:val="81"/>
              </w:rPr>
            </w:pPr>
            <w:hyperlink w:anchor="page144">
              <w:r>
                <w:rPr>
                  <w:rFonts w:ascii="Arial" w:cs="Arial" w:eastAsia="Arial" w:hAnsi="Arial"/>
                  <w:sz w:val="18"/>
                  <w:szCs w:val="18"/>
                  <w:color w:val="0000EE"/>
                  <w:w w:val="81"/>
                </w:rPr>
                <w:t>F-4</w:t>
              </w:r>
            </w:hyperlink>
          </w:p>
        </w:tc>
      </w:tr>
      <w:tr>
        <w:trPr>
          <w:trHeight w:val="34"/>
        </w:trPr>
        <w:tc>
          <w:tcPr>
            <w:tcW w:w="20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3700" w:type="dxa"/>
            <w:vAlign w:val="bottom"/>
            <w:gridSpan w:val="5"/>
            <w:shd w:val="clear" w:color="auto" w:fill="CCEEFF"/>
          </w:tcPr>
          <w:p>
            <w:pPr>
              <w:spacing w:after="0" w:line="188"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Condensed Consolidated Statements of Cash Flows</w:t>
              </w:r>
            </w:hyperlink>
          </w:p>
        </w:tc>
        <w:tc>
          <w:tcPr>
            <w:tcW w:w="5140" w:type="dxa"/>
            <w:vAlign w:val="bottom"/>
            <w:gridSpan w:val="7"/>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00"/>
              <w:spacing w:after="0" w:line="188" w:lineRule="exact"/>
              <w:rPr>
                <w:rFonts w:ascii="Arial" w:cs="Arial" w:eastAsia="Arial" w:hAnsi="Arial"/>
                <w:sz w:val="18"/>
                <w:szCs w:val="18"/>
                <w:color w:val="0000EE"/>
                <w:w w:val="81"/>
              </w:rPr>
            </w:pPr>
            <w:hyperlink w:anchor="page145">
              <w:r>
                <w:rPr>
                  <w:rFonts w:ascii="Arial" w:cs="Arial" w:eastAsia="Arial" w:hAnsi="Arial"/>
                  <w:sz w:val="18"/>
                  <w:szCs w:val="18"/>
                  <w:color w:val="0000EE"/>
                  <w:w w:val="81"/>
                </w:rPr>
                <w:t>F-5</w:t>
              </w:r>
            </w:hyperlink>
          </w:p>
        </w:tc>
      </w:tr>
      <w:tr>
        <w:trPr>
          <w:trHeight w:val="34"/>
        </w:trPr>
        <w:tc>
          <w:tcPr>
            <w:tcW w:w="20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840" w:type="dxa"/>
            <w:vAlign w:val="bottom"/>
            <w:gridSpan w:val="12"/>
          </w:tcPr>
          <w:p>
            <w:pPr>
              <w:spacing w:after="0" w:line="188" w:lineRule="exact"/>
              <w:rPr>
                <w:rFonts w:ascii="Arial" w:cs="Arial" w:eastAsia="Arial" w:hAnsi="Arial"/>
                <w:sz w:val="18"/>
                <w:szCs w:val="18"/>
                <w:color w:val="0000EE"/>
              </w:rPr>
            </w:pPr>
            <w:hyperlink w:anchor="page146">
              <w:r>
                <w:rPr>
                  <w:rFonts w:ascii="Arial" w:cs="Arial" w:eastAsia="Arial" w:hAnsi="Arial"/>
                  <w:sz w:val="18"/>
                  <w:szCs w:val="18"/>
                  <w:color w:val="0000EE"/>
                </w:rPr>
                <w:t>Notes to Condensed Consolidated Financial Statements</w:t>
              </w:r>
            </w:hyperlink>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100"/>
              <w:spacing w:after="0" w:line="188" w:lineRule="exact"/>
              <w:rPr>
                <w:rFonts w:ascii="Arial" w:cs="Arial" w:eastAsia="Arial" w:hAnsi="Arial"/>
                <w:sz w:val="18"/>
                <w:szCs w:val="18"/>
                <w:color w:val="0000EE"/>
                <w:w w:val="81"/>
              </w:rPr>
            </w:pPr>
            <w:hyperlink w:anchor="page146">
              <w:r>
                <w:rPr>
                  <w:rFonts w:ascii="Arial" w:cs="Arial" w:eastAsia="Arial" w:hAnsi="Arial"/>
                  <w:sz w:val="18"/>
                  <w:szCs w:val="18"/>
                  <w:color w:val="0000EE"/>
                  <w:w w:val="81"/>
                </w:rPr>
                <w:t>F-6</w:t>
              </w:r>
            </w:hyperlink>
          </w:p>
        </w:tc>
      </w:tr>
      <w:tr>
        <w:trPr>
          <w:trHeight w:val="34"/>
        </w:trPr>
        <w:tc>
          <w:tcPr>
            <w:tcW w:w="20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20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8840" w:type="dxa"/>
            <w:vAlign w:val="bottom"/>
            <w:gridSpan w:val="12"/>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2"/>
        </w:trPr>
        <w:tc>
          <w:tcPr>
            <w:tcW w:w="4200" w:type="dxa"/>
            <w:vAlign w:val="bottom"/>
            <w:gridSpan w:val="8"/>
            <w:shd w:val="clear" w:color="auto" w:fill="CCEEFF"/>
          </w:tcPr>
          <w:p>
            <w:pPr>
              <w:spacing w:after="0" w:line="192" w:lineRule="exact"/>
              <w:rPr>
                <w:rFonts w:ascii="Arial" w:cs="Arial" w:eastAsia="Arial" w:hAnsi="Arial"/>
                <w:sz w:val="18"/>
                <w:szCs w:val="18"/>
                <w:color w:val="0000EE"/>
                <w:w w:val="90"/>
              </w:rPr>
            </w:pPr>
            <w:hyperlink w:anchor="page161">
              <w:r>
                <w:rPr>
                  <w:rFonts w:ascii="Arial" w:cs="Arial" w:eastAsia="Arial" w:hAnsi="Arial"/>
                  <w:sz w:val="18"/>
                  <w:szCs w:val="18"/>
                  <w:color w:val="0000EE"/>
                  <w:w w:val="90"/>
                </w:rPr>
                <w:t>Report of Independent Registered Public Accounting Firm</w:t>
              </w:r>
            </w:hyperlink>
          </w:p>
        </w:tc>
        <w:tc>
          <w:tcPr>
            <w:tcW w:w="4640" w:type="dxa"/>
            <w:vAlign w:val="bottom"/>
            <w:gridSpan w:val="4"/>
            <w:shd w:val="clear" w:color="auto" w:fill="CCEEFF"/>
          </w:tcPr>
          <w:p>
            <w:pPr>
              <w:spacing w:after="0"/>
              <w:rPr>
                <w:sz w:val="16"/>
                <w:szCs w:val="16"/>
                <w:color w:val="auto"/>
              </w:rPr>
            </w:pPr>
          </w:p>
        </w:tc>
        <w:tc>
          <w:tcPr>
            <w:tcW w:w="660" w:type="dxa"/>
            <w:vAlign w:val="bottom"/>
            <w:gridSpan w:val="4"/>
            <w:shd w:val="clear" w:color="auto" w:fill="CCEEFF"/>
          </w:tcPr>
          <w:p>
            <w:pPr>
              <w:jc w:val="right"/>
              <w:ind w:right="100"/>
              <w:spacing w:after="0" w:line="192" w:lineRule="exact"/>
              <w:rPr>
                <w:rFonts w:ascii="Arial" w:cs="Arial" w:eastAsia="Arial" w:hAnsi="Arial"/>
                <w:sz w:val="18"/>
                <w:szCs w:val="18"/>
                <w:color w:val="0000EE"/>
              </w:rPr>
            </w:pPr>
            <w:hyperlink w:anchor="page161">
              <w:r>
                <w:rPr>
                  <w:rFonts w:ascii="Arial" w:cs="Arial" w:eastAsia="Arial" w:hAnsi="Arial"/>
                  <w:sz w:val="18"/>
                  <w:szCs w:val="18"/>
                  <w:color w:val="0000EE"/>
                </w:rPr>
                <w:t>F-21</w:t>
              </w:r>
            </w:hyperlink>
          </w:p>
        </w:tc>
      </w:tr>
      <w:tr>
        <w:trPr>
          <w:trHeight w:val="34"/>
        </w:trPr>
        <w:tc>
          <w:tcPr>
            <w:tcW w:w="20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4200" w:type="dxa"/>
            <w:vAlign w:val="bottom"/>
            <w:gridSpan w:val="8"/>
          </w:tcPr>
          <w:p>
            <w:pPr>
              <w:spacing w:after="0" w:line="188" w:lineRule="exact"/>
              <w:rPr>
                <w:rFonts w:ascii="Arial" w:cs="Arial" w:eastAsia="Arial" w:hAnsi="Arial"/>
                <w:sz w:val="18"/>
                <w:szCs w:val="18"/>
                <w:color w:val="0000EE"/>
              </w:rPr>
            </w:pPr>
            <w:hyperlink w:anchor="page162">
              <w:r>
                <w:rPr>
                  <w:rFonts w:ascii="Arial" w:cs="Arial" w:eastAsia="Arial" w:hAnsi="Arial"/>
                  <w:sz w:val="18"/>
                  <w:szCs w:val="18"/>
                  <w:color w:val="0000EE"/>
                </w:rPr>
                <w:t>Consolidated Balance Sheets</w:t>
              </w:r>
            </w:hyperlink>
          </w:p>
        </w:tc>
        <w:tc>
          <w:tcPr>
            <w:tcW w:w="4640" w:type="dxa"/>
            <w:vAlign w:val="bottom"/>
            <w:gridSpan w:val="4"/>
          </w:tcPr>
          <w:p>
            <w:pPr>
              <w:spacing w:after="0"/>
              <w:rPr>
                <w:sz w:val="16"/>
                <w:szCs w:val="16"/>
                <w:color w:val="auto"/>
              </w:rPr>
            </w:pPr>
          </w:p>
        </w:tc>
        <w:tc>
          <w:tcPr>
            <w:tcW w:w="660" w:type="dxa"/>
            <w:vAlign w:val="bottom"/>
            <w:gridSpan w:val="4"/>
          </w:tcPr>
          <w:p>
            <w:pPr>
              <w:jc w:val="right"/>
              <w:ind w:right="100"/>
              <w:spacing w:after="0" w:line="188" w:lineRule="exact"/>
              <w:rPr>
                <w:rFonts w:ascii="Arial" w:cs="Arial" w:eastAsia="Arial" w:hAnsi="Arial"/>
                <w:sz w:val="18"/>
                <w:szCs w:val="18"/>
                <w:color w:val="0000EE"/>
              </w:rPr>
            </w:pPr>
            <w:hyperlink w:anchor="page162">
              <w:r>
                <w:rPr>
                  <w:rFonts w:ascii="Arial" w:cs="Arial" w:eastAsia="Arial" w:hAnsi="Arial"/>
                  <w:sz w:val="18"/>
                  <w:szCs w:val="18"/>
                  <w:color w:val="0000EE"/>
                </w:rPr>
                <w:t>F-22</w:t>
              </w:r>
            </w:hyperlink>
          </w:p>
        </w:tc>
      </w:tr>
      <w:tr>
        <w:trPr>
          <w:trHeight w:val="34"/>
        </w:trPr>
        <w:tc>
          <w:tcPr>
            <w:tcW w:w="208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4660" w:type="dxa"/>
            <w:vAlign w:val="bottom"/>
            <w:gridSpan w:val="9"/>
            <w:shd w:val="clear" w:color="auto" w:fill="CCEEFF"/>
          </w:tcPr>
          <w:p>
            <w:pPr>
              <w:spacing w:after="0" w:line="188"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Consolidated Statements of Operations and Comprehensive Loss</w:t>
              </w:r>
            </w:hyperlink>
          </w:p>
        </w:tc>
        <w:tc>
          <w:tcPr>
            <w:tcW w:w="4180" w:type="dxa"/>
            <w:vAlign w:val="bottom"/>
            <w:gridSpan w:val="3"/>
            <w:shd w:val="clear" w:color="auto" w:fill="CCEEFF"/>
          </w:tcPr>
          <w:p>
            <w:pPr>
              <w:spacing w:after="0"/>
              <w:rPr>
                <w:sz w:val="16"/>
                <w:szCs w:val="16"/>
                <w:color w:val="auto"/>
              </w:rPr>
            </w:pPr>
          </w:p>
        </w:tc>
        <w:tc>
          <w:tcPr>
            <w:tcW w:w="660" w:type="dxa"/>
            <w:vAlign w:val="bottom"/>
            <w:gridSpan w:val="4"/>
            <w:shd w:val="clear" w:color="auto" w:fill="CCEEFF"/>
          </w:tcPr>
          <w:p>
            <w:pPr>
              <w:jc w:val="right"/>
              <w:ind w:right="100"/>
              <w:spacing w:after="0" w:line="188" w:lineRule="exact"/>
              <w:rPr>
                <w:rFonts w:ascii="Arial" w:cs="Arial" w:eastAsia="Arial" w:hAnsi="Arial"/>
                <w:sz w:val="18"/>
                <w:szCs w:val="18"/>
                <w:color w:val="0000EE"/>
              </w:rPr>
            </w:pPr>
            <w:hyperlink w:anchor="page163">
              <w:r>
                <w:rPr>
                  <w:rFonts w:ascii="Arial" w:cs="Arial" w:eastAsia="Arial" w:hAnsi="Arial"/>
                  <w:sz w:val="18"/>
                  <w:szCs w:val="18"/>
                  <w:color w:val="0000EE"/>
                </w:rPr>
                <w:t>F-23</w:t>
              </w:r>
            </w:hyperlink>
          </w:p>
        </w:tc>
      </w:tr>
      <w:tr>
        <w:trPr>
          <w:trHeight w:val="34"/>
        </w:trPr>
        <w:tc>
          <w:tcPr>
            <w:tcW w:w="20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4660" w:type="dxa"/>
            <w:vAlign w:val="bottom"/>
            <w:gridSpan w:val="9"/>
          </w:tcPr>
          <w:p>
            <w:pPr>
              <w:spacing w:after="0" w:line="188" w:lineRule="exact"/>
              <w:rPr>
                <w:rFonts w:ascii="Arial" w:cs="Arial" w:eastAsia="Arial" w:hAnsi="Arial"/>
                <w:sz w:val="18"/>
                <w:szCs w:val="18"/>
                <w:color w:val="0000EE"/>
              </w:rPr>
            </w:pPr>
            <w:hyperlink w:anchor="page164">
              <w:r>
                <w:rPr>
                  <w:rFonts w:ascii="Arial" w:cs="Arial" w:eastAsia="Arial" w:hAnsi="Arial"/>
                  <w:sz w:val="18"/>
                  <w:szCs w:val="18"/>
                  <w:color w:val="0000EE"/>
                </w:rPr>
                <w:t>Consolidated Statements of Changes in Members’ Equity</w:t>
              </w:r>
            </w:hyperlink>
          </w:p>
        </w:tc>
        <w:tc>
          <w:tcPr>
            <w:tcW w:w="4180" w:type="dxa"/>
            <w:vAlign w:val="bottom"/>
            <w:gridSpan w:val="3"/>
          </w:tcPr>
          <w:p>
            <w:pPr>
              <w:spacing w:after="0"/>
              <w:rPr>
                <w:sz w:val="16"/>
                <w:szCs w:val="16"/>
                <w:color w:val="auto"/>
              </w:rPr>
            </w:pPr>
          </w:p>
        </w:tc>
        <w:tc>
          <w:tcPr>
            <w:tcW w:w="660" w:type="dxa"/>
            <w:vAlign w:val="bottom"/>
            <w:gridSpan w:val="4"/>
          </w:tcPr>
          <w:p>
            <w:pPr>
              <w:jc w:val="right"/>
              <w:ind w:right="100"/>
              <w:spacing w:after="0" w:line="188" w:lineRule="exact"/>
              <w:rPr>
                <w:rFonts w:ascii="Arial" w:cs="Arial" w:eastAsia="Arial" w:hAnsi="Arial"/>
                <w:sz w:val="18"/>
                <w:szCs w:val="18"/>
                <w:color w:val="0000EE"/>
              </w:rPr>
            </w:pPr>
            <w:hyperlink w:anchor="page164">
              <w:r>
                <w:rPr>
                  <w:rFonts w:ascii="Arial" w:cs="Arial" w:eastAsia="Arial" w:hAnsi="Arial"/>
                  <w:sz w:val="18"/>
                  <w:szCs w:val="18"/>
                  <w:color w:val="0000EE"/>
                </w:rPr>
                <w:t>F-24</w:t>
              </w:r>
            </w:hyperlink>
          </w:p>
        </w:tc>
      </w:tr>
      <w:tr>
        <w:trPr>
          <w:trHeight w:val="34"/>
        </w:trPr>
        <w:tc>
          <w:tcPr>
            <w:tcW w:w="20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2860" w:type="dxa"/>
            <w:vAlign w:val="bottom"/>
            <w:gridSpan w:val="2"/>
            <w:shd w:val="clear" w:color="auto" w:fill="CCEEFF"/>
          </w:tcPr>
          <w:p>
            <w:pPr>
              <w:spacing w:after="0" w:line="188" w:lineRule="exact"/>
              <w:rPr>
                <w:rFonts w:ascii="Arial" w:cs="Arial" w:eastAsia="Arial" w:hAnsi="Arial"/>
                <w:sz w:val="18"/>
                <w:szCs w:val="18"/>
                <w:color w:val="0000EE"/>
                <w:w w:val="88"/>
              </w:rPr>
            </w:pPr>
            <w:hyperlink w:anchor="page165">
              <w:r>
                <w:rPr>
                  <w:rFonts w:ascii="Arial" w:cs="Arial" w:eastAsia="Arial" w:hAnsi="Arial"/>
                  <w:sz w:val="18"/>
                  <w:szCs w:val="18"/>
                  <w:color w:val="0000EE"/>
                  <w:w w:val="88"/>
                </w:rPr>
                <w:t>Consolidated Statements of Cash Flows</w:t>
              </w:r>
            </w:hyperlink>
          </w:p>
        </w:tc>
        <w:tc>
          <w:tcPr>
            <w:tcW w:w="5980" w:type="dxa"/>
            <w:vAlign w:val="bottom"/>
            <w:gridSpan w:val="10"/>
            <w:shd w:val="clear" w:color="auto" w:fill="CCEEFF"/>
          </w:tcPr>
          <w:p>
            <w:pPr>
              <w:spacing w:after="0"/>
              <w:rPr>
                <w:sz w:val="16"/>
                <w:szCs w:val="16"/>
                <w:color w:val="auto"/>
              </w:rPr>
            </w:pPr>
          </w:p>
        </w:tc>
        <w:tc>
          <w:tcPr>
            <w:tcW w:w="660" w:type="dxa"/>
            <w:vAlign w:val="bottom"/>
            <w:gridSpan w:val="4"/>
            <w:shd w:val="clear" w:color="auto" w:fill="CCEEFF"/>
          </w:tcPr>
          <w:p>
            <w:pPr>
              <w:jc w:val="right"/>
              <w:ind w:right="100"/>
              <w:spacing w:after="0" w:line="188" w:lineRule="exact"/>
              <w:rPr>
                <w:rFonts w:ascii="Arial" w:cs="Arial" w:eastAsia="Arial" w:hAnsi="Arial"/>
                <w:sz w:val="18"/>
                <w:szCs w:val="18"/>
                <w:color w:val="0000EE"/>
              </w:rPr>
            </w:pPr>
            <w:hyperlink w:anchor="page165">
              <w:r>
                <w:rPr>
                  <w:rFonts w:ascii="Arial" w:cs="Arial" w:eastAsia="Arial" w:hAnsi="Arial"/>
                  <w:sz w:val="18"/>
                  <w:szCs w:val="18"/>
                  <w:color w:val="0000EE"/>
                </w:rPr>
                <w:t>F-25</w:t>
              </w:r>
            </w:hyperlink>
          </w:p>
        </w:tc>
      </w:tr>
      <w:tr>
        <w:trPr>
          <w:trHeight w:val="34"/>
        </w:trPr>
        <w:tc>
          <w:tcPr>
            <w:tcW w:w="20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840" w:type="dxa"/>
            <w:vAlign w:val="bottom"/>
            <w:gridSpan w:val="12"/>
          </w:tcPr>
          <w:p>
            <w:pPr>
              <w:spacing w:after="0" w:line="188" w:lineRule="exact"/>
              <w:rPr>
                <w:rFonts w:ascii="Arial" w:cs="Arial" w:eastAsia="Arial" w:hAnsi="Arial"/>
                <w:sz w:val="18"/>
                <w:szCs w:val="18"/>
                <w:color w:val="0000EE"/>
              </w:rPr>
            </w:pPr>
            <w:hyperlink w:anchor="page166">
              <w:r>
                <w:rPr>
                  <w:rFonts w:ascii="Arial" w:cs="Arial" w:eastAsia="Arial" w:hAnsi="Arial"/>
                  <w:sz w:val="18"/>
                  <w:szCs w:val="18"/>
                  <w:color w:val="0000EE"/>
                </w:rPr>
                <w:t>Notes to Consolidated Financial Statements</w:t>
              </w:r>
            </w:hyperlink>
          </w:p>
        </w:tc>
        <w:tc>
          <w:tcPr>
            <w:tcW w:w="660" w:type="dxa"/>
            <w:vAlign w:val="bottom"/>
            <w:gridSpan w:val="4"/>
          </w:tcPr>
          <w:p>
            <w:pPr>
              <w:jc w:val="right"/>
              <w:ind w:right="100"/>
              <w:spacing w:after="0" w:line="188" w:lineRule="exact"/>
              <w:rPr>
                <w:rFonts w:ascii="Arial" w:cs="Arial" w:eastAsia="Arial" w:hAnsi="Arial"/>
                <w:sz w:val="18"/>
                <w:szCs w:val="18"/>
                <w:color w:val="0000EE"/>
              </w:rPr>
            </w:pPr>
            <w:hyperlink w:anchor="page166">
              <w:r>
                <w:rPr>
                  <w:rFonts w:ascii="Arial" w:cs="Arial" w:eastAsia="Arial" w:hAnsi="Arial"/>
                  <w:sz w:val="18"/>
                  <w:szCs w:val="18"/>
                  <w:color w:val="0000EE"/>
                </w:rPr>
                <w:t>F-26</w:t>
              </w:r>
            </w:hyperlink>
          </w:p>
        </w:tc>
      </w:tr>
      <w:tr>
        <w:trPr>
          <w:trHeight w:val="463"/>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gridSpan w:val="4"/>
          </w:tcPr>
          <w:p>
            <w:pPr>
              <w:ind w:left="420"/>
              <w:spacing w:after="0"/>
              <w:rPr>
                <w:sz w:val="20"/>
                <w:szCs w:val="20"/>
                <w:color w:val="auto"/>
              </w:rPr>
            </w:pPr>
            <w:r>
              <w:rPr>
                <w:rFonts w:ascii="Arial" w:cs="Arial" w:eastAsia="Arial" w:hAnsi="Arial"/>
                <w:sz w:val="18"/>
                <w:szCs w:val="18"/>
                <w:color w:val="auto"/>
              </w:rPr>
              <w:t>F-1</w:t>
            </w: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
        </w:trPr>
        <w:tc>
          <w:tcPr>
            <w:tcW w:w="20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33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2018 and December 31, 2017</w:t>
      </w: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84"/>
        </w:trPr>
        <w:tc>
          <w:tcPr>
            <w:tcW w:w="6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84,708</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13,623</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19,166</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19,417</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Finance leases, net</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1,178</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19,154</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11,152</w:t>
            </w:r>
          </w:p>
        </w:tc>
      </w:tr>
      <w:tr>
        <w:trPr>
          <w:trHeight w:val="241"/>
        </w:trPr>
        <w:tc>
          <w:tcPr>
            <w:tcW w:w="69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24,875</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96,797</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154,953</w:t>
            </w:r>
          </w:p>
        </w:tc>
      </w:tr>
      <w:tr>
        <w:trPr>
          <w:trHeight w:val="241"/>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investment</w:t>
            </w:r>
          </w:p>
        </w:tc>
        <w:tc>
          <w:tcPr>
            <w:tcW w:w="12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6,776</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6,333</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16,271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160,043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35,413</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85,526</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69,350</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 net</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93,234</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94,077</w:t>
            </w:r>
          </w:p>
        </w:tc>
      </w:tr>
      <w:tr>
        <w:trPr>
          <w:trHeight w:val="241"/>
        </w:trPr>
        <w:tc>
          <w:tcPr>
            <w:tcW w:w="694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6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485,097</w:t>
            </w: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381,190</w:t>
            </w:r>
          </w:p>
        </w:tc>
      </w:tr>
      <w:tr>
        <w:trPr>
          <w:trHeight w:val="241"/>
        </w:trPr>
        <w:tc>
          <w:tcPr>
            <w:tcW w:w="694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121,970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5,828</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19,073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6,352</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34,501</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17,499</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Due to affiliates</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2,091</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1"/>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177,551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32,099</w:t>
            </w:r>
          </w:p>
        </w:tc>
      </w:tr>
      <w:tr>
        <w:trPr>
          <w:trHeight w:val="246"/>
        </w:trPr>
        <w:tc>
          <w:tcPr>
            <w:tcW w:w="69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69,425</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liability, net.</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41"/>
        </w:trPr>
        <w:tc>
          <w:tcPr>
            <w:tcW w:w="694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102,280</w:t>
            </w:r>
          </w:p>
        </w:tc>
      </w:tr>
      <w:tr>
        <w:trPr>
          <w:trHeight w:val="235"/>
        </w:trPr>
        <w:tc>
          <w:tcPr>
            <w:tcW w:w="694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contingences (Note 16)</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4"/>
        </w:trPr>
        <w:tc>
          <w:tcPr>
            <w:tcW w:w="6940" w:type="dxa"/>
            <w:vAlign w:val="bottom"/>
          </w:tcPr>
          <w:p>
            <w:pPr>
              <w:ind w:left="180"/>
              <w:spacing w:after="0"/>
              <w:rPr>
                <w:sz w:val="20"/>
                <w:szCs w:val="20"/>
                <w:color w:val="auto"/>
              </w:rPr>
            </w:pPr>
            <w:r>
              <w:rPr>
                <w:rFonts w:ascii="Arial" w:cs="Arial" w:eastAsia="Arial" w:hAnsi="Arial"/>
                <w:sz w:val="18"/>
                <w:szCs w:val="18"/>
                <w:color w:val="auto"/>
                <w:w w:val="93"/>
              </w:rPr>
              <w:t>Members’ capital, no par value, 500,000,000 shares authorized, 67,983,095 shares issued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940" w:type="dxa"/>
            <w:vAlign w:val="bottom"/>
          </w:tcPr>
          <w:p>
            <w:pPr>
              <w:ind w:left="360"/>
              <w:spacing w:after="0"/>
              <w:rPr>
                <w:sz w:val="20"/>
                <w:szCs w:val="20"/>
                <w:color w:val="auto"/>
              </w:rPr>
            </w:pPr>
            <w:r>
              <w:rPr>
                <w:rFonts w:ascii="Arial" w:cs="Arial" w:eastAsia="Arial" w:hAnsi="Arial"/>
                <w:sz w:val="18"/>
                <w:szCs w:val="18"/>
                <w:color w:val="auto"/>
                <w:w w:val="91"/>
              </w:rPr>
              <w:t>and outstanding as of September 30, 2018; 65,665,037 shares issued and outstanding as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940" w:type="dxa"/>
            <w:vAlign w:val="bottom"/>
          </w:tcPr>
          <w:p>
            <w:pPr>
              <w:ind w:left="360"/>
              <w:spacing w:after="0"/>
              <w:rPr>
                <w:sz w:val="20"/>
                <w:szCs w:val="20"/>
                <w:color w:val="auto"/>
              </w:rPr>
            </w:pPr>
            <w:r>
              <w:rPr>
                <w:rFonts w:ascii="Arial" w:cs="Arial" w:eastAsia="Arial" w:hAnsi="Arial"/>
                <w:sz w:val="18"/>
                <w:szCs w:val="18"/>
                <w:color w:val="auto"/>
              </w:rPr>
              <w:t>of December 31, 2017</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426,741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406,591</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subscription receivable</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(123,694)</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(80,347)</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2,666</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1"/>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NFE Members’ equity</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306,156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278,910</w:t>
            </w:r>
          </w:p>
        </w:tc>
      </w:tr>
      <w:tr>
        <w:trPr>
          <w:trHeight w:val="246"/>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Total Members’ equity</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306,084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278,910</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9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liabilities and members’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485,097</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381,190</w:t>
            </w:r>
          </w:p>
        </w:tc>
      </w:tr>
      <w:tr>
        <w:trPr>
          <w:trHeight w:val="27"/>
        </w:trPr>
        <w:tc>
          <w:tcPr>
            <w:tcW w:w="694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0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2240" w:h="15840" w:orient="portrait"/>
          <w:cols w:equalWidth="0" w:num="1">
            <w:col w:w="9500"/>
          </w:cols>
          <w:pgMar w:left="1360" w:top="138" w:right="1380" w:bottom="1440" w:gutter="0" w:footer="0" w:header="0"/>
        </w:sect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603059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type w:val="continuous"/>
        </w:sectPr>
      </w:pPr>
    </w:p>
    <w:bookmarkStart w:id="142" w:name="page143"/>
    <w:bookmarkEnd w:id="1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ind w:right="3660"/>
        <w:spacing w:after="0" w:line="270" w:lineRule="auto"/>
        <w:rPr>
          <w:sz w:val="20"/>
          <w:szCs w:val="20"/>
          <w:color w:val="auto"/>
        </w:rPr>
      </w:pPr>
      <w:r>
        <w:rPr>
          <w:rFonts w:ascii="Arial" w:cs="Arial" w:eastAsia="Arial" w:hAnsi="Arial"/>
          <w:sz w:val="17"/>
          <w:szCs w:val="17"/>
          <w:b w:val="1"/>
          <w:bCs w:val="1"/>
          <w:color w:val="auto"/>
        </w:rPr>
        <w:t>Condensed Consolidated Statements of Operations and Comprehensive Loss For the nine months ended September 30, 2018 and 2017 (Unaudited,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60305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1"/>
        </w:trPr>
        <w:tc>
          <w:tcPr>
            <w:tcW w:w="69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Operating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69,545</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60,653</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11,357</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80,932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72,010</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68,625</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57,854</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Operations and maintenance</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5,750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4,769</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40,827</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21,164</w:t>
            </w:r>
          </w:p>
        </w:tc>
      </w:tr>
      <w:tr>
        <w:trPr>
          <w:trHeight w:val="241"/>
        </w:trPr>
        <w:tc>
          <w:tcPr>
            <w:tcW w:w="69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2,031</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117,460</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85,818</w:t>
            </w:r>
          </w:p>
        </w:tc>
      </w:tr>
      <w:tr>
        <w:trPr>
          <w:trHeight w:val="235"/>
        </w:trPr>
        <w:tc>
          <w:tcPr>
            <w:tcW w:w="69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(loss)</w:t>
            </w: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(36,528)</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(13,808)</w:t>
            </w:r>
          </w:p>
        </w:tc>
      </w:tr>
      <w:tr>
        <w:trPr>
          <w:trHeight w:val="241"/>
        </w:trPr>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6,389</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1"/>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Loss before taxes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(43,020)</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(18,583)</w:t>
            </w:r>
          </w:p>
        </w:tc>
      </w:tr>
      <w:tr>
        <w:trPr>
          <w:trHeight w:val="246"/>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provision (benefit)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9"/>
        </w:trPr>
        <w:tc>
          <w:tcPr>
            <w:tcW w:w="69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(43,419)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(19,402)</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1"/>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Net loss attributable to members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(43,347)</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(19,402)</w:t>
            </w:r>
          </w:p>
        </w:tc>
      </w:tr>
      <w:tr>
        <w:trPr>
          <w:trHeight w:val="27"/>
        </w:trPr>
        <w:tc>
          <w:tcPr>
            <w:tcW w:w="69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694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(0.64)</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67,915,822</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65,000,478</w:t>
            </w:r>
          </w:p>
        </w:tc>
      </w:tr>
      <w:tr>
        <w:trPr>
          <w:trHeight w:val="235"/>
        </w:trPr>
        <w:tc>
          <w:tcPr>
            <w:tcW w:w="69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(43,347)</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(19,402)</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(gain) on available-for-sale investment</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(42,904)</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(18,537)</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1"/>
        </w:trPr>
        <w:tc>
          <w:tcPr>
            <w:tcW w:w="69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members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(42,904)</w:t>
            </w:r>
          </w:p>
        </w:tc>
        <w:tc>
          <w:tcPr>
            <w:tcW w:w="220" w:type="dxa"/>
            <w:vAlign w:val="bottom"/>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(18,537)</w:t>
            </w:r>
          </w:p>
        </w:tc>
      </w:tr>
      <w:tr>
        <w:trPr>
          <w:trHeight w:val="27"/>
        </w:trPr>
        <w:tc>
          <w:tcPr>
            <w:tcW w:w="69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Pro forma information (unaudited):</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(43,020)</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1"/>
        </w:trPr>
        <w:tc>
          <w:tcPr>
            <w:tcW w:w="6940" w:type="dxa"/>
            <w:vAlign w:val="bottom"/>
          </w:tcPr>
          <w:p>
            <w:pPr>
              <w:spacing w:after="0"/>
              <w:rPr>
                <w:sz w:val="20"/>
                <w:szCs w:val="20"/>
                <w:color w:val="auto"/>
              </w:rPr>
            </w:pPr>
            <w:r>
              <w:rPr>
                <w:rFonts w:ascii="Arial" w:cs="Arial" w:eastAsia="Arial" w:hAnsi="Arial"/>
                <w:sz w:val="18"/>
                <w:szCs w:val="18"/>
                <w:color w:val="auto"/>
              </w:rPr>
              <w:t>Pro forma tax expense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9"/>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(43,419)</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1"/>
        </w:trPr>
        <w:tc>
          <w:tcPr>
            <w:tcW w:w="69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 per share –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 average pro forma number of shares outstanding – basic and diluted</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67,915,822</w:t>
            </w: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423"/>
        </w:trPr>
        <w:tc>
          <w:tcPr>
            <w:tcW w:w="6940" w:type="dxa"/>
            <w:vAlign w:val="bottom"/>
          </w:tcPr>
          <w:p>
            <w:pPr>
              <w:ind w:left="4620"/>
              <w:spacing w:after="0"/>
              <w:rPr>
                <w:sz w:val="20"/>
                <w:szCs w:val="20"/>
                <w:color w:val="auto"/>
              </w:rPr>
            </w:pPr>
            <w:r>
              <w:rPr>
                <w:rFonts w:ascii="Arial" w:cs="Arial" w:eastAsia="Arial" w:hAnsi="Arial"/>
                <w:sz w:val="18"/>
                <w:szCs w:val="18"/>
                <w:color w:val="auto"/>
              </w:rPr>
              <w:t>F-3</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6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
        </w:trPr>
        <w:tc>
          <w:tcPr>
            <w:tcW w:w="694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ind w:right="4300"/>
        <w:spacing w:after="0" w:line="259" w:lineRule="auto"/>
        <w:rPr>
          <w:sz w:val="20"/>
          <w:szCs w:val="20"/>
          <w:color w:val="auto"/>
        </w:rPr>
      </w:pPr>
      <w:r>
        <w:rPr>
          <w:rFonts w:ascii="Arial" w:cs="Arial" w:eastAsia="Arial" w:hAnsi="Arial"/>
          <w:sz w:val="17"/>
          <w:szCs w:val="17"/>
          <w:b w:val="1"/>
          <w:bCs w:val="1"/>
          <w:color w:val="auto"/>
        </w:rPr>
        <w:t>Condensed Consolidated Statement of Changes in Members’ Equity For the nine months ended September 30,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56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256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Members’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subscription</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comprehensive</w:t>
            </w:r>
          </w:p>
        </w:tc>
        <w:tc>
          <w:tcPr>
            <w:tcW w:w="12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controlling</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Members’</w:t>
            </w:r>
          </w:p>
        </w:tc>
      </w:tr>
      <w:tr>
        <w:trPr>
          <w:trHeight w:val="184"/>
        </w:trPr>
        <w:tc>
          <w:tcPr>
            <w:tcW w:w="25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receivable</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5"/>
                <w:szCs w:val="15"/>
                <w:color w:val="auto"/>
              </w:rPr>
            </w:pPr>
          </w:p>
        </w:tc>
      </w:tr>
      <w:tr>
        <w:trPr>
          <w:trHeight w:val="181"/>
        </w:trPr>
        <w:tc>
          <w:tcPr>
            <w:tcW w:w="2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January 1, 2018</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65,665,037</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$ 406,591</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(80,347)</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2,666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$ 278,910</w:t>
            </w:r>
          </w:p>
        </w:tc>
      </w:tr>
      <w:tr>
        <w:trPr>
          <w:trHeight w:val="188"/>
        </w:trPr>
        <w:tc>
          <w:tcPr>
            <w:tcW w:w="2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2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(43,347)</w:t>
            </w:r>
          </w:p>
        </w:tc>
        <w:tc>
          <w:tcPr>
            <w:tcW w:w="1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(43,419)</w:t>
            </w:r>
          </w:p>
        </w:tc>
      </w:tr>
      <w:tr>
        <w:trPr>
          <w:trHeight w:val="188"/>
        </w:trPr>
        <w:tc>
          <w:tcPr>
            <w:tcW w:w="256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443</w:t>
            </w:r>
          </w:p>
        </w:tc>
      </w:tr>
      <w:tr>
        <w:trPr>
          <w:trHeight w:val="188"/>
        </w:trPr>
        <w:tc>
          <w:tcPr>
            <w:tcW w:w="2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Capital contributions</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665,843</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20,150</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20,150</w:t>
            </w:r>
          </w:p>
        </w:tc>
      </w:tr>
      <w:tr>
        <w:trPr>
          <w:trHeight w:val="188"/>
        </w:trPr>
        <w:tc>
          <w:tcPr>
            <w:tcW w:w="2560" w:type="dxa"/>
            <w:vAlign w:val="bottom"/>
          </w:tcPr>
          <w:p>
            <w:pPr>
              <w:ind w:left="180"/>
              <w:spacing w:after="0"/>
              <w:rPr>
                <w:sz w:val="20"/>
                <w:szCs w:val="20"/>
                <w:color w:val="auto"/>
              </w:rPr>
            </w:pPr>
            <w:r>
              <w:rPr>
                <w:rFonts w:ascii="Arial" w:cs="Arial" w:eastAsia="Arial" w:hAnsi="Arial"/>
                <w:sz w:val="14"/>
                <w:szCs w:val="14"/>
                <w:color w:val="auto"/>
              </w:rPr>
              <w:t>Stock subscription receivable</w:t>
            </w:r>
          </w:p>
        </w:tc>
        <w:tc>
          <w:tcPr>
            <w:tcW w:w="1020" w:type="dxa"/>
            <w:vAlign w:val="bottom"/>
          </w:tcPr>
          <w:p>
            <w:pPr>
              <w:jc w:val="right"/>
              <w:spacing w:after="0"/>
              <w:rPr>
                <w:sz w:val="20"/>
                <w:szCs w:val="20"/>
                <w:color w:val="auto"/>
              </w:rPr>
            </w:pPr>
            <w:r>
              <w:rPr>
                <w:rFonts w:ascii="Arial" w:cs="Arial" w:eastAsia="Arial" w:hAnsi="Arial"/>
                <w:sz w:val="14"/>
                <w:szCs w:val="14"/>
                <w:color w:val="auto"/>
              </w:rPr>
              <w:t>1,652,215</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50,000</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50,000</w:t>
            </w:r>
          </w:p>
        </w:tc>
      </w:tr>
      <w:tr>
        <w:trPr>
          <w:trHeight w:val="20"/>
        </w:trPr>
        <w:tc>
          <w:tcPr>
            <w:tcW w:w="256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2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September 30, 2018</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67,983,095</w:t>
            </w:r>
          </w:p>
        </w:tc>
        <w:tc>
          <w:tcPr>
            <w:tcW w:w="18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$ 426,741</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(123,694)</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3,109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$ 306,084</w:t>
            </w:r>
          </w:p>
        </w:tc>
      </w:tr>
      <w:tr>
        <w:trPr>
          <w:trHeight w:val="27"/>
        </w:trPr>
        <w:tc>
          <w:tcPr>
            <w:tcW w:w="2560" w:type="dxa"/>
            <w:vAlign w:val="bottom"/>
            <w:tcBorders>
              <w:top w:val="single" w:sz="8" w:color="CCEEFF"/>
              <w:right w:val="single" w:sz="8" w:color="auto"/>
            </w:tcBorders>
            <w:shd w:val="clear" w:color="auto" w:fill="CCEEFF"/>
          </w:tcPr>
          <w:p>
            <w:pPr>
              <w:spacing w:after="0"/>
              <w:rPr>
                <w:sz w:val="2"/>
                <w:szCs w:val="2"/>
                <w:color w:val="auto"/>
              </w:rPr>
            </w:pPr>
          </w:p>
        </w:tc>
        <w:tc>
          <w:tcPr>
            <w:tcW w:w="10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2018 and 2017</w:t>
      </w: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1"/>
        </w:trPr>
        <w:tc>
          <w:tcPr>
            <w:tcW w:w="69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(43,419)</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(19,402)</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for:</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5"/>
        </w:trPr>
        <w:tc>
          <w:tcPr>
            <w:tcW w:w="6940" w:type="dxa"/>
            <w:vAlign w:val="bottom"/>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1,469</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r>
      <w:tr>
        <w:trPr>
          <w:trHeight w:val="248"/>
        </w:trPr>
        <w:tc>
          <w:tcPr>
            <w:tcW w:w="6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2,766</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w:t>
            </w:r>
          </w:p>
        </w:tc>
      </w:tr>
      <w:tr>
        <w:trPr>
          <w:trHeight w:val="235"/>
        </w:trPr>
        <w:tc>
          <w:tcPr>
            <w:tcW w:w="694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618</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taxes.</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r>
      <w:tr>
        <w:trPr>
          <w:trHeight w:val="235"/>
        </w:trPr>
        <w:tc>
          <w:tcPr>
            <w:tcW w:w="6940" w:type="dxa"/>
            <w:vAlign w:val="bottom"/>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receivables.</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(Increase) in inventories.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(8,002)</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other assets</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(5,863)</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(20,527)</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(Decrease) in accounts payable/accrued liabilities.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(1,156)</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in amounts due to affiliates.</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(1,330)</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r>
      <w:tr>
        <w:trPr>
          <w:trHeight w:val="241"/>
        </w:trPr>
        <w:tc>
          <w:tcPr>
            <w:tcW w:w="6940" w:type="dxa"/>
            <w:vAlign w:val="bottom"/>
          </w:tcPr>
          <w:p>
            <w:pPr>
              <w:ind w:left="180"/>
              <w:spacing w:after="0"/>
              <w:rPr>
                <w:sz w:val="20"/>
                <w:szCs w:val="20"/>
                <w:color w:val="auto"/>
              </w:rPr>
            </w:pPr>
            <w:r>
              <w:rPr>
                <w:rFonts w:ascii="Arial" w:cs="Arial" w:eastAsia="Arial" w:hAnsi="Arial"/>
                <w:sz w:val="18"/>
                <w:szCs w:val="18"/>
                <w:color w:val="auto"/>
              </w:rPr>
              <w:t>Increase (Decrease) in other liabilities.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898</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(692)</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694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(53,156)</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(35,983)</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available-for-sale investment.</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(Increase) Decrease in restricted cash.</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6,983</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(22,268)</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(112,861)</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(12,547)</w:t>
            </w:r>
          </w:p>
        </w:tc>
      </w:tr>
      <w:tr>
        <w:trPr>
          <w:trHeight w:val="241"/>
        </w:trPr>
        <w:tc>
          <w:tcPr>
            <w:tcW w:w="6940" w:type="dxa"/>
            <w:vAlign w:val="bottom"/>
          </w:tcPr>
          <w:p>
            <w:pPr>
              <w:ind w:left="180"/>
              <w:spacing w:after="0"/>
              <w:rPr>
                <w:sz w:val="20"/>
                <w:szCs w:val="20"/>
                <w:color w:val="auto"/>
              </w:rPr>
            </w:pPr>
            <w:r>
              <w:rPr>
                <w:rFonts w:ascii="Arial" w:cs="Arial" w:eastAsia="Arial" w:hAnsi="Arial"/>
                <w:sz w:val="18"/>
                <w:szCs w:val="18"/>
                <w:color w:val="auto"/>
              </w:rPr>
              <w:t>Principal payments received on finance lease</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726</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6940" w:type="dxa"/>
            <w:vAlign w:val="bottom"/>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(105,152)</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(36,109)</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in restricted cash.</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10,339</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(2,615)</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Proceeds from borrowings of debt.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130,000</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debt.</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(75,920)</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(4,371)</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Payment of deferred financing costs.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(9,438)</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(and repayment of) Affiliate note.</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Capital contributed from Members.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20,150</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Collection of subscription receivable.</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ind w:left="3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125,503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(7,056)</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w:t>
            </w:r>
            <w:r>
              <w:rPr>
                <w:rFonts w:ascii="Arial" w:cs="Arial" w:eastAsia="Arial" w:hAnsi="Arial"/>
                <w:sz w:val="18"/>
                <w:szCs w:val="18"/>
                <w:color w:val="auto"/>
              </w:rPr>
              <w:t>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(32,805)</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(79,148)</w:t>
            </w: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84,708</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180,650</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51,903</w:t>
            </w:r>
          </w:p>
        </w:tc>
        <w:tc>
          <w:tcPr>
            <w:tcW w:w="18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101,502</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accrued construction in progress costs and property, plant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30,879</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r>
      <w:tr>
        <w:trPr>
          <w:trHeight w:val="430"/>
        </w:trPr>
        <w:tc>
          <w:tcPr>
            <w:tcW w:w="6940" w:type="dxa"/>
            <w:vAlign w:val="bottom"/>
          </w:tcPr>
          <w:p>
            <w:pPr>
              <w:ind w:left="4620"/>
              <w:spacing w:after="0"/>
              <w:rPr>
                <w:sz w:val="20"/>
                <w:szCs w:val="20"/>
                <w:color w:val="auto"/>
              </w:rPr>
            </w:pPr>
            <w:r>
              <w:rPr>
                <w:rFonts w:ascii="Arial" w:cs="Arial" w:eastAsia="Arial" w:hAnsi="Arial"/>
                <w:sz w:val="18"/>
                <w:szCs w:val="18"/>
                <w:color w:val="auto"/>
              </w:rPr>
              <w:t>F-5</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6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
        </w:trPr>
        <w:tc>
          <w:tcPr>
            <w:tcW w:w="694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88" w:lineRule="exact"/>
        <w:rPr>
          <w:sz w:val="20"/>
          <w:szCs w:val="20"/>
          <w:color w:val="auto"/>
        </w:rPr>
      </w:pPr>
    </w:p>
    <w:p>
      <w:pPr>
        <w:ind w:left="360" w:hanging="355"/>
        <w:spacing w:after="0"/>
        <w:tabs>
          <w:tab w:leader="none" w:pos="3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18" w:lineRule="exact"/>
        <w:rPr>
          <w:rFonts w:ascii="Arial" w:cs="Arial" w:eastAsia="Arial" w:hAnsi="Arial"/>
          <w:sz w:val="18"/>
          <w:szCs w:val="18"/>
          <w:b w:val="1"/>
          <w:bCs w:val="1"/>
          <w:color w:val="auto"/>
        </w:rPr>
      </w:pPr>
    </w:p>
    <w:p>
      <w:pPr>
        <w:ind w:left="360" w:right="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New Fortress Energy Holdings LLC (“NFE,” together with its subsidiaries, the “Company”) is a Delaware limited liability company formed on September 11, 2015. The Company is an integrated gas-to-power company that seeks to use “stranded” natural gas to satisfy the world’s large and growing power needs. The Company's mission is to provide modern infrastructure solutions to create cleaner, reliable energy while generating a positive economic impact worldwide. The Company's business model is simple, yet unique for the liquefied natural gas (“LNG”) industry. The Company aims to deliver targeted energy solutions to customers around the world, thereby reducing their energy costs and diversifying their energy resources, while also reducing pollution. The Company currently sources LNG from a combination of its own liquefaction facility in Miami, Florida and purchases on the open market. The Company has liquefaction and regasification operations in the United States and Jamaica. The Company is majority-owned by a private equity fund managed by an affiliate of Fortress Investment Group LLC (“Fortress”).</w:t>
      </w:r>
    </w:p>
    <w:p>
      <w:pPr>
        <w:spacing w:after="0" w:line="70" w:lineRule="exact"/>
        <w:rPr>
          <w:rFonts w:ascii="Arial" w:cs="Arial" w:eastAsia="Arial" w:hAnsi="Arial"/>
          <w:sz w:val="18"/>
          <w:szCs w:val="18"/>
          <w:b w:val="1"/>
          <w:bCs w:val="1"/>
          <w:color w:val="auto"/>
        </w:rPr>
      </w:pPr>
    </w:p>
    <w:p>
      <w:pPr>
        <w:ind w:left="360" w:right="22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The Company manages, analyzes and reports on its business and results of operations on the basis of one operating segment. The chief operating decision maker makes resource allocation decisions and assesses performance based on consolidated financial information presented on the delivery of an integrated solution to our customers.</w:t>
      </w:r>
    </w:p>
    <w:p>
      <w:pPr>
        <w:spacing w:after="0" w:line="53" w:lineRule="exact"/>
        <w:rPr>
          <w:rFonts w:ascii="Arial" w:cs="Arial" w:eastAsia="Arial" w:hAnsi="Arial"/>
          <w:sz w:val="18"/>
          <w:szCs w:val="18"/>
          <w:b w:val="1"/>
          <w:bCs w:val="1"/>
          <w:color w:val="auto"/>
        </w:rPr>
      </w:pPr>
    </w:p>
    <w:p>
      <w:pPr>
        <w:ind w:left="360" w:hanging="355"/>
        <w:spacing w:after="0"/>
        <w:tabs>
          <w:tab w:leader="none" w:pos="3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principle accounting policies adopted are set out below.</w:t>
      </w:r>
    </w:p>
    <w:p>
      <w:pPr>
        <w:spacing w:after="0" w:line="110" w:lineRule="exact"/>
        <w:rPr>
          <w:rFonts w:ascii="Arial" w:cs="Arial" w:eastAsia="Arial" w:hAnsi="Arial"/>
          <w:sz w:val="18"/>
          <w:szCs w:val="18"/>
          <w:b w:val="1"/>
          <w:bCs w:val="1"/>
          <w:color w:val="auto"/>
        </w:rPr>
      </w:pPr>
    </w:p>
    <w:p>
      <w:pPr>
        <w:ind w:left="700" w:hanging="346"/>
        <w:spacing w:after="0"/>
        <w:tabs>
          <w:tab w:leader="none" w:pos="700" w:val="left"/>
        </w:tabs>
        <w:numPr>
          <w:ilvl w:val="1"/>
          <w:numId w:val="86"/>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18" w:lineRule="exact"/>
        <w:rPr>
          <w:rFonts w:ascii="Arial" w:cs="Arial" w:eastAsia="Arial" w:hAnsi="Arial"/>
          <w:sz w:val="18"/>
          <w:szCs w:val="18"/>
          <w:color w:val="auto"/>
        </w:rPr>
      </w:pPr>
    </w:p>
    <w:p>
      <w:pPr>
        <w:ind w:left="720" w:right="40"/>
        <w:spacing w:after="0" w:line="289" w:lineRule="auto"/>
        <w:rPr>
          <w:rFonts w:ascii="Arial" w:cs="Arial" w:eastAsia="Arial" w:hAnsi="Arial"/>
          <w:sz w:val="18"/>
          <w:szCs w:val="18"/>
          <w:color w:val="auto"/>
        </w:rPr>
      </w:pPr>
      <w:r>
        <w:rPr>
          <w:rFonts w:ascii="Arial" w:cs="Arial" w:eastAsia="Arial" w:hAnsi="Arial"/>
          <w:sz w:val="16"/>
          <w:szCs w:val="16"/>
          <w:color w:val="auto"/>
        </w:rPr>
        <w:t>The condensed consolidated financial statements were prepared in accordance with US generally accepted accounting principles (“GAAP”). The accompanying unaudited interim condensed consolidated financial statements contained herein reflect all normal and recurring adjustments which are, in the opinion of management, necessary to provide a fair statement of the financial position, results of operations, and cash flows of the Company for the interim periods presented. The condensed consolidated financial statements include the accounts of the Company and its wholly-owned and majority-owned consolidated subsidiaries. The ownership interest of other investors in consolidated subsidiaries is recorded as non-controlling interest. All intercompany transactions and balances have been eliminated on consolidation.</w:t>
      </w:r>
    </w:p>
    <w:p>
      <w:pPr>
        <w:spacing w:after="0" w:line="54" w:lineRule="exact"/>
        <w:rPr>
          <w:rFonts w:ascii="Arial" w:cs="Arial" w:eastAsia="Arial" w:hAnsi="Arial"/>
          <w:sz w:val="18"/>
          <w:szCs w:val="18"/>
          <w:color w:val="auto"/>
        </w:rPr>
      </w:pPr>
    </w:p>
    <w:p>
      <w:pPr>
        <w:ind w:left="700" w:hanging="346"/>
        <w:spacing w:after="0"/>
        <w:tabs>
          <w:tab w:leader="none" w:pos="700" w:val="left"/>
        </w:tabs>
        <w:numPr>
          <w:ilvl w:val="1"/>
          <w:numId w:val="86"/>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18" w:lineRule="exact"/>
        <w:rPr>
          <w:rFonts w:ascii="Arial" w:cs="Arial" w:eastAsia="Arial" w:hAnsi="Arial"/>
          <w:sz w:val="18"/>
          <w:szCs w:val="18"/>
          <w:color w:val="auto"/>
        </w:rPr>
      </w:pPr>
    </w:p>
    <w:p>
      <w:pPr>
        <w:ind w:left="720" w:right="40"/>
        <w:spacing w:after="0" w:line="254" w:lineRule="auto"/>
        <w:rPr>
          <w:rFonts w:ascii="Arial" w:cs="Arial" w:eastAsia="Arial" w:hAnsi="Arial"/>
          <w:sz w:val="18"/>
          <w:szCs w:val="18"/>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Management evaluates its estimates and related assumptions regularly. Changes in facts and circumstances or additional information may result in revised estimates, and actual results may differ from these estimates.</w:t>
      </w:r>
    </w:p>
    <w:p>
      <w:pPr>
        <w:spacing w:after="0" w:line="76" w:lineRule="exact"/>
        <w:rPr>
          <w:rFonts w:ascii="Arial" w:cs="Arial" w:eastAsia="Arial" w:hAnsi="Arial"/>
          <w:sz w:val="18"/>
          <w:szCs w:val="18"/>
          <w:color w:val="auto"/>
        </w:rPr>
      </w:pPr>
    </w:p>
    <w:p>
      <w:pPr>
        <w:ind w:left="700" w:hanging="346"/>
        <w:spacing w:after="0"/>
        <w:tabs>
          <w:tab w:leader="none" w:pos="700" w:val="left"/>
        </w:tabs>
        <w:numPr>
          <w:ilvl w:val="1"/>
          <w:numId w:val="86"/>
        </w:numPr>
        <w:rPr>
          <w:rFonts w:ascii="Arial" w:cs="Arial" w:eastAsia="Arial" w:hAnsi="Arial"/>
          <w:sz w:val="18"/>
          <w:szCs w:val="18"/>
          <w:color w:val="auto"/>
        </w:rPr>
      </w:pPr>
      <w:r>
        <w:rPr>
          <w:rFonts w:ascii="Arial" w:cs="Arial" w:eastAsia="Arial" w:hAnsi="Arial"/>
          <w:sz w:val="18"/>
          <w:szCs w:val="18"/>
          <w:b w:val="1"/>
          <w:bCs w:val="1"/>
          <w:color w:val="auto"/>
        </w:rPr>
        <w:t>Foreign currencies</w:t>
      </w:r>
    </w:p>
    <w:p>
      <w:pPr>
        <w:spacing w:after="0" w:line="118" w:lineRule="exact"/>
        <w:rPr>
          <w:rFonts w:ascii="Arial" w:cs="Arial" w:eastAsia="Arial" w:hAnsi="Arial"/>
          <w:sz w:val="18"/>
          <w:szCs w:val="18"/>
          <w:color w:val="auto"/>
        </w:rPr>
      </w:pPr>
    </w:p>
    <w:p>
      <w:pPr>
        <w:ind w:left="720"/>
        <w:spacing w:after="0" w:line="255" w:lineRule="auto"/>
        <w:rPr>
          <w:rFonts w:ascii="Arial" w:cs="Arial" w:eastAsia="Arial" w:hAnsi="Arial"/>
          <w:sz w:val="18"/>
          <w:szCs w:val="18"/>
          <w:color w:val="auto"/>
        </w:rPr>
      </w:pPr>
      <w:r>
        <w:rPr>
          <w:rFonts w:ascii="Arial" w:cs="Arial" w:eastAsia="Arial" w:hAnsi="Arial"/>
          <w:sz w:val="18"/>
          <w:szCs w:val="18"/>
          <w:color w:val="auto"/>
        </w:rPr>
        <w:t>The Company’s functional and reporting currency is the U.S. dollar. Purchases and sales of assets and income and expense items denominated in foreign currencies are translated into U.S. dollar amounts on the respective dates of such transactions. Net realized foreign currency gains or losses relating to the differences between these recorded amounts and the U.S. dollar equivalent actually received or paid are included within Other (income), net in the condensed consolidated statements of operations and comprehensive loss.</w:t>
      </w:r>
    </w:p>
    <w:p>
      <w:pPr>
        <w:spacing w:after="0" w:line="76" w:lineRule="exact"/>
        <w:rPr>
          <w:rFonts w:ascii="Arial" w:cs="Arial" w:eastAsia="Arial" w:hAnsi="Arial"/>
          <w:sz w:val="18"/>
          <w:szCs w:val="18"/>
          <w:color w:val="auto"/>
        </w:rPr>
      </w:pPr>
    </w:p>
    <w:p>
      <w:pPr>
        <w:ind w:left="700" w:hanging="346"/>
        <w:spacing w:after="0"/>
        <w:tabs>
          <w:tab w:leader="none" w:pos="700" w:val="left"/>
        </w:tabs>
        <w:numPr>
          <w:ilvl w:val="1"/>
          <w:numId w:val="86"/>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18" w:lineRule="exact"/>
        <w:rPr>
          <w:rFonts w:ascii="Arial" w:cs="Arial" w:eastAsia="Arial" w:hAnsi="Arial"/>
          <w:sz w:val="18"/>
          <w:szCs w:val="18"/>
          <w:color w:val="auto"/>
        </w:rPr>
      </w:pPr>
    </w:p>
    <w:p>
      <w:pPr>
        <w:ind w:left="720" w:right="460"/>
        <w:spacing w:after="0" w:line="274" w:lineRule="auto"/>
        <w:rPr>
          <w:rFonts w:ascii="Arial" w:cs="Arial" w:eastAsia="Arial" w:hAnsi="Arial"/>
          <w:sz w:val="18"/>
          <w:szCs w:val="18"/>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09" w:lineRule="exact"/>
        <w:rPr>
          <w:sz w:val="20"/>
          <w:szCs w:val="20"/>
          <w:color w:val="auto"/>
        </w:rPr>
      </w:pPr>
    </w:p>
    <w:p>
      <w:pPr>
        <w:ind w:left="700" w:hanging="34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18" w:lineRule="exact"/>
        <w:rPr>
          <w:rFonts w:ascii="Arial" w:cs="Arial" w:eastAsia="Arial" w:hAnsi="Arial"/>
          <w:sz w:val="18"/>
          <w:szCs w:val="18"/>
          <w:color w:val="auto"/>
        </w:rPr>
      </w:pPr>
    </w:p>
    <w:p>
      <w:pPr>
        <w:ind w:left="720" w:right="480"/>
        <w:spacing w:after="0" w:line="305" w:lineRule="auto"/>
        <w:rPr>
          <w:rFonts w:ascii="Arial" w:cs="Arial" w:eastAsia="Arial" w:hAnsi="Arial"/>
          <w:sz w:val="18"/>
          <w:szCs w:val="18"/>
          <w:color w:val="auto"/>
        </w:rPr>
      </w:pPr>
      <w:r>
        <w:rPr>
          <w:rFonts w:ascii="Arial" w:cs="Arial" w:eastAsia="Arial" w:hAnsi="Arial"/>
          <w:sz w:val="17"/>
          <w:szCs w:val="17"/>
          <w:color w:val="auto"/>
        </w:rPr>
        <w:t>Restricted cash consists of funds that are contractually restricted as to usage or withdrawal and have been presented separately from cash and cash equivalents on the condensed consolidated balance sheets.</w:t>
      </w:r>
    </w:p>
    <w:p>
      <w:pPr>
        <w:spacing w:after="0" w:line="35" w:lineRule="exact"/>
        <w:rPr>
          <w:rFonts w:ascii="Arial" w:cs="Arial" w:eastAsia="Arial" w:hAnsi="Arial"/>
          <w:sz w:val="18"/>
          <w:szCs w:val="18"/>
          <w:color w:val="auto"/>
        </w:rPr>
      </w:pPr>
    </w:p>
    <w:p>
      <w:pPr>
        <w:ind w:left="700" w:hanging="34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Receivables</w:t>
      </w:r>
    </w:p>
    <w:p>
      <w:pPr>
        <w:spacing w:after="0" w:line="118" w:lineRule="exact"/>
        <w:rPr>
          <w:rFonts w:ascii="Arial" w:cs="Arial" w:eastAsia="Arial" w:hAnsi="Arial"/>
          <w:sz w:val="18"/>
          <w:szCs w:val="18"/>
          <w:color w:val="auto"/>
        </w:rPr>
      </w:pPr>
    </w:p>
    <w:p>
      <w:pPr>
        <w:ind w:left="720"/>
        <w:spacing w:after="0" w:line="254" w:lineRule="auto"/>
        <w:rPr>
          <w:rFonts w:ascii="Arial" w:cs="Arial" w:eastAsia="Arial" w:hAnsi="Arial"/>
          <w:sz w:val="18"/>
          <w:szCs w:val="18"/>
          <w:color w:val="auto"/>
        </w:rPr>
      </w:pPr>
      <w:r>
        <w:rPr>
          <w:rFonts w:ascii="Arial" w:cs="Arial" w:eastAsia="Arial" w:hAnsi="Arial"/>
          <w:sz w:val="18"/>
          <w:szCs w:val="18"/>
          <w:color w:val="auto"/>
        </w:rPr>
        <w:t>Receivables are reported net of allowances for doubtful accounts. Impaired receivables are specifically identified and evaluated for expected losses. The expected loss on impaired receivables is primarily determined based on the debtor’s ability to pay and the estimated value of any collateral, and such losses are recorded as Selling, general and administrative within the condensed consolidated statements of operations and comprehensive loss. For the nine months ended September 30, 2018 and 2017, no bad debt expense was recognized with respect to receivables, and there is no recorded allowance for doubtful accounts.</w:t>
      </w:r>
    </w:p>
    <w:p>
      <w:pPr>
        <w:spacing w:after="0" w:line="76" w:lineRule="exact"/>
        <w:rPr>
          <w:rFonts w:ascii="Arial" w:cs="Arial" w:eastAsia="Arial" w:hAnsi="Arial"/>
          <w:sz w:val="18"/>
          <w:szCs w:val="18"/>
          <w:color w:val="auto"/>
        </w:rPr>
      </w:pPr>
    </w:p>
    <w:p>
      <w:pPr>
        <w:ind w:left="700" w:hanging="34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18" w:lineRule="exact"/>
        <w:rPr>
          <w:rFonts w:ascii="Arial" w:cs="Arial" w:eastAsia="Arial" w:hAnsi="Arial"/>
          <w:sz w:val="18"/>
          <w:szCs w:val="18"/>
          <w:color w:val="auto"/>
        </w:rPr>
      </w:pPr>
    </w:p>
    <w:p>
      <w:pPr>
        <w:ind w:left="720"/>
        <w:spacing w:after="0" w:line="284" w:lineRule="auto"/>
        <w:rPr>
          <w:rFonts w:ascii="Arial" w:cs="Arial" w:eastAsia="Arial" w:hAnsi="Arial"/>
          <w:sz w:val="18"/>
          <w:szCs w:val="18"/>
          <w:color w:val="auto"/>
        </w:rPr>
      </w:pPr>
      <w:r>
        <w:rPr>
          <w:rFonts w:ascii="Arial" w:cs="Arial" w:eastAsia="Arial" w:hAnsi="Arial"/>
          <w:sz w:val="17"/>
          <w:szCs w:val="17"/>
          <w:color w:val="auto"/>
        </w:rPr>
        <w:t>LNG and natural gas inventories are recorded at weighted average cost, and materials and other inventory are recorded at cost. The Company’s cost to convert from natural gas to LNG, which primarily consists of depreciation of the liquefaction facilities, is reflected in Inventory on the condensed consolidated balance sheets.</w:t>
      </w:r>
    </w:p>
    <w:p>
      <w:pPr>
        <w:spacing w:after="0" w:line="57" w:lineRule="exact"/>
        <w:rPr>
          <w:rFonts w:ascii="Arial" w:cs="Arial" w:eastAsia="Arial" w:hAnsi="Arial"/>
          <w:sz w:val="18"/>
          <w:szCs w:val="18"/>
          <w:color w:val="auto"/>
        </w:rPr>
      </w:pPr>
    </w:p>
    <w:p>
      <w:pPr>
        <w:ind w:left="720" w:right="540"/>
        <w:spacing w:after="0" w:line="309" w:lineRule="auto"/>
        <w:rPr>
          <w:rFonts w:ascii="Arial" w:cs="Arial" w:eastAsia="Arial" w:hAnsi="Arial"/>
          <w:sz w:val="18"/>
          <w:szCs w:val="18"/>
          <w:color w:val="auto"/>
        </w:rPr>
      </w:pPr>
      <w:r>
        <w:rPr>
          <w:rFonts w:ascii="Arial" w:cs="Arial" w:eastAsia="Arial" w:hAnsi="Arial"/>
          <w:sz w:val="16"/>
          <w:szCs w:val="16"/>
          <w:color w:val="auto"/>
        </w:rPr>
        <w:t>Inventory is adjusted to the lower of cost or net realizable value each month. Changes in the value of inventory are recorded within Cost of sales in the condensed consolidated statements of operations and comprehensive loss. No adjustments were recorded during the nine-month periods ended September 30, 2018 and 2017.</w:t>
      </w:r>
    </w:p>
    <w:p>
      <w:pPr>
        <w:spacing w:after="0" w:line="40" w:lineRule="exact"/>
        <w:rPr>
          <w:rFonts w:ascii="Arial" w:cs="Arial" w:eastAsia="Arial" w:hAnsi="Arial"/>
          <w:sz w:val="18"/>
          <w:szCs w:val="18"/>
          <w:color w:val="auto"/>
        </w:rPr>
      </w:pPr>
    </w:p>
    <w:p>
      <w:pPr>
        <w:ind w:left="720" w:right="220"/>
        <w:spacing w:after="0" w:line="257" w:lineRule="auto"/>
        <w:rPr>
          <w:rFonts w:ascii="Arial" w:cs="Arial" w:eastAsia="Arial" w:hAnsi="Arial"/>
          <w:sz w:val="18"/>
          <w:szCs w:val="18"/>
          <w:color w:val="auto"/>
        </w:rPr>
      </w:pPr>
      <w:r>
        <w:rPr>
          <w:rFonts w:ascii="Arial" w:cs="Arial" w:eastAsia="Arial" w:hAnsi="Arial"/>
          <w:sz w:val="18"/>
          <w:szCs w:val="18"/>
          <w:color w:val="auto"/>
        </w:rPr>
        <w:t>LNG is subject to “boil-off”, a natural loss of gas volume over time when LNG is exposed to environments with temperatures above its optimum storage state. Boil-off losses are expensed through Cost of sales in the condensed consolidated statements of operations and comprehensive loss in instances where gas cannot be contained and recycled back into the production process in the period in which the loss occurs.</w:t>
      </w:r>
    </w:p>
    <w:p>
      <w:pPr>
        <w:spacing w:after="0" w:line="75" w:lineRule="exact"/>
        <w:rPr>
          <w:rFonts w:ascii="Arial" w:cs="Arial" w:eastAsia="Arial" w:hAnsi="Arial"/>
          <w:sz w:val="18"/>
          <w:szCs w:val="18"/>
          <w:color w:val="auto"/>
        </w:rPr>
      </w:pPr>
    </w:p>
    <w:p>
      <w:pPr>
        <w:ind w:left="700" w:hanging="34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Construction in progress</w:t>
      </w:r>
    </w:p>
    <w:p>
      <w:pPr>
        <w:spacing w:after="0" w:line="118" w:lineRule="exact"/>
        <w:rPr>
          <w:rFonts w:ascii="Arial" w:cs="Arial" w:eastAsia="Arial" w:hAnsi="Arial"/>
          <w:sz w:val="18"/>
          <w:szCs w:val="18"/>
          <w:color w:val="auto"/>
        </w:rPr>
      </w:pPr>
    </w:p>
    <w:p>
      <w:pPr>
        <w:jc w:val="both"/>
        <w:ind w:left="720" w:right="80"/>
        <w:spacing w:after="0" w:line="309" w:lineRule="auto"/>
        <w:rPr>
          <w:rFonts w:ascii="Arial" w:cs="Arial" w:eastAsia="Arial" w:hAnsi="Arial"/>
          <w:sz w:val="18"/>
          <w:szCs w:val="18"/>
          <w:color w:val="auto"/>
        </w:rPr>
      </w:pPr>
      <w:r>
        <w:rPr>
          <w:rFonts w:ascii="Arial" w:cs="Arial" w:eastAsia="Arial" w:hAnsi="Arial"/>
          <w:sz w:val="16"/>
          <w:szCs w:val="16"/>
          <w:color w:val="auto"/>
        </w:rPr>
        <w:t>Construction in progress is recorded at cost, and at the point at which the constructed asset in progress is put into use, the full cost of the asset is reclassified from Construction in progress to Property, plant and equipment, net or Finance leases, net on the condensed consolidated balance sheets. Depreciation is not recognized during the construction period.</w:t>
      </w:r>
    </w:p>
    <w:p>
      <w:pPr>
        <w:spacing w:after="0" w:line="40" w:lineRule="exact"/>
        <w:rPr>
          <w:rFonts w:ascii="Arial" w:cs="Arial" w:eastAsia="Arial" w:hAnsi="Arial"/>
          <w:sz w:val="18"/>
          <w:szCs w:val="18"/>
          <w:color w:val="auto"/>
        </w:rPr>
      </w:pPr>
    </w:p>
    <w:p>
      <w:pPr>
        <w:ind w:left="720" w:right="140"/>
        <w:spacing w:after="0" w:line="257" w:lineRule="auto"/>
        <w:rPr>
          <w:rFonts w:ascii="Arial" w:cs="Arial" w:eastAsia="Arial" w:hAnsi="Arial"/>
          <w:sz w:val="18"/>
          <w:szCs w:val="18"/>
          <w:color w:val="auto"/>
        </w:rPr>
      </w:pPr>
      <w:r>
        <w:rPr>
          <w:rFonts w:ascii="Arial" w:cs="Arial" w:eastAsia="Arial" w:hAnsi="Arial"/>
          <w:sz w:val="18"/>
          <w:szCs w:val="18"/>
          <w:color w:val="auto"/>
        </w:rPr>
        <w:t>The interest cost associated with major development and construction projects is capitalized during the construction period and included in the cost of the project in Construction in progress. Interest expense of $59 and $0 was capitalized during the nine months ended September 30, 2018 and 2017, respectively, inclusive of amortized debt issuance costs disclosed in Note 2(m).</w:t>
      </w:r>
    </w:p>
    <w:p>
      <w:pPr>
        <w:spacing w:after="0" w:line="75" w:lineRule="exact"/>
        <w:rPr>
          <w:rFonts w:ascii="Arial" w:cs="Arial" w:eastAsia="Arial" w:hAnsi="Arial"/>
          <w:sz w:val="18"/>
          <w:szCs w:val="18"/>
          <w:color w:val="auto"/>
        </w:rPr>
      </w:pPr>
    </w:p>
    <w:p>
      <w:pPr>
        <w:ind w:left="700" w:hanging="34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Property, plant and equipment, net</w:t>
      </w:r>
    </w:p>
    <w:p>
      <w:pPr>
        <w:spacing w:after="0" w:line="118" w:lineRule="exact"/>
        <w:rPr>
          <w:rFonts w:ascii="Arial" w:cs="Arial" w:eastAsia="Arial" w:hAnsi="Arial"/>
          <w:sz w:val="18"/>
          <w:szCs w:val="18"/>
          <w:color w:val="auto"/>
        </w:rPr>
      </w:pPr>
    </w:p>
    <w:p>
      <w:pPr>
        <w:ind w:left="720" w:right="60"/>
        <w:spacing w:after="0" w:line="255" w:lineRule="auto"/>
        <w:rPr>
          <w:rFonts w:ascii="Arial" w:cs="Arial" w:eastAsia="Arial" w:hAnsi="Arial"/>
          <w:sz w:val="18"/>
          <w:szCs w:val="18"/>
          <w:color w:val="auto"/>
        </w:rPr>
      </w:pPr>
      <w:r>
        <w:rPr>
          <w:rFonts w:ascii="Arial" w:cs="Arial" w:eastAsia="Arial" w:hAnsi="Arial"/>
          <w:sz w:val="18"/>
          <w:szCs w:val="18"/>
          <w:color w:val="auto"/>
        </w:rPr>
        <w:t>Property, plant and equipment is recorded at cost. Expenditures for construction activities and betterments that extend the useful life of the asset are capitalized, while expenditures for maintenance and repairs are charged to expense as incurred within Operations and maintenance in the condensed consolidated statements of operations and comprehensive loss. The Company depreciates property, plant and equipment using the straight-line depreciation method over the estimated economic useful life of the asset.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31" w:lineRule="exact"/>
        <w:rPr>
          <w:sz w:val="20"/>
          <w:szCs w:val="20"/>
          <w:color w:val="auto"/>
        </w:rPr>
      </w:pPr>
    </w:p>
    <w:tbl>
      <w:tblPr>
        <w:tblLayout w:type="fixed"/>
        <w:tblInd w:w="76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Useful life (Yrs)</w:t>
            </w:r>
          </w:p>
        </w:tc>
      </w:tr>
      <w:tr>
        <w:trPr>
          <w:trHeight w:val="241"/>
        </w:trPr>
        <w:tc>
          <w:tcPr>
            <w:tcW w:w="20" w:type="dxa"/>
            <w:vAlign w:val="bottom"/>
          </w:tcPr>
          <w:p>
            <w:pPr>
              <w:spacing w:after="0"/>
              <w:rPr>
                <w:sz w:val="20"/>
                <w:szCs w:val="20"/>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1380" w:type="dxa"/>
            <w:vAlign w:val="bottom"/>
            <w:tcBorders>
              <w:top w:val="single" w:sz="8" w:color="auto"/>
            </w:tcBorders>
            <w:shd w:val="clear" w:color="auto" w:fill="CCEEFF"/>
          </w:tcPr>
          <w:p>
            <w:pPr>
              <w:jc w:val="center"/>
              <w:ind w:left="14"/>
              <w:spacing w:after="0"/>
              <w:rPr>
                <w:sz w:val="20"/>
                <w:szCs w:val="20"/>
                <w:color w:val="auto"/>
              </w:rPr>
            </w:pPr>
            <w:r>
              <w:rPr>
                <w:rFonts w:ascii="Arial" w:cs="Arial" w:eastAsia="Arial" w:hAnsi="Arial"/>
                <w:sz w:val="18"/>
                <w:szCs w:val="18"/>
                <w:color w:val="auto"/>
                <w:w w:val="86"/>
              </w:rPr>
              <w:t>20-30</w:t>
            </w:r>
          </w:p>
        </w:tc>
        <w:tc>
          <w:tcPr>
            <w:tcW w:w="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ISO containers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8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Computer equipment</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9"/>
                <w:szCs w:val="19"/>
                <w:color w:val="auto"/>
              </w:rPr>
            </w:pPr>
          </w:p>
        </w:tc>
      </w:tr>
    </w:tbl>
    <w:p>
      <w:pPr>
        <w:spacing w:after="0" w:line="105" w:lineRule="exact"/>
        <w:rPr>
          <w:sz w:val="20"/>
          <w:szCs w:val="20"/>
          <w:color w:val="auto"/>
        </w:rPr>
      </w:pPr>
    </w:p>
    <w:p>
      <w:pPr>
        <w:ind w:left="720" w:right="160"/>
        <w:spacing w:after="0" w:line="274" w:lineRule="auto"/>
        <w:rPr>
          <w:sz w:val="20"/>
          <w:szCs w:val="20"/>
          <w:color w:val="auto"/>
        </w:rPr>
      </w:pPr>
      <w:r>
        <w:rPr>
          <w:rFonts w:ascii="Arial" w:cs="Arial" w:eastAsia="Arial" w:hAnsi="Arial"/>
          <w:sz w:val="18"/>
          <w:szCs w:val="18"/>
          <w:color w:val="auto"/>
        </w:rPr>
        <w:t>The Company reviews the remaining useful life of its assets on a regular basis to determine whether changes have taken place that would suggest that a change in its depreciation policies is warranted.</w:t>
      </w:r>
    </w:p>
    <w:p>
      <w:pPr>
        <w:spacing w:after="0" w:line="64" w:lineRule="exact"/>
        <w:rPr>
          <w:sz w:val="20"/>
          <w:szCs w:val="20"/>
          <w:color w:val="auto"/>
        </w:rPr>
      </w:pPr>
    </w:p>
    <w:p>
      <w:pPr>
        <w:ind w:left="720" w:right="80"/>
        <w:spacing w:after="0" w:line="261" w:lineRule="auto"/>
        <w:rPr>
          <w:sz w:val="20"/>
          <w:szCs w:val="20"/>
          <w:color w:val="auto"/>
        </w:rPr>
      </w:pPr>
      <w:r>
        <w:rPr>
          <w:rFonts w:ascii="Arial" w:cs="Arial" w:eastAsia="Arial" w:hAnsi="Arial"/>
          <w:sz w:val="18"/>
          <w:szCs w:val="18"/>
          <w:color w:val="auto"/>
        </w:rPr>
        <w:t>Upon retirement or disposal of property, plant and equipment, the cost and related accumulated depreciation are removed from the account, and the resulting gains or losses, if any, are recorded in the condensed consolidated statements of operations and comprehensive loss.</w:t>
      </w:r>
    </w:p>
    <w:p>
      <w:pPr>
        <w:spacing w:after="0" w:line="72" w:lineRule="exact"/>
        <w:rPr>
          <w:sz w:val="20"/>
          <w:szCs w:val="20"/>
          <w:color w:val="auto"/>
        </w:rPr>
      </w:pPr>
    </w:p>
    <w:p>
      <w:pPr>
        <w:ind w:left="700" w:hanging="34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Asset retirement obligations (“AROs”)</w:t>
      </w:r>
    </w:p>
    <w:p>
      <w:pPr>
        <w:spacing w:after="0" w:line="118" w:lineRule="exact"/>
        <w:rPr>
          <w:rFonts w:ascii="Arial" w:cs="Arial" w:eastAsia="Arial" w:hAnsi="Arial"/>
          <w:sz w:val="18"/>
          <w:szCs w:val="18"/>
          <w:color w:val="auto"/>
        </w:rPr>
      </w:pPr>
    </w:p>
    <w:p>
      <w:pPr>
        <w:ind w:left="720" w:right="80"/>
        <w:spacing w:after="0" w:line="271" w:lineRule="auto"/>
        <w:rPr>
          <w:rFonts w:ascii="Arial" w:cs="Arial" w:eastAsia="Arial" w:hAnsi="Arial"/>
          <w:sz w:val="18"/>
          <w:szCs w:val="18"/>
          <w:color w:val="auto"/>
        </w:rPr>
      </w:pPr>
      <w:r>
        <w:rPr>
          <w:rFonts w:ascii="Arial" w:cs="Arial" w:eastAsia="Arial" w:hAnsi="Arial"/>
          <w:sz w:val="17"/>
          <w:szCs w:val="17"/>
          <w:color w:val="auto"/>
        </w:rPr>
        <w:t>AROs are recognized for legal obligations associated with the retirement of long-lived assets that result from the acquisition, leasing, construction, development and/or normal use of the assets and for conditional AROs in which the timing or method of settlement are conditional on a future event. The fair value of a liability for an ARO is recognized in the period in which it is incurred if a reasonable estimate of fair value can be made and is accreted to its final value over the life of the liability. The initial fair value of the liability is added to the carrying amount of the associated asset. This additional carrying amount is depreciated over the estimated useful life of the asset.</w:t>
      </w:r>
    </w:p>
    <w:p>
      <w:pPr>
        <w:spacing w:after="0" w:line="70" w:lineRule="exact"/>
        <w:rPr>
          <w:rFonts w:ascii="Arial" w:cs="Arial" w:eastAsia="Arial" w:hAnsi="Arial"/>
          <w:sz w:val="18"/>
          <w:szCs w:val="18"/>
          <w:color w:val="auto"/>
        </w:rPr>
      </w:pPr>
    </w:p>
    <w:p>
      <w:pPr>
        <w:ind w:left="720" w:right="80"/>
        <w:spacing w:after="0" w:line="257" w:lineRule="auto"/>
        <w:rPr>
          <w:rFonts w:ascii="Arial" w:cs="Arial" w:eastAsia="Arial" w:hAnsi="Arial"/>
          <w:sz w:val="18"/>
          <w:szCs w:val="18"/>
          <w:color w:val="auto"/>
        </w:rPr>
      </w:pPr>
      <w:r>
        <w:rPr>
          <w:rFonts w:ascii="Arial" w:cs="Arial" w:eastAsia="Arial" w:hAnsi="Arial"/>
          <w:sz w:val="18"/>
          <w:szCs w:val="18"/>
          <w:color w:val="auto"/>
        </w:rPr>
        <w:t>The Company estimates the fair value of the ARO liability based on the present value of expected cash flows using a credit-adjusted risk-free rate. Liabilities for AROs may be incurred over more than one reporting period if the events that create the obligation occur over more than one period or if estimates change. There were no settlements of AROs during the nine-month periods ended September 30, 2018 and 2017.</w:t>
      </w:r>
    </w:p>
    <w:p>
      <w:pPr>
        <w:spacing w:after="0" w:line="75" w:lineRule="exact"/>
        <w:rPr>
          <w:rFonts w:ascii="Arial" w:cs="Arial" w:eastAsia="Arial" w:hAnsi="Arial"/>
          <w:sz w:val="18"/>
          <w:szCs w:val="18"/>
          <w:color w:val="auto"/>
        </w:rPr>
      </w:pPr>
    </w:p>
    <w:p>
      <w:pPr>
        <w:ind w:left="700" w:hanging="34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w:t>
      </w:r>
    </w:p>
    <w:p>
      <w:pPr>
        <w:spacing w:after="0" w:line="118" w:lineRule="exact"/>
        <w:rPr>
          <w:rFonts w:ascii="Arial" w:cs="Arial" w:eastAsia="Arial" w:hAnsi="Arial"/>
          <w:sz w:val="18"/>
          <w:szCs w:val="18"/>
          <w:color w:val="auto"/>
        </w:rPr>
      </w:pPr>
    </w:p>
    <w:p>
      <w:pPr>
        <w:ind w:left="720"/>
        <w:spacing w:after="0" w:line="255" w:lineRule="auto"/>
        <w:rPr>
          <w:rFonts w:ascii="Arial" w:cs="Arial" w:eastAsia="Arial" w:hAnsi="Arial"/>
          <w:sz w:val="18"/>
          <w:szCs w:val="18"/>
          <w:color w:val="auto"/>
        </w:rPr>
      </w:pPr>
      <w:r>
        <w:rPr>
          <w:rFonts w:ascii="Arial" w:cs="Arial" w:eastAsia="Arial" w:hAnsi="Arial"/>
          <w:sz w:val="18"/>
          <w:szCs w:val="18"/>
          <w:color w:val="auto"/>
        </w:rPr>
        <w:t>The Company performs a recoverability assessment of each of its long-lived assets whenever events or changes in circumstances, or indicators, indicate that the carrying amount of an asset may not be recoverable. Indicators may include, but are not limited to, a significant supply contract restructuring or early termination; significant decrease in LNG and natural gas demand; a decision to discontinue the development of a long-lived asset; or the introduction of newer technology.</w:t>
      </w:r>
    </w:p>
    <w:p>
      <w:pPr>
        <w:spacing w:after="0" w:line="80" w:lineRule="exact"/>
        <w:rPr>
          <w:rFonts w:ascii="Arial" w:cs="Arial" w:eastAsia="Arial" w:hAnsi="Arial"/>
          <w:sz w:val="18"/>
          <w:szCs w:val="18"/>
          <w:color w:val="auto"/>
        </w:rPr>
      </w:pPr>
    </w:p>
    <w:p>
      <w:pPr>
        <w:ind w:left="720"/>
        <w:spacing w:after="0" w:line="309" w:lineRule="auto"/>
        <w:rPr>
          <w:rFonts w:ascii="Arial" w:cs="Arial" w:eastAsia="Arial" w:hAnsi="Arial"/>
          <w:sz w:val="18"/>
          <w:szCs w:val="18"/>
          <w:color w:val="auto"/>
        </w:rPr>
      </w:pPr>
      <w:r>
        <w:rPr>
          <w:rFonts w:ascii="Arial" w:cs="Arial" w:eastAsia="Arial" w:hAnsi="Arial"/>
          <w:sz w:val="16"/>
          <w:szCs w:val="16"/>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40" w:lineRule="exact"/>
        <w:rPr>
          <w:rFonts w:ascii="Arial" w:cs="Arial" w:eastAsia="Arial" w:hAnsi="Arial"/>
          <w:sz w:val="18"/>
          <w:szCs w:val="18"/>
          <w:color w:val="auto"/>
        </w:rPr>
      </w:pPr>
    </w:p>
    <w:p>
      <w:pPr>
        <w:ind w:left="720" w:right="40"/>
        <w:spacing w:after="0" w:line="309" w:lineRule="auto"/>
        <w:rPr>
          <w:rFonts w:ascii="Arial" w:cs="Arial" w:eastAsia="Arial" w:hAnsi="Arial"/>
          <w:sz w:val="18"/>
          <w:szCs w:val="18"/>
          <w:color w:val="auto"/>
        </w:rPr>
      </w:pPr>
      <w:r>
        <w:rPr>
          <w:rFonts w:ascii="Arial" w:cs="Arial" w:eastAsia="Arial" w:hAnsi="Arial"/>
          <w:sz w:val="16"/>
          <w:szCs w:val="16"/>
          <w:color w:val="auto"/>
        </w:rPr>
        <w:t>Management develops the assumptions used in the recoverability assessment based on active contracts, current and future expectations of the demand for LNG and natural gas as well as information received from third party industry sources. The Company did not record an impairment during the nine months ended September 30, 2018 and 2017.</w:t>
      </w:r>
    </w:p>
    <w:p>
      <w:pPr>
        <w:spacing w:after="0" w:line="36" w:lineRule="exact"/>
        <w:rPr>
          <w:rFonts w:ascii="Arial" w:cs="Arial" w:eastAsia="Arial" w:hAnsi="Arial"/>
          <w:sz w:val="18"/>
          <w:szCs w:val="18"/>
          <w:color w:val="auto"/>
        </w:rPr>
      </w:pPr>
    </w:p>
    <w:p>
      <w:pPr>
        <w:ind w:left="700" w:hanging="34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Available-for-sale investment</w:t>
      </w:r>
    </w:p>
    <w:p>
      <w:pPr>
        <w:spacing w:after="0" w:line="118" w:lineRule="exact"/>
        <w:rPr>
          <w:rFonts w:ascii="Arial" w:cs="Arial" w:eastAsia="Arial" w:hAnsi="Arial"/>
          <w:sz w:val="18"/>
          <w:szCs w:val="18"/>
          <w:color w:val="auto"/>
        </w:rPr>
      </w:pPr>
    </w:p>
    <w:p>
      <w:pPr>
        <w:ind w:left="720" w:right="20"/>
        <w:spacing w:after="0" w:line="291" w:lineRule="auto"/>
        <w:rPr>
          <w:rFonts w:ascii="Arial" w:cs="Arial" w:eastAsia="Arial" w:hAnsi="Arial"/>
          <w:sz w:val="18"/>
          <w:szCs w:val="18"/>
          <w:color w:val="auto"/>
        </w:rPr>
      </w:pPr>
      <w:r>
        <w:rPr>
          <w:rFonts w:ascii="Arial" w:cs="Arial" w:eastAsia="Arial" w:hAnsi="Arial"/>
          <w:sz w:val="16"/>
          <w:szCs w:val="16"/>
          <w:color w:val="auto"/>
        </w:rPr>
        <w:t>The Company considers listed equity securities as available-for-sale securities recorded at fair value with unrealized gains or losses recorded in Other comprehensive (loss) and realized gains or losses recorded in earnings in Other (income), net in the condensed consolidated statements of operations and comprehensive loss. The Company’s basis on which the cost of the security sold or the amount reclassified out of other comprehensive income into earnings is determined using specific identification. At each balance sheet date, the Company evaluates its available-for-sale securities with unrealized losses, if any, to determine if an other-than-temporary impairment has occurred (see Note 8).</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09" w:lineRule="exact"/>
        <w:rPr>
          <w:sz w:val="20"/>
          <w:szCs w:val="20"/>
          <w:color w:val="auto"/>
        </w:rPr>
      </w:pPr>
    </w:p>
    <w:p>
      <w:pPr>
        <w:ind w:left="700" w:hanging="34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Long-term debt and debt issuance costs</w:t>
      </w:r>
    </w:p>
    <w:p>
      <w:pPr>
        <w:spacing w:after="0" w:line="118" w:lineRule="exact"/>
        <w:rPr>
          <w:rFonts w:ascii="Arial" w:cs="Arial" w:eastAsia="Arial" w:hAnsi="Arial"/>
          <w:sz w:val="18"/>
          <w:szCs w:val="18"/>
          <w:color w:val="auto"/>
        </w:rPr>
      </w:pPr>
    </w:p>
    <w:p>
      <w:pPr>
        <w:ind w:left="720"/>
        <w:spacing w:after="0" w:line="254" w:lineRule="auto"/>
        <w:rPr>
          <w:rFonts w:ascii="Arial" w:cs="Arial" w:eastAsia="Arial" w:hAnsi="Arial"/>
          <w:sz w:val="18"/>
          <w:szCs w:val="18"/>
          <w:color w:val="auto"/>
        </w:rPr>
      </w:pPr>
      <w:r>
        <w:rPr>
          <w:rFonts w:ascii="Arial" w:cs="Arial" w:eastAsia="Arial" w:hAnsi="Arial"/>
          <w:sz w:val="18"/>
          <w:szCs w:val="18"/>
          <w:color w:val="auto"/>
        </w:rPr>
        <w:t>The Company’s debt consists of credit facilities with banks. Costs directly related to the issuance of debt are reported on the condensed consolidated balance sheets as a reduction from the carrying amount of the recognized debt liability and amortized over the term of the debt. Interest and related amortization of debt issuance costs recognized during major development and construction projects are capitalized and included in the cost of the project. Amortization of debt issuance costs were $1,469 and $522 for nine months ended September 30, 2018 and 2017, respectively, of which $30 and $0 were capitalized.</w:t>
      </w:r>
    </w:p>
    <w:p>
      <w:pPr>
        <w:spacing w:after="0" w:line="76" w:lineRule="exact"/>
        <w:rPr>
          <w:rFonts w:ascii="Arial" w:cs="Arial" w:eastAsia="Arial" w:hAnsi="Arial"/>
          <w:sz w:val="18"/>
          <w:szCs w:val="18"/>
          <w:color w:val="auto"/>
        </w:rPr>
      </w:pPr>
    </w:p>
    <w:p>
      <w:pPr>
        <w:ind w:left="700" w:hanging="34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Legal and contingencies</w:t>
      </w:r>
    </w:p>
    <w:p>
      <w:pPr>
        <w:spacing w:after="0" w:line="118" w:lineRule="exact"/>
        <w:rPr>
          <w:rFonts w:ascii="Arial" w:cs="Arial" w:eastAsia="Arial" w:hAnsi="Arial"/>
          <w:sz w:val="18"/>
          <w:szCs w:val="18"/>
          <w:color w:val="auto"/>
        </w:rPr>
      </w:pPr>
    </w:p>
    <w:p>
      <w:pPr>
        <w:ind w:left="720" w:right="160"/>
        <w:spacing w:after="0" w:line="291" w:lineRule="auto"/>
        <w:rPr>
          <w:rFonts w:ascii="Arial" w:cs="Arial" w:eastAsia="Arial" w:hAnsi="Arial"/>
          <w:sz w:val="18"/>
          <w:szCs w:val="18"/>
          <w:color w:val="auto"/>
        </w:rPr>
      </w:pPr>
      <w:r>
        <w:rPr>
          <w:rFonts w:ascii="Arial" w:cs="Arial" w:eastAsia="Arial" w:hAnsi="Arial"/>
          <w:sz w:val="16"/>
          <w:szCs w:val="16"/>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condensed consolidated statements of operations and comprehensive loss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they are realized.</w:t>
      </w:r>
    </w:p>
    <w:p>
      <w:pPr>
        <w:spacing w:after="0" w:line="52" w:lineRule="exact"/>
        <w:rPr>
          <w:rFonts w:ascii="Arial" w:cs="Arial" w:eastAsia="Arial" w:hAnsi="Arial"/>
          <w:sz w:val="18"/>
          <w:szCs w:val="18"/>
          <w:color w:val="auto"/>
        </w:rPr>
      </w:pPr>
    </w:p>
    <w:p>
      <w:pPr>
        <w:ind w:left="700" w:hanging="34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Revenue recognition</w:t>
      </w:r>
    </w:p>
    <w:p>
      <w:pPr>
        <w:spacing w:after="0" w:line="118" w:lineRule="exact"/>
        <w:rPr>
          <w:rFonts w:ascii="Arial" w:cs="Arial" w:eastAsia="Arial" w:hAnsi="Arial"/>
          <w:sz w:val="18"/>
          <w:szCs w:val="18"/>
          <w:color w:val="auto"/>
        </w:rPr>
      </w:pPr>
    </w:p>
    <w:p>
      <w:pPr>
        <w:ind w:left="720" w:right="20"/>
        <w:spacing w:after="0" w:line="255" w:lineRule="auto"/>
        <w:rPr>
          <w:rFonts w:ascii="Arial" w:cs="Arial" w:eastAsia="Arial" w:hAnsi="Arial"/>
          <w:sz w:val="18"/>
          <w:szCs w:val="18"/>
          <w:color w:val="auto"/>
        </w:rPr>
      </w:pPr>
      <w:r>
        <w:rPr>
          <w:rFonts w:ascii="Arial" w:cs="Arial" w:eastAsia="Arial" w:hAnsi="Arial"/>
          <w:sz w:val="18"/>
          <w:szCs w:val="18"/>
          <w:color w:val="auto"/>
        </w:rPr>
        <w:t>Operating revenues from the sales of LNG and natural gas are recognized when the LNG or natural gas is delivered to the customer, either when the natural gas arrives at the customer’s flange or at the time that title to the LNG is transferred to the customer. Title typically transfers either when shipped or delivered to the customers’ storage facilities, depending on the terms of the contract. Shipping and handling costs related to the Company’s sales of LNG and natural gas are included in Cost of sales.</w:t>
      </w:r>
    </w:p>
    <w:p>
      <w:pPr>
        <w:spacing w:after="0" w:line="80" w:lineRule="exact"/>
        <w:rPr>
          <w:rFonts w:ascii="Arial" w:cs="Arial" w:eastAsia="Arial" w:hAnsi="Arial"/>
          <w:sz w:val="18"/>
          <w:szCs w:val="18"/>
          <w:color w:val="auto"/>
        </w:rPr>
      </w:pPr>
    </w:p>
    <w:p>
      <w:pPr>
        <w:ind w:left="720" w:right="260"/>
        <w:spacing w:after="0" w:line="284" w:lineRule="auto"/>
        <w:rPr>
          <w:rFonts w:ascii="Arial" w:cs="Arial" w:eastAsia="Arial" w:hAnsi="Arial"/>
          <w:sz w:val="18"/>
          <w:szCs w:val="18"/>
          <w:color w:val="auto"/>
        </w:rPr>
      </w:pPr>
      <w:r>
        <w:rPr>
          <w:rFonts w:ascii="Arial" w:cs="Arial" w:eastAsia="Arial" w:hAnsi="Arial"/>
          <w:sz w:val="17"/>
          <w:szCs w:val="17"/>
          <w:color w:val="auto"/>
        </w:rPr>
        <w:t>The Company collects sales taxes from its customers on sales of taxable products and remits such collections to the appropriate taxing authority. Sales tax collections are presented in the condensed consolidated statements of operations and comprehensive loss on a net basis and, accordingly, are excluded from reported revenues.</w:t>
      </w:r>
    </w:p>
    <w:p>
      <w:pPr>
        <w:spacing w:after="0" w:line="57" w:lineRule="exact"/>
        <w:rPr>
          <w:rFonts w:ascii="Arial" w:cs="Arial" w:eastAsia="Arial" w:hAnsi="Arial"/>
          <w:sz w:val="18"/>
          <w:szCs w:val="18"/>
          <w:color w:val="auto"/>
        </w:rPr>
      </w:pPr>
    </w:p>
    <w:p>
      <w:pPr>
        <w:ind w:left="720" w:right="40"/>
        <w:spacing w:after="0" w:line="271" w:lineRule="auto"/>
        <w:rPr>
          <w:rFonts w:ascii="Arial" w:cs="Arial" w:eastAsia="Arial" w:hAnsi="Arial"/>
          <w:sz w:val="18"/>
          <w:szCs w:val="18"/>
          <w:color w:val="auto"/>
        </w:rPr>
      </w:pPr>
      <w:r>
        <w:rPr>
          <w:rFonts w:ascii="Arial" w:cs="Arial" w:eastAsia="Arial" w:hAnsi="Arial"/>
          <w:sz w:val="17"/>
          <w:szCs w:val="17"/>
          <w:color w:val="auto"/>
        </w:rPr>
        <w:t>The Company leases certain facilities and equipment to its customers which are accounted for as direct financing leases. Direct financing leases, net represents the minimum lease payments due, net of unearned revenue. The lease payments are segregated into principal and interest components similar to a loan. Unearned revenue is recognized on an effective interest method over the lease term and Other revenue in the condensed consolidated statements of operations and comprehensive loss is primarily comprised of such interest revenue. The principal components of the lease payment are reflected as a reduction to the net investment in the finance lease.</w:t>
      </w:r>
    </w:p>
    <w:p>
      <w:pPr>
        <w:spacing w:after="0" w:line="70" w:lineRule="exact"/>
        <w:rPr>
          <w:rFonts w:ascii="Arial" w:cs="Arial" w:eastAsia="Arial" w:hAnsi="Arial"/>
          <w:sz w:val="18"/>
          <w:szCs w:val="18"/>
          <w:color w:val="auto"/>
        </w:rPr>
      </w:pPr>
    </w:p>
    <w:p>
      <w:pPr>
        <w:ind w:left="720" w:right="200"/>
        <w:spacing w:after="0" w:line="261" w:lineRule="auto"/>
        <w:rPr>
          <w:rFonts w:ascii="Arial" w:cs="Arial" w:eastAsia="Arial" w:hAnsi="Arial"/>
          <w:sz w:val="18"/>
          <w:szCs w:val="18"/>
          <w:color w:val="auto"/>
        </w:rPr>
      </w:pPr>
      <w:r>
        <w:rPr>
          <w:rFonts w:ascii="Arial" w:cs="Arial" w:eastAsia="Arial" w:hAnsi="Arial"/>
          <w:sz w:val="18"/>
          <w:szCs w:val="18"/>
          <w:color w:val="auto"/>
        </w:rPr>
        <w:t>The Company’s contracts with customers to supply LNG may contain a lease of equipment. The Company allocates consideration received from customers between lease and non-lease components based on the relative fair value of each component.</w:t>
      </w:r>
    </w:p>
    <w:p>
      <w:pPr>
        <w:spacing w:after="0" w:line="71" w:lineRule="exact"/>
        <w:rPr>
          <w:rFonts w:ascii="Arial" w:cs="Arial" w:eastAsia="Arial" w:hAnsi="Arial"/>
          <w:sz w:val="18"/>
          <w:szCs w:val="18"/>
          <w:color w:val="auto"/>
        </w:rPr>
      </w:pPr>
    </w:p>
    <w:p>
      <w:pPr>
        <w:ind w:left="700" w:hanging="34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Leases, as lessee</w:t>
      </w:r>
    </w:p>
    <w:p>
      <w:pPr>
        <w:spacing w:after="0" w:line="118" w:lineRule="exact"/>
        <w:rPr>
          <w:rFonts w:ascii="Arial" w:cs="Arial" w:eastAsia="Arial" w:hAnsi="Arial"/>
          <w:sz w:val="18"/>
          <w:szCs w:val="18"/>
          <w:color w:val="auto"/>
        </w:rPr>
      </w:pPr>
    </w:p>
    <w:p>
      <w:pPr>
        <w:ind w:left="720" w:right="120"/>
        <w:spacing w:after="0" w:line="309" w:lineRule="auto"/>
        <w:rPr>
          <w:rFonts w:ascii="Arial" w:cs="Arial" w:eastAsia="Arial" w:hAnsi="Arial"/>
          <w:sz w:val="18"/>
          <w:szCs w:val="18"/>
          <w:color w:val="auto"/>
        </w:rPr>
      </w:pPr>
      <w:r>
        <w:rPr>
          <w:rFonts w:ascii="Arial" w:cs="Arial" w:eastAsia="Arial" w:hAnsi="Arial"/>
          <w:sz w:val="16"/>
          <w:szCs w:val="16"/>
          <w:color w:val="auto"/>
        </w:rPr>
        <w:t xml:space="preserve">Lease agreements are evaluated to determine whether they are capital or operating leases. When substantially all of the risks and benefits of property ownership have been transferred to the Company, as determined by the test criteria in ASC 840, </w:t>
      </w:r>
      <w:r>
        <w:rPr>
          <w:rFonts w:ascii="Arial" w:cs="Arial" w:eastAsia="Arial" w:hAnsi="Arial"/>
          <w:sz w:val="16"/>
          <w:szCs w:val="16"/>
          <w:i w:val="1"/>
          <w:iCs w:val="1"/>
          <w:color w:val="auto"/>
        </w:rPr>
        <w:t>Leases</w:t>
      </w:r>
      <w:r>
        <w:rPr>
          <w:rFonts w:ascii="Arial" w:cs="Arial" w:eastAsia="Arial" w:hAnsi="Arial"/>
          <w:sz w:val="16"/>
          <w:szCs w:val="16"/>
          <w:color w:val="auto"/>
        </w:rPr>
        <w:t>, the lease is recognized as a capital lease. All other leases are classified as operating leases.</w:t>
      </w:r>
    </w:p>
    <w:p>
      <w:pPr>
        <w:spacing w:after="0" w:line="40" w:lineRule="exact"/>
        <w:rPr>
          <w:rFonts w:ascii="Arial" w:cs="Arial" w:eastAsia="Arial" w:hAnsi="Arial"/>
          <w:sz w:val="18"/>
          <w:szCs w:val="18"/>
          <w:color w:val="auto"/>
        </w:rPr>
      </w:pPr>
    </w:p>
    <w:p>
      <w:pPr>
        <w:ind w:left="720" w:right="960"/>
        <w:spacing w:after="0" w:line="274" w:lineRule="auto"/>
        <w:rPr>
          <w:rFonts w:ascii="Arial" w:cs="Arial" w:eastAsia="Arial" w:hAnsi="Arial"/>
          <w:sz w:val="18"/>
          <w:szCs w:val="18"/>
          <w:color w:val="auto"/>
        </w:rPr>
      </w:pPr>
      <w:r>
        <w:rPr>
          <w:rFonts w:ascii="Arial" w:cs="Arial" w:eastAsia="Arial" w:hAnsi="Arial"/>
          <w:sz w:val="18"/>
          <w:szCs w:val="18"/>
          <w:color w:val="auto"/>
        </w:rPr>
        <w:t>Rents payable under operating leases are charged to the condensed consolidated statements of operations and comprehensive loss on a straight-line basis over the term of the relevant lease.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7" w:right="1400"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09" w:lineRule="exact"/>
        <w:rPr>
          <w:sz w:val="20"/>
          <w:szCs w:val="20"/>
          <w:color w:val="auto"/>
        </w:rPr>
      </w:pPr>
    </w:p>
    <w:p>
      <w:pPr>
        <w:ind w:left="700" w:hanging="34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Taxation</w:t>
      </w:r>
    </w:p>
    <w:p>
      <w:pPr>
        <w:spacing w:after="0" w:line="118"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 xml:space="preserve">Federal and state income </w:t>
      </w:r>
      <w:r>
        <w:rPr>
          <w:rFonts w:ascii="Arial" w:cs="Arial" w:eastAsia="Arial" w:hAnsi="Arial"/>
          <w:sz w:val="18"/>
          <w:szCs w:val="18"/>
          <w:color w:val="auto"/>
        </w:rPr>
        <w:t>taxes</w:t>
      </w:r>
    </w:p>
    <w:p>
      <w:pPr>
        <w:spacing w:after="0" w:line="114" w:lineRule="exact"/>
        <w:rPr>
          <w:rFonts w:ascii="Arial" w:cs="Arial" w:eastAsia="Arial" w:hAnsi="Arial"/>
          <w:sz w:val="18"/>
          <w:szCs w:val="18"/>
          <w:color w:val="auto"/>
        </w:rPr>
      </w:pPr>
    </w:p>
    <w:p>
      <w:pPr>
        <w:ind w:left="720" w:right="60"/>
        <w:spacing w:after="0" w:line="255" w:lineRule="auto"/>
        <w:rPr>
          <w:rFonts w:ascii="Arial" w:cs="Arial" w:eastAsia="Arial" w:hAnsi="Arial"/>
          <w:sz w:val="18"/>
          <w:szCs w:val="18"/>
          <w:color w:val="auto"/>
        </w:rPr>
      </w:pPr>
      <w:r>
        <w:rPr>
          <w:rFonts w:ascii="Arial" w:cs="Arial" w:eastAsia="Arial" w:hAnsi="Arial"/>
          <w:sz w:val="18"/>
          <w:szCs w:val="18"/>
          <w:color w:val="auto"/>
        </w:rPr>
        <w:t>New Fortress Energy Holdings LLC is a limited liability company, which is considered a pass-through entity for federal income tax purposes, and thus no provision for federal income taxes has been recognized in these condensed consolidated financial statements. The Company files tax returns in the U.S. federal jurisdiction and various state jurisdictions, as applicable. The tax returns filed by the Company since inception are subject to examination by the U.S. federal and state tax authorities.</w:t>
      </w:r>
    </w:p>
    <w:p>
      <w:pPr>
        <w:spacing w:after="0" w:line="80" w:lineRule="exact"/>
        <w:rPr>
          <w:rFonts w:ascii="Arial" w:cs="Arial" w:eastAsia="Arial" w:hAnsi="Arial"/>
          <w:sz w:val="18"/>
          <w:szCs w:val="18"/>
          <w:color w:val="auto"/>
        </w:rPr>
      </w:pPr>
    </w:p>
    <w:p>
      <w:pPr>
        <w:ind w:left="720" w:right="100"/>
        <w:spacing w:after="0" w:line="283" w:lineRule="auto"/>
        <w:rPr>
          <w:rFonts w:ascii="Arial" w:cs="Arial" w:eastAsia="Arial" w:hAnsi="Arial"/>
          <w:sz w:val="18"/>
          <w:szCs w:val="18"/>
          <w:color w:val="auto"/>
        </w:rPr>
      </w:pPr>
      <w:r>
        <w:rPr>
          <w:rFonts w:ascii="Arial" w:cs="Arial" w:eastAsia="Arial" w:hAnsi="Arial"/>
          <w:sz w:val="16"/>
          <w:szCs w:val="16"/>
          <w:color w:val="auto"/>
        </w:rPr>
        <w:t>Upon consummation of the anticipated public offering (“Proposed Offering”), the Company will contribute all of its interests in its subsidiaries and its limited assets to a subsidiary of New Fortress Energy LLC (the “Registrant”). The Registrant has elected to be taxed as a corporation and will become subject to corporate U.S. federal and state income taxes. Accordingly, a pro forma income tax provision has been disclosed as if the Company was a taxable corporation for the nine months ended September 30, 2018. Pro forma tax expense was computed using an estimated effective rate of</w:t>
      </w:r>
    </w:p>
    <w:p>
      <w:pPr>
        <w:spacing w:after="0" w:line="3" w:lineRule="exact"/>
        <w:rPr>
          <w:rFonts w:ascii="Arial" w:cs="Arial" w:eastAsia="Arial" w:hAnsi="Arial"/>
          <w:sz w:val="18"/>
          <w:szCs w:val="18"/>
          <w:color w:val="auto"/>
        </w:rPr>
      </w:pPr>
    </w:p>
    <w:p>
      <w:pPr>
        <w:ind w:left="720" w:right="80"/>
        <w:spacing w:after="0" w:line="251" w:lineRule="auto"/>
        <w:rPr>
          <w:rFonts w:ascii="Arial" w:cs="Arial" w:eastAsia="Arial" w:hAnsi="Arial"/>
          <w:sz w:val="18"/>
          <w:szCs w:val="18"/>
          <w:color w:val="auto"/>
        </w:rPr>
      </w:pPr>
      <w:r>
        <w:rPr>
          <w:rFonts w:ascii="Arial" w:cs="Arial" w:eastAsia="Arial" w:hAnsi="Arial"/>
          <w:sz w:val="18"/>
          <w:szCs w:val="18"/>
          <w:color w:val="auto"/>
        </w:rPr>
        <w:t>(0.93)%, inclusive of applicable U.S. federal, state, and foreign taxes. The Company is in a net operating loss position for the nine months ended September 30, 2018 and has assessed a valuation allowance against all of its U.S. net deferred tax assets. As such, no pro forma tax expense was computed for U.S. federal and state income tax purposes. The Company's subsidiaries incorporated in Jamaica are subject to income tax at a statutory tax rate of 25%. The pro forma tax expense is entirely attributable to Jamaica.</w:t>
      </w:r>
    </w:p>
    <w:p>
      <w:pPr>
        <w:spacing w:after="0" w:line="83" w:lineRule="exact"/>
        <w:rPr>
          <w:rFonts w:ascii="Arial" w:cs="Arial" w:eastAsia="Arial" w:hAnsi="Arial"/>
          <w:sz w:val="18"/>
          <w:szCs w:val="18"/>
          <w:color w:val="auto"/>
        </w:rPr>
      </w:pPr>
    </w:p>
    <w:p>
      <w:pPr>
        <w:ind w:left="720"/>
        <w:spacing w:after="0" w:line="253" w:lineRule="auto"/>
        <w:rPr>
          <w:rFonts w:ascii="Arial" w:cs="Arial" w:eastAsia="Arial" w:hAnsi="Arial"/>
          <w:sz w:val="18"/>
          <w:szCs w:val="18"/>
          <w:color w:val="auto"/>
        </w:rPr>
      </w:pPr>
      <w:r>
        <w:rPr>
          <w:rFonts w:ascii="Arial" w:cs="Arial" w:eastAsia="Arial" w:hAnsi="Arial"/>
          <w:sz w:val="18"/>
          <w:szCs w:val="18"/>
          <w:color w:val="auto"/>
        </w:rPr>
        <w:t>On December 22, 2017, the U.S. government enacted comprehensive tax legislation commonly referred to as the Tax Cuts and Jobs Act (the “Tax Act”), which significantly changed the U.S. tax code. The Tax Act makes broad and complex changes to the U.S. tax code that will impact many areas of taxation. Additionally, there are numerous interpretive issues and ambiguities that are not clearly addressed in current Tax Act guidance. Due to the complex nature of the Tax Act, including whether U.S. states will conform to the Tax Act in full or in part, the Company has not yet completed its accounting for the income tax effects of the Tax Act, and is not able to determine at this time the impact on the Company’s condensed consolidated financial statements.</w:t>
      </w:r>
    </w:p>
    <w:p>
      <w:pPr>
        <w:spacing w:after="0" w:line="18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Foreign taxes</w:t>
      </w:r>
    </w:p>
    <w:p>
      <w:pPr>
        <w:spacing w:after="0" w:line="114" w:lineRule="exact"/>
        <w:rPr>
          <w:rFonts w:ascii="Arial" w:cs="Arial" w:eastAsia="Arial" w:hAnsi="Arial"/>
          <w:sz w:val="18"/>
          <w:szCs w:val="18"/>
          <w:color w:val="auto"/>
        </w:rPr>
      </w:pPr>
    </w:p>
    <w:p>
      <w:pPr>
        <w:ind w:left="720" w:right="380"/>
        <w:spacing w:after="0" w:line="274" w:lineRule="auto"/>
        <w:rPr>
          <w:rFonts w:ascii="Arial" w:cs="Arial" w:eastAsia="Arial" w:hAnsi="Arial"/>
          <w:sz w:val="18"/>
          <w:szCs w:val="18"/>
          <w:color w:val="auto"/>
        </w:rPr>
      </w:pPr>
      <w:r>
        <w:rPr>
          <w:rFonts w:ascii="Arial" w:cs="Arial" w:eastAsia="Arial" w:hAnsi="Arial"/>
          <w:sz w:val="18"/>
          <w:szCs w:val="18"/>
          <w:color w:val="auto"/>
        </w:rPr>
        <w:t>Certain subsidiaries of NFE are subject to income tax in the local jurisdiction in which they operate; foreign taxes are computed based on the taxable income and the local jurisdictional tax rate.</w:t>
      </w:r>
    </w:p>
    <w:p>
      <w:pPr>
        <w:spacing w:after="0" w:line="171"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Other taxes</w:t>
      </w:r>
    </w:p>
    <w:p>
      <w:pPr>
        <w:spacing w:after="0" w:line="114" w:lineRule="exact"/>
        <w:rPr>
          <w:rFonts w:ascii="Arial" w:cs="Arial" w:eastAsia="Arial" w:hAnsi="Arial"/>
          <w:sz w:val="18"/>
          <w:szCs w:val="18"/>
          <w:color w:val="auto"/>
        </w:rPr>
      </w:pPr>
    </w:p>
    <w:p>
      <w:pPr>
        <w:ind w:left="720" w:right="160"/>
        <w:spacing w:after="0" w:line="299" w:lineRule="auto"/>
        <w:rPr>
          <w:rFonts w:ascii="Arial" w:cs="Arial" w:eastAsia="Arial" w:hAnsi="Arial"/>
          <w:sz w:val="18"/>
          <w:szCs w:val="18"/>
          <w:color w:val="auto"/>
        </w:rPr>
      </w:pPr>
      <w:r>
        <w:rPr>
          <w:rFonts w:ascii="Arial" w:cs="Arial" w:eastAsia="Arial" w:hAnsi="Arial"/>
          <w:sz w:val="16"/>
          <w:szCs w:val="16"/>
          <w:color w:val="auto"/>
        </w:rPr>
        <w:t>Certain subsidiaries of New Fortress Energy Holdings LLC may be subject to payroll taxes, excise taxes, property taxes, sales and use taxes, as well as income taxes in foreign countries in which they conduct business. In addition, certain subsidiaries are exposed to local state taxes such as franchise taxes. Local state taxes that are not income taxes are recorded within Other (income), net in the condensed consolidated statements of operations and comprehensive loss.</w:t>
      </w:r>
    </w:p>
    <w:p>
      <w:pPr>
        <w:spacing w:after="0" w:line="44" w:lineRule="exact"/>
        <w:rPr>
          <w:rFonts w:ascii="Arial" w:cs="Arial" w:eastAsia="Arial" w:hAnsi="Arial"/>
          <w:sz w:val="18"/>
          <w:szCs w:val="18"/>
          <w:color w:val="auto"/>
        </w:rPr>
      </w:pPr>
    </w:p>
    <w:p>
      <w:pPr>
        <w:ind w:left="700" w:hanging="34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Net loss per share</w:t>
      </w:r>
    </w:p>
    <w:p>
      <w:pPr>
        <w:spacing w:after="0" w:line="118" w:lineRule="exact"/>
        <w:rPr>
          <w:rFonts w:ascii="Arial" w:cs="Arial" w:eastAsia="Arial" w:hAnsi="Arial"/>
          <w:sz w:val="18"/>
          <w:szCs w:val="18"/>
          <w:color w:val="auto"/>
        </w:rPr>
      </w:pPr>
    </w:p>
    <w:p>
      <w:pPr>
        <w:ind w:left="720"/>
        <w:spacing w:after="0" w:line="271" w:lineRule="auto"/>
        <w:rPr>
          <w:rFonts w:ascii="Arial" w:cs="Arial" w:eastAsia="Arial" w:hAnsi="Arial"/>
          <w:sz w:val="18"/>
          <w:szCs w:val="18"/>
          <w:color w:val="auto"/>
        </w:rPr>
      </w:pPr>
      <w:r>
        <w:rPr>
          <w:rFonts w:ascii="Arial" w:cs="Arial" w:eastAsia="Arial" w:hAnsi="Arial"/>
          <w:sz w:val="17"/>
          <w:szCs w:val="17"/>
          <w:color w:val="auto"/>
        </w:rPr>
        <w:t>Net loss per share (“EPS”) is computed in accordance with GAAP. Basic EPS is computed by dividing net loss attributable to members by the weighted average number of common shares outstanding during the period. Diluted EPS reflects potential dilution and is computed by dividing net loss attributable to members by the weighted average number of common shares outstanding during the period increased by the number of additional common shares that would have been outstanding if all potential common shares had been issued and were dilutive. For the nine months ended September 30, 2018 and 2017 there were no potentially dilutive shares outstanding.</w:t>
      </w:r>
    </w:p>
    <w:p>
      <w:pPr>
        <w:spacing w:after="0" w:line="178"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Unaudited pro forma net loss per share</w:t>
      </w:r>
    </w:p>
    <w:p>
      <w:pPr>
        <w:spacing w:after="0" w:line="114" w:lineRule="exact"/>
        <w:rPr>
          <w:rFonts w:ascii="Arial" w:cs="Arial" w:eastAsia="Arial" w:hAnsi="Arial"/>
          <w:sz w:val="18"/>
          <w:szCs w:val="18"/>
          <w:color w:val="auto"/>
        </w:rPr>
      </w:pPr>
    </w:p>
    <w:p>
      <w:pPr>
        <w:ind w:left="720" w:right="60"/>
        <w:spacing w:after="0" w:line="261" w:lineRule="auto"/>
        <w:rPr>
          <w:rFonts w:ascii="Arial" w:cs="Arial" w:eastAsia="Arial" w:hAnsi="Arial"/>
          <w:sz w:val="18"/>
          <w:szCs w:val="18"/>
          <w:color w:val="auto"/>
        </w:rPr>
      </w:pPr>
      <w:r>
        <w:rPr>
          <w:rFonts w:ascii="Arial" w:cs="Arial" w:eastAsia="Arial" w:hAnsi="Arial"/>
          <w:sz w:val="18"/>
          <w:szCs w:val="18"/>
          <w:color w:val="auto"/>
        </w:rPr>
        <w:t>Pro forma net loss per share has been presented for the most recent period. Pro forma basic and diluted net loss per share was computed by dividing pro forma net loss by the weighted average number of common shares outstanding for the nine months ended September 30, 2018.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09" w:lineRule="exact"/>
        <w:rPr>
          <w:sz w:val="20"/>
          <w:szCs w:val="20"/>
          <w:color w:val="auto"/>
        </w:rPr>
      </w:pPr>
    </w:p>
    <w:p>
      <w:pPr>
        <w:ind w:left="360" w:hanging="355"/>
        <w:spacing w:after="0"/>
        <w:tabs>
          <w:tab w:leader="none" w:pos="3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and revised standards</w:t>
      </w:r>
    </w:p>
    <w:p>
      <w:pPr>
        <w:spacing w:after="0" w:line="118" w:lineRule="exact"/>
        <w:rPr>
          <w:rFonts w:ascii="Arial" w:cs="Arial" w:eastAsia="Arial" w:hAnsi="Arial"/>
          <w:sz w:val="18"/>
          <w:szCs w:val="18"/>
          <w:b w:val="1"/>
          <w:bCs w:val="1"/>
          <w:color w:val="auto"/>
        </w:rPr>
      </w:pPr>
    </w:p>
    <w:p>
      <w:pPr>
        <w:ind w:left="360"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75" w:lineRule="exact"/>
        <w:rPr>
          <w:rFonts w:ascii="Arial" w:cs="Arial" w:eastAsia="Arial" w:hAnsi="Arial"/>
          <w:sz w:val="18"/>
          <w:szCs w:val="18"/>
          <w:b w:val="1"/>
          <w:bCs w:val="1"/>
          <w:color w:val="auto"/>
        </w:rPr>
      </w:pPr>
    </w:p>
    <w:p>
      <w:pPr>
        <w:ind w:left="700" w:right="140" w:hanging="346"/>
        <w:spacing w:after="0" w:line="279" w:lineRule="auto"/>
        <w:tabs>
          <w:tab w:leader="none" w:pos="700"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New standards, amendments and interpretations issued but not effective for the financial year beginning January 1, 2018 and not early adopted</w:t>
      </w:r>
    </w:p>
    <w:p>
      <w:pPr>
        <w:spacing w:after="0" w:line="59" w:lineRule="exact"/>
        <w:rPr>
          <w:rFonts w:ascii="Arial" w:cs="Arial" w:eastAsia="Arial" w:hAnsi="Arial"/>
          <w:sz w:val="18"/>
          <w:szCs w:val="18"/>
          <w:color w:val="auto"/>
        </w:rPr>
      </w:pPr>
    </w:p>
    <w:p>
      <w:pPr>
        <w:ind w:left="720" w:right="60"/>
        <w:spacing w:after="0" w:line="291" w:lineRule="auto"/>
        <w:rPr>
          <w:rFonts w:ascii="Arial" w:cs="Arial" w:eastAsia="Arial" w:hAnsi="Arial"/>
          <w:sz w:val="18"/>
          <w:szCs w:val="18"/>
          <w:color w:val="auto"/>
        </w:rPr>
      </w:pPr>
      <w:r>
        <w:rPr>
          <w:rFonts w:ascii="Arial" w:cs="Arial" w:eastAsia="Arial" w:hAnsi="Arial"/>
          <w:sz w:val="16"/>
          <w:szCs w:val="16"/>
          <w:color w:val="auto"/>
        </w:rPr>
        <w:t>In September 2018, the Financial Accounting Standards Board (“FASB”) issued Accounting Standards Update (“ASU”) 2018-07, Compensation - Stock Compensation Improvements to Nonemployee Share-Based Payment Accounting, which simplifies the accounting for share-based payments granted to nonemployees for goods and services. Under ASU 2018-07, most of the guidance on such payments to nonemployees will be aligned with the requirements for share-based payments granted to employees. The Company will adopt ASU 2018-07 during the year beginning January 1, 2020 and is currently evaluating the effect that ASU 2018-07 will have on its consolidated financial statements.</w:t>
      </w:r>
    </w:p>
    <w:p>
      <w:pPr>
        <w:spacing w:after="0" w:line="56" w:lineRule="exact"/>
        <w:rPr>
          <w:rFonts w:ascii="Arial" w:cs="Arial" w:eastAsia="Arial" w:hAnsi="Arial"/>
          <w:sz w:val="18"/>
          <w:szCs w:val="18"/>
          <w:color w:val="auto"/>
        </w:rPr>
      </w:pPr>
    </w:p>
    <w:p>
      <w:pPr>
        <w:ind w:left="720" w:right="40"/>
        <w:spacing w:after="0" w:line="254" w:lineRule="auto"/>
        <w:rPr>
          <w:rFonts w:ascii="Arial" w:cs="Arial" w:eastAsia="Arial" w:hAnsi="Arial"/>
          <w:sz w:val="18"/>
          <w:szCs w:val="18"/>
          <w:color w:val="auto"/>
        </w:rPr>
      </w:pPr>
      <w:r>
        <w:rPr>
          <w:rFonts w:ascii="Arial" w:cs="Arial" w:eastAsia="Arial" w:hAnsi="Arial"/>
          <w:sz w:val="18"/>
          <w:szCs w:val="18"/>
          <w:color w:val="auto"/>
        </w:rPr>
        <w:t>In February 2018, the FASB issued ASU 2018-02, Income Statement: Reporting Comprehensive Income (Topic 220) which allows a reclassification from accumulated other comprehensive income (loss) to retained earnings for stranded tax effects resulting from the Tax Act. The standard is effective for fiscal years beginning after December 15, 2018, including interim periods within those fiscal years. Early adoption is permitted for any interim and annual financial statements that have not yet been issued. The Company is currently evaluating the impact of adopting this new guidance on its consolidated financial statements.</w:t>
      </w:r>
    </w:p>
    <w:p>
      <w:pPr>
        <w:spacing w:after="0" w:line="80" w:lineRule="exact"/>
        <w:rPr>
          <w:rFonts w:ascii="Arial" w:cs="Arial" w:eastAsia="Arial" w:hAnsi="Arial"/>
          <w:sz w:val="18"/>
          <w:szCs w:val="18"/>
          <w:color w:val="auto"/>
        </w:rPr>
      </w:pPr>
    </w:p>
    <w:p>
      <w:pPr>
        <w:ind w:left="720" w:right="100"/>
        <w:spacing w:after="0" w:line="253" w:lineRule="auto"/>
        <w:rPr>
          <w:rFonts w:ascii="Arial" w:cs="Arial" w:eastAsia="Arial" w:hAnsi="Arial"/>
          <w:sz w:val="18"/>
          <w:szCs w:val="18"/>
          <w:color w:val="auto"/>
        </w:rPr>
      </w:pPr>
      <w:r>
        <w:rPr>
          <w:rFonts w:ascii="Arial" w:cs="Arial" w:eastAsia="Arial" w:hAnsi="Arial"/>
          <w:sz w:val="18"/>
          <w:szCs w:val="18"/>
          <w:color w:val="auto"/>
        </w:rPr>
        <w:t>In November 2016, the FASB issued ASU 2016-18, Statement of Cash Flows (Topic 230): Restricted Cash, which requires that a statement of cash flows explain the change during the period in the total of cash, cash equivalents, and amounts generally described as restricted cash and restricted cash equivalents. This is intended to limit the treatment of restricted cash in the statement of cash flows as the FASB acknowledged there is currently diversity in practice regarding the presentation of restricted cash within the statement of cash flows. The Company will adopt ASU 2016-18 during the year beginning January 1, 2019 and is currently evaluating the effect that ASU 2016-18 will have on its consolidated financial statements.</w:t>
      </w:r>
    </w:p>
    <w:p>
      <w:pPr>
        <w:spacing w:after="0" w:line="82" w:lineRule="exact"/>
        <w:rPr>
          <w:rFonts w:ascii="Arial" w:cs="Arial" w:eastAsia="Arial" w:hAnsi="Arial"/>
          <w:sz w:val="18"/>
          <w:szCs w:val="18"/>
          <w:color w:val="auto"/>
        </w:rPr>
      </w:pPr>
    </w:p>
    <w:p>
      <w:pPr>
        <w:ind w:left="720" w:right="60"/>
        <w:spacing w:after="0" w:line="257" w:lineRule="auto"/>
        <w:rPr>
          <w:rFonts w:ascii="Arial" w:cs="Arial" w:eastAsia="Arial" w:hAnsi="Arial"/>
          <w:sz w:val="18"/>
          <w:szCs w:val="18"/>
          <w:color w:val="auto"/>
        </w:rPr>
      </w:pPr>
      <w:r>
        <w:rPr>
          <w:rFonts w:ascii="Arial" w:cs="Arial" w:eastAsia="Arial" w:hAnsi="Arial"/>
          <w:sz w:val="18"/>
          <w:szCs w:val="18"/>
          <w:color w:val="auto"/>
        </w:rPr>
        <w:t>In August 2016, the FASB issued ASU 2016-15, Statement of Cash Flows (Topic 230): Classification of Certain Cash Receipts and Cash Payments, which provides guidance on eight specific cash flow issues with an intention to reduce the existing diversity in practice. The Company will adopt ASU 2016-15 during the year beginning January 1, 2019 and does not expect a material effect on its consolidated financial statements.</w:t>
      </w:r>
    </w:p>
    <w:p>
      <w:pPr>
        <w:spacing w:after="0" w:line="79" w:lineRule="exact"/>
        <w:rPr>
          <w:rFonts w:ascii="Arial" w:cs="Arial" w:eastAsia="Arial" w:hAnsi="Arial"/>
          <w:sz w:val="18"/>
          <w:szCs w:val="18"/>
          <w:color w:val="auto"/>
        </w:rPr>
      </w:pPr>
    </w:p>
    <w:p>
      <w:pPr>
        <w:ind w:left="720"/>
        <w:spacing w:after="0" w:line="294" w:lineRule="auto"/>
        <w:rPr>
          <w:rFonts w:ascii="Arial" w:cs="Arial" w:eastAsia="Arial" w:hAnsi="Arial"/>
          <w:sz w:val="18"/>
          <w:szCs w:val="18"/>
          <w:color w:val="auto"/>
        </w:rPr>
      </w:pPr>
      <w:r>
        <w:rPr>
          <w:rFonts w:ascii="Arial" w:cs="Arial" w:eastAsia="Arial" w:hAnsi="Arial"/>
          <w:sz w:val="16"/>
          <w:szCs w:val="16"/>
          <w:color w:val="auto"/>
        </w:rPr>
        <w:t>In February 2016, the FASB issued ASU No. 2016-02, Leases (“ASU 2016-02”). ASU 2016-02 amends the existing accounting standards for lease accounting, including requiring lessees to recognize most leases on their balance sheets and making targeted changes to lessor accounting. ASU 2016-02 will be effective for annual reporting periods beginning after December 15, 2019, and interim periods beginning after December 15, 2020, with early adoption permitted. The Company is currently evaluating the impact of adopting this new guidance on its consolidated financial statements.</w:t>
      </w:r>
    </w:p>
    <w:p>
      <w:pPr>
        <w:spacing w:after="0" w:line="53" w:lineRule="exact"/>
        <w:rPr>
          <w:rFonts w:ascii="Arial" w:cs="Arial" w:eastAsia="Arial" w:hAnsi="Arial"/>
          <w:sz w:val="18"/>
          <w:szCs w:val="18"/>
          <w:color w:val="auto"/>
        </w:rPr>
      </w:pPr>
    </w:p>
    <w:p>
      <w:pPr>
        <w:ind w:left="720"/>
        <w:spacing w:after="0" w:line="289" w:lineRule="auto"/>
        <w:rPr>
          <w:rFonts w:ascii="Arial" w:cs="Arial" w:eastAsia="Arial" w:hAnsi="Arial"/>
          <w:sz w:val="18"/>
          <w:szCs w:val="18"/>
          <w:color w:val="auto"/>
        </w:rPr>
      </w:pPr>
      <w:r>
        <w:rPr>
          <w:rFonts w:ascii="Arial" w:cs="Arial" w:eastAsia="Arial" w:hAnsi="Arial"/>
          <w:sz w:val="16"/>
          <w:szCs w:val="16"/>
          <w:color w:val="auto"/>
        </w:rPr>
        <w:t>In January 2016, the FASB issued ASU 2016-01, Financial Instruments – Overall (Subtopic 825-10): Recognition and Measurement of Financial Assets and Financial Liabilities, which makes targeted improvements to the accounting for, and presentation and disclosure of, financial instruments. ASU 2016-01 requires that most equity investments be measured at fair value, with subsequent changes in fair value recognized in net income. ASU 2016-01 does not affect the accounting for investments that would otherwise be consolidated or accounted for under the equity method. The new standard also impacts financial liabilities under the fair value option and the presentation and disclosure requirements for financial instruments. Most of the provisions of ASU 2016-01 are effective for the Company for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13" w:lineRule="exact"/>
        <w:rPr>
          <w:sz w:val="20"/>
          <w:szCs w:val="20"/>
          <w:color w:val="auto"/>
        </w:rPr>
      </w:pPr>
    </w:p>
    <w:p>
      <w:pPr>
        <w:ind w:left="720" w:right="80"/>
        <w:spacing w:after="0" w:line="261" w:lineRule="auto"/>
        <w:rPr>
          <w:sz w:val="20"/>
          <w:szCs w:val="20"/>
          <w:color w:val="auto"/>
        </w:rPr>
      </w:pPr>
      <w:r>
        <w:rPr>
          <w:rFonts w:ascii="Arial" w:cs="Arial" w:eastAsia="Arial" w:hAnsi="Arial"/>
          <w:sz w:val="18"/>
          <w:szCs w:val="18"/>
          <w:color w:val="auto"/>
        </w:rPr>
        <w:t>annual periods in fiscal years beginning after December 15, 2018. The Company will adopt ASU 2016-01 during the year beginning January 1, 2019 and is currently evaluating the effect that ASU 2016-01 will have on the Company’s consolidated financial statements.</w:t>
      </w:r>
    </w:p>
    <w:p>
      <w:pPr>
        <w:spacing w:after="0" w:line="76" w:lineRule="exact"/>
        <w:rPr>
          <w:sz w:val="20"/>
          <w:szCs w:val="20"/>
          <w:color w:val="auto"/>
        </w:rPr>
      </w:pPr>
    </w:p>
    <w:p>
      <w:pPr>
        <w:ind w:left="720" w:right="20"/>
        <w:spacing w:after="0" w:line="266" w:lineRule="auto"/>
        <w:rPr>
          <w:sz w:val="20"/>
          <w:szCs w:val="20"/>
          <w:color w:val="auto"/>
        </w:rPr>
      </w:pPr>
      <w:r>
        <w:rPr>
          <w:rFonts w:ascii="Arial" w:cs="Arial" w:eastAsia="Arial" w:hAnsi="Arial"/>
          <w:sz w:val="17"/>
          <w:szCs w:val="17"/>
          <w:color w:val="auto"/>
        </w:rPr>
        <w:t>In May 2014, the FASB issued ASU No. 2014-09, Revenue from Contracts with Customers (Topic 606) (“ASU 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consideration to recognize over each identified performance obligation. Additional disclosures will be required to help users of financial statements understand the nature, amount and timing of revenue and cash flows arising from contracts. In August 2015, the FASB issued ASU 2015-14, Revenue from Contracts with Customers (Topic 606): Deferral of the Effective Date, to defer the effective date of ASU 2014-09 by one year, making it effective for annual reporting periods beginning after December 15, 2018, and interim periods within annual periods beginning after December 15, 2019, while also providing for early adoption but not before the original effective date. The Company is currently evaluating the impact of adopting this new guidance on its consolidated financial statements.</w:t>
      </w:r>
    </w:p>
    <w:p>
      <w:pPr>
        <w:spacing w:after="0" w:line="77" w:lineRule="exact"/>
        <w:rPr>
          <w:sz w:val="20"/>
          <w:szCs w:val="20"/>
          <w:color w:val="auto"/>
        </w:rPr>
      </w:pPr>
    </w:p>
    <w:p>
      <w:pPr>
        <w:ind w:left="700" w:hanging="346"/>
        <w:spacing w:after="0"/>
        <w:tabs>
          <w:tab w:leader="none" w:pos="700"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New and amended standards adopted by the Company:</w:t>
      </w:r>
    </w:p>
    <w:p>
      <w:pPr>
        <w:spacing w:after="0" w:line="118" w:lineRule="exact"/>
        <w:rPr>
          <w:rFonts w:ascii="Arial" w:cs="Arial" w:eastAsia="Arial" w:hAnsi="Arial"/>
          <w:sz w:val="18"/>
          <w:szCs w:val="18"/>
          <w:color w:val="auto"/>
        </w:rPr>
      </w:pPr>
    </w:p>
    <w:p>
      <w:pPr>
        <w:ind w:left="720"/>
        <w:spacing w:after="0" w:line="253" w:lineRule="auto"/>
        <w:rPr>
          <w:rFonts w:ascii="Arial" w:cs="Arial" w:eastAsia="Arial" w:hAnsi="Arial"/>
          <w:sz w:val="18"/>
          <w:szCs w:val="18"/>
          <w:color w:val="auto"/>
        </w:rPr>
      </w:pPr>
      <w:r>
        <w:rPr>
          <w:rFonts w:ascii="Arial" w:cs="Arial" w:eastAsia="Arial" w:hAnsi="Arial"/>
          <w:sz w:val="18"/>
          <w:szCs w:val="18"/>
          <w:color w:val="auto"/>
        </w:rPr>
        <w:t>In November 2015, the FASB issued accounting guidance that is designed to improve the way deferred taxes are classified on organizations’ balance sheets. ASU 2015-17, Income Taxes (Topic 740): Balance Sheet Classification of Deferred Taxes, is part of the FASB’s simplification initiative designed to reduce complexity in financial reporting without sacrificing the quality of information provided to users. The new standard requires deferred tax liabilities and assets to be classified as non-current. The standard applies to all organizations that present a balance sheet. The Company adopted this guidance for the year beginning January 1, 2018 and the adoption of this guidance did not have a material impact on the consolidated financial statements.</w:t>
      </w:r>
    </w:p>
    <w:p>
      <w:pPr>
        <w:spacing w:after="0" w:line="78" w:lineRule="exact"/>
        <w:rPr>
          <w:rFonts w:ascii="Arial" w:cs="Arial" w:eastAsia="Arial" w:hAnsi="Arial"/>
          <w:sz w:val="18"/>
          <w:szCs w:val="18"/>
          <w:color w:val="auto"/>
        </w:rPr>
      </w:pPr>
    </w:p>
    <w:p>
      <w:pPr>
        <w:ind w:left="360" w:hanging="355"/>
        <w:spacing w:after="0"/>
        <w:tabs>
          <w:tab w:leader="none" w:pos="3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18" w:lineRule="exact"/>
        <w:rPr>
          <w:rFonts w:ascii="Arial" w:cs="Arial" w:eastAsia="Arial" w:hAnsi="Arial"/>
          <w:sz w:val="18"/>
          <w:szCs w:val="18"/>
          <w:b w:val="1"/>
          <w:bCs w:val="1"/>
          <w:color w:val="auto"/>
        </w:rPr>
      </w:pPr>
    </w:p>
    <w:p>
      <w:pPr>
        <w:ind w:left="360" w:right="40"/>
        <w:spacing w:after="0" w:line="305" w:lineRule="auto"/>
        <w:rPr>
          <w:rFonts w:ascii="Arial" w:cs="Arial" w:eastAsia="Arial" w:hAnsi="Arial"/>
          <w:sz w:val="18"/>
          <w:szCs w:val="18"/>
          <w:b w:val="1"/>
          <w:bCs w:val="1"/>
          <w:color w:val="auto"/>
        </w:rPr>
      </w:pPr>
      <w:r>
        <w:rPr>
          <w:rFonts w:ascii="Arial" w:cs="Arial" w:eastAsia="Arial" w:hAnsi="Arial"/>
          <w:sz w:val="17"/>
          <w:szCs w:val="17"/>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39" w:lineRule="exact"/>
        <w:rPr>
          <w:rFonts w:ascii="Arial" w:cs="Arial" w:eastAsia="Arial" w:hAnsi="Arial"/>
          <w:sz w:val="18"/>
          <w:szCs w:val="18"/>
          <w:b w:val="1"/>
          <w:bCs w:val="1"/>
          <w:color w:val="auto"/>
        </w:rPr>
      </w:pPr>
    </w:p>
    <w:p>
      <w:pPr>
        <w:ind w:left="1060" w:hanging="344"/>
        <w:spacing w:after="0"/>
        <w:tabs>
          <w:tab w:leader="none" w:pos="1060" w:val="left"/>
        </w:tabs>
        <w:numPr>
          <w:ilvl w:val="2"/>
          <w:numId w:val="9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4" w:lineRule="exact"/>
        <w:rPr>
          <w:rFonts w:ascii="Arial" w:cs="Arial" w:eastAsia="Arial" w:hAnsi="Arial"/>
          <w:sz w:val="18"/>
          <w:szCs w:val="18"/>
          <w:color w:val="auto"/>
        </w:rPr>
      </w:pPr>
    </w:p>
    <w:p>
      <w:pPr>
        <w:ind w:left="1060" w:right="320" w:hanging="344"/>
        <w:spacing w:after="0" w:line="274" w:lineRule="auto"/>
        <w:tabs>
          <w:tab w:leader="none" w:pos="1060" w:val="left"/>
        </w:tabs>
        <w:numPr>
          <w:ilvl w:val="2"/>
          <w:numId w:val="93"/>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either directly or indirectly, such as quoted prices for similar assets or liabilities or market corroborated inputs.</w:t>
      </w:r>
    </w:p>
    <w:p>
      <w:pPr>
        <w:spacing w:after="0" w:line="63" w:lineRule="exact"/>
        <w:rPr>
          <w:rFonts w:ascii="Arial" w:cs="Arial" w:eastAsia="Arial" w:hAnsi="Arial"/>
          <w:sz w:val="18"/>
          <w:szCs w:val="18"/>
          <w:color w:val="auto"/>
        </w:rPr>
      </w:pPr>
    </w:p>
    <w:p>
      <w:pPr>
        <w:ind w:left="1060" w:right="180" w:hanging="344"/>
        <w:spacing w:after="0" w:line="274" w:lineRule="auto"/>
        <w:tabs>
          <w:tab w:leader="none" w:pos="1060" w:val="left"/>
        </w:tabs>
        <w:numPr>
          <w:ilvl w:val="2"/>
          <w:numId w:val="93"/>
        </w:numPr>
        <w:rPr>
          <w:rFonts w:ascii="Arial" w:cs="Arial" w:eastAsia="Arial" w:hAnsi="Arial"/>
          <w:sz w:val="18"/>
          <w:szCs w:val="18"/>
          <w:color w:val="auto"/>
        </w:rPr>
      </w:pPr>
      <w:r>
        <w:rPr>
          <w:rFonts w:ascii="Arial" w:cs="Arial" w:eastAsia="Arial" w:hAnsi="Arial"/>
          <w:sz w:val="18"/>
          <w:szCs w:val="18"/>
          <w:color w:val="auto"/>
        </w:rPr>
        <w:t>Level 3 – unobservable inputs for which there is little or no market data and which require the Company to develop its own assumptions about how market participants price the asset or liability.</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5" w:lineRule="exact"/>
        <w:rPr>
          <w:sz w:val="20"/>
          <w:szCs w:val="20"/>
          <w:color w:val="auto"/>
        </w:rPr>
      </w:pPr>
    </w:p>
    <w:p>
      <w:pPr>
        <w:ind w:left="1060" w:right="40" w:hanging="344"/>
        <w:spacing w:after="0" w:line="274"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Market approach – uses prices and other relevant information generated by market transactions involving identical or comparable assets or liabilities.</w:t>
      </w:r>
    </w:p>
    <w:p>
      <w:pPr>
        <w:spacing w:after="0" w:line="63" w:lineRule="exact"/>
        <w:rPr>
          <w:rFonts w:ascii="Arial" w:cs="Arial" w:eastAsia="Arial" w:hAnsi="Arial"/>
          <w:sz w:val="18"/>
          <w:szCs w:val="18"/>
          <w:color w:val="auto"/>
        </w:rPr>
      </w:pPr>
    </w:p>
    <w:p>
      <w:pPr>
        <w:ind w:left="1060" w:right="160" w:hanging="344"/>
        <w:spacing w:after="0" w:line="274"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Income approach – uses valuation techniques to convert future amounts to a single present amount based on current market expectations about those future amounts.</w:t>
      </w:r>
    </w:p>
    <w:p>
      <w:pPr>
        <w:spacing w:after="0" w:line="63" w:lineRule="exact"/>
        <w:rPr>
          <w:rFonts w:ascii="Arial" w:cs="Arial" w:eastAsia="Arial" w:hAnsi="Arial"/>
          <w:sz w:val="18"/>
          <w:szCs w:val="18"/>
          <w:color w:val="auto"/>
        </w:rPr>
      </w:pPr>
    </w:p>
    <w:p>
      <w:pPr>
        <w:ind w:left="1060" w:right="400" w:hanging="344"/>
        <w:spacing w:after="0" w:line="274"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Cost approach – based on the amount that currently would be required to replace the service capacity of an asset (replacement cost).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financial assets that are measured at fair value as of September 30, 2018:</w:t>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September 30, 2018</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Valuation</w:t>
            </w:r>
          </w:p>
        </w:tc>
      </w:tr>
      <w:tr>
        <w:trPr>
          <w:trHeight w:val="177"/>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Level 1</w:t>
            </w:r>
          </w:p>
        </w:tc>
        <w:tc>
          <w:tcPr>
            <w:tcW w:w="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technique</w:t>
            </w:r>
          </w:p>
        </w:tc>
      </w:tr>
      <w:tr>
        <w:trPr>
          <w:trHeight w:val="241"/>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4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51,903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7"/>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51,903</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Market</w:t>
            </w:r>
          </w:p>
        </w:tc>
      </w:tr>
      <w:tr>
        <w:trPr>
          <w:trHeight w:val="248"/>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16,301</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7"/>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16,301</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Market</w:t>
            </w:r>
          </w:p>
        </w:tc>
      </w:tr>
      <w:tr>
        <w:trPr>
          <w:trHeight w:val="228"/>
        </w:trPr>
        <w:tc>
          <w:tcPr>
            <w:tcW w:w="436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6,776</w:t>
            </w:r>
          </w:p>
        </w:tc>
        <w:tc>
          <w:tcPr>
            <w:tcW w:w="80" w:type="dxa"/>
            <w:vAlign w:val="bottom"/>
          </w:tcPr>
          <w:p>
            <w:pPr>
              <w:spacing w:after="0"/>
              <w:rPr>
                <w:sz w:val="19"/>
                <w:szCs w:val="19"/>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7"/>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6,776</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Market</w:t>
            </w:r>
          </w:p>
        </w:tc>
      </w:tr>
      <w:tr>
        <w:trPr>
          <w:trHeight w:val="27"/>
        </w:trPr>
        <w:tc>
          <w:tcPr>
            <w:tcW w:w="43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4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7"/>
              </w:rPr>
              <w:t>—</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74,980</w:t>
            </w: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7"/>
        </w:trPr>
        <w:tc>
          <w:tcPr>
            <w:tcW w:w="436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financial assets that are measured at fair value as of December 31, 2017:</w:t>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December 31, 2017</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Level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Valuation</w:t>
            </w:r>
          </w:p>
        </w:tc>
      </w:tr>
      <w:tr>
        <w:trPr>
          <w:trHeight w:val="177"/>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technique</w:t>
            </w:r>
          </w:p>
        </w:tc>
      </w:tr>
      <w:tr>
        <w:trPr>
          <w:trHeight w:val="241"/>
        </w:trPr>
        <w:tc>
          <w:tcPr>
            <w:tcW w:w="4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4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84,708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84,708</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Market</w:t>
            </w:r>
          </w:p>
        </w:tc>
      </w:tr>
      <w:tr>
        <w:trPr>
          <w:trHeight w:val="248"/>
        </w:trPr>
        <w:tc>
          <w:tcPr>
            <w:tcW w:w="4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33,623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33,623</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Market</w:t>
            </w:r>
          </w:p>
        </w:tc>
      </w:tr>
      <w:tr>
        <w:trPr>
          <w:trHeight w:val="228"/>
        </w:trPr>
        <w:tc>
          <w:tcPr>
            <w:tcW w:w="450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6,333</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Market</w:t>
            </w:r>
          </w:p>
        </w:tc>
      </w:tr>
      <w:tr>
        <w:trPr>
          <w:trHeight w:val="27"/>
        </w:trPr>
        <w:tc>
          <w:tcPr>
            <w:tcW w:w="45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4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124,664</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7"/>
        </w:trPr>
        <w:tc>
          <w:tcPr>
            <w:tcW w:w="45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ind w:left="360" w:right="80"/>
        <w:spacing w:after="0" w:line="255" w:lineRule="auto"/>
        <w:rPr>
          <w:sz w:val="20"/>
          <w:szCs w:val="20"/>
          <w:color w:val="auto"/>
        </w:rPr>
      </w:pPr>
      <w:r>
        <w:rPr>
          <w:rFonts w:ascii="Arial" w:cs="Arial" w:eastAsia="Arial" w:hAnsi="Arial"/>
          <w:sz w:val="18"/>
          <w:szCs w:val="18"/>
          <w:color w:val="auto"/>
        </w:rPr>
        <w:t>As of September 30, 2018 and December 31, 2017, the Company had no liabilities that were measured at fair value on a recurring basis. The Company estimates fair value of outstanding debt using a discounted cash flows method based on current market interest rates for debt issuances with similar remaining years to maturity and adjusted for credit risk. The Company has estimated that the carrying value of the Term Loan Facility (defined below) approximates fair value. The fair value estimate is classified as Level 3 in the fair value hierarchy.</w:t>
      </w:r>
    </w:p>
    <w:p>
      <w:pPr>
        <w:spacing w:after="0" w:line="77" w:lineRule="exact"/>
        <w:rPr>
          <w:sz w:val="20"/>
          <w:szCs w:val="20"/>
          <w:color w:val="auto"/>
        </w:rPr>
      </w:pPr>
    </w:p>
    <w:p>
      <w:pPr>
        <w:ind w:left="360" w:hanging="355"/>
        <w:spacing w:after="0"/>
        <w:tabs>
          <w:tab w:leader="none" w:pos="3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2018 and December 31, 2017 restricted cash consisted of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r>
      <w:tr>
        <w:trPr>
          <w:trHeight w:val="177"/>
        </w:trPr>
        <w:tc>
          <w:tcPr>
            <w:tcW w:w="3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41"/>
        </w:trPr>
        <w:tc>
          <w:tcPr>
            <w:tcW w:w="38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2"/>
              </w:rPr>
              <w:t>Collateral for performance under customer agreements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lef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35"/>
        </w:trPr>
        <w:tc>
          <w:tcPr>
            <w:tcW w:w="3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Collateral for LNG purchases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8"/>
        </w:trPr>
        <w:tc>
          <w:tcPr>
            <w:tcW w:w="38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Debt service reserve accounts</w:t>
            </w:r>
          </w:p>
        </w:tc>
        <w:tc>
          <w:tcPr>
            <w:tcW w:w="24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00" w:type="dxa"/>
            <w:vAlign w:val="bottom"/>
            <w:tcBorders>
              <w:left w:val="single" w:sz="8" w:color="CCEEFF"/>
            </w:tcBorders>
            <w:shd w:val="clear" w:color="auto" w:fill="CCEEFF"/>
          </w:tcPr>
          <w:p>
            <w:pPr>
              <w:spacing w:after="0"/>
              <w:rPr>
                <w:sz w:val="21"/>
                <w:szCs w:val="21"/>
                <w:color w:val="auto"/>
              </w:rPr>
            </w:pPr>
          </w:p>
        </w:tc>
        <w:tc>
          <w:tcPr>
            <w:tcW w:w="200" w:type="dxa"/>
            <w:vAlign w:val="bottom"/>
          </w:tcPr>
          <w:p>
            <w:pPr>
              <w:spacing w:after="0"/>
              <w:rPr>
                <w:sz w:val="21"/>
                <w:szCs w:val="21"/>
                <w:color w:val="auto"/>
              </w:rPr>
            </w:pPr>
          </w:p>
        </w:tc>
      </w:tr>
      <w:tr>
        <w:trPr>
          <w:trHeight w:val="235"/>
        </w:trPr>
        <w:tc>
          <w:tcPr>
            <w:tcW w:w="3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Customs and performance bonds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4"/>
        </w:trPr>
        <w:tc>
          <w:tcPr>
            <w:tcW w:w="38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restricted cash</w:t>
            </w:r>
          </w:p>
        </w:tc>
        <w:tc>
          <w:tcPr>
            <w:tcW w:w="24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lef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8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24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00" w:type="dxa"/>
            <w:vAlign w:val="bottom"/>
          </w:tcPr>
          <w:p>
            <w:pPr>
              <w:spacing w:after="0"/>
              <w:rPr>
                <w:sz w:val="2"/>
                <w:szCs w:val="2"/>
                <w:color w:val="auto"/>
              </w:rPr>
            </w:pPr>
          </w:p>
        </w:tc>
      </w:tr>
      <w:tr>
        <w:trPr>
          <w:trHeight w:val="228"/>
        </w:trPr>
        <w:tc>
          <w:tcPr>
            <w:tcW w:w="380" w:type="dxa"/>
            <w:vAlign w:val="bottom"/>
          </w:tcPr>
          <w:p>
            <w:pPr>
              <w:spacing w:after="0"/>
              <w:rPr>
                <w:sz w:val="19"/>
                <w:szCs w:val="19"/>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Total restricted cash</w:t>
            </w:r>
          </w:p>
        </w:tc>
        <w:tc>
          <w:tcPr>
            <w:tcW w:w="2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16,301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7"/>
        </w:trPr>
        <w:tc>
          <w:tcPr>
            <w:tcW w:w="3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1"/>
        </w:trPr>
        <w:tc>
          <w:tcPr>
            <w:tcW w:w="380" w:type="dxa"/>
            <w:vAlign w:val="bottom"/>
          </w:tcPr>
          <w:p>
            <w:pPr>
              <w:spacing w:after="0"/>
              <w:rPr>
                <w:sz w:val="20"/>
                <w:szCs w:val="20"/>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restricted cash</w:t>
            </w:r>
          </w:p>
        </w:tc>
        <w:tc>
          <w:tcPr>
            <w:tcW w:w="24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13,623</w:t>
            </w:r>
          </w:p>
        </w:tc>
        <w:tc>
          <w:tcPr>
            <w:tcW w:w="100" w:type="dxa"/>
            <w:vAlign w:val="bottom"/>
            <w:tcBorders>
              <w:lef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29"/>
        </w:trPr>
        <w:tc>
          <w:tcPr>
            <w:tcW w:w="380" w:type="dxa"/>
            <w:vAlign w:val="bottom"/>
          </w:tcPr>
          <w:p>
            <w:pPr>
              <w:spacing w:after="0"/>
              <w:rPr>
                <w:sz w:val="19"/>
                <w:szCs w:val="19"/>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Non-current restricted cash</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16,271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42"/>
        </w:trPr>
        <w:tc>
          <w:tcPr>
            <w:tcW w:w="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60" w:type="dxa"/>
            <w:vAlign w:val="bottom"/>
            <w:gridSpan w:val="2"/>
          </w:tcPr>
          <w:p>
            <w:pPr>
              <w:jc w:val="right"/>
              <w:ind w:right="2007"/>
              <w:spacing w:after="0"/>
              <w:rPr>
                <w:sz w:val="20"/>
                <w:szCs w:val="20"/>
                <w:color w:val="auto"/>
              </w:rPr>
            </w:pPr>
            <w:r>
              <w:rPr>
                <w:rFonts w:ascii="Arial" w:cs="Arial" w:eastAsia="Arial" w:hAnsi="Arial"/>
                <w:sz w:val="18"/>
                <w:szCs w:val="18"/>
                <w:color w:val="auto"/>
              </w:rPr>
              <w:t>F-13</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42"/>
        </w:trPr>
        <w:tc>
          <w:tcPr>
            <w:tcW w:w="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7"/>
        </w:trPr>
        <w:tc>
          <w:tcPr>
            <w:tcW w:w="380" w:type="dxa"/>
            <w:vAlign w:val="bottom"/>
            <w:shd w:val="clear" w:color="auto" w:fill="000000"/>
          </w:tcPr>
          <w:p>
            <w:pPr>
              <w:spacing w:after="0"/>
              <w:rPr>
                <w:sz w:val="5"/>
                <w:szCs w:val="5"/>
                <w:color w:val="auto"/>
              </w:rPr>
            </w:pPr>
          </w:p>
        </w:tc>
        <w:tc>
          <w:tcPr>
            <w:tcW w:w="4060" w:type="dxa"/>
            <w:vAlign w:val="bottom"/>
            <w:shd w:val="clear" w:color="auto" w:fill="000000"/>
          </w:tcPr>
          <w:p>
            <w:pPr>
              <w:spacing w:after="0"/>
              <w:rPr>
                <w:sz w:val="5"/>
                <w:szCs w:val="5"/>
                <w:color w:val="auto"/>
              </w:rPr>
            </w:pPr>
          </w:p>
        </w:tc>
        <w:tc>
          <w:tcPr>
            <w:tcW w:w="246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09" w:lineRule="exact"/>
        <w:rPr>
          <w:sz w:val="20"/>
          <w:szCs w:val="20"/>
          <w:color w:val="auto"/>
        </w:rPr>
      </w:pPr>
    </w:p>
    <w:p>
      <w:pPr>
        <w:ind w:left="360" w:hanging="355"/>
        <w:spacing w:after="0"/>
        <w:tabs>
          <w:tab w:leader="none" w:pos="3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2018 and December 31, 2017 inventory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77"/>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41"/>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LNG and natural gas inventory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Materials, supplies and other.</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r>
      <w:tr>
        <w:trPr>
          <w:trHeight w:val="27"/>
        </w:trPr>
        <w:tc>
          <w:tcPr>
            <w:tcW w:w="6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52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0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89" w:lineRule="exact"/>
        <w:rPr>
          <w:sz w:val="20"/>
          <w:szCs w:val="20"/>
          <w:color w:val="auto"/>
        </w:rPr>
      </w:pPr>
    </w:p>
    <w:p>
      <w:pPr>
        <w:ind w:left="360" w:hanging="355"/>
        <w:spacing w:after="0"/>
        <w:tabs>
          <w:tab w:leader="none" w:pos="3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7"/>
          <w:szCs w:val="17"/>
          <w:color w:val="auto"/>
        </w:rPr>
        <w:t>As of September 30, 2018 and December 31, 2017 prepaid expenses and other current assets consisted of the following:</w:t>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241"/>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LNG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80" w:type="dxa"/>
            <w:vAlign w:val="bottom"/>
            <w:shd w:val="clear" w:color="auto" w:fill="CCEEFF"/>
          </w:tcPr>
          <w:p>
            <w:pPr>
              <w:spacing w:after="0"/>
              <w:rPr>
                <w:sz w:val="20"/>
                <w:szCs w:val="20"/>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Prepaid charter costs</w:t>
            </w: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1,581</w:t>
            </w:r>
          </w:p>
        </w:tc>
        <w:tc>
          <w:tcPr>
            <w:tcW w:w="80" w:type="dxa"/>
            <w:vAlign w:val="bottom"/>
          </w:tcPr>
          <w:p>
            <w:pPr>
              <w:spacing w:after="0"/>
              <w:rPr>
                <w:sz w:val="20"/>
                <w:szCs w:val="20"/>
                <w:color w:val="auto"/>
              </w:rPr>
            </w:pPr>
          </w:p>
        </w:tc>
      </w:tr>
      <w:tr>
        <w:trPr>
          <w:trHeight w:val="248"/>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80" w:type="dxa"/>
            <w:vAlign w:val="bottom"/>
            <w:shd w:val="clear" w:color="auto" w:fill="CCEEFF"/>
          </w:tcPr>
          <w:p>
            <w:pPr>
              <w:spacing w:after="0"/>
              <w:rPr>
                <w:sz w:val="21"/>
                <w:szCs w:val="21"/>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1,238</w:t>
            </w:r>
          </w:p>
        </w:tc>
        <w:tc>
          <w:tcPr>
            <w:tcW w:w="80" w:type="dxa"/>
            <w:vAlign w:val="bottom"/>
          </w:tcPr>
          <w:p>
            <w:pPr>
              <w:spacing w:after="0"/>
              <w:rPr>
                <w:sz w:val="20"/>
                <w:szCs w:val="20"/>
                <w:color w:val="auto"/>
              </w:rPr>
            </w:pPr>
          </w:p>
        </w:tc>
      </w:tr>
      <w:tr>
        <w:trPr>
          <w:trHeight w:val="234"/>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20"/>
                <w:szCs w:val="20"/>
                <w:color w:val="auto"/>
              </w:rPr>
            </w:pPr>
          </w:p>
        </w:tc>
      </w:tr>
      <w:tr>
        <w:trPr>
          <w:trHeight w:val="27"/>
        </w:trPr>
        <w:tc>
          <w:tcPr>
            <w:tcW w:w="65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652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5,352</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24,875</w:t>
            </w:r>
          </w:p>
        </w:tc>
        <w:tc>
          <w:tcPr>
            <w:tcW w:w="8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ind w:left="360" w:right="20"/>
        <w:spacing w:after="0" w:line="274" w:lineRule="auto"/>
        <w:rPr>
          <w:sz w:val="20"/>
          <w:szCs w:val="20"/>
          <w:color w:val="auto"/>
        </w:rPr>
      </w:pPr>
      <w:r>
        <w:rPr>
          <w:rFonts w:ascii="Arial" w:cs="Arial" w:eastAsia="Arial" w:hAnsi="Arial"/>
          <w:sz w:val="18"/>
          <w:szCs w:val="18"/>
          <w:color w:val="auto"/>
        </w:rPr>
        <w:t>Prepaid LNG consists of payments for 2,808,587 MMBtus of LNG that have been prepaid by the Company as of December 31, 2017. The Company took delivery of these volumes in February 2018.</w:t>
      </w:r>
    </w:p>
    <w:p>
      <w:pPr>
        <w:spacing w:after="0" w:line="64" w:lineRule="exact"/>
        <w:rPr>
          <w:sz w:val="20"/>
          <w:szCs w:val="20"/>
          <w:color w:val="auto"/>
        </w:rPr>
      </w:pPr>
    </w:p>
    <w:p>
      <w:pPr>
        <w:ind w:left="360" w:right="180"/>
        <w:spacing w:after="0" w:line="257" w:lineRule="auto"/>
        <w:rPr>
          <w:sz w:val="20"/>
          <w:szCs w:val="20"/>
          <w:color w:val="auto"/>
        </w:rPr>
      </w:pPr>
      <w:r>
        <w:rPr>
          <w:rFonts w:ascii="Arial" w:cs="Arial" w:eastAsia="Arial" w:hAnsi="Arial"/>
          <w:sz w:val="18"/>
          <w:szCs w:val="18"/>
          <w:color w:val="auto"/>
        </w:rPr>
        <w:t>The balances of deposits as of September 30, 2018 and December 31, 2017 primarily consist of $900 attributed to gas supply reservation deposit and $135 attributed to a land lease deposit with a related party. The balance of other current assets as of September 30, 2018 primarily consists of IPO issuance costs incurred which will be netted against issuance proceeds upon completion of the offering.</w:t>
      </w:r>
    </w:p>
    <w:p>
      <w:pPr>
        <w:spacing w:after="0" w:line="75" w:lineRule="exact"/>
        <w:rPr>
          <w:sz w:val="20"/>
          <w:szCs w:val="20"/>
          <w:color w:val="auto"/>
        </w:rPr>
      </w:pPr>
    </w:p>
    <w:p>
      <w:pPr>
        <w:ind w:left="360" w:hanging="355"/>
        <w:spacing w:after="0"/>
        <w:tabs>
          <w:tab w:leader="none" w:pos="3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Available-for-sale-investment</w:t>
      </w:r>
    </w:p>
    <w:p>
      <w:pPr>
        <w:spacing w:after="0" w:line="118" w:lineRule="exact"/>
        <w:rPr>
          <w:rFonts w:ascii="Arial" w:cs="Arial" w:eastAsia="Arial" w:hAnsi="Arial"/>
          <w:sz w:val="18"/>
          <w:szCs w:val="18"/>
          <w:b w:val="1"/>
          <w:bCs w:val="1"/>
          <w:color w:val="auto"/>
        </w:rPr>
      </w:pPr>
    </w:p>
    <w:p>
      <w:pPr>
        <w:ind w:left="360" w:right="8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Through September 30, 2018, the Company invested in equity securities of an international oil and gas drilling contractor. The following tables present the number of shares, cost and fair value of the investment:</w:t>
      </w:r>
    </w:p>
    <w:p>
      <w:pPr>
        <w:sectPr>
          <w:pgSz w:w="12240" w:h="15840" w:orient="portrait"/>
          <w:cols w:equalWidth="0" w:num="1">
            <w:col w:w="9500"/>
          </w:cols>
          <w:pgMar w:left="1360" w:top="138" w:right="1380" w:bottom="1440" w:gutter="0" w:footer="0" w:header="0"/>
        </w:sectPr>
      </w:pPr>
    </w:p>
    <w:p>
      <w:pPr>
        <w:spacing w:after="0" w:line="391"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(in thousands of U.S. dollars except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20320</wp:posOffset>
            </wp:positionV>
            <wp:extent cx="35864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86480" cy="825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Available-for-sale investments</w:t>
      </w: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(in thousands of U.S. dollars except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20320</wp:posOffset>
            </wp:positionV>
            <wp:extent cx="35864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86480" cy="825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Available-for-sale investments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9164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16430" cy="825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1100" w:type="dxa"/>
            <w:vAlign w:val="bottom"/>
            <w:gridSpan w:val="2"/>
          </w:tcPr>
          <w:p>
            <w:pPr>
              <w:ind w:left="300"/>
              <w:spacing w:after="0"/>
              <w:rPr>
                <w:sz w:val="20"/>
                <w:szCs w:val="20"/>
                <w:color w:val="auto"/>
              </w:rPr>
            </w:pPr>
            <w:r>
              <w:rPr>
                <w:rFonts w:ascii="Arial" w:cs="Arial" w:eastAsia="Arial" w:hAnsi="Arial"/>
                <w:sz w:val="18"/>
                <w:szCs w:val="18"/>
                <w:color w:val="auto"/>
                <w:w w:val="97"/>
              </w:rPr>
              <w:t>1,476,280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3,667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6,776</w:t>
            </w:r>
          </w:p>
        </w:tc>
      </w:tr>
      <w:tr>
        <w:trPr>
          <w:trHeight w:val="241"/>
        </w:trPr>
        <w:tc>
          <w:tcPr>
            <w:tcW w:w="2220" w:type="dxa"/>
            <w:vAlign w:val="bottom"/>
            <w:tcBorders>
              <w:bottom w:val="single" w:sz="8" w:color="auto"/>
            </w:tcBorders>
            <w:gridSpan w:val="8"/>
          </w:tcPr>
          <w:p>
            <w:pPr>
              <w:jc w:val="center"/>
              <w:ind w:left="803"/>
              <w:spacing w:after="0"/>
              <w:rPr>
                <w:sz w:val="20"/>
                <w:szCs w:val="20"/>
                <w:color w:val="auto"/>
              </w:rPr>
            </w:pPr>
            <w:r>
              <w:rPr>
                <w:rFonts w:ascii="Arial" w:cs="Arial" w:eastAsia="Arial" w:hAnsi="Arial"/>
                <w:sz w:val="14"/>
                <w:szCs w:val="14"/>
                <w:b w:val="1"/>
                <w:bCs w:val="1"/>
                <w:color w:val="auto"/>
                <w:w w:val="90"/>
              </w:rPr>
              <w:t>December 31, 2017</w:t>
            </w:r>
          </w:p>
        </w:tc>
        <w:tc>
          <w:tcPr>
            <w:tcW w:w="800" w:type="dxa"/>
            <w:vAlign w:val="bottom"/>
            <w:tcBorders>
              <w:bottom w:val="single" w:sz="8" w:color="auto"/>
            </w:tcBorders>
          </w:tcPr>
          <w:p>
            <w:pPr>
              <w:spacing w:after="0"/>
              <w:rPr>
                <w:sz w:val="20"/>
                <w:szCs w:val="20"/>
                <w:color w:val="auto"/>
              </w:rPr>
            </w:pPr>
          </w:p>
        </w:tc>
      </w:tr>
      <w:tr>
        <w:trPr>
          <w:trHeight w:val="172"/>
        </w:trPr>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1100" w:type="dxa"/>
            <w:vAlign w:val="bottom"/>
            <w:gridSpan w:val="2"/>
          </w:tcPr>
          <w:p>
            <w:pPr>
              <w:ind w:left="300"/>
              <w:spacing w:after="0"/>
              <w:rPr>
                <w:sz w:val="20"/>
                <w:szCs w:val="20"/>
                <w:color w:val="auto"/>
              </w:rPr>
            </w:pPr>
            <w:r>
              <w:rPr>
                <w:rFonts w:ascii="Arial" w:cs="Arial" w:eastAsia="Arial" w:hAnsi="Arial"/>
                <w:sz w:val="18"/>
                <w:szCs w:val="18"/>
                <w:color w:val="auto"/>
                <w:w w:val="97"/>
              </w:rPr>
              <w:t>1,476,280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3,667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-689610</wp:posOffset>
            </wp:positionV>
            <wp:extent cx="5664835" cy="153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64835" cy="153035"/>
                    </a:xfrm>
                    <a:prstGeom prst="rect">
                      <a:avLst/>
                    </a:prstGeom>
                    <a:noFill/>
                  </pic:spPr>
                </pic:pic>
              </a:graphicData>
            </a:graphic>
          </wp:anchor>
        </w:drawing>
        <w:drawing>
          <wp:anchor simplePos="0" relativeHeight="251657728" behindDoc="1" locked="0" layoutInCell="0" allowOverlap="1">
            <wp:simplePos x="0" y="0"/>
            <wp:positionH relativeFrom="column">
              <wp:posOffset>-3694430</wp:posOffset>
            </wp:positionH>
            <wp:positionV relativeFrom="paragraph">
              <wp:posOffset>-144145</wp:posOffset>
            </wp:positionV>
            <wp:extent cx="5664835" cy="153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64835" cy="153035"/>
                    </a:xfrm>
                    <a:prstGeom prst="rect">
                      <a:avLst/>
                    </a:prstGeom>
                    <a:noFill/>
                  </pic:spPr>
                </pic:pic>
              </a:graphicData>
            </a:graphic>
          </wp:anchor>
        </w:drawing>
      </w:r>
    </w:p>
    <w:p>
      <w:pPr>
        <w:spacing w:after="0" w:line="106" w:lineRule="exact"/>
        <w:rPr>
          <w:sz w:val="20"/>
          <w:szCs w:val="20"/>
          <w:color w:val="auto"/>
        </w:rPr>
      </w:pPr>
    </w:p>
    <w:p>
      <w:pPr>
        <w:sectPr>
          <w:pgSz w:w="12240" w:h="15840" w:orient="portrait"/>
          <w:cols w:equalWidth="0" w:num="2">
            <w:col w:w="5480" w:space="720"/>
            <w:col w:w="3300"/>
          </w:cols>
          <w:pgMar w:left="1360" w:top="138" w:right="1380" w:bottom="1440" w:gutter="0" w:footer="0" w:header="0"/>
          <w:type w:val="continuous"/>
        </w:sectPr>
      </w:pPr>
    </w:p>
    <w:p>
      <w:pPr>
        <w:ind w:left="360" w:right="260"/>
        <w:spacing w:after="0" w:line="274" w:lineRule="auto"/>
        <w:rPr>
          <w:sz w:val="20"/>
          <w:szCs w:val="20"/>
          <w:color w:val="auto"/>
        </w:rPr>
      </w:pPr>
      <w:r>
        <w:rPr>
          <w:rFonts w:ascii="Arial" w:cs="Arial" w:eastAsia="Arial" w:hAnsi="Arial"/>
          <w:sz w:val="18"/>
          <w:szCs w:val="18"/>
          <w:color w:val="auto"/>
        </w:rPr>
        <w:t>The movement of available-for-sale financial assets during the nine-month period ended September 30, 2018 is summarized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r>
      <w:tr>
        <w:trPr>
          <w:trHeight w:val="177"/>
        </w:trPr>
        <w:tc>
          <w:tcPr>
            <w:tcW w:w="3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41"/>
        </w:trPr>
        <w:tc>
          <w:tcPr>
            <w:tcW w:w="38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8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35"/>
        </w:trPr>
        <w:tc>
          <w:tcPr>
            <w:tcW w:w="380" w:type="dxa"/>
            <w:vAlign w:val="bottom"/>
          </w:tcPr>
          <w:p>
            <w:pPr>
              <w:spacing w:after="0"/>
              <w:rPr>
                <w:sz w:val="20"/>
                <w:szCs w:val="20"/>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4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r>
        <w:trPr>
          <w:trHeight w:val="234"/>
        </w:trPr>
        <w:tc>
          <w:tcPr>
            <w:tcW w:w="380" w:type="dxa"/>
            <w:vAlign w:val="bottom"/>
          </w:tcPr>
          <w:p>
            <w:pPr>
              <w:spacing w:after="0"/>
              <w:rPr>
                <w:sz w:val="20"/>
                <w:szCs w:val="20"/>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w:t>
            </w:r>
          </w:p>
        </w:tc>
        <w:tc>
          <w:tcPr>
            <w:tcW w:w="45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80" w:type="dxa"/>
            <w:vAlign w:val="bottom"/>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45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Pr>
          <w:p>
            <w:pPr>
              <w:spacing w:after="0"/>
              <w:rPr>
                <w:sz w:val="2"/>
                <w:szCs w:val="2"/>
                <w:color w:val="auto"/>
              </w:rPr>
            </w:pPr>
          </w:p>
        </w:tc>
      </w:tr>
      <w:tr>
        <w:trPr>
          <w:trHeight w:val="228"/>
        </w:trPr>
        <w:tc>
          <w:tcPr>
            <w:tcW w:w="38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4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36"/>
        </w:trPr>
        <w:tc>
          <w:tcPr>
            <w:tcW w:w="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520" w:type="dxa"/>
            <w:vAlign w:val="bottom"/>
          </w:tcPr>
          <w:p>
            <w:pPr>
              <w:ind w:left="1000"/>
              <w:spacing w:after="0"/>
              <w:rPr>
                <w:sz w:val="20"/>
                <w:szCs w:val="20"/>
                <w:color w:val="auto"/>
              </w:rPr>
            </w:pPr>
            <w:r>
              <w:rPr>
                <w:rFonts w:ascii="Arial" w:cs="Arial" w:eastAsia="Arial" w:hAnsi="Arial"/>
                <w:sz w:val="18"/>
                <w:szCs w:val="18"/>
                <w:color w:val="auto"/>
              </w:rPr>
              <w:t>F-14</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42"/>
        </w:trPr>
        <w:tc>
          <w:tcPr>
            <w:tcW w:w="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7"/>
        </w:trPr>
        <w:tc>
          <w:tcPr>
            <w:tcW w:w="380" w:type="dxa"/>
            <w:vAlign w:val="bottom"/>
            <w:shd w:val="clear" w:color="auto" w:fill="000000"/>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452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type w:val="continuous"/>
        </w:sectPr>
      </w:pPr>
    </w:p>
    <w:bookmarkStart w:id="154" w:name="page155"/>
    <w:bookmarkEnd w:id="1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09" w:lineRule="exact"/>
        <w:rPr>
          <w:sz w:val="20"/>
          <w:szCs w:val="20"/>
          <w:color w:val="auto"/>
        </w:rPr>
      </w:pPr>
    </w:p>
    <w:p>
      <w:pPr>
        <w:ind w:left="360" w:hanging="355"/>
        <w:spacing w:after="0"/>
        <w:tabs>
          <w:tab w:leader="none" w:pos="3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in progress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The Company’s construction in progress activity during the nine-month period ended September 30, 2018 is detailed below:</w:t>
      </w:r>
    </w:p>
    <w:p>
      <w:pPr>
        <w:spacing w:after="0" w:line="10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September 30,</w:t>
            </w:r>
          </w:p>
        </w:tc>
      </w:tr>
      <w:tr>
        <w:trPr>
          <w:trHeight w:val="177"/>
        </w:trPr>
        <w:tc>
          <w:tcPr>
            <w:tcW w:w="7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41"/>
        </w:trPr>
        <w:tc>
          <w:tcPr>
            <w:tcW w:w="7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35,413</w:t>
            </w:r>
          </w:p>
        </w:tc>
        <w:tc>
          <w:tcPr>
            <w:tcW w:w="100" w:type="dxa"/>
            <w:vAlign w:val="bottom"/>
            <w:tcBorders>
              <w:left w:val="single" w:sz="8" w:color="CCEEFF"/>
            </w:tcBorders>
            <w:shd w:val="clear" w:color="auto" w:fill="CCEEFF"/>
          </w:tcPr>
          <w:p>
            <w:pPr>
              <w:spacing w:after="0"/>
              <w:rPr>
                <w:sz w:val="20"/>
                <w:szCs w:val="20"/>
                <w:color w:val="auto"/>
              </w:rPr>
            </w:pPr>
          </w:p>
        </w:tc>
      </w:tr>
      <w:tr>
        <w:trPr>
          <w:trHeight w:val="235"/>
        </w:trPr>
        <w:tc>
          <w:tcPr>
            <w:tcW w:w="77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125,460</w:t>
            </w:r>
          </w:p>
        </w:tc>
        <w:tc>
          <w:tcPr>
            <w:tcW w:w="100" w:type="dxa"/>
            <w:vAlign w:val="bottom"/>
          </w:tcPr>
          <w:p>
            <w:pPr>
              <w:spacing w:after="0"/>
              <w:rPr>
                <w:sz w:val="20"/>
                <w:szCs w:val="20"/>
                <w:color w:val="auto"/>
              </w:rPr>
            </w:pPr>
          </w:p>
        </w:tc>
      </w:tr>
      <w:tr>
        <w:trPr>
          <w:trHeight w:val="248"/>
        </w:trPr>
        <w:tc>
          <w:tcPr>
            <w:tcW w:w="7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Transferred to finance leases, net (Note 11).</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8"/>
        </w:trPr>
        <w:tc>
          <w:tcPr>
            <w:tcW w:w="7720" w:type="dxa"/>
            <w:vAlign w:val="bottom"/>
          </w:tcPr>
          <w:p>
            <w:pPr>
              <w:ind w:left="180"/>
              <w:spacing w:after="0"/>
              <w:rPr>
                <w:sz w:val="20"/>
                <w:szCs w:val="20"/>
                <w:color w:val="auto"/>
              </w:rPr>
            </w:pPr>
            <w:r>
              <w:rPr>
                <w:rFonts w:ascii="Arial" w:cs="Arial" w:eastAsia="Arial" w:hAnsi="Arial"/>
                <w:sz w:val="18"/>
                <w:szCs w:val="18"/>
                <w:color w:val="auto"/>
              </w:rPr>
              <w:t>Transferred to property, plant and equipment, net (Note 10)</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(830)</w:t>
            </w:r>
          </w:p>
        </w:tc>
      </w:tr>
      <w:tr>
        <w:trPr>
          <w:trHeight w:val="27"/>
        </w:trPr>
        <w:tc>
          <w:tcPr>
            <w:tcW w:w="77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160,043</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772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89" w:lineRule="exact"/>
        <w:rPr>
          <w:sz w:val="20"/>
          <w:szCs w:val="20"/>
          <w:color w:val="auto"/>
        </w:rPr>
      </w:pPr>
    </w:p>
    <w:p>
      <w:pPr>
        <w:ind w:left="360" w:hanging="355"/>
        <w:spacing w:after="0"/>
        <w:tabs>
          <w:tab w:leader="none" w:pos="3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At September 30, 2018 and December 31, 2017 the Company’s property, plant and equipment, net consisted of the following:</w:t>
      </w:r>
    </w:p>
    <w:p>
      <w:pPr>
        <w:spacing w:after="0" w:line="10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77"/>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241"/>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68,217</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66,203</w:t>
            </w:r>
          </w:p>
        </w:tc>
        <w:tc>
          <w:tcPr>
            <w:tcW w:w="80" w:type="dxa"/>
            <w:vAlign w:val="bottom"/>
            <w:shd w:val="clear" w:color="auto" w:fill="CCEEFF"/>
          </w:tcPr>
          <w:p>
            <w:pPr>
              <w:spacing w:after="0"/>
              <w:rPr>
                <w:sz w:val="20"/>
                <w:szCs w:val="20"/>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9,841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8"/>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ISO containers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7,899</w:t>
            </w:r>
          </w:p>
        </w:tc>
        <w:tc>
          <w:tcPr>
            <w:tcW w:w="80" w:type="dxa"/>
            <w:vAlign w:val="bottom"/>
          </w:tcPr>
          <w:p>
            <w:pPr>
              <w:spacing w:after="0"/>
              <w:rPr>
                <w:sz w:val="20"/>
                <w:szCs w:val="20"/>
                <w:color w:val="auto"/>
              </w:rPr>
            </w:pPr>
          </w:p>
        </w:tc>
      </w:tr>
      <w:tr>
        <w:trPr>
          <w:trHeight w:val="248"/>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21"/>
                <w:szCs w:val="21"/>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20"/>
                <w:szCs w:val="20"/>
                <w:color w:val="auto"/>
              </w:rPr>
            </w:pPr>
          </w:p>
        </w:tc>
      </w:tr>
      <w:tr>
        <w:trPr>
          <w:trHeight w:val="234"/>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(5,592)</w:t>
            </w:r>
          </w:p>
        </w:tc>
      </w:tr>
      <w:tr>
        <w:trPr>
          <w:trHeight w:val="27"/>
        </w:trPr>
        <w:tc>
          <w:tcPr>
            <w:tcW w:w="65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6520" w:type="dxa"/>
            <w:vAlign w:val="bottom"/>
          </w:tcPr>
          <w:p>
            <w:pPr>
              <w:ind w:left="180"/>
              <w:spacing w:after="0"/>
              <w:rPr>
                <w:sz w:val="20"/>
                <w:szCs w:val="20"/>
                <w:color w:val="auto"/>
              </w:rPr>
            </w:pPr>
            <w:r>
              <w:rPr>
                <w:rFonts w:ascii="Arial" w:cs="Arial" w:eastAsia="Arial" w:hAnsi="Arial"/>
                <w:sz w:val="18"/>
                <w:szCs w:val="18"/>
                <w:color w:val="auto"/>
              </w:rPr>
              <w:t>Total property, plant and equipment,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85,526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69,350</w:t>
            </w:r>
          </w:p>
        </w:tc>
        <w:tc>
          <w:tcPr>
            <w:tcW w:w="8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ind w:left="360" w:right="80"/>
        <w:spacing w:after="0" w:line="261" w:lineRule="auto"/>
        <w:rPr>
          <w:sz w:val="20"/>
          <w:szCs w:val="20"/>
          <w:color w:val="auto"/>
        </w:rPr>
      </w:pPr>
      <w:r>
        <w:rPr>
          <w:rFonts w:ascii="Arial" w:cs="Arial" w:eastAsia="Arial" w:hAnsi="Arial"/>
          <w:sz w:val="18"/>
          <w:szCs w:val="18"/>
          <w:color w:val="auto"/>
        </w:rPr>
        <w:t>Depreciation for nine months ended September 30, 2018 and September 30, 2017 totaled $2,776 and $2,334, respectively, of which $518 and $319 is respectively included within Cost of sales in the condensed consolidated statements of operations and comprehensive loss.</w:t>
      </w:r>
    </w:p>
    <w:p>
      <w:pPr>
        <w:spacing w:after="0" w:line="72" w:lineRule="exact"/>
        <w:rPr>
          <w:sz w:val="20"/>
          <w:szCs w:val="20"/>
          <w:color w:val="auto"/>
        </w:rPr>
      </w:pPr>
    </w:p>
    <w:p>
      <w:pPr>
        <w:ind w:left="360" w:hanging="355"/>
        <w:spacing w:after="0"/>
        <w:tabs>
          <w:tab w:leader="none" w:pos="3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Finance leases, net</w:t>
      </w:r>
    </w:p>
    <w:p>
      <w:pPr>
        <w:spacing w:after="0" w:line="118" w:lineRule="exact"/>
        <w:rPr>
          <w:rFonts w:ascii="Arial" w:cs="Arial" w:eastAsia="Arial" w:hAnsi="Arial"/>
          <w:sz w:val="18"/>
          <w:szCs w:val="18"/>
          <w:b w:val="1"/>
          <w:bCs w:val="1"/>
          <w:color w:val="auto"/>
        </w:rPr>
      </w:pPr>
    </w:p>
    <w:p>
      <w:pPr>
        <w:ind w:left="3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placed its Montego Bay LNG terminal into service on October 30, 2016, which has been accounted for as a direct finance lease. In addition, the Company also has entered into other arrangements to lease equipment to customers which are accounted for as direct finance leases. The components of the direct finance leases as of September 30, 2018 and December 31, 2017 are as follows:</w:t>
      </w:r>
    </w:p>
    <w:p>
      <w:pPr>
        <w:spacing w:after="0" w:line="4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77"/>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41"/>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310,968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323,281</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Unearned income</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(216,542)</w:t>
            </w: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(228,026)</w:t>
            </w:r>
          </w:p>
        </w:tc>
      </w:tr>
      <w:tr>
        <w:trPr>
          <w:trHeight w:val="27"/>
        </w:trPr>
        <w:tc>
          <w:tcPr>
            <w:tcW w:w="6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finance leases,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95,255</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52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0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r>
        <w:trPr>
          <w:trHeight w:val="235"/>
        </w:trPr>
        <w:tc>
          <w:tcPr>
            <w:tcW w:w="6520" w:type="dxa"/>
            <w:vAlign w:val="bottom"/>
          </w:tcPr>
          <w:p>
            <w:pPr>
              <w:ind w:left="180"/>
              <w:spacing w:after="0"/>
              <w:rPr>
                <w:sz w:val="20"/>
                <w:szCs w:val="20"/>
                <w:color w:val="auto"/>
              </w:rPr>
            </w:pPr>
            <w:r>
              <w:rPr>
                <w:rFonts w:ascii="Arial" w:cs="Arial" w:eastAsia="Arial" w:hAnsi="Arial"/>
                <w:sz w:val="18"/>
                <w:szCs w:val="18"/>
                <w:color w:val="auto"/>
              </w:rPr>
              <w:t>Current portion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0"/>
                <w:szCs w:val="20"/>
                <w:color w:val="auto"/>
              </w:rPr>
            </w:pPr>
          </w:p>
        </w:tc>
      </w:tr>
      <w:tr>
        <w:trPr>
          <w:trHeight w:val="248"/>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portion</w:t>
            </w:r>
          </w:p>
        </w:tc>
        <w:tc>
          <w:tcPr>
            <w:tcW w:w="1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93,234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94,077</w:t>
            </w:r>
          </w:p>
        </w:tc>
        <w:tc>
          <w:tcPr>
            <w:tcW w:w="100" w:type="dxa"/>
            <w:vAlign w:val="bottom"/>
            <w:tcBorders>
              <w:left w:val="single" w:sz="8" w:color="CCEEFF"/>
            </w:tcBorders>
            <w:shd w:val="clear" w:color="auto" w:fill="CCEEFF"/>
          </w:tcPr>
          <w:p>
            <w:pPr>
              <w:spacing w:after="0"/>
              <w:rPr>
                <w:sz w:val="21"/>
                <w:szCs w:val="21"/>
                <w:color w:val="auto"/>
              </w:rPr>
            </w:pPr>
          </w:p>
        </w:tc>
      </w:tr>
    </w:tbl>
    <w:p>
      <w:pPr>
        <w:spacing w:after="0" w:line="93" w:lineRule="exact"/>
        <w:rPr>
          <w:sz w:val="20"/>
          <w:szCs w:val="20"/>
          <w:color w:val="auto"/>
        </w:rPr>
      </w:pPr>
    </w:p>
    <w:p>
      <w:pPr>
        <w:ind w:left="360" w:right="200"/>
        <w:spacing w:after="0" w:line="261" w:lineRule="auto"/>
        <w:rPr>
          <w:sz w:val="20"/>
          <w:szCs w:val="20"/>
          <w:color w:val="auto"/>
        </w:rPr>
      </w:pPr>
      <w:r>
        <w:rPr>
          <w:rFonts w:ascii="Arial" w:cs="Arial" w:eastAsia="Arial" w:hAnsi="Arial"/>
          <w:sz w:val="18"/>
          <w:szCs w:val="18"/>
          <w:color w:val="auto"/>
        </w:rPr>
        <w:t>Receivables related to the Company’s direct finance leases are primarily with a national utility that generates consistent cash flow. Therefore, the Company does not expect a material impact to the results of operations or financial position due to nonperformance from such counterparty.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09" w:lineRule="exact"/>
        <w:rPr>
          <w:sz w:val="20"/>
          <w:szCs w:val="20"/>
          <w:color w:val="auto"/>
        </w:rPr>
      </w:pPr>
    </w:p>
    <w:p>
      <w:pPr>
        <w:ind w:left="360" w:hanging="355"/>
        <w:spacing w:after="0"/>
        <w:tabs>
          <w:tab w:leader="none" w:pos="3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2018 and December, 31 2017 other non-current assets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77"/>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41"/>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Easements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left w:val="single" w:sz="8" w:color="CCEEFF"/>
            </w:tcBorders>
            <w:shd w:val="clear" w:color="auto" w:fill="CCEEFF"/>
          </w:tcPr>
          <w:p>
            <w:pPr>
              <w:spacing w:after="0"/>
              <w:rPr>
                <w:sz w:val="20"/>
                <w:szCs w:val="20"/>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Port access rights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12,671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8"/>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Payments to incumbent tenants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Deposit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4"/>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left w:val="single" w:sz="8" w:color="CCEEFF"/>
            </w:tcBorders>
            <w:shd w:val="clear" w:color="auto" w:fill="CCEEFF"/>
          </w:tcPr>
          <w:p>
            <w:pPr>
              <w:spacing w:after="0"/>
              <w:rPr>
                <w:sz w:val="20"/>
                <w:szCs w:val="20"/>
                <w:color w:val="auto"/>
              </w:rPr>
            </w:pPr>
          </w:p>
        </w:tc>
      </w:tr>
      <w:tr>
        <w:trPr>
          <w:trHeight w:val="27"/>
        </w:trPr>
        <w:tc>
          <w:tcPr>
            <w:tcW w:w="65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Total other non-current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26,450</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r>
      <w:tr>
        <w:trPr>
          <w:trHeight w:val="20"/>
        </w:trPr>
        <w:tc>
          <w:tcPr>
            <w:tcW w:w="65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6" w:lineRule="exact"/>
        <w:rPr>
          <w:sz w:val="20"/>
          <w:szCs w:val="20"/>
          <w:color w:val="auto"/>
        </w:rPr>
      </w:pPr>
    </w:p>
    <w:p>
      <w:pPr>
        <w:ind w:left="360" w:right="140"/>
        <w:spacing w:after="0" w:line="299" w:lineRule="auto"/>
        <w:rPr>
          <w:sz w:val="20"/>
          <w:szCs w:val="20"/>
          <w:color w:val="auto"/>
        </w:rPr>
      </w:pPr>
      <w:r>
        <w:rPr>
          <w:rFonts w:ascii="Arial" w:cs="Arial" w:eastAsia="Arial" w:hAnsi="Arial"/>
          <w:sz w:val="16"/>
          <w:szCs w:val="16"/>
          <w:color w:val="auto"/>
        </w:rPr>
        <w:t>Port access rights related to the Company’s port lease in Baja California Sur, Mexico, represent capitalized initial direct costs of entering the lease and are amortized straight-line over the lease term as additional rent expense. Payments to incumbent tenants represent capitalized payments made to previous lessees to secure the Company’s port lease in San Juan, Puerto Rico, and are also amortized straight-line over the lease term as additional rent expense. See footnote 18 for more detail.</w:t>
      </w:r>
    </w:p>
    <w:p>
      <w:pPr>
        <w:spacing w:after="0" w:line="45" w:lineRule="exact"/>
        <w:rPr>
          <w:sz w:val="20"/>
          <w:szCs w:val="20"/>
          <w:color w:val="auto"/>
        </w:rPr>
      </w:pPr>
    </w:p>
    <w:p>
      <w:pPr>
        <w:ind w:left="360" w:hanging="355"/>
        <w:spacing w:after="0"/>
        <w:tabs>
          <w:tab w:leader="none" w:pos="3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2018 and December 31, 2017 accrued liabilities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77"/>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41"/>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Accrued bonuses</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10,303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8,620</w:t>
            </w:r>
          </w:p>
        </w:tc>
        <w:tc>
          <w:tcPr>
            <w:tcW w:w="100" w:type="dxa"/>
            <w:vAlign w:val="bottom"/>
          </w:tcPr>
          <w:p>
            <w:pPr>
              <w:spacing w:after="0"/>
              <w:rPr>
                <w:sz w:val="19"/>
                <w:szCs w:val="19"/>
                <w:color w:val="auto"/>
              </w:rPr>
            </w:pPr>
          </w:p>
        </w:tc>
      </w:tr>
      <w:tr>
        <w:trPr>
          <w:trHeight w:val="27"/>
        </w:trPr>
        <w:tc>
          <w:tcPr>
            <w:tcW w:w="6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52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0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89" w:lineRule="exact"/>
        <w:rPr>
          <w:sz w:val="20"/>
          <w:szCs w:val="20"/>
          <w:color w:val="auto"/>
        </w:rPr>
      </w:pPr>
    </w:p>
    <w:p>
      <w:pPr>
        <w:ind w:left="360" w:hanging="355"/>
        <w:spacing w:after="0"/>
        <w:tabs>
          <w:tab w:leader="none" w:pos="3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2018 and December 31, 2017 long-term debt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241"/>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 Facility, due August 2019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121,970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Montego Bay Loan, due June 2023</w:t>
            </w: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36,504</w:t>
            </w:r>
          </w:p>
        </w:tc>
        <w:tc>
          <w:tcPr>
            <w:tcW w:w="80" w:type="dxa"/>
            <w:vAlign w:val="bottom"/>
          </w:tcPr>
          <w:p>
            <w:pPr>
              <w:spacing w:after="0"/>
              <w:rPr>
                <w:sz w:val="20"/>
                <w:szCs w:val="20"/>
                <w:color w:val="auto"/>
              </w:rPr>
            </w:pPr>
          </w:p>
        </w:tc>
      </w:tr>
      <w:tr>
        <w:trPr>
          <w:trHeight w:val="234"/>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Miami Loan, Due November 2019</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38,749</w:t>
            </w:r>
          </w:p>
        </w:tc>
        <w:tc>
          <w:tcPr>
            <w:tcW w:w="80" w:type="dxa"/>
            <w:vAlign w:val="bottom"/>
            <w:shd w:val="clear" w:color="auto" w:fill="CCEEFF"/>
          </w:tcPr>
          <w:p>
            <w:pPr>
              <w:spacing w:after="0"/>
              <w:rPr>
                <w:sz w:val="20"/>
                <w:szCs w:val="20"/>
                <w:color w:val="auto"/>
              </w:rPr>
            </w:pPr>
          </w:p>
        </w:tc>
      </w:tr>
      <w:tr>
        <w:trPr>
          <w:trHeight w:val="27"/>
        </w:trPr>
        <w:tc>
          <w:tcPr>
            <w:tcW w:w="65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652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121,970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75,253</w:t>
            </w:r>
          </w:p>
        </w:tc>
        <w:tc>
          <w:tcPr>
            <w:tcW w:w="8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1"/>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121,970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80" w:type="dxa"/>
            <w:vAlign w:val="bottom"/>
            <w:shd w:val="clear" w:color="auto" w:fill="CCEEFF"/>
          </w:tcPr>
          <w:p>
            <w:pPr>
              <w:spacing w:after="0"/>
              <w:rPr>
                <w:sz w:val="20"/>
                <w:szCs w:val="20"/>
                <w:color w:val="auto"/>
              </w:rPr>
            </w:pPr>
          </w:p>
        </w:tc>
      </w:tr>
      <w:tr>
        <w:trPr>
          <w:trHeight w:val="229"/>
        </w:trPr>
        <w:tc>
          <w:tcPr>
            <w:tcW w:w="6520" w:type="dxa"/>
            <w:vAlign w:val="bottom"/>
          </w:tcPr>
          <w:p>
            <w:pPr>
              <w:ind w:left="180"/>
              <w:spacing w:after="0"/>
              <w:rPr>
                <w:sz w:val="20"/>
                <w:szCs w:val="20"/>
                <w:color w:val="auto"/>
              </w:rPr>
            </w:pPr>
            <w:r>
              <w:rPr>
                <w:rFonts w:ascii="Arial" w:cs="Arial" w:eastAsia="Arial" w:hAnsi="Arial"/>
                <w:sz w:val="18"/>
                <w:szCs w:val="18"/>
                <w:color w:val="auto"/>
              </w:rPr>
              <w:t>Non-current portion of long-term debt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69,425</w:t>
            </w:r>
          </w:p>
        </w:tc>
        <w:tc>
          <w:tcPr>
            <w:tcW w:w="80" w:type="dxa"/>
            <w:vAlign w:val="bottom"/>
          </w:tcPr>
          <w:p>
            <w:pPr>
              <w:spacing w:after="0"/>
              <w:rPr>
                <w:sz w:val="19"/>
                <w:szCs w:val="19"/>
                <w:color w:val="auto"/>
              </w:rPr>
            </w:pPr>
          </w:p>
        </w:tc>
      </w:tr>
    </w:tbl>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Term Loan Facility</w:t>
      </w:r>
    </w:p>
    <w:p>
      <w:pPr>
        <w:spacing w:after="0" w:line="115" w:lineRule="exact"/>
        <w:rPr>
          <w:sz w:val="20"/>
          <w:szCs w:val="20"/>
          <w:color w:val="auto"/>
        </w:rPr>
      </w:pPr>
    </w:p>
    <w:p>
      <w:pPr>
        <w:ind w:left="360"/>
        <w:spacing w:after="0" w:line="287" w:lineRule="auto"/>
        <w:rPr>
          <w:sz w:val="20"/>
          <w:szCs w:val="20"/>
          <w:color w:val="auto"/>
        </w:rPr>
      </w:pPr>
      <w:r>
        <w:rPr>
          <w:rFonts w:ascii="Arial" w:cs="Arial" w:eastAsia="Arial" w:hAnsi="Arial"/>
          <w:sz w:val="16"/>
          <w:szCs w:val="16"/>
          <w:color w:val="auto"/>
        </w:rPr>
        <w:t>On August 16, 2018, the Company entered into a Term Loan Facility (the “Term Loan Facility”) to borrow up to an aggregate principal amount of $240,000. Borrowings under the Term Loan Facility bear interest at a rate selected by the Company of either (i) a LIBOR based rate, plus a spread of 4.0%, or (ii) subject to a floor of 1%, a Base Rate equal to the higher of (a) the Prime Rate, (b) the Federal Funds Rate plus 1⁄2 of 1% or (c) the 1-month LIBOR rate plus the difference between the applicable LIBOR margin and Base Rate margin, plus a spread of 3.0%. The Term Loan Facility is set to mature on August 14, 2019 and is repayable in quarterly installments of $600, with a balloon payment due on the maturity date. The Company has the option to extend the maturity date for two additional six month periods; upon the exercise of each extension option, the spread on LIBOR and Base Rate increases by 0.5%. To exercise the extension option, the Company must pay a fee equal to 1.0% of the outstanding principal balance at the time of the exercise of the option.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13" w:lineRule="exact"/>
        <w:rPr>
          <w:sz w:val="20"/>
          <w:szCs w:val="20"/>
          <w:color w:val="auto"/>
        </w:rPr>
      </w:pPr>
    </w:p>
    <w:p>
      <w:pPr>
        <w:ind w:left="360"/>
        <w:spacing w:after="0" w:line="299" w:lineRule="auto"/>
        <w:rPr>
          <w:sz w:val="20"/>
          <w:szCs w:val="20"/>
          <w:color w:val="auto"/>
        </w:rPr>
      </w:pPr>
      <w:r>
        <w:rPr>
          <w:rFonts w:ascii="Arial" w:cs="Arial" w:eastAsia="Arial" w:hAnsi="Arial"/>
          <w:sz w:val="16"/>
          <w:szCs w:val="16"/>
          <w:color w:val="auto"/>
        </w:rPr>
        <w:t>The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in indebtedness, liens, acquisitions and investments, restricted payments and dispositions. The Term Loan Facility also provides for customary events of default, prepayment and cure provisions.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initially borrowed $130,000 under the Term Loan Facility. The Company paid origination and other fees of</w:t>
      </w:r>
    </w:p>
    <w:p>
      <w:pPr>
        <w:spacing w:after="0" w:line="34" w:lineRule="exact"/>
        <w:rPr>
          <w:sz w:val="20"/>
          <w:szCs w:val="20"/>
          <w:color w:val="auto"/>
        </w:rPr>
      </w:pPr>
    </w:p>
    <w:p>
      <w:pPr>
        <w:ind w:left="360" w:right="40"/>
        <w:spacing w:after="0" w:line="275" w:lineRule="auto"/>
        <w:rPr>
          <w:sz w:val="20"/>
          <w:szCs w:val="20"/>
          <w:color w:val="auto"/>
        </w:rPr>
      </w:pPr>
      <w:r>
        <w:rPr>
          <w:rFonts w:ascii="Arial" w:cs="Arial" w:eastAsia="Arial" w:hAnsi="Arial"/>
          <w:sz w:val="17"/>
          <w:szCs w:val="17"/>
          <w:color w:val="auto"/>
        </w:rPr>
        <w:t>$9,050. These costs are capitalized as deferred financing costs and recorded as a reduction in current portion of long-term debt on the condensed consolidated balance sheets, of which $8,030 is unamortized as of September 30, 2018. Interest expense, inclusive of amortized debt fees for the nine months ended September 30, 2018, totaled $2,028.</w:t>
      </w:r>
    </w:p>
    <w:p>
      <w:pPr>
        <w:spacing w:after="0" w:line="65" w:lineRule="exact"/>
        <w:rPr>
          <w:sz w:val="20"/>
          <w:szCs w:val="20"/>
          <w:color w:val="auto"/>
        </w:rPr>
      </w:pPr>
    </w:p>
    <w:p>
      <w:pPr>
        <w:ind w:left="360" w:right="260"/>
        <w:spacing w:after="0" w:line="261" w:lineRule="auto"/>
        <w:rPr>
          <w:sz w:val="20"/>
          <w:szCs w:val="20"/>
          <w:color w:val="auto"/>
        </w:rPr>
      </w:pPr>
      <w:r>
        <w:rPr>
          <w:rFonts w:ascii="Arial" w:cs="Arial" w:eastAsia="Arial" w:hAnsi="Arial"/>
          <w:sz w:val="18"/>
          <w:szCs w:val="18"/>
          <w:color w:val="auto"/>
        </w:rPr>
        <w:t>The Company used the net proceeds of the Term Loan Facility to repay both the Miami Loan and the MoBay Loan, and the remaining proceeds will be used for capital expenditures to complete the Old Harbour Terminal, as well as for additional storage and regasification facilities for small-scale customers.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Montego Bay Loan</w:t>
      </w:r>
    </w:p>
    <w:p>
      <w:pPr>
        <w:spacing w:after="0" w:line="115" w:lineRule="exact"/>
        <w:rPr>
          <w:sz w:val="20"/>
          <w:szCs w:val="20"/>
          <w:color w:val="auto"/>
        </w:rPr>
      </w:pPr>
    </w:p>
    <w:p>
      <w:pPr>
        <w:ind w:left="360" w:right="80"/>
        <w:spacing w:after="0" w:line="254" w:lineRule="auto"/>
        <w:rPr>
          <w:sz w:val="20"/>
          <w:szCs w:val="20"/>
          <w:color w:val="auto"/>
        </w:rPr>
      </w:pPr>
      <w:r>
        <w:rPr>
          <w:rFonts w:ascii="Arial" w:cs="Arial" w:eastAsia="Arial" w:hAnsi="Arial"/>
          <w:sz w:val="18"/>
          <w:szCs w:val="18"/>
          <w:color w:val="auto"/>
        </w:rPr>
        <w:t>In June 2016, NFE North Holdings Limited (“NNHL”), a subsidiary, entered into a Syndicated Loan Agreement (the “MoBay Loan”) with National Commercial Bank Jamaica Limited for an aggregate amount of $44,000, maturing on June 5, 2023, in connection with the construction of the LNG Terminal in Montego Bay, Jamaica.The MoBay Loan was to be repaid in 77 monthly payments of $452 commencing from December 6, 2016, and a final balloon payment of $9,172 due on the maturity date. Borrowings under the loan bore interest at 8.1%. The MoBay loan was secured by the LNG Terminal in Montego Bay, Jamaica.</w:t>
      </w:r>
    </w:p>
    <w:p>
      <w:pPr>
        <w:spacing w:after="0" w:line="81" w:lineRule="exact"/>
        <w:rPr>
          <w:sz w:val="20"/>
          <w:szCs w:val="20"/>
          <w:color w:val="auto"/>
        </w:rPr>
      </w:pPr>
    </w:p>
    <w:p>
      <w:pPr>
        <w:ind w:left="360" w:right="120"/>
        <w:spacing w:after="0" w:line="299" w:lineRule="auto"/>
        <w:rPr>
          <w:sz w:val="20"/>
          <w:szCs w:val="20"/>
          <w:color w:val="auto"/>
        </w:rPr>
      </w:pPr>
      <w:r>
        <w:rPr>
          <w:rFonts w:ascii="Arial" w:cs="Arial" w:eastAsia="Arial" w:hAnsi="Arial"/>
          <w:sz w:val="16"/>
          <w:szCs w:val="16"/>
          <w:color w:val="auto"/>
        </w:rPr>
        <w:t>During the construction period of certain projects in 2016, related interest expense and borrowings costs were capitalized as such costs were directly attributed to the construction. The capitalized interest was amortized as part of the capitalized cost of the asset that is subject to a direct finance lease upon its completion. Interest expense, inclusive of amortized debt fees for the nine months ended September 30, 2018 and 2017 totaled $2,402 and $2,735 respectively.</w:t>
      </w:r>
    </w:p>
    <w:p>
      <w:pPr>
        <w:spacing w:after="0" w:line="49" w:lineRule="exact"/>
        <w:rPr>
          <w:sz w:val="20"/>
          <w:szCs w:val="20"/>
          <w:color w:val="auto"/>
        </w:rPr>
      </w:pPr>
    </w:p>
    <w:p>
      <w:pPr>
        <w:ind w:left="360" w:right="100"/>
        <w:spacing w:after="0" w:line="271" w:lineRule="auto"/>
        <w:rPr>
          <w:sz w:val="20"/>
          <w:szCs w:val="20"/>
          <w:color w:val="auto"/>
        </w:rPr>
      </w:pPr>
      <w:r>
        <w:rPr>
          <w:rFonts w:ascii="Arial" w:cs="Arial" w:eastAsia="Arial" w:hAnsi="Arial"/>
          <w:sz w:val="17"/>
          <w:szCs w:val="17"/>
          <w:color w:val="auto"/>
        </w:rPr>
        <w:t>The Company used the net proceeds of the Term Loan Facility entered into in August 2018 to repay the MoBay Loan. The Company was subject to a prepayment fee of 1% on the MoBay Loan, and paid $345 in September 2018 to lenders in conjunction with the repayment of the MoBay Loan. Unamortized deferred financing costs recorded as a reduction in long-term debt at the time of the repayment were $1,404. These unamortized deferred financing costs were written off in conjunction with the repayment and included within Loss on extinguishment of debt along with the prepayment penalty in the condensed consolidated statements of operations and comprehensive loss.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Miami Loan</w:t>
      </w:r>
    </w:p>
    <w:p>
      <w:pPr>
        <w:spacing w:after="0" w:line="115" w:lineRule="exact"/>
        <w:rPr>
          <w:sz w:val="20"/>
          <w:szCs w:val="20"/>
          <w:color w:val="auto"/>
        </w:rPr>
      </w:pPr>
    </w:p>
    <w:p>
      <w:pPr>
        <w:ind w:left="360" w:right="20"/>
        <w:spacing w:after="0" w:line="268" w:lineRule="auto"/>
        <w:rPr>
          <w:sz w:val="20"/>
          <w:szCs w:val="20"/>
          <w:color w:val="auto"/>
        </w:rPr>
      </w:pPr>
      <w:r>
        <w:rPr>
          <w:rFonts w:ascii="Arial" w:cs="Arial" w:eastAsia="Arial" w:hAnsi="Arial"/>
          <w:sz w:val="17"/>
          <w:szCs w:val="17"/>
          <w:color w:val="auto"/>
        </w:rPr>
        <w:t>In November 2014, LNG Holdings (Florida) LLC (“LHFL”), a controlled subsidiary, entered into a Credit Agreement (the “Miami Loan”) with a bank for an initial aggregate amount of $40,000, maturing on May 24, 2018, in connection with the construction of an LNG facility in Hialeah, Florida. Borrowings under the loan bore interest at a rate selected by LHFL of either (i) a LIBOR based rate, with a floor of 1.00%, plus a spread of 5.00%, or (ii) subject to a floor of 2%, a Base Rate equal to the higher of (a) the Prime Rate, (b) the Federal Funds Rate plus ½ of 1% or (c) the 1-month LIBOR rate plus the difference between the applicable LIBOR margin and Base Rate margin, plus a spread of 4.00%. Subject to certain conditions, the Miami Loan could be extended for an additional term of up to 18 months. If the Miami Loan was extended past the original maturity date, the spread on LIBOR and Base Rate increases to 5.50% and 4.50%, respectively. The Miami Loan also required unused commitment fees of 1.25% per annum on undrawn amounts. The Miami Loan was secured by all of the assets of LHFL, which consists primarily of the Miami Facility.</w:t>
      </w:r>
    </w:p>
    <w:p>
      <w:pPr>
        <w:spacing w:after="0" w:line="71" w:lineRule="exact"/>
        <w:rPr>
          <w:sz w:val="20"/>
          <w:szCs w:val="20"/>
          <w:color w:val="auto"/>
        </w:rPr>
      </w:pPr>
    </w:p>
    <w:p>
      <w:pPr>
        <w:ind w:left="360" w:right="200"/>
        <w:spacing w:after="0" w:line="261" w:lineRule="auto"/>
        <w:rPr>
          <w:sz w:val="20"/>
          <w:szCs w:val="20"/>
          <w:color w:val="auto"/>
        </w:rPr>
      </w:pPr>
      <w:r>
        <w:rPr>
          <w:rFonts w:ascii="Arial" w:cs="Arial" w:eastAsia="Arial" w:hAnsi="Arial"/>
          <w:sz w:val="18"/>
          <w:szCs w:val="18"/>
          <w:color w:val="auto"/>
        </w:rPr>
        <w:t>The Miami Loan required periodic payments of interest on either a monthly, quarterly or semi-annual basis, depending upon the interest rate option selected by LHFL. In addition, with respect to LIBOR based borrowings, LHFL, at its option, could elect to defer up to ten interest periods outstanding at any point in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13" w:lineRule="exact"/>
        <w:rPr>
          <w:sz w:val="20"/>
          <w:szCs w:val="20"/>
          <w:color w:val="auto"/>
        </w:rPr>
      </w:pPr>
    </w:p>
    <w:p>
      <w:pPr>
        <w:ind w:left="360" w:right="180"/>
        <w:spacing w:after="0" w:line="255" w:lineRule="auto"/>
        <w:rPr>
          <w:sz w:val="20"/>
          <w:szCs w:val="20"/>
          <w:color w:val="auto"/>
        </w:rPr>
      </w:pPr>
      <w:r>
        <w:rPr>
          <w:rFonts w:ascii="Arial" w:cs="Arial" w:eastAsia="Arial" w:hAnsi="Arial"/>
          <w:sz w:val="18"/>
          <w:szCs w:val="18"/>
          <w:color w:val="auto"/>
        </w:rPr>
        <w:t>time. The Miami Loan also required annual amortization in an amount equal to 1% of the amount outstanding. The Miami Loan could be prepaid without penalty after the first anniversary of the closing of the Miami Loan. At the time of the extinguishment of the debt in August 2018 and as of December 31, 2017, interest was calculated based on 7.58% and 6.57%, respectively. Interest expense, inclusive of amortized debt fees for the nine months ended September 30, 2018 and 2017, totaled $1,989 and $2,106 respectively.</w:t>
      </w:r>
    </w:p>
    <w:p>
      <w:pPr>
        <w:spacing w:after="0" w:line="81" w:lineRule="exact"/>
        <w:rPr>
          <w:sz w:val="20"/>
          <w:szCs w:val="20"/>
          <w:color w:val="auto"/>
        </w:rPr>
      </w:pPr>
    </w:p>
    <w:p>
      <w:pPr>
        <w:ind w:left="360" w:right="60"/>
        <w:spacing w:after="0" w:line="274" w:lineRule="auto"/>
        <w:rPr>
          <w:sz w:val="20"/>
          <w:szCs w:val="20"/>
          <w:color w:val="auto"/>
        </w:rPr>
      </w:pPr>
      <w:r>
        <w:rPr>
          <w:rFonts w:ascii="Arial" w:cs="Arial" w:eastAsia="Arial" w:hAnsi="Arial"/>
          <w:sz w:val="18"/>
          <w:szCs w:val="18"/>
          <w:color w:val="auto"/>
        </w:rPr>
        <w:t>On May 16, 2018, the Company extended the maturity to November 2019. To execute the extension option, the Company paid an extension fee of $388, equating to 1% of the outstanding principal at the time.</w:t>
      </w:r>
    </w:p>
    <w:p>
      <w:pPr>
        <w:spacing w:after="0" w:line="64" w:lineRule="exact"/>
        <w:rPr>
          <w:sz w:val="20"/>
          <w:szCs w:val="20"/>
          <w:color w:val="auto"/>
        </w:rPr>
      </w:pPr>
    </w:p>
    <w:p>
      <w:pPr>
        <w:ind w:left="360" w:right="60"/>
        <w:spacing w:after="0" w:line="273" w:lineRule="auto"/>
        <w:rPr>
          <w:sz w:val="20"/>
          <w:szCs w:val="20"/>
          <w:color w:val="auto"/>
        </w:rPr>
      </w:pPr>
      <w:r>
        <w:rPr>
          <w:rFonts w:ascii="Arial" w:cs="Arial" w:eastAsia="Arial" w:hAnsi="Arial"/>
          <w:sz w:val="17"/>
          <w:szCs w:val="17"/>
          <w:color w:val="auto"/>
        </w:rPr>
        <w:t>The Company used the net proceeds of the Term Loan Facility entered into in August 2018 to repay the Miami Loan. The outstanding principal balance at the time of the repayment was $38,707; the Company agreed to repay lenders $37,255 to extinguish the liability, and as such a gain on extinguishment of $1,452 was recorded within Loss on extinguishment of debt in the condensed consolidated statements of operations and consolidated loss. The gain was partially offset by the write-off of unamortized deferred financing costs recorded as a reduction in long-term debt of $321.</w:t>
      </w:r>
    </w:p>
    <w:p>
      <w:pPr>
        <w:spacing w:after="0" w:line="65" w:lineRule="exact"/>
        <w:rPr>
          <w:sz w:val="20"/>
          <w:szCs w:val="20"/>
          <w:color w:val="auto"/>
        </w:rPr>
      </w:pPr>
    </w:p>
    <w:p>
      <w:pPr>
        <w:ind w:left="360" w:hanging="355"/>
        <w:spacing w:after="0"/>
        <w:tabs>
          <w:tab w:leader="none" w:pos="3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8" w:lineRule="exact"/>
        <w:rPr>
          <w:rFonts w:ascii="Arial" w:cs="Arial" w:eastAsia="Arial" w:hAnsi="Arial"/>
          <w:sz w:val="18"/>
          <w:szCs w:val="18"/>
          <w:b w:val="1"/>
          <w:bCs w:val="1"/>
          <w:color w:val="auto"/>
        </w:rPr>
      </w:pPr>
    </w:p>
    <w:p>
      <w:pPr>
        <w:ind w:left="360" w:right="2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the U.S. and multiple foreign jurisdictions. As a pass-through entity for U.S. federal tax purposes, no income tax provision or benefit for U.S. income taxes has been recorded for the periods presented.</w:t>
      </w:r>
    </w:p>
    <w:p>
      <w:pPr>
        <w:spacing w:after="0" w:line="17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Jamaica</w:t>
      </w:r>
    </w:p>
    <w:p>
      <w:pPr>
        <w:spacing w:after="0" w:line="114" w:lineRule="exact"/>
        <w:rPr>
          <w:rFonts w:ascii="Arial" w:cs="Arial" w:eastAsia="Arial" w:hAnsi="Arial"/>
          <w:sz w:val="18"/>
          <w:szCs w:val="18"/>
          <w:b w:val="1"/>
          <w:bCs w:val="1"/>
          <w:color w:val="auto"/>
        </w:rPr>
      </w:pPr>
    </w:p>
    <w:p>
      <w:pPr>
        <w:ind w:left="360" w:right="48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Company’s subsidiaries incorporated in Jamaica are subject to income tax which is computed at 25% of the relevant subsidiaries’ results for the year, adjusted for tax purposes.</w:t>
      </w:r>
    </w:p>
    <w:p>
      <w:pPr>
        <w:spacing w:after="0" w:line="63"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provision / (benefit) for the taxes on income consists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r>
      <w:tr>
        <w:trPr>
          <w:trHeight w:val="177"/>
        </w:trPr>
        <w:tc>
          <w:tcPr>
            <w:tcW w:w="6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41"/>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6580" w:type="dxa"/>
            <w:vAlign w:val="bottom"/>
          </w:tcPr>
          <w:p>
            <w:pPr>
              <w:spacing w:after="0"/>
              <w:rPr>
                <w:sz w:val="20"/>
                <w:szCs w:val="20"/>
                <w:color w:val="auto"/>
              </w:rPr>
            </w:pPr>
            <w:r>
              <w:rPr>
                <w:rFonts w:ascii="Arial" w:cs="Arial" w:eastAsia="Arial" w:hAnsi="Arial"/>
                <w:sz w:val="18"/>
                <w:szCs w:val="18"/>
                <w:color w:val="auto"/>
              </w:rPr>
              <w:t>Deferred income tax</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r>
      <w:tr>
        <w:trPr>
          <w:trHeight w:val="27"/>
        </w:trPr>
        <w:tc>
          <w:tcPr>
            <w:tcW w:w="6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5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ind w:left="360" w:right="200"/>
        <w:spacing w:after="0" w:line="261" w:lineRule="auto"/>
        <w:rPr>
          <w:sz w:val="20"/>
          <w:szCs w:val="20"/>
          <w:color w:val="auto"/>
        </w:rPr>
      </w:pPr>
      <w:r>
        <w:rPr>
          <w:rFonts w:ascii="Arial" w:cs="Arial" w:eastAsia="Arial" w:hAnsi="Arial"/>
          <w:sz w:val="18"/>
          <w:szCs w:val="18"/>
          <w:color w:val="auto"/>
        </w:rPr>
        <w:t>The effective tax rate for the nine months ended September 30, 2018 and September 30, 2017 was (0.93)% and (4.37)%, respectively. As a pass through entity, the Company’s statutory rate is 0% and the entire difference between the statutory and effective rate is attributable to foreign taxes.</w:t>
      </w:r>
    </w:p>
    <w:p>
      <w:pPr>
        <w:spacing w:after="0" w:line="76" w:lineRule="exact"/>
        <w:rPr>
          <w:sz w:val="20"/>
          <w:szCs w:val="20"/>
          <w:color w:val="auto"/>
        </w:rPr>
      </w:pPr>
    </w:p>
    <w:p>
      <w:pPr>
        <w:ind w:left="360" w:right="20"/>
        <w:spacing w:after="0" w:line="261" w:lineRule="auto"/>
        <w:rPr>
          <w:sz w:val="20"/>
          <w:szCs w:val="20"/>
          <w:color w:val="auto"/>
        </w:rPr>
      </w:pPr>
      <w:r>
        <w:rPr>
          <w:rFonts w:ascii="Arial" w:cs="Arial" w:eastAsia="Arial" w:hAnsi="Arial"/>
          <w:sz w:val="18"/>
          <w:szCs w:val="18"/>
          <w:color w:val="auto"/>
        </w:rPr>
        <w:t>The Company has not recorded a liability for uncertain tax positions as of September 30, 2018 and December 31, 2017. The Company remains subject to periodic audits and reviews by the taxing authority, and the Company’s returns since its formation remain open for examination.</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Bermuda</w:t>
      </w:r>
    </w:p>
    <w:p>
      <w:pPr>
        <w:spacing w:after="0" w:line="115" w:lineRule="exact"/>
        <w:rPr>
          <w:sz w:val="20"/>
          <w:szCs w:val="20"/>
          <w:color w:val="auto"/>
        </w:rPr>
      </w:pPr>
    </w:p>
    <w:p>
      <w:pPr>
        <w:ind w:left="360"/>
        <w:spacing w:after="0" w:line="309" w:lineRule="auto"/>
        <w:rPr>
          <w:sz w:val="20"/>
          <w:szCs w:val="20"/>
          <w:color w:val="auto"/>
        </w:rPr>
      </w:pPr>
      <w:r>
        <w:rPr>
          <w:rFonts w:ascii="Arial" w:cs="Arial" w:eastAsia="Arial" w:hAnsi="Arial"/>
          <w:sz w:val="16"/>
          <w:szCs w:val="16"/>
          <w:color w:val="auto"/>
        </w:rPr>
        <w:t>The Company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 the period 2035.</w:t>
      </w:r>
    </w:p>
    <w:p>
      <w:pPr>
        <w:spacing w:after="0" w:line="37" w:lineRule="exact"/>
        <w:rPr>
          <w:sz w:val="20"/>
          <w:szCs w:val="20"/>
          <w:color w:val="auto"/>
        </w:rPr>
      </w:pPr>
    </w:p>
    <w:p>
      <w:pPr>
        <w:ind w:left="360" w:right="6640" w:hanging="355"/>
        <w:spacing w:after="0" w:line="375" w:lineRule="auto"/>
        <w:tabs>
          <w:tab w:leader="none" w:pos="351"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Contingencies</w:t>
      </w:r>
    </w:p>
    <w:p>
      <w:pPr>
        <w:spacing w:after="0" w:line="1" w:lineRule="exact"/>
        <w:rPr>
          <w:rFonts w:ascii="Arial" w:cs="Arial" w:eastAsia="Arial" w:hAnsi="Arial"/>
          <w:sz w:val="18"/>
          <w:szCs w:val="18"/>
          <w:b w:val="1"/>
          <w:bCs w:val="1"/>
          <w:color w:val="auto"/>
        </w:rPr>
      </w:pPr>
    </w:p>
    <w:p>
      <w:pPr>
        <w:ind w:left="36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the Company had accrued for $1,204 of tangible personal property tax levied in the State of Florida in respect of the LNG Plant in Hialeah. During 2017, the Company paid this amount in full and subsequently took legal proceedings to challenge the tax amount for a full or partial rebate.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13" w:lineRule="exact"/>
        <w:rPr>
          <w:sz w:val="20"/>
          <w:szCs w:val="20"/>
          <w:color w:val="auto"/>
        </w:rPr>
      </w:pPr>
    </w:p>
    <w:p>
      <w:pPr>
        <w:ind w:left="360" w:right="40"/>
        <w:spacing w:after="0" w:line="261" w:lineRule="auto"/>
        <w:rPr>
          <w:sz w:val="20"/>
          <w:szCs w:val="20"/>
          <w:color w:val="auto"/>
        </w:rPr>
      </w:pPr>
      <w:r>
        <w:rPr>
          <w:rFonts w:ascii="Arial" w:cs="Arial" w:eastAsia="Arial" w:hAnsi="Arial"/>
          <w:sz w:val="18"/>
          <w:szCs w:val="18"/>
          <w:color w:val="auto"/>
        </w:rPr>
        <w:t>Company successfully challenged the tax amount, including penalties, and received a full rebate. The State of Florida has appealed the determination and the Company repaid the rebate amount in order to avoid penalties and charges while the appeal is under consideration.</w:t>
      </w:r>
    </w:p>
    <w:p>
      <w:pPr>
        <w:spacing w:after="0" w:line="76" w:lineRule="exact"/>
        <w:rPr>
          <w:sz w:val="20"/>
          <w:szCs w:val="20"/>
          <w:color w:val="auto"/>
        </w:rPr>
      </w:pPr>
    </w:p>
    <w:p>
      <w:pPr>
        <w:ind w:left="360" w:right="140"/>
        <w:spacing w:after="0" w:line="261" w:lineRule="auto"/>
        <w:rPr>
          <w:sz w:val="20"/>
          <w:szCs w:val="20"/>
          <w:color w:val="auto"/>
        </w:rPr>
      </w:pPr>
      <w:r>
        <w:rPr>
          <w:rFonts w:ascii="Arial" w:cs="Arial" w:eastAsia="Arial" w:hAnsi="Arial"/>
          <w:sz w:val="18"/>
          <w:szCs w:val="18"/>
          <w:color w:val="auto"/>
        </w:rPr>
        <w:t>As of the date at which these condensed consolidated financial statements were issued, the appeal has not been concluded. Should the State of Florida lose the appeal the Company expects a full refund which will be recognized as a gain contingency recognized in earnings when the cash is received.</w:t>
      </w:r>
    </w:p>
    <w:p>
      <w:pPr>
        <w:spacing w:after="0" w:line="72" w:lineRule="exact"/>
        <w:rPr>
          <w:sz w:val="20"/>
          <w:szCs w:val="20"/>
          <w:color w:val="auto"/>
        </w:rPr>
      </w:pPr>
    </w:p>
    <w:p>
      <w:pPr>
        <w:ind w:left="360" w:hanging="355"/>
        <w:spacing w:after="0"/>
        <w:tabs>
          <w:tab w:leader="none" w:pos="3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118" w:lineRule="exact"/>
        <w:rPr>
          <w:rFonts w:ascii="Arial" w:cs="Arial" w:eastAsia="Arial" w:hAnsi="Arial"/>
          <w:sz w:val="18"/>
          <w:szCs w:val="18"/>
          <w:b w:val="1"/>
          <w:bCs w:val="1"/>
          <w:color w:val="auto"/>
        </w:rPr>
      </w:pPr>
    </w:p>
    <w:p>
      <w:pPr>
        <w:ind w:left="360" w:right="12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On December 29, 2017, 2,314,752 common shares (no par value) were subscribed for consideration of $70,050 and recorded within Members’ capital on the condensed consolidated balance sheets. Of the total amount subscribed, $20,050 was received during 2017 and $50,000 was received after December 31, 2017 which was recorded as Stock subscriptions receivable offsetting Members’ capital on the condensed consolidated balance sheets.</w:t>
      </w:r>
    </w:p>
    <w:p>
      <w:pPr>
        <w:spacing w:after="0" w:line="63"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 January 2018, the Company issued 665,843 common shares (no par value) for $20,150 in proceeds.</w:t>
      </w:r>
    </w:p>
    <w:p>
      <w:pPr>
        <w:spacing w:after="0" w:line="110" w:lineRule="exact"/>
        <w:rPr>
          <w:rFonts w:ascii="Arial" w:cs="Arial" w:eastAsia="Arial" w:hAnsi="Arial"/>
          <w:sz w:val="18"/>
          <w:szCs w:val="18"/>
          <w:b w:val="1"/>
          <w:bCs w:val="1"/>
          <w:color w:val="auto"/>
        </w:rPr>
      </w:pPr>
    </w:p>
    <w:p>
      <w:pPr>
        <w:ind w:left="360" w:hanging="355"/>
        <w:spacing w:after="0"/>
        <w:tabs>
          <w:tab w:leader="none" w:pos="3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Leases, as lessee</w:t>
      </w:r>
    </w:p>
    <w:p>
      <w:pPr>
        <w:spacing w:after="0" w:line="118" w:lineRule="exact"/>
        <w:rPr>
          <w:rFonts w:ascii="Arial" w:cs="Arial" w:eastAsia="Arial" w:hAnsi="Arial"/>
          <w:sz w:val="18"/>
          <w:szCs w:val="18"/>
          <w:b w:val="1"/>
          <w:bCs w:val="1"/>
          <w:color w:val="auto"/>
        </w:rPr>
      </w:pPr>
    </w:p>
    <w:p>
      <w:pPr>
        <w:ind w:left="360" w:right="1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During the nine months ended September 30, 2018 and September 30, 2017, the Company recognized rental expense for all operating leases of $16,831 and $13,043, respectively, related primarily to LNG vessel time charters, office space, a land site lease, and marine port berth leases.</w:t>
      </w:r>
    </w:p>
    <w:p>
      <w:pPr>
        <w:spacing w:after="0" w:line="71" w:lineRule="exact"/>
        <w:rPr>
          <w:rFonts w:ascii="Arial" w:cs="Arial" w:eastAsia="Arial" w:hAnsi="Arial"/>
          <w:sz w:val="18"/>
          <w:szCs w:val="18"/>
          <w:b w:val="1"/>
          <w:bCs w:val="1"/>
          <w:color w:val="auto"/>
        </w:rPr>
      </w:pPr>
    </w:p>
    <w:p>
      <w:pPr>
        <w:ind w:left="360" w:right="7100" w:hanging="355"/>
        <w:spacing w:after="0" w:line="422" w:lineRule="auto"/>
        <w:tabs>
          <w:tab w:leader="none" w:pos="351"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i w:val="1"/>
          <w:iCs w:val="1"/>
          <w:color w:val="auto"/>
        </w:rPr>
        <w:t>Management services</w:t>
      </w:r>
    </w:p>
    <w:p>
      <w:pPr>
        <w:ind w:left="3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the ordinary course of business, Fortress, through affiliated entities, charges the Company for administrative and general expenses incurred. The portion of such charges that are attributable to the Company totaled $1,789 and $2,812 for nine months ended September 30, 2018 and 2017, respectively, and are included within Selling, general and administrative in the condensed consolidated statements of operations and comprehensive loss. As of September 30, 2018 and December 31, 2017, $735 and $2,054 were due to Fortress, respectively.</w:t>
      </w:r>
    </w:p>
    <w:p>
      <w:pPr>
        <w:spacing w:after="0" w:line="80" w:lineRule="exact"/>
        <w:rPr>
          <w:rFonts w:ascii="Arial" w:cs="Arial" w:eastAsia="Arial" w:hAnsi="Arial"/>
          <w:sz w:val="16"/>
          <w:szCs w:val="16"/>
          <w:b w:val="1"/>
          <w:bCs w:val="1"/>
          <w:color w:val="auto"/>
        </w:rPr>
      </w:pPr>
    </w:p>
    <w:p>
      <w:pPr>
        <w:ind w:left="360" w:right="2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The Company is controlled by a Member who owned or leased aircraft that the Company chartered from a third-party aircraft operator for business purposes in the course of operations. The Company paid the aircraft operator market rates for the charters of $1,906 and $1,204 for the nine months ended September 30, 2018 and 2017, respectively, and these amounts are included in the activity and balances disclosed above.</w:t>
      </w:r>
    </w:p>
    <w:p>
      <w:pPr>
        <w:spacing w:after="0" w:line="186" w:lineRule="exact"/>
        <w:rPr>
          <w:rFonts w:ascii="Arial" w:cs="Arial" w:eastAsia="Arial" w:hAnsi="Arial"/>
          <w:sz w:val="16"/>
          <w:szCs w:val="16"/>
          <w:b w:val="1"/>
          <w:bCs w:val="1"/>
          <w:color w:val="auto"/>
        </w:rPr>
      </w:pPr>
    </w:p>
    <w:p>
      <w:pPr>
        <w:ind w:left="3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Land lease</w:t>
      </w:r>
    </w:p>
    <w:p>
      <w:pPr>
        <w:spacing w:after="0" w:line="114" w:lineRule="exact"/>
        <w:rPr>
          <w:rFonts w:ascii="Arial" w:cs="Arial" w:eastAsia="Arial" w:hAnsi="Arial"/>
          <w:sz w:val="16"/>
          <w:szCs w:val="16"/>
          <w:b w:val="1"/>
          <w:bCs w:val="1"/>
          <w:color w:val="auto"/>
        </w:rPr>
      </w:pPr>
    </w:p>
    <w:p>
      <w:pPr>
        <w:ind w:left="360" w:right="60"/>
        <w:spacing w:after="0" w:line="277" w:lineRule="auto"/>
        <w:rPr>
          <w:rFonts w:ascii="Arial" w:cs="Arial" w:eastAsia="Arial" w:hAnsi="Arial"/>
          <w:sz w:val="16"/>
          <w:szCs w:val="16"/>
          <w:b w:val="1"/>
          <w:bCs w:val="1"/>
          <w:color w:val="auto"/>
        </w:rPr>
      </w:pPr>
      <w:r>
        <w:rPr>
          <w:rFonts w:ascii="Arial" w:cs="Arial" w:eastAsia="Arial" w:hAnsi="Arial"/>
          <w:sz w:val="17"/>
          <w:szCs w:val="17"/>
          <w:color w:val="auto"/>
        </w:rPr>
        <w:t>The Company has a land and office lease with Florida East Coast Industries, LLC (“FECI”) an affiliate of the Company. The expense for the nine months ended September 30, 2018 and 2017 totaled $213 and $216, respectively, and is included within Operations and maintenance in the condensed consolidated statements of operations and comprehensive loss. As of September 30, 2018 and December 31, 2017, $26 and $37 were due to FECI, respectively.</w:t>
      </w:r>
    </w:p>
    <w:p>
      <w:pPr>
        <w:spacing w:after="0" w:line="63" w:lineRule="exact"/>
        <w:rPr>
          <w:rFonts w:ascii="Arial" w:cs="Arial" w:eastAsia="Arial" w:hAnsi="Arial"/>
          <w:sz w:val="16"/>
          <w:szCs w:val="16"/>
          <w:b w:val="1"/>
          <w:bCs w:val="1"/>
          <w:color w:val="auto"/>
        </w:rPr>
      </w:pPr>
    </w:p>
    <w:p>
      <w:pPr>
        <w:ind w:left="3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DevTech Investment</w:t>
      </w:r>
    </w:p>
    <w:p>
      <w:pPr>
        <w:spacing w:after="0" w:line="114" w:lineRule="exact"/>
        <w:rPr>
          <w:rFonts w:ascii="Arial" w:cs="Arial" w:eastAsia="Arial" w:hAnsi="Arial"/>
          <w:sz w:val="16"/>
          <w:szCs w:val="16"/>
          <w:b w:val="1"/>
          <w:bCs w:val="1"/>
          <w:color w:val="auto"/>
        </w:rPr>
      </w:pPr>
    </w:p>
    <w:p>
      <w:pPr>
        <w:ind w:left="360"/>
        <w:spacing w:after="0" w:line="270" w:lineRule="auto"/>
        <w:rPr>
          <w:rFonts w:ascii="Arial" w:cs="Arial" w:eastAsia="Arial" w:hAnsi="Arial"/>
          <w:sz w:val="16"/>
          <w:szCs w:val="16"/>
          <w:b w:val="1"/>
          <w:bCs w:val="1"/>
          <w:color w:val="auto"/>
        </w:rPr>
      </w:pPr>
      <w:r>
        <w:rPr>
          <w:rFonts w:ascii="Arial" w:cs="Arial" w:eastAsia="Arial" w:hAnsi="Arial"/>
          <w:sz w:val="17"/>
          <w:szCs w:val="17"/>
          <w:color w:val="auto"/>
        </w:rPr>
        <w:t>In August 2018, the Company entered into a consulting arrangement with DevTech, a third-party consultant, to provide business development services to increase the customer base of the Company. DevTech also contributed cash consideration in exchange for a 10% interest in a consolidated subsidiary. The 10% interest is reflected as non-controlling interest in the Company’s condensed consolidated financial statements. DevTech also purchased 10% of a note payable due to an affiliate of the Company for $372. The outstanding note payable due to DevTech is included in Other long-term liabilities in the condensed consolidated balance sheet as of September 30, 2018. For the nine-month period ended September 30, 2018, interest expense on the note payable due to DevTech was $2.</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Florida East Coast Railway (“FECR”)</w:t>
      </w:r>
    </w:p>
    <w:p>
      <w:pPr>
        <w:spacing w:after="0" w:line="115" w:lineRule="exact"/>
        <w:rPr>
          <w:sz w:val="20"/>
          <w:szCs w:val="20"/>
          <w:color w:val="auto"/>
        </w:rPr>
      </w:pPr>
    </w:p>
    <w:p>
      <w:pPr>
        <w:ind w:left="360" w:right="140"/>
        <w:spacing w:after="0" w:line="299" w:lineRule="auto"/>
        <w:rPr>
          <w:sz w:val="20"/>
          <w:szCs w:val="20"/>
          <w:color w:val="auto"/>
        </w:rPr>
      </w:pPr>
      <w:r>
        <w:rPr>
          <w:rFonts w:ascii="Arial" w:cs="Arial" w:eastAsia="Arial" w:hAnsi="Arial"/>
          <w:sz w:val="16"/>
          <w:szCs w:val="16"/>
          <w:color w:val="auto"/>
        </w:rPr>
        <w:t>The Company was affiliated with FECR, an entity previously majority-owned by an affiliate of Fortress, and sells LNG to FECR under a purchase and sale agreement entered into in December 2016. FECR was sold by Fortress on June 30, 2017, the date from which FECR was no longer considered affiliated with the Company. During the nine months ended September 30, 2017, the Company made sales of LNG to FECR totaling $1,618 for the period FECR was affiliated with the Company.</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Due to/from Affiliates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tables below summarizes the balances outstanding with affiliates at September 30, 2018 and December 31, 2017:</w:t>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77"/>
        </w:trPr>
        <w:tc>
          <w:tcPr>
            <w:tcW w:w="4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241"/>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affiliates</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80" w:type="dxa"/>
            <w:vAlign w:val="bottom"/>
            <w:shd w:val="clear" w:color="auto" w:fill="CCEEFF"/>
          </w:tcPr>
          <w:p>
            <w:pPr>
              <w:spacing w:after="0"/>
              <w:rPr>
                <w:sz w:val="20"/>
                <w:szCs w:val="20"/>
                <w:color w:val="auto"/>
              </w:rPr>
            </w:pPr>
          </w:p>
        </w:tc>
      </w:tr>
    </w:tbl>
    <w:p>
      <w:pPr>
        <w:spacing w:after="0" w:line="89" w:lineRule="exact"/>
        <w:rPr>
          <w:sz w:val="20"/>
          <w:szCs w:val="20"/>
          <w:color w:val="auto"/>
        </w:rPr>
      </w:pPr>
    </w:p>
    <w:p>
      <w:pPr>
        <w:ind w:left="360" w:right="7740" w:hanging="355"/>
        <w:spacing w:after="0" w:line="375" w:lineRule="auto"/>
        <w:tabs>
          <w:tab w:leader="none" w:pos="351"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Debt</w:t>
      </w:r>
    </w:p>
    <w:p>
      <w:pPr>
        <w:spacing w:after="0" w:line="1" w:lineRule="exact"/>
        <w:rPr>
          <w:rFonts w:ascii="Arial" w:cs="Arial" w:eastAsia="Arial" w:hAnsi="Arial"/>
          <w:sz w:val="18"/>
          <w:szCs w:val="18"/>
          <w:b w:val="1"/>
          <w:bCs w:val="1"/>
          <w:color w:val="auto"/>
        </w:rPr>
      </w:pPr>
    </w:p>
    <w:p>
      <w:pPr>
        <w:ind w:left="3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In October 2018, the Company drew $110 million on the Term Loan Facility. Total principal amounts outstanding after this draw are $240 million. These proceeds will be used to complete the Old Harbour Terminal, as well as for additional storage and regasification facilities for small-scale customers.</w:t>
      </w:r>
    </w:p>
    <w:p>
      <w:pPr>
        <w:spacing w:after="0" w:line="75" w:lineRule="exact"/>
        <w:rPr>
          <w:rFonts w:ascii="Arial" w:cs="Arial" w:eastAsia="Arial" w:hAnsi="Arial"/>
          <w:sz w:val="18"/>
          <w:szCs w:val="18"/>
          <w:b w:val="1"/>
          <w:bCs w:val="1"/>
          <w:color w:val="auto"/>
        </w:rPr>
      </w:pPr>
    </w:p>
    <w:p>
      <w:pPr>
        <w:ind w:left="360" w:right="24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Management performed an evaluation of subsequent events through November 9, 2018, the date the condensed consolidated financial statements were issued.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7" w:right="1380"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ind w:right="2480" w:firstLine="2511"/>
        <w:spacing w:after="0" w:line="40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Members of New Fortress Energy Holdings LLC</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audited the accompanying consolidated balance sheets of New Fortress Energy Holdings LLC (the “Company”) as of December 31, 2017 and 2016, the related consolidated statements of operations and comprehensive loss, changes in members’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the years then ended in conformity with U.S. generally accepted accounting principles.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August 16, 2018</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33" w:lineRule="auto"/>
        <w:rPr>
          <w:sz w:val="20"/>
          <w:szCs w:val="20"/>
          <w:color w:val="auto"/>
        </w:rPr>
      </w:pPr>
      <w:r>
        <w:rPr>
          <w:rFonts w:ascii="Arial" w:cs="Arial" w:eastAsia="Arial" w:hAnsi="Arial"/>
          <w:sz w:val="18"/>
          <w:szCs w:val="18"/>
          <w:b w:val="1"/>
          <w:bCs w:val="1"/>
          <w:color w:val="auto"/>
        </w:rPr>
        <w:t>As of December 31, 2017 and 2016</w:t>
      </w:r>
    </w:p>
    <w:p>
      <w:pP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r>
      <w:tr>
        <w:trPr>
          <w:trHeight w:val="184"/>
        </w:trPr>
        <w:tc>
          <w:tcPr>
            <w:tcW w:w="6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84,708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180,650</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13,623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19,417</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16,235</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 net</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1,178</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7,656</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24,875</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1"/>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154,953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211,880</w:t>
            </w:r>
          </w:p>
        </w:tc>
      </w:tr>
      <w:tr>
        <w:trPr>
          <w:trHeight w:val="246"/>
        </w:trPr>
        <w:tc>
          <w:tcPr>
            <w:tcW w:w="69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6,333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3,363</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35,413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4,668</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69,350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70,633</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Finance leases, net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94,077</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92,320</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241"/>
        </w:trPr>
        <w:tc>
          <w:tcPr>
            <w:tcW w:w="69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381,190</w:t>
            </w: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389,054</w:t>
            </w:r>
          </w:p>
        </w:tc>
      </w:tr>
      <w:tr>
        <w:trPr>
          <w:trHeight w:val="241"/>
        </w:trPr>
        <w:tc>
          <w:tcPr>
            <w:tcW w:w="69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5,828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5,828</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6,352</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5,283</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17,499</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10,397</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taxes payable</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Due to affiliates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2,091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1"/>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24,479</w:t>
            </w:r>
          </w:p>
        </w:tc>
      </w:tr>
      <w:tr>
        <w:trPr>
          <w:trHeight w:val="246"/>
        </w:trPr>
        <w:tc>
          <w:tcPr>
            <w:tcW w:w="69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69,425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74,557</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1"/>
        </w:trPr>
        <w:tc>
          <w:tcPr>
            <w:tcW w:w="69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99,684</w:t>
            </w:r>
          </w:p>
        </w:tc>
      </w:tr>
      <w:tr>
        <w:trPr>
          <w:trHeight w:val="235"/>
        </w:trPr>
        <w:tc>
          <w:tcPr>
            <w:tcW w:w="69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contingences (Note 16)</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4"/>
        </w:trPr>
        <w:tc>
          <w:tcPr>
            <w:tcW w:w="6940" w:type="dxa"/>
            <w:vAlign w:val="bottom"/>
          </w:tcPr>
          <w:p>
            <w:pPr>
              <w:spacing w:after="0"/>
              <w:rPr>
                <w:sz w:val="20"/>
                <w:szCs w:val="20"/>
                <w:color w:val="auto"/>
              </w:rPr>
            </w:pPr>
            <w:r>
              <w:rPr>
                <w:rFonts w:ascii="Arial" w:cs="Arial" w:eastAsia="Arial" w:hAnsi="Arial"/>
                <w:sz w:val="18"/>
                <w:szCs w:val="18"/>
                <w:color w:val="auto"/>
                <w:w w:val="91"/>
              </w:rPr>
              <w:t>Members’ capital, no par value, 500,000,000 shares authorized, 65,665,037 shares issued and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940" w:type="dxa"/>
            <w:vAlign w:val="bottom"/>
          </w:tcPr>
          <w:p>
            <w:pPr>
              <w:ind w:left="180"/>
              <w:spacing w:after="0"/>
              <w:rPr>
                <w:sz w:val="20"/>
                <w:szCs w:val="20"/>
                <w:color w:val="auto"/>
              </w:rPr>
            </w:pPr>
            <w:r>
              <w:rPr>
                <w:rFonts w:ascii="Arial" w:cs="Arial" w:eastAsia="Arial" w:hAnsi="Arial"/>
                <w:sz w:val="18"/>
                <w:szCs w:val="18"/>
                <w:color w:val="auto"/>
                <w:w w:val="96"/>
              </w:rPr>
              <w:t>outstanding as of December 31, 2017; 65,000,000 shares issued and outstanding as of</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940" w:type="dxa"/>
            <w:vAlign w:val="bottom"/>
          </w:tcPr>
          <w:p>
            <w:pPr>
              <w:ind w:left="180"/>
              <w:spacing w:after="0"/>
              <w:rPr>
                <w:sz w:val="20"/>
                <w:szCs w:val="20"/>
                <w:color w:val="auto"/>
              </w:rPr>
            </w:pPr>
            <w:r>
              <w:rPr>
                <w:rFonts w:ascii="Arial" w:cs="Arial" w:eastAsia="Arial" w:hAnsi="Arial"/>
                <w:sz w:val="18"/>
                <w:szCs w:val="18"/>
                <w:color w:val="auto"/>
              </w:rPr>
              <w:t>December 31, 2016</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406,591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336,683</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subscription receivable</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(80,347)</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(48,676)</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members’ equity</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278,910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289,370</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8"/>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381,190</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389,054</w:t>
            </w:r>
          </w:p>
        </w:tc>
      </w:tr>
      <w:tr>
        <w:trPr>
          <w:trHeight w:val="20"/>
        </w:trPr>
        <w:tc>
          <w:tcPr>
            <w:tcW w:w="6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6"/>
        </w:trPr>
        <w:tc>
          <w:tcPr>
            <w:tcW w:w="8280" w:type="dxa"/>
            <w:vAlign w:val="bottom"/>
            <w:gridSpan w:val="4"/>
          </w:tcPr>
          <w:p>
            <w:pPr>
              <w:ind w:left="1640"/>
              <w:spacing w:after="0"/>
              <w:rPr>
                <w:sz w:val="20"/>
                <w:szCs w:val="20"/>
                <w:color w:val="auto"/>
              </w:rPr>
            </w:pPr>
            <w:r>
              <w:rPr>
                <w:rFonts w:ascii="Arial" w:cs="Arial" w:eastAsia="Arial" w:hAnsi="Arial"/>
                <w:sz w:val="18"/>
                <w:szCs w:val="18"/>
                <w:color w:val="auto"/>
                <w:w w:val="94"/>
              </w:rPr>
              <w:t>The accompanying notes are an integral part of these consolidated financial statements.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6940" w:type="dxa"/>
            <w:vAlign w:val="bottom"/>
          </w:tcPr>
          <w:p>
            <w:pPr>
              <w:ind w:left="4580"/>
              <w:spacing w:after="0"/>
              <w:rPr>
                <w:sz w:val="20"/>
                <w:szCs w:val="20"/>
                <w:color w:val="auto"/>
              </w:rPr>
            </w:pPr>
            <w:r>
              <w:rPr>
                <w:rFonts w:ascii="Arial" w:cs="Arial" w:eastAsia="Arial" w:hAnsi="Arial"/>
                <w:sz w:val="18"/>
                <w:szCs w:val="18"/>
                <w:color w:val="auto"/>
              </w:rPr>
              <w:t>F-22</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6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
        </w:trPr>
        <w:tc>
          <w:tcPr>
            <w:tcW w:w="694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332"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4" w:lineRule="exact"/>
        <w:rPr>
          <w:sz w:val="20"/>
          <w:szCs w:val="20"/>
          <w:color w:val="auto"/>
        </w:rPr>
      </w:pPr>
    </w:p>
    <w:p>
      <w:pPr>
        <w:ind w:right="4560"/>
        <w:spacing w:after="0" w:line="247" w:lineRule="auto"/>
        <w:rPr>
          <w:sz w:val="20"/>
          <w:szCs w:val="20"/>
          <w:color w:val="auto"/>
        </w:rPr>
      </w:pPr>
      <w:r>
        <w:rPr>
          <w:rFonts w:ascii="Arial" w:cs="Arial" w:eastAsia="Arial" w:hAnsi="Arial"/>
          <w:sz w:val="17"/>
          <w:szCs w:val="17"/>
          <w:b w:val="1"/>
          <w:bCs w:val="1"/>
          <w:color w:val="auto"/>
        </w:rPr>
        <w:t>Consolidated Statements of Operations and Comprehensive Loss For the years ended December 31, 2017 and 2016</w:t>
      </w:r>
    </w:p>
    <w:p>
      <w:pP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Operating revenue</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82,104</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18,615</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97,262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21,395</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78,692</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22,747</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Operations and maintenance</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7,456</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5,205</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33,343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18,160</w:t>
            </w:r>
          </w:p>
        </w:tc>
      </w:tr>
      <w:tr>
        <w:trPr>
          <w:trHeight w:val="241"/>
        </w:trPr>
        <w:tc>
          <w:tcPr>
            <w:tcW w:w="6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2,341</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122,252</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48,453</w:t>
            </w:r>
          </w:p>
        </w:tc>
      </w:tr>
      <w:tr>
        <w:trPr>
          <w:trHeight w:val="235"/>
        </w:trPr>
        <w:tc>
          <w:tcPr>
            <w:tcW w:w="694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(24,990)</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(27,058)</w:t>
            </w:r>
          </w:p>
        </w:tc>
      </w:tr>
      <w:tr>
        <w:trPr>
          <w:trHeight w:val="241"/>
        </w:trPr>
        <w:tc>
          <w:tcPr>
            <w:tcW w:w="6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5,105</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1"/>
        </w:trPr>
        <w:tc>
          <w:tcPr>
            <w:tcW w:w="694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(31,145)</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(33,287)</w:t>
            </w: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1"/>
        </w:trPr>
        <w:tc>
          <w:tcPr>
            <w:tcW w:w="69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r>
      <w:tr>
        <w:trPr>
          <w:trHeight w:val="27"/>
        </w:trPr>
        <w:tc>
          <w:tcPr>
            <w:tcW w:w="6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8"/>
        </w:trPr>
        <w:tc>
          <w:tcPr>
            <w:tcW w:w="694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r>
      <w:tr>
        <w:trPr>
          <w:trHeight w:val="27"/>
        </w:trPr>
        <w:tc>
          <w:tcPr>
            <w:tcW w:w="6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220" w:type="dxa"/>
            <w:vAlign w:val="bottom"/>
            <w:shd w:val="clear" w:color="auto" w:fill="CCEEFF"/>
          </w:tcPr>
          <w:p>
            <w:pPr>
              <w:spacing w:after="0"/>
              <w:rPr>
                <w:sz w:val="23"/>
                <w:szCs w:val="23"/>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65,006,140</w:t>
            </w: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58,753,425</w:t>
            </w:r>
          </w:p>
        </w:tc>
      </w:tr>
      <w:tr>
        <w:trPr>
          <w:trHeight w:val="241"/>
        </w:trPr>
        <w:tc>
          <w:tcPr>
            <w:tcW w:w="694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(gain) on available-for-sale investment</w:t>
            </w:r>
          </w:p>
        </w:tc>
        <w:tc>
          <w:tcPr>
            <w:tcW w:w="2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1"/>
        </w:trPr>
        <w:tc>
          <w:tcPr>
            <w:tcW w:w="69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(30,368)</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(31,563)</w:t>
            </w:r>
          </w:p>
        </w:tc>
      </w:tr>
      <w:tr>
        <w:trPr>
          <w:trHeight w:val="27"/>
        </w:trPr>
        <w:tc>
          <w:tcPr>
            <w:tcW w:w="6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Pro forma information (unaudited):</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(31,145)</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1"/>
        </w:trPr>
        <w:tc>
          <w:tcPr>
            <w:tcW w:w="6940" w:type="dxa"/>
            <w:vAlign w:val="bottom"/>
          </w:tcPr>
          <w:p>
            <w:pPr>
              <w:spacing w:after="0"/>
              <w:rPr>
                <w:sz w:val="20"/>
                <w:szCs w:val="20"/>
                <w:color w:val="auto"/>
              </w:rPr>
            </w:pPr>
            <w:r>
              <w:rPr>
                <w:rFonts w:ascii="Arial" w:cs="Arial" w:eastAsia="Arial" w:hAnsi="Arial"/>
                <w:sz w:val="18"/>
                <w:szCs w:val="18"/>
                <w:color w:val="auto"/>
              </w:rPr>
              <w:t>Pro forma income tax expense</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7"/>
        </w:trPr>
        <w:tc>
          <w:tcPr>
            <w:tcW w:w="694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8"/>
        </w:trPr>
        <w:tc>
          <w:tcPr>
            <w:tcW w:w="6940" w:type="dxa"/>
            <w:vAlign w:val="bottom"/>
          </w:tcPr>
          <w:p>
            <w:pPr>
              <w:spacing w:after="0"/>
              <w:rPr>
                <w:sz w:val="20"/>
                <w:szCs w:val="20"/>
                <w:color w:val="auto"/>
              </w:rPr>
            </w:pPr>
            <w:r>
              <w:rPr>
                <w:rFonts w:ascii="Arial" w:cs="Arial" w:eastAsia="Arial" w:hAnsi="Arial"/>
                <w:sz w:val="18"/>
                <w:szCs w:val="18"/>
                <w:color w:val="auto"/>
              </w:rPr>
              <w:t>Pro forma net loss per share – basic and diluted</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6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5"/>
        </w:trPr>
        <w:tc>
          <w:tcPr>
            <w:tcW w:w="69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pro forma number of shares outstanding – basic and diluted</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65,006,140</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33" w:lineRule="auto"/>
        <w:rPr>
          <w:sz w:val="20"/>
          <w:szCs w:val="20"/>
          <w:color w:val="auto"/>
        </w:rPr>
      </w:pPr>
      <w:r>
        <w:rPr>
          <w:rFonts w:ascii="Arial" w:cs="Arial" w:eastAsia="Arial" w:hAnsi="Arial"/>
          <w:sz w:val="18"/>
          <w:szCs w:val="18"/>
          <w:b w:val="1"/>
          <w:bCs w:val="1"/>
          <w:color w:val="auto"/>
        </w:rPr>
        <w:t>For the years ended December 31, 2017 and 2016</w:t>
      </w: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common</w:t>
            </w:r>
          </w:p>
        </w:tc>
        <w:tc>
          <w:tcPr>
            <w:tcW w:w="940" w:type="dxa"/>
            <w:vAlign w:val="bottom"/>
            <w:gridSpan w:val="4"/>
          </w:tcPr>
          <w:p>
            <w:pPr>
              <w:ind w:left="60"/>
              <w:spacing w:after="0"/>
              <w:rPr>
                <w:sz w:val="20"/>
                <w:szCs w:val="20"/>
                <w:color w:val="auto"/>
              </w:rPr>
            </w:pPr>
            <w:r>
              <w:rPr>
                <w:rFonts w:ascii="Arial" w:cs="Arial" w:eastAsia="Arial" w:hAnsi="Arial"/>
                <w:sz w:val="14"/>
                <w:szCs w:val="14"/>
                <w:b w:val="1"/>
                <w:bCs w:val="1"/>
                <w:color w:val="auto"/>
              </w:rPr>
              <w:t>Members’</w:t>
            </w:r>
          </w:p>
        </w:tc>
        <w:tc>
          <w:tcPr>
            <w:tcW w:w="1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subscription</w:t>
            </w: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comprehensive</w:t>
            </w:r>
          </w:p>
        </w:tc>
        <w:tc>
          <w:tcPr>
            <w:tcW w:w="8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Members’</w:t>
            </w:r>
          </w:p>
        </w:tc>
      </w:tr>
      <w:tr>
        <w:trPr>
          <w:trHeight w:val="184"/>
        </w:trPr>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200" w:type="dxa"/>
            <w:vAlign w:val="bottom"/>
            <w:gridSpan w:val="3"/>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9"/>
              </w:rPr>
              <w:t>capital</w:t>
            </w:r>
          </w:p>
        </w:tc>
        <w:tc>
          <w:tcPr>
            <w:tcW w:w="20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receivable</w:t>
            </w:r>
          </w:p>
        </w:tc>
        <w:tc>
          <w:tcPr>
            <w:tcW w:w="18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deficit</w:t>
            </w:r>
          </w:p>
        </w:tc>
        <w:tc>
          <w:tcPr>
            <w:tcW w:w="20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gridSpan w:val="2"/>
          </w:tcPr>
          <w:p>
            <w:pPr>
              <w:spacing w:after="0"/>
              <w:rPr>
                <w:sz w:val="15"/>
                <w:szCs w:val="15"/>
                <w:color w:val="auto"/>
              </w:rPr>
            </w:pPr>
          </w:p>
        </w:tc>
      </w:tr>
      <w:tr>
        <w:trPr>
          <w:trHeight w:val="235"/>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2016</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50,000,000</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36,983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21,233</w:t>
            </w:r>
          </w:p>
        </w:tc>
      </w:tr>
      <w:tr>
        <w:trPr>
          <w:trHeight w:val="241"/>
        </w:trPr>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(32,926)</w:t>
            </w:r>
          </w:p>
        </w:tc>
      </w:tr>
      <w:tr>
        <w:trPr>
          <w:trHeight w:val="235"/>
        </w:trPr>
        <w:tc>
          <w:tcPr>
            <w:tcW w:w="34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1,363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1,363</w:t>
            </w:r>
          </w:p>
        </w:tc>
      </w:tr>
      <w:tr>
        <w:trPr>
          <w:trHeight w:val="24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contributions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15,000,000</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300,776</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300,776</w:t>
            </w:r>
          </w:p>
        </w:tc>
      </w:tr>
      <w:tr>
        <w:trPr>
          <w:trHeight w:val="241"/>
        </w:trPr>
        <w:tc>
          <w:tcPr>
            <w:tcW w:w="3420" w:type="dxa"/>
            <w:vAlign w:val="bottom"/>
            <w:gridSpan w:val="2"/>
          </w:tcPr>
          <w:p>
            <w:pPr>
              <w:spacing w:after="0"/>
              <w:rPr>
                <w:sz w:val="20"/>
                <w:szCs w:val="20"/>
                <w:color w:val="auto"/>
              </w:rPr>
            </w:pPr>
            <w:r>
              <w:rPr>
                <w:rFonts w:ascii="Arial" w:cs="Arial" w:eastAsia="Arial" w:hAnsi="Arial"/>
                <w:sz w:val="18"/>
                <w:szCs w:val="18"/>
                <w:color w:val="auto"/>
              </w:rPr>
              <w:t>Costs of issuing capital</w:t>
            </w: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(1,076)</w:t>
            </w:r>
          </w:p>
        </w:tc>
      </w:tr>
      <w:tr>
        <w:trPr>
          <w:trHeight w:val="235"/>
        </w:trPr>
        <w:tc>
          <w:tcPr>
            <w:tcW w:w="340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7"/>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2016</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65,000,000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336,683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(48,676)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1,363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289,370</w:t>
            </w:r>
          </w:p>
        </w:tc>
      </w:tr>
      <w:tr>
        <w:trPr>
          <w:trHeight w:val="246"/>
        </w:trPr>
        <w:tc>
          <w:tcPr>
            <w:tcW w:w="3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5"/>
        </w:trPr>
        <w:tc>
          <w:tcPr>
            <w:tcW w:w="3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(31,671)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(31,671)</w:t>
            </w:r>
          </w:p>
        </w:tc>
      </w:tr>
      <w:tr>
        <w:trPr>
          <w:trHeight w:val="24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1,303</w:t>
            </w:r>
          </w:p>
        </w:tc>
      </w:tr>
      <w:tr>
        <w:trPr>
          <w:trHeight w:val="235"/>
        </w:trPr>
        <w:tc>
          <w:tcPr>
            <w:tcW w:w="3420" w:type="dxa"/>
            <w:vAlign w:val="bottom"/>
            <w:gridSpan w:val="2"/>
          </w:tcPr>
          <w:p>
            <w:pPr>
              <w:spacing w:after="0"/>
              <w:rPr>
                <w:sz w:val="20"/>
                <w:szCs w:val="20"/>
                <w:color w:val="auto"/>
              </w:rPr>
            </w:pPr>
            <w:r>
              <w:rPr>
                <w:rFonts w:ascii="Arial" w:cs="Arial" w:eastAsia="Arial" w:hAnsi="Arial"/>
                <w:sz w:val="18"/>
                <w:szCs w:val="18"/>
                <w:color w:val="auto"/>
              </w:rPr>
              <w:t>Capital contributions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2,317,252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70,100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70,100</w:t>
            </w:r>
          </w:p>
        </w:tc>
      </w:tr>
      <w:tr>
        <w:trPr>
          <w:trHeight w:val="24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issuing capital</w:t>
            </w: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r>
      <w:tr>
        <w:trPr>
          <w:trHeight w:val="241"/>
        </w:trPr>
        <w:tc>
          <w:tcPr>
            <w:tcW w:w="3420" w:type="dxa"/>
            <w:vAlign w:val="bottom"/>
            <w:gridSpan w:val="2"/>
          </w:tcPr>
          <w:p>
            <w:pPr>
              <w:spacing w:after="0"/>
              <w:rPr>
                <w:sz w:val="20"/>
                <w:szCs w:val="20"/>
                <w:color w:val="auto"/>
              </w:rPr>
            </w:pPr>
            <w:r>
              <w:rPr>
                <w:rFonts w:ascii="Arial" w:cs="Arial" w:eastAsia="Arial" w:hAnsi="Arial"/>
                <w:sz w:val="18"/>
                <w:szCs w:val="18"/>
                <w:color w:val="auto"/>
              </w:rPr>
              <w:t>Stock subscription receivable</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(1,652,215)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(50,000)</w:t>
            </w:r>
          </w:p>
        </w:tc>
      </w:tr>
      <w:tr>
        <w:trPr>
          <w:trHeight w:val="235"/>
        </w:trPr>
        <w:tc>
          <w:tcPr>
            <w:tcW w:w="340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3400" w:type="dxa"/>
            <w:vAlign w:val="bottom"/>
          </w:tcPr>
          <w:p>
            <w:pPr>
              <w:spacing w:after="0"/>
              <w:rPr>
                <w:sz w:val="20"/>
                <w:szCs w:val="20"/>
                <w:color w:val="auto"/>
              </w:rPr>
            </w:pPr>
            <w:r>
              <w:rPr>
                <w:rFonts w:ascii="Arial" w:cs="Arial" w:eastAsia="Arial" w:hAnsi="Arial"/>
                <w:sz w:val="18"/>
                <w:szCs w:val="18"/>
                <w:b w:val="1"/>
                <w:bCs w:val="1"/>
                <w:color w:val="auto"/>
              </w:rPr>
              <w:t>Balance as of December 31, 2017</w:t>
            </w:r>
          </w:p>
        </w:tc>
        <w:tc>
          <w:tcPr>
            <w:tcW w:w="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65,665,037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406,591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(80,347)</w:t>
            </w:r>
          </w:p>
        </w:tc>
        <w:tc>
          <w:tcPr>
            <w:tcW w:w="4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2,666</w:t>
            </w: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278,910</w:t>
            </w:r>
          </w:p>
        </w:tc>
      </w:tr>
      <w:tr>
        <w:trPr>
          <w:trHeight w:val="20"/>
        </w:trPr>
        <w:tc>
          <w:tcPr>
            <w:tcW w:w="3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6"/>
        </w:trPr>
        <w:tc>
          <w:tcPr>
            <w:tcW w:w="8680" w:type="dxa"/>
            <w:vAlign w:val="bottom"/>
            <w:gridSpan w:val="22"/>
          </w:tcPr>
          <w:p>
            <w:pPr>
              <w:ind w:left="1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9"/>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4"/>
          </w:tcPr>
          <w:p>
            <w:pPr>
              <w:ind w:left="60"/>
              <w:spacing w:after="0"/>
              <w:rPr>
                <w:sz w:val="20"/>
                <w:szCs w:val="20"/>
                <w:color w:val="auto"/>
              </w:rPr>
            </w:pPr>
            <w:r>
              <w:rPr>
                <w:rFonts w:ascii="Arial" w:cs="Arial" w:eastAsia="Arial" w:hAnsi="Arial"/>
                <w:sz w:val="18"/>
                <w:szCs w:val="18"/>
                <w:color w:val="auto"/>
              </w:rPr>
              <w:t>F-24</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6"/>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7"/>
        </w:trPr>
        <w:tc>
          <w:tcPr>
            <w:tcW w:w="34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3" w:lineRule="auto"/>
        <w:rPr>
          <w:sz w:val="20"/>
          <w:szCs w:val="20"/>
          <w:color w:val="auto"/>
        </w:rPr>
      </w:pPr>
      <w:r>
        <w:rPr>
          <w:rFonts w:ascii="Arial" w:cs="Arial" w:eastAsia="Arial" w:hAnsi="Arial"/>
          <w:sz w:val="18"/>
          <w:szCs w:val="18"/>
          <w:b w:val="1"/>
          <w:bCs w:val="1"/>
          <w:color w:val="auto"/>
        </w:rPr>
        <w:t>For the years ended December 31, 2017 and 2016</w:t>
      </w: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696</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3,214</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Accretion on asset retirement obligations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Abandoned project cost</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1,289</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(Increase) in receivables</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(3,114)</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(16,149)</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inventories</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(3,496)</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(7,656)</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(Increase) in other assets</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(21,738)</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(2,883)</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increase in accounts payable/accrued liabilities</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9,824</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(Decrease) increase in property taxes payable</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(1,204)</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amounts due to/from affiliates</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894</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41"/>
        </w:trPr>
        <w:tc>
          <w:tcPr>
            <w:tcW w:w="6940" w:type="dxa"/>
            <w:vAlign w:val="bottom"/>
          </w:tcPr>
          <w:p>
            <w:pPr>
              <w:spacing w:after="0"/>
              <w:rPr>
                <w:sz w:val="20"/>
                <w:szCs w:val="20"/>
                <w:color w:val="auto"/>
              </w:rPr>
            </w:pPr>
            <w:r>
              <w:rPr>
                <w:rFonts w:ascii="Arial" w:cs="Arial" w:eastAsia="Arial" w:hAnsi="Arial"/>
                <w:sz w:val="18"/>
                <w:szCs w:val="18"/>
                <w:color w:val="auto"/>
              </w:rPr>
              <w:t>(Decrease) increase in other liabilities</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8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(54,892)</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(43,493)</w:t>
            </w:r>
          </w:p>
        </w:tc>
      </w:tr>
      <w:tr>
        <w:trPr>
          <w:trHeight w:val="235"/>
        </w:trPr>
        <w:tc>
          <w:tcPr>
            <w:tcW w:w="694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Purchase of available-for-sale investment</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(1,667)</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(22,538)</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(5,715)</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Principal receivable for finance lease, net</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536</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(28,727)</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(96,325)</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(52,396)</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(104,040)</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(2,614)</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Proceeds from borrowings of debt</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44,000</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(5,828)</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(65,853)</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Payment of deferred financing costs</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(2,031)</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and (repayment of) Member’s note</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Capital contributed from Members</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20,100</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300,776</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of stock issuance costs</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(1,076)</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277,699</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(95,942)</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130,166</w:t>
            </w: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180,650</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50,484</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1"/>
        </w:trPr>
        <w:tc>
          <w:tcPr>
            <w:tcW w:w="694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84,708</w:t>
            </w:r>
          </w:p>
        </w:tc>
        <w:tc>
          <w:tcPr>
            <w:tcW w:w="18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180,650</w:t>
            </w:r>
          </w:p>
        </w:tc>
      </w:tr>
      <w:tr>
        <w:trPr>
          <w:trHeight w:val="27"/>
        </w:trPr>
        <w:tc>
          <w:tcPr>
            <w:tcW w:w="69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accrued construction in progress costs and property, plant and equipment</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7,997</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(4,368)</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Changes in accrued costs for assets subject to finance lease</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Amortized debt issuance cost capitalized</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Principal receivable for finance lease, net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5,725</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4,329</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gridSpan w:val="4"/>
          </w:tcPr>
          <w:p>
            <w:pPr>
              <w:ind w:left="1640"/>
              <w:spacing w:after="0"/>
              <w:rPr>
                <w:sz w:val="20"/>
                <w:szCs w:val="20"/>
                <w:color w:val="auto"/>
              </w:rPr>
            </w:pPr>
            <w:r>
              <w:rPr>
                <w:rFonts w:ascii="Arial" w:cs="Arial" w:eastAsia="Arial" w:hAnsi="Arial"/>
                <w:sz w:val="18"/>
                <w:szCs w:val="18"/>
                <w:color w:val="auto"/>
                <w:w w:val="94"/>
              </w:rPr>
              <w:t>The accompanying notes are an integral part of these consolidated financial statements.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5"/>
        </w:trPr>
        <w:tc>
          <w:tcPr>
            <w:tcW w:w="6940" w:type="dxa"/>
            <w:vAlign w:val="bottom"/>
          </w:tcPr>
          <w:p>
            <w:pPr>
              <w:ind w:left="4580"/>
              <w:spacing w:after="0"/>
              <w:rPr>
                <w:sz w:val="20"/>
                <w:szCs w:val="20"/>
                <w:color w:val="auto"/>
              </w:rPr>
            </w:pPr>
            <w:r>
              <w:rPr>
                <w:rFonts w:ascii="Arial" w:cs="Arial" w:eastAsia="Arial" w:hAnsi="Arial"/>
                <w:sz w:val="18"/>
                <w:szCs w:val="18"/>
                <w:color w:val="auto"/>
              </w:rPr>
              <w:t>F-25</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6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
        </w:trPr>
        <w:tc>
          <w:tcPr>
            <w:tcW w:w="6940" w:type="dxa"/>
            <w:vAlign w:val="bottom"/>
            <w:tcBorders>
              <w:right w:val="single" w:sz="8" w:color="auto"/>
            </w:tcBorders>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949"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218"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218" w:lineRule="auto"/>
        <w:rPr>
          <w:sz w:val="20"/>
          <w:szCs w:val="20"/>
          <w:color w:val="auto"/>
        </w:rPr>
      </w:pPr>
      <w:r>
        <w:rPr>
          <w:rFonts w:ascii="Arial" w:cs="Arial" w:eastAsia="Arial" w:hAnsi="Arial"/>
          <w:sz w:val="18"/>
          <w:szCs w:val="18"/>
          <w:b w:val="1"/>
          <w:bCs w:val="1"/>
          <w:color w:val="auto"/>
        </w:rPr>
        <w:t>December 31, 2017</w:t>
      </w: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88" w:lineRule="exact"/>
        <w:rPr>
          <w:sz w:val="20"/>
          <w:szCs w:val="20"/>
          <w:color w:val="auto"/>
        </w:rPr>
      </w:pPr>
    </w:p>
    <w:p>
      <w:pPr>
        <w:ind w:left="360" w:hanging="355"/>
        <w:spacing w:after="0"/>
        <w:tabs>
          <w:tab w:leader="none" w:pos="3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18" w:lineRule="exact"/>
        <w:rPr>
          <w:rFonts w:ascii="Arial" w:cs="Arial" w:eastAsia="Arial" w:hAnsi="Arial"/>
          <w:sz w:val="18"/>
          <w:szCs w:val="18"/>
          <w:b w:val="1"/>
          <w:bCs w:val="1"/>
          <w:color w:val="auto"/>
        </w:rPr>
      </w:pPr>
    </w:p>
    <w:p>
      <w:pPr>
        <w:ind w:left="360" w:right="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New Fortress Energy Holdings LLC (“NFE,” together with its subsidiaries, the “Company”) is a Delaware limited liability company formed on September 11, 2015. The Company is an integrated gas-to-power company that seeks to use “stranded” natural gas to satisfy the world’s large and growing power needs. The Company's mission is to provide modern infrastructure solutions to create cleaner, reliable energy while generating a positive economic impact worldwide. The Company's business model is simple, yet unique for the liquefied natural gas (“LNG”) industry. The Company aims to deliver targeted energy solutions to customers around the world, thereby reducing their energy costs and diversifying their energy resources, while also reducing pollution. The Company currently sources LNG from a combination of its own liquefaction facility in Miami, Florida and purchases on the open market. The Company has liquefaction and regasification operations in the United States and Jamaica. The Company is majority-owned by a private equity fund managed by an affiliate of Fortress Investment Group LLC (“Fortress”).</w:t>
      </w:r>
    </w:p>
    <w:p>
      <w:pPr>
        <w:spacing w:after="0" w:line="70" w:lineRule="exact"/>
        <w:rPr>
          <w:rFonts w:ascii="Arial" w:cs="Arial" w:eastAsia="Arial" w:hAnsi="Arial"/>
          <w:sz w:val="18"/>
          <w:szCs w:val="18"/>
          <w:b w:val="1"/>
          <w:bCs w:val="1"/>
          <w:color w:val="auto"/>
        </w:rPr>
      </w:pPr>
    </w:p>
    <w:p>
      <w:pPr>
        <w:ind w:left="360" w:right="22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The Company manages, analyzes and reports on its business and results of operations on the basis of one operating segment. The chief operating decision maker makes resource allocation decisions and assesses performance based on consolidated financial information presented on the delivery of an integrated solution to our customers.</w:t>
      </w:r>
    </w:p>
    <w:p>
      <w:pPr>
        <w:spacing w:after="0" w:line="53" w:lineRule="exact"/>
        <w:rPr>
          <w:rFonts w:ascii="Arial" w:cs="Arial" w:eastAsia="Arial" w:hAnsi="Arial"/>
          <w:sz w:val="18"/>
          <w:szCs w:val="18"/>
          <w:b w:val="1"/>
          <w:bCs w:val="1"/>
          <w:color w:val="auto"/>
        </w:rPr>
      </w:pPr>
    </w:p>
    <w:p>
      <w:pPr>
        <w:ind w:left="360" w:hanging="355"/>
        <w:spacing w:after="0"/>
        <w:tabs>
          <w:tab w:leader="none" w:pos="3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principal accounting policies adopted are set out below.</w:t>
      </w:r>
    </w:p>
    <w:p>
      <w:pPr>
        <w:spacing w:after="0" w:line="110" w:lineRule="exact"/>
        <w:rPr>
          <w:rFonts w:ascii="Arial" w:cs="Arial" w:eastAsia="Arial" w:hAnsi="Arial"/>
          <w:sz w:val="18"/>
          <w:szCs w:val="18"/>
          <w:b w:val="1"/>
          <w:bCs w:val="1"/>
          <w:color w:val="auto"/>
        </w:rPr>
      </w:pPr>
    </w:p>
    <w:p>
      <w:pPr>
        <w:ind w:left="700" w:hanging="346"/>
        <w:spacing w:after="0"/>
        <w:tabs>
          <w:tab w:leader="none" w:pos="700"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18" w:lineRule="exact"/>
        <w:rPr>
          <w:rFonts w:ascii="Arial" w:cs="Arial" w:eastAsia="Arial" w:hAnsi="Arial"/>
          <w:sz w:val="18"/>
          <w:szCs w:val="18"/>
          <w:color w:val="auto"/>
        </w:rPr>
      </w:pPr>
    </w:p>
    <w:p>
      <w:pPr>
        <w:ind w:left="720" w:right="140"/>
        <w:spacing w:after="0" w:line="257" w:lineRule="auto"/>
        <w:rPr>
          <w:rFonts w:ascii="Arial" w:cs="Arial" w:eastAsia="Arial" w:hAnsi="Arial"/>
          <w:sz w:val="18"/>
          <w:szCs w:val="18"/>
          <w:color w:val="auto"/>
        </w:rPr>
      </w:pPr>
      <w:r>
        <w:rPr>
          <w:rFonts w:ascii="Arial" w:cs="Arial" w:eastAsia="Arial" w:hAnsi="Arial"/>
          <w:sz w:val="18"/>
          <w:szCs w:val="18"/>
          <w:color w:val="auto"/>
        </w:rPr>
        <w:t>The consolidated financial statements were prepared in accordance with US generally accepted accounting principles (“GAAP”). The consolidated financial statements include the accounts of the Company and its consolidated subsidiaries. All consolidated subsidiary entities are wholly-owned. All significant intercompany transactions and balances have been eliminated on consolidation.</w:t>
      </w:r>
    </w:p>
    <w:p>
      <w:pPr>
        <w:spacing w:after="0" w:line="75" w:lineRule="exact"/>
        <w:rPr>
          <w:rFonts w:ascii="Arial" w:cs="Arial" w:eastAsia="Arial" w:hAnsi="Arial"/>
          <w:sz w:val="18"/>
          <w:szCs w:val="18"/>
          <w:color w:val="auto"/>
        </w:rPr>
      </w:pPr>
    </w:p>
    <w:p>
      <w:pPr>
        <w:ind w:left="700" w:hanging="346"/>
        <w:spacing w:after="0"/>
        <w:tabs>
          <w:tab w:leader="none" w:pos="700"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18" w:lineRule="exact"/>
        <w:rPr>
          <w:rFonts w:ascii="Arial" w:cs="Arial" w:eastAsia="Arial" w:hAnsi="Arial"/>
          <w:sz w:val="18"/>
          <w:szCs w:val="18"/>
          <w:color w:val="auto"/>
        </w:rPr>
      </w:pPr>
    </w:p>
    <w:p>
      <w:pPr>
        <w:ind w:left="720" w:right="140"/>
        <w:spacing w:after="0" w:line="318" w:lineRule="auto"/>
        <w:rPr>
          <w:rFonts w:ascii="Arial" w:cs="Arial" w:eastAsia="Arial" w:hAnsi="Arial"/>
          <w:sz w:val="18"/>
          <w:szCs w:val="18"/>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Management evaluates its estimates and related assumptions regularly. Changes in facts and circumstances or additional information may result in revised estimates, and actual results may differ from these estimates.</w:t>
      </w:r>
    </w:p>
    <w:p>
      <w:pPr>
        <w:spacing w:after="0" w:line="33" w:lineRule="exact"/>
        <w:rPr>
          <w:rFonts w:ascii="Arial" w:cs="Arial" w:eastAsia="Arial" w:hAnsi="Arial"/>
          <w:sz w:val="18"/>
          <w:szCs w:val="18"/>
          <w:color w:val="auto"/>
        </w:rPr>
      </w:pPr>
    </w:p>
    <w:p>
      <w:pPr>
        <w:ind w:left="700" w:hanging="346"/>
        <w:spacing w:after="0"/>
        <w:tabs>
          <w:tab w:leader="none" w:pos="700"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Foreign currencies</w:t>
      </w:r>
    </w:p>
    <w:p>
      <w:pPr>
        <w:spacing w:after="0" w:line="118" w:lineRule="exact"/>
        <w:rPr>
          <w:rFonts w:ascii="Arial" w:cs="Arial" w:eastAsia="Arial" w:hAnsi="Arial"/>
          <w:sz w:val="18"/>
          <w:szCs w:val="18"/>
          <w:color w:val="auto"/>
        </w:rPr>
      </w:pPr>
    </w:p>
    <w:p>
      <w:pPr>
        <w:ind w:left="720"/>
        <w:spacing w:after="0" w:line="255" w:lineRule="auto"/>
        <w:rPr>
          <w:rFonts w:ascii="Arial" w:cs="Arial" w:eastAsia="Arial" w:hAnsi="Arial"/>
          <w:sz w:val="18"/>
          <w:szCs w:val="18"/>
          <w:color w:val="auto"/>
        </w:rPr>
      </w:pPr>
      <w:r>
        <w:rPr>
          <w:rFonts w:ascii="Arial" w:cs="Arial" w:eastAsia="Arial" w:hAnsi="Arial"/>
          <w:sz w:val="18"/>
          <w:szCs w:val="18"/>
          <w:color w:val="auto"/>
        </w:rPr>
        <w:t>The Company’s functional and reporting currency is the U.S. dollar. Purchases and sales of assets and income and expense items denominated in foreign currencies are translated into U.S. dollar amounts on the respective dates of such transactions. Net realized foreign currency gains or losses relating to the differences between these recorded amounts and the U.S. dollar equivalent actually received or paid are included within Other (income), net in the consolidated statements of operations and comprehensive loss.</w:t>
      </w:r>
    </w:p>
    <w:p>
      <w:pPr>
        <w:spacing w:after="0" w:line="76" w:lineRule="exact"/>
        <w:rPr>
          <w:rFonts w:ascii="Arial" w:cs="Arial" w:eastAsia="Arial" w:hAnsi="Arial"/>
          <w:sz w:val="18"/>
          <w:szCs w:val="18"/>
          <w:color w:val="auto"/>
        </w:rPr>
      </w:pPr>
    </w:p>
    <w:p>
      <w:pPr>
        <w:ind w:left="700" w:hanging="346"/>
        <w:spacing w:after="0"/>
        <w:tabs>
          <w:tab w:leader="none" w:pos="700"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18" w:lineRule="exact"/>
        <w:rPr>
          <w:rFonts w:ascii="Arial" w:cs="Arial" w:eastAsia="Arial" w:hAnsi="Arial"/>
          <w:sz w:val="18"/>
          <w:szCs w:val="18"/>
          <w:color w:val="auto"/>
        </w:rPr>
      </w:pPr>
    </w:p>
    <w:p>
      <w:pPr>
        <w:ind w:left="720" w:right="460"/>
        <w:spacing w:after="0" w:line="274" w:lineRule="auto"/>
        <w:rPr>
          <w:rFonts w:ascii="Arial" w:cs="Arial" w:eastAsia="Arial" w:hAnsi="Arial"/>
          <w:sz w:val="18"/>
          <w:szCs w:val="18"/>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w:t>
      </w:r>
    </w:p>
    <w:p>
      <w:pPr>
        <w:spacing w:after="0" w:line="59" w:lineRule="exact"/>
        <w:rPr>
          <w:rFonts w:ascii="Arial" w:cs="Arial" w:eastAsia="Arial" w:hAnsi="Arial"/>
          <w:sz w:val="18"/>
          <w:szCs w:val="18"/>
          <w:color w:val="auto"/>
        </w:rPr>
      </w:pPr>
    </w:p>
    <w:p>
      <w:pPr>
        <w:ind w:left="700" w:hanging="346"/>
        <w:spacing w:after="0"/>
        <w:tabs>
          <w:tab w:leader="none" w:pos="700"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18" w:lineRule="exact"/>
        <w:rPr>
          <w:rFonts w:ascii="Arial" w:cs="Arial" w:eastAsia="Arial" w:hAnsi="Arial"/>
          <w:sz w:val="18"/>
          <w:szCs w:val="18"/>
          <w:color w:val="auto"/>
        </w:rPr>
      </w:pPr>
    </w:p>
    <w:p>
      <w:pPr>
        <w:ind w:left="720" w:right="520"/>
        <w:spacing w:after="0" w:line="274" w:lineRule="auto"/>
        <w:rPr>
          <w:rFonts w:ascii="Arial" w:cs="Arial" w:eastAsia="Arial" w:hAnsi="Arial"/>
          <w:sz w:val="18"/>
          <w:szCs w:val="18"/>
          <w:color w:val="auto"/>
        </w:rPr>
      </w:pPr>
      <w:r>
        <w:rPr>
          <w:rFonts w:ascii="Arial" w:cs="Arial" w:eastAsia="Arial" w:hAnsi="Arial"/>
          <w:sz w:val="18"/>
          <w:szCs w:val="18"/>
          <w:color w:val="auto"/>
        </w:rPr>
        <w:t>Restricted cash consists of funds that are contractually restricted as to usage or withdrawal and have been presented separately from cash and cash equivalents on the consolidated balance sheets.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ind w:left="700" w:hanging="34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Receivables</w:t>
      </w:r>
    </w:p>
    <w:p>
      <w:pPr>
        <w:spacing w:after="0" w:line="118" w:lineRule="exact"/>
        <w:rPr>
          <w:rFonts w:ascii="Arial" w:cs="Arial" w:eastAsia="Arial" w:hAnsi="Arial"/>
          <w:sz w:val="18"/>
          <w:szCs w:val="18"/>
          <w:color w:val="auto"/>
        </w:rPr>
      </w:pPr>
    </w:p>
    <w:p>
      <w:pPr>
        <w:ind w:left="720" w:right="40"/>
        <w:spacing w:after="0" w:line="254" w:lineRule="auto"/>
        <w:rPr>
          <w:rFonts w:ascii="Arial" w:cs="Arial" w:eastAsia="Arial" w:hAnsi="Arial"/>
          <w:sz w:val="18"/>
          <w:szCs w:val="18"/>
          <w:color w:val="auto"/>
        </w:rPr>
      </w:pPr>
      <w:r>
        <w:rPr>
          <w:rFonts w:ascii="Arial" w:cs="Arial" w:eastAsia="Arial" w:hAnsi="Arial"/>
          <w:sz w:val="18"/>
          <w:szCs w:val="18"/>
          <w:color w:val="auto"/>
        </w:rPr>
        <w:t>Receivables are reported net of allowances for doubtful accounts. Impaired receivables are specifically identified and evaluated for expected losses. The expected loss on impaired receivables is primarily determined based on the debtor’s ability to pay and the estimated value of any collateral, and such losses are recorded as Selling, general and administrative within the consolidated statements of operations and comprehensive loss. For the years ended December 31, 2017 and 2016, no bad debt expense was recognized with respect to receivables, and there is no recorded allowance for doubtful accounts.</w:t>
      </w:r>
    </w:p>
    <w:p>
      <w:pPr>
        <w:spacing w:after="0" w:line="76" w:lineRule="exact"/>
        <w:rPr>
          <w:rFonts w:ascii="Arial" w:cs="Arial" w:eastAsia="Arial" w:hAnsi="Arial"/>
          <w:sz w:val="18"/>
          <w:szCs w:val="18"/>
          <w:color w:val="auto"/>
        </w:rPr>
      </w:pPr>
    </w:p>
    <w:p>
      <w:pPr>
        <w:ind w:left="700" w:hanging="34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18" w:lineRule="exact"/>
        <w:rPr>
          <w:rFonts w:ascii="Arial" w:cs="Arial" w:eastAsia="Arial" w:hAnsi="Arial"/>
          <w:sz w:val="18"/>
          <w:szCs w:val="18"/>
          <w:color w:val="auto"/>
        </w:rPr>
      </w:pPr>
    </w:p>
    <w:p>
      <w:pPr>
        <w:ind w:left="720" w:right="40"/>
        <w:spacing w:after="0" w:line="261" w:lineRule="auto"/>
        <w:rPr>
          <w:rFonts w:ascii="Arial" w:cs="Arial" w:eastAsia="Arial" w:hAnsi="Arial"/>
          <w:sz w:val="18"/>
          <w:szCs w:val="18"/>
          <w:color w:val="auto"/>
        </w:rPr>
      </w:pPr>
      <w:r>
        <w:rPr>
          <w:rFonts w:ascii="Arial" w:cs="Arial" w:eastAsia="Arial" w:hAnsi="Arial"/>
          <w:sz w:val="18"/>
          <w:szCs w:val="18"/>
          <w:color w:val="auto"/>
        </w:rPr>
        <w:t>LNG and natural gas inventories are recorded at weighted average cost, and materials and other inventory are recorded at cost. The Company’s cost to convert from natural gas to LNG, which primarily consists of depreciation of the liquefaction facilities, is reflected in Inventory on the consolidated balance sheets.</w:t>
      </w:r>
    </w:p>
    <w:p>
      <w:pPr>
        <w:spacing w:after="0" w:line="75" w:lineRule="exact"/>
        <w:rPr>
          <w:rFonts w:ascii="Arial" w:cs="Arial" w:eastAsia="Arial" w:hAnsi="Arial"/>
          <w:sz w:val="18"/>
          <w:szCs w:val="18"/>
          <w:color w:val="auto"/>
        </w:rPr>
      </w:pPr>
    </w:p>
    <w:p>
      <w:pPr>
        <w:ind w:left="720"/>
        <w:spacing w:after="0" w:line="274" w:lineRule="auto"/>
        <w:rPr>
          <w:rFonts w:ascii="Arial" w:cs="Arial" w:eastAsia="Arial" w:hAnsi="Arial"/>
          <w:sz w:val="18"/>
          <w:szCs w:val="18"/>
          <w:color w:val="auto"/>
        </w:rPr>
      </w:pPr>
      <w:r>
        <w:rPr>
          <w:rFonts w:ascii="Arial" w:cs="Arial" w:eastAsia="Arial" w:hAnsi="Arial"/>
          <w:sz w:val="18"/>
          <w:szCs w:val="18"/>
          <w:color w:val="auto"/>
        </w:rPr>
        <w:t>Inventory is subject to the lower of cost or net realizable value each month. Changes in the value of inventory are recorded within Cost of sales in the consolidated statements of operations and comprehensive loss.</w:t>
      </w:r>
    </w:p>
    <w:p>
      <w:pPr>
        <w:spacing w:after="0" w:line="63" w:lineRule="exact"/>
        <w:rPr>
          <w:rFonts w:ascii="Arial" w:cs="Arial" w:eastAsia="Arial" w:hAnsi="Arial"/>
          <w:sz w:val="18"/>
          <w:szCs w:val="18"/>
          <w:color w:val="auto"/>
        </w:rPr>
      </w:pPr>
    </w:p>
    <w:p>
      <w:pPr>
        <w:ind w:left="720" w:right="240"/>
        <w:spacing w:after="0" w:line="257" w:lineRule="auto"/>
        <w:rPr>
          <w:rFonts w:ascii="Arial" w:cs="Arial" w:eastAsia="Arial" w:hAnsi="Arial"/>
          <w:sz w:val="18"/>
          <w:szCs w:val="18"/>
          <w:color w:val="auto"/>
        </w:rPr>
      </w:pPr>
      <w:r>
        <w:rPr>
          <w:rFonts w:ascii="Arial" w:cs="Arial" w:eastAsia="Arial" w:hAnsi="Arial"/>
          <w:sz w:val="18"/>
          <w:szCs w:val="18"/>
          <w:color w:val="auto"/>
        </w:rPr>
        <w:t>LNG is subject to “boil-off”, a natural loss of gas volume over time when LNG is exposed to environments with temperatures above its optimum storage state. Boil-off losses are expensed through Cost of sales in the consolidated statements of operations and comprehensive loss in instances where gas cannot be contained and recycled back into the production process in the period in which the loss occurs.</w:t>
      </w:r>
    </w:p>
    <w:p>
      <w:pPr>
        <w:spacing w:after="0" w:line="75" w:lineRule="exact"/>
        <w:rPr>
          <w:rFonts w:ascii="Arial" w:cs="Arial" w:eastAsia="Arial" w:hAnsi="Arial"/>
          <w:sz w:val="18"/>
          <w:szCs w:val="18"/>
          <w:color w:val="auto"/>
        </w:rPr>
      </w:pPr>
    </w:p>
    <w:p>
      <w:pPr>
        <w:ind w:left="700" w:hanging="34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Construction in progress</w:t>
      </w:r>
    </w:p>
    <w:p>
      <w:pPr>
        <w:spacing w:after="0" w:line="118" w:lineRule="exact"/>
        <w:rPr>
          <w:rFonts w:ascii="Arial" w:cs="Arial" w:eastAsia="Arial" w:hAnsi="Arial"/>
          <w:sz w:val="18"/>
          <w:szCs w:val="18"/>
          <w:color w:val="auto"/>
        </w:rPr>
      </w:pPr>
    </w:p>
    <w:p>
      <w:pPr>
        <w:jc w:val="both"/>
        <w:ind w:left="720" w:right="120"/>
        <w:spacing w:after="0" w:line="309" w:lineRule="auto"/>
        <w:rPr>
          <w:rFonts w:ascii="Arial" w:cs="Arial" w:eastAsia="Arial" w:hAnsi="Arial"/>
          <w:sz w:val="18"/>
          <w:szCs w:val="18"/>
          <w:color w:val="auto"/>
        </w:rPr>
      </w:pPr>
      <w:r>
        <w:rPr>
          <w:rFonts w:ascii="Arial" w:cs="Arial" w:eastAsia="Arial" w:hAnsi="Arial"/>
          <w:sz w:val="16"/>
          <w:szCs w:val="16"/>
          <w:color w:val="auto"/>
        </w:rPr>
        <w:t>Construction in progress is recorded at cost, and at the point at which the constructed asset in progress is put into use, the full cost of the asset is reclassified from Construction in progress to Property, plant and equipment, net or Finance leases, net on the face of the consolidated balance sheets. Depreciation is not recognized during the construction period.</w:t>
      </w:r>
    </w:p>
    <w:p>
      <w:pPr>
        <w:spacing w:after="0" w:line="40" w:lineRule="exact"/>
        <w:rPr>
          <w:rFonts w:ascii="Arial" w:cs="Arial" w:eastAsia="Arial" w:hAnsi="Arial"/>
          <w:sz w:val="18"/>
          <w:szCs w:val="18"/>
          <w:color w:val="auto"/>
        </w:rPr>
      </w:pPr>
    </w:p>
    <w:p>
      <w:pPr>
        <w:ind w:left="720" w:right="40"/>
        <w:spacing w:after="0" w:line="257" w:lineRule="auto"/>
        <w:rPr>
          <w:rFonts w:ascii="Arial" w:cs="Arial" w:eastAsia="Arial" w:hAnsi="Arial"/>
          <w:sz w:val="18"/>
          <w:szCs w:val="18"/>
          <w:color w:val="auto"/>
        </w:rPr>
      </w:pPr>
      <w:r>
        <w:rPr>
          <w:rFonts w:ascii="Arial" w:cs="Arial" w:eastAsia="Arial" w:hAnsi="Arial"/>
          <w:sz w:val="18"/>
          <w:szCs w:val="18"/>
          <w:color w:val="auto"/>
        </w:rPr>
        <w:t>The interest cost associated with major development and construction projects is capitalized during the construction period and included in the cost of the project in Construction in progress. Interest expense of $0 and $3,517 was capitalized during the years ended December 31, 2017 and 2016, respectively, in addition to amortized debt issuance costs disclosed in Note 2(m).</w:t>
      </w:r>
    </w:p>
    <w:p>
      <w:pPr>
        <w:spacing w:after="0" w:line="75" w:lineRule="exact"/>
        <w:rPr>
          <w:rFonts w:ascii="Arial" w:cs="Arial" w:eastAsia="Arial" w:hAnsi="Arial"/>
          <w:sz w:val="18"/>
          <w:szCs w:val="18"/>
          <w:color w:val="auto"/>
        </w:rPr>
      </w:pPr>
    </w:p>
    <w:p>
      <w:pPr>
        <w:ind w:left="700" w:hanging="34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Property, plant and equipment, net</w:t>
      </w:r>
    </w:p>
    <w:p>
      <w:pPr>
        <w:spacing w:after="0" w:line="118" w:lineRule="exact"/>
        <w:rPr>
          <w:rFonts w:ascii="Arial" w:cs="Arial" w:eastAsia="Arial" w:hAnsi="Arial"/>
          <w:sz w:val="18"/>
          <w:szCs w:val="18"/>
          <w:color w:val="auto"/>
        </w:rPr>
      </w:pPr>
    </w:p>
    <w:p>
      <w:pPr>
        <w:ind w:left="720" w:right="100"/>
        <w:spacing w:after="0" w:line="255" w:lineRule="auto"/>
        <w:rPr>
          <w:rFonts w:ascii="Arial" w:cs="Arial" w:eastAsia="Arial" w:hAnsi="Arial"/>
          <w:sz w:val="18"/>
          <w:szCs w:val="18"/>
          <w:color w:val="auto"/>
        </w:rPr>
      </w:pPr>
      <w:r>
        <w:rPr>
          <w:rFonts w:ascii="Arial" w:cs="Arial" w:eastAsia="Arial" w:hAnsi="Arial"/>
          <w:sz w:val="18"/>
          <w:szCs w:val="18"/>
          <w:color w:val="auto"/>
        </w:rPr>
        <w:t>Property, plant and equipment is recorded at cost. Expenditures for construction activities and betterments that extend the useful life of the asset are capitalized, while expenditures for maintenance and repairs are charged to expense as incurred within Operations and maintenance in the consolidated statements of operations and comprehensive loss. The Company depreciates property, plant and equipment using the straight-line depreciation method over the estimated economic useful life of the asset.</w:t>
      </w:r>
    </w:p>
    <w:p>
      <w:pPr>
        <w:spacing w:after="0" w:line="46"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6900" w:type="dxa"/>
            <w:vAlign w:val="bottom"/>
          </w:tcPr>
          <w:p>
            <w:pPr>
              <w:spacing w:after="0"/>
              <w:rPr>
                <w:sz w:val="15"/>
                <w:szCs w:val="15"/>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Useful life (Yrs)</w:t>
            </w:r>
          </w:p>
        </w:tc>
      </w:tr>
      <w:tr>
        <w:trPr>
          <w:trHeight w:val="235"/>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1380" w:type="dxa"/>
            <w:vAlign w:val="bottom"/>
            <w:tcBorders>
              <w:top w:val="single" w:sz="8" w:color="auto"/>
            </w:tcBorders>
            <w:shd w:val="clear" w:color="auto" w:fill="CCEEFF"/>
          </w:tcPr>
          <w:p>
            <w:pPr>
              <w:jc w:val="center"/>
              <w:ind w:left="14"/>
              <w:spacing w:after="0"/>
              <w:rPr>
                <w:sz w:val="20"/>
                <w:szCs w:val="20"/>
                <w:color w:val="auto"/>
              </w:rPr>
            </w:pPr>
            <w:r>
              <w:rPr>
                <w:rFonts w:ascii="Arial" w:cs="Arial" w:eastAsia="Arial" w:hAnsi="Arial"/>
                <w:sz w:val="18"/>
                <w:szCs w:val="18"/>
                <w:color w:val="auto"/>
                <w:w w:val="86"/>
              </w:rPr>
              <w:t>20-30</w:t>
            </w:r>
          </w:p>
        </w:tc>
        <w:tc>
          <w:tcPr>
            <w:tcW w:w="80" w:type="dxa"/>
            <w:vAlign w:val="bottom"/>
            <w:shd w:val="clear" w:color="auto" w:fill="CCEEFF"/>
          </w:tcPr>
          <w:p>
            <w:pPr>
              <w:spacing w:after="0"/>
              <w:rPr>
                <w:sz w:val="20"/>
                <w:szCs w:val="20"/>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ISO containers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80" w:type="dxa"/>
            <w:vAlign w:val="bottom"/>
          </w:tcPr>
          <w:p>
            <w:pPr>
              <w:spacing w:after="0"/>
              <w:rPr>
                <w:sz w:val="19"/>
                <w:szCs w:val="19"/>
                <w:color w:val="auto"/>
              </w:rPr>
            </w:pPr>
          </w:p>
        </w:tc>
      </w:tr>
      <w:tr>
        <w:trPr>
          <w:trHeight w:val="254"/>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shd w:val="clear" w:color="auto" w:fill="CCEEFF"/>
          </w:tcPr>
          <w:p>
            <w:pPr>
              <w:spacing w:after="0"/>
              <w:rPr>
                <w:sz w:val="22"/>
                <w:szCs w:val="22"/>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Computer equipment</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9"/>
                <w:szCs w:val="19"/>
                <w:color w:val="auto"/>
              </w:rPr>
            </w:pPr>
          </w:p>
        </w:tc>
      </w:tr>
    </w:tbl>
    <w:p>
      <w:pPr>
        <w:spacing w:after="0" w:line="105" w:lineRule="exact"/>
        <w:rPr>
          <w:sz w:val="20"/>
          <w:szCs w:val="20"/>
          <w:color w:val="auto"/>
        </w:rPr>
      </w:pPr>
    </w:p>
    <w:p>
      <w:pPr>
        <w:ind w:left="720" w:right="200"/>
        <w:spacing w:after="0" w:line="274" w:lineRule="auto"/>
        <w:rPr>
          <w:sz w:val="20"/>
          <w:szCs w:val="20"/>
          <w:color w:val="auto"/>
        </w:rPr>
      </w:pPr>
      <w:r>
        <w:rPr>
          <w:rFonts w:ascii="Arial" w:cs="Arial" w:eastAsia="Arial" w:hAnsi="Arial"/>
          <w:sz w:val="18"/>
          <w:szCs w:val="18"/>
          <w:color w:val="auto"/>
        </w:rPr>
        <w:t>The Company reviews the remaining useful life of its assets on a regular basis to determine whether changes have taken place that would suggest that a change in its depreciation policies is warranted.</w:t>
      </w:r>
    </w:p>
    <w:p>
      <w:pPr>
        <w:spacing w:after="0" w:line="64" w:lineRule="exact"/>
        <w:rPr>
          <w:sz w:val="20"/>
          <w:szCs w:val="20"/>
          <w:color w:val="auto"/>
        </w:rPr>
      </w:pPr>
    </w:p>
    <w:p>
      <w:pPr>
        <w:ind w:left="720" w:right="120"/>
        <w:spacing w:after="0" w:line="261" w:lineRule="auto"/>
        <w:rPr>
          <w:sz w:val="20"/>
          <w:szCs w:val="20"/>
          <w:color w:val="auto"/>
        </w:rPr>
      </w:pPr>
      <w:r>
        <w:rPr>
          <w:rFonts w:ascii="Arial" w:cs="Arial" w:eastAsia="Arial" w:hAnsi="Arial"/>
          <w:sz w:val="18"/>
          <w:szCs w:val="18"/>
          <w:color w:val="auto"/>
        </w:rPr>
        <w:t>Upon retirement or disposal of property, plant and equipment, the cost and related accumulated depreciation are removed from the account, and the resulting gains or losses, if any, are recorded in the consolidated statements of operations and comprehensive loss.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7" w:right="1380"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ind w:left="700" w:hanging="346"/>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Asset retirement obligations (“AROs”)</w:t>
      </w:r>
    </w:p>
    <w:p>
      <w:pPr>
        <w:spacing w:after="0" w:line="118" w:lineRule="exact"/>
        <w:rPr>
          <w:rFonts w:ascii="Arial" w:cs="Arial" w:eastAsia="Arial" w:hAnsi="Arial"/>
          <w:sz w:val="18"/>
          <w:szCs w:val="18"/>
          <w:color w:val="auto"/>
        </w:rPr>
      </w:pPr>
    </w:p>
    <w:p>
      <w:pPr>
        <w:ind w:left="720" w:right="80"/>
        <w:spacing w:after="0" w:line="271" w:lineRule="auto"/>
        <w:rPr>
          <w:rFonts w:ascii="Arial" w:cs="Arial" w:eastAsia="Arial" w:hAnsi="Arial"/>
          <w:sz w:val="18"/>
          <w:szCs w:val="18"/>
          <w:color w:val="auto"/>
        </w:rPr>
      </w:pPr>
      <w:r>
        <w:rPr>
          <w:rFonts w:ascii="Arial" w:cs="Arial" w:eastAsia="Arial" w:hAnsi="Arial"/>
          <w:sz w:val="17"/>
          <w:szCs w:val="17"/>
          <w:color w:val="auto"/>
        </w:rPr>
        <w:t>AROs are recognized for legal obligations associated with the retirement of long-lived assets that result from the acquisition, leasing, construction, development and/or normal use of the assets and for conditional AROs in which the timing or method of settlement are conditional on a future event. The fair value of a liability for an ARO is recognized in the period in which it is incurred if a reasonable estimate of fair value can be made and is accreted to its final value over the life of the liability. The initial fair value of the liability is added to the carrying amount of the associated asset. This additional carrying amount is depreciated over the estimated useful life of the asset.</w:t>
      </w:r>
    </w:p>
    <w:p>
      <w:pPr>
        <w:spacing w:after="0" w:line="70" w:lineRule="exact"/>
        <w:rPr>
          <w:rFonts w:ascii="Arial" w:cs="Arial" w:eastAsia="Arial" w:hAnsi="Arial"/>
          <w:sz w:val="18"/>
          <w:szCs w:val="18"/>
          <w:color w:val="auto"/>
        </w:rPr>
      </w:pPr>
    </w:p>
    <w:p>
      <w:pPr>
        <w:ind w:left="720" w:right="80"/>
        <w:spacing w:after="0" w:line="261" w:lineRule="auto"/>
        <w:rPr>
          <w:rFonts w:ascii="Arial" w:cs="Arial" w:eastAsia="Arial" w:hAnsi="Arial"/>
          <w:sz w:val="18"/>
          <w:szCs w:val="18"/>
          <w:color w:val="auto"/>
        </w:rPr>
      </w:pPr>
      <w:r>
        <w:rPr>
          <w:rFonts w:ascii="Arial" w:cs="Arial" w:eastAsia="Arial" w:hAnsi="Arial"/>
          <w:sz w:val="18"/>
          <w:szCs w:val="18"/>
          <w:color w:val="auto"/>
        </w:rPr>
        <w:t>The Company estimates the fair value of the ARO liability based on the present value of expected cash flows using a credit-adjusted risk-free rate. Liabilities for AROs may be incurred over more than one reporting period if the events that create the obligation occur over more than one period or if estimates change.</w:t>
      </w:r>
    </w:p>
    <w:p>
      <w:pPr>
        <w:spacing w:after="0" w:line="71" w:lineRule="exact"/>
        <w:rPr>
          <w:rFonts w:ascii="Arial" w:cs="Arial" w:eastAsia="Arial" w:hAnsi="Arial"/>
          <w:sz w:val="18"/>
          <w:szCs w:val="18"/>
          <w:color w:val="auto"/>
        </w:rPr>
      </w:pPr>
    </w:p>
    <w:p>
      <w:pPr>
        <w:ind w:left="700" w:hanging="346"/>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w:t>
      </w:r>
    </w:p>
    <w:p>
      <w:pPr>
        <w:spacing w:after="0" w:line="118" w:lineRule="exact"/>
        <w:rPr>
          <w:rFonts w:ascii="Arial" w:cs="Arial" w:eastAsia="Arial" w:hAnsi="Arial"/>
          <w:sz w:val="18"/>
          <w:szCs w:val="18"/>
          <w:color w:val="auto"/>
        </w:rPr>
      </w:pPr>
    </w:p>
    <w:p>
      <w:pPr>
        <w:ind w:left="720"/>
        <w:spacing w:after="0" w:line="255" w:lineRule="auto"/>
        <w:rPr>
          <w:rFonts w:ascii="Arial" w:cs="Arial" w:eastAsia="Arial" w:hAnsi="Arial"/>
          <w:sz w:val="18"/>
          <w:szCs w:val="18"/>
          <w:color w:val="auto"/>
        </w:rPr>
      </w:pPr>
      <w:r>
        <w:rPr>
          <w:rFonts w:ascii="Arial" w:cs="Arial" w:eastAsia="Arial" w:hAnsi="Arial"/>
          <w:sz w:val="18"/>
          <w:szCs w:val="18"/>
          <w:color w:val="auto"/>
        </w:rPr>
        <w:t>The Company performs a recoverability assessment of each of its long-lived assets whenever events or changes in circumstances, or indicators, indicate that the carrying amount of an asset may not be recoverable. Indicators may include, but are not limited to, a significant supply contract restructuring or early termination; significant decrease in LNG and natural gas demand; a decision to discontinue the development of a long-lived asset; or the introduction of newer technology.</w:t>
      </w:r>
    </w:p>
    <w:p>
      <w:pPr>
        <w:spacing w:after="0" w:line="80" w:lineRule="exact"/>
        <w:rPr>
          <w:rFonts w:ascii="Arial" w:cs="Arial" w:eastAsia="Arial" w:hAnsi="Arial"/>
          <w:sz w:val="18"/>
          <w:szCs w:val="18"/>
          <w:color w:val="auto"/>
        </w:rPr>
      </w:pPr>
    </w:p>
    <w:p>
      <w:pPr>
        <w:ind w:left="720"/>
        <w:spacing w:after="0" w:line="309" w:lineRule="auto"/>
        <w:rPr>
          <w:rFonts w:ascii="Arial" w:cs="Arial" w:eastAsia="Arial" w:hAnsi="Arial"/>
          <w:sz w:val="18"/>
          <w:szCs w:val="18"/>
          <w:color w:val="auto"/>
        </w:rPr>
      </w:pPr>
      <w:r>
        <w:rPr>
          <w:rFonts w:ascii="Arial" w:cs="Arial" w:eastAsia="Arial" w:hAnsi="Arial"/>
          <w:sz w:val="16"/>
          <w:szCs w:val="16"/>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40" w:lineRule="exact"/>
        <w:rPr>
          <w:rFonts w:ascii="Arial" w:cs="Arial" w:eastAsia="Arial" w:hAnsi="Arial"/>
          <w:sz w:val="18"/>
          <w:szCs w:val="18"/>
          <w:color w:val="auto"/>
        </w:rPr>
      </w:pPr>
    </w:p>
    <w:p>
      <w:pPr>
        <w:ind w:left="720" w:right="40"/>
        <w:spacing w:after="0" w:line="309" w:lineRule="auto"/>
        <w:rPr>
          <w:rFonts w:ascii="Arial" w:cs="Arial" w:eastAsia="Arial" w:hAnsi="Arial"/>
          <w:sz w:val="18"/>
          <w:szCs w:val="18"/>
          <w:color w:val="auto"/>
        </w:rPr>
      </w:pPr>
      <w:r>
        <w:rPr>
          <w:rFonts w:ascii="Arial" w:cs="Arial" w:eastAsia="Arial" w:hAnsi="Arial"/>
          <w:sz w:val="16"/>
          <w:szCs w:val="16"/>
          <w:color w:val="auto"/>
        </w:rPr>
        <w:t>Management develops the assumptions used in the recoverability assessment based on active contracts, current and future expectations of the demand for LNG and natural gas as well as information received from third party industry sources. The Company did not record an impairment during the years ended December 31, 2017 and 2016.</w:t>
      </w:r>
    </w:p>
    <w:p>
      <w:pPr>
        <w:spacing w:after="0" w:line="36" w:lineRule="exact"/>
        <w:rPr>
          <w:rFonts w:ascii="Arial" w:cs="Arial" w:eastAsia="Arial" w:hAnsi="Arial"/>
          <w:sz w:val="18"/>
          <w:szCs w:val="18"/>
          <w:color w:val="auto"/>
        </w:rPr>
      </w:pPr>
    </w:p>
    <w:p>
      <w:pPr>
        <w:ind w:left="700" w:hanging="346"/>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Available-for-sale investment</w:t>
      </w:r>
    </w:p>
    <w:p>
      <w:pPr>
        <w:spacing w:after="0" w:line="118" w:lineRule="exact"/>
        <w:rPr>
          <w:rFonts w:ascii="Arial" w:cs="Arial" w:eastAsia="Arial" w:hAnsi="Arial"/>
          <w:sz w:val="18"/>
          <w:szCs w:val="18"/>
          <w:color w:val="auto"/>
        </w:rPr>
      </w:pPr>
    </w:p>
    <w:p>
      <w:pPr>
        <w:ind w:left="720"/>
        <w:spacing w:after="0" w:line="271" w:lineRule="auto"/>
        <w:rPr>
          <w:rFonts w:ascii="Arial" w:cs="Arial" w:eastAsia="Arial" w:hAnsi="Arial"/>
          <w:sz w:val="18"/>
          <w:szCs w:val="18"/>
          <w:color w:val="auto"/>
        </w:rPr>
      </w:pPr>
      <w:r>
        <w:rPr>
          <w:rFonts w:ascii="Arial" w:cs="Arial" w:eastAsia="Arial" w:hAnsi="Arial"/>
          <w:sz w:val="17"/>
          <w:szCs w:val="17"/>
          <w:color w:val="auto"/>
        </w:rPr>
        <w:t>The Company considers listed equity securities as available-for-sale securities recorded at fair value with unrealized gains or losses recorded in Other comprehensive (loss) and realized gains or losses recorded in earnings in Other (income), net in the statements of operations and comprehensive loss. The Company’s basis on which the cost of the security sold or the amount reclassified out of other comprehensive income into earnings is determined using specific identification. At each balance sheet date, the Company evaluates its available-for-sale securities with unrealized losses to determine if an other-than-temporary impairment has occurred (see Note 9).</w:t>
      </w:r>
    </w:p>
    <w:p>
      <w:pPr>
        <w:spacing w:after="0" w:line="66" w:lineRule="exact"/>
        <w:rPr>
          <w:rFonts w:ascii="Arial" w:cs="Arial" w:eastAsia="Arial" w:hAnsi="Arial"/>
          <w:sz w:val="18"/>
          <w:szCs w:val="18"/>
          <w:color w:val="auto"/>
        </w:rPr>
      </w:pPr>
    </w:p>
    <w:p>
      <w:pPr>
        <w:ind w:left="700" w:hanging="346"/>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Long-term debt and debt issuance costs</w:t>
      </w:r>
    </w:p>
    <w:p>
      <w:pPr>
        <w:spacing w:after="0" w:line="118" w:lineRule="exact"/>
        <w:rPr>
          <w:rFonts w:ascii="Arial" w:cs="Arial" w:eastAsia="Arial" w:hAnsi="Arial"/>
          <w:sz w:val="18"/>
          <w:szCs w:val="18"/>
          <w:color w:val="auto"/>
        </w:rPr>
      </w:pPr>
    </w:p>
    <w:p>
      <w:pPr>
        <w:ind w:left="720" w:right="80"/>
        <w:spacing w:after="0" w:line="294" w:lineRule="auto"/>
        <w:rPr>
          <w:rFonts w:ascii="Arial" w:cs="Arial" w:eastAsia="Arial" w:hAnsi="Arial"/>
          <w:sz w:val="18"/>
          <w:szCs w:val="18"/>
          <w:color w:val="auto"/>
        </w:rPr>
      </w:pPr>
      <w:r>
        <w:rPr>
          <w:rFonts w:ascii="Arial" w:cs="Arial" w:eastAsia="Arial" w:hAnsi="Arial"/>
          <w:sz w:val="16"/>
          <w:szCs w:val="16"/>
          <w:color w:val="auto"/>
        </w:rPr>
        <w:t>The Company’s debt consists of credit facilities with banks. Costs directly related to the issuance of debt are reported in the consolidated balance sheets as a reduction from the carrying amount of the recognized debt liability and amortized over the term of the debt. Interest and related amortization of debt issuance costs recognized during major development and construction projects are capitalized and included in the cost of the project. Amortization of debt issuance costs were $696 and $1,464 for the years ended December 31, 2017 and 2016, respectively, of which $0 and $689 were capitalized.</w:t>
      </w:r>
    </w:p>
    <w:p>
      <w:pPr>
        <w:spacing w:after="0" w:line="49" w:lineRule="exact"/>
        <w:rPr>
          <w:rFonts w:ascii="Arial" w:cs="Arial" w:eastAsia="Arial" w:hAnsi="Arial"/>
          <w:sz w:val="18"/>
          <w:szCs w:val="18"/>
          <w:color w:val="auto"/>
        </w:rPr>
      </w:pPr>
    </w:p>
    <w:p>
      <w:pPr>
        <w:ind w:left="700" w:hanging="346"/>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Legal and other contingencies</w:t>
      </w:r>
    </w:p>
    <w:p>
      <w:pPr>
        <w:spacing w:after="0" w:line="118" w:lineRule="exact"/>
        <w:rPr>
          <w:rFonts w:ascii="Arial" w:cs="Arial" w:eastAsia="Arial" w:hAnsi="Arial"/>
          <w:sz w:val="18"/>
          <w:szCs w:val="18"/>
          <w:color w:val="auto"/>
        </w:rPr>
      </w:pPr>
    </w:p>
    <w:p>
      <w:pPr>
        <w:ind w:left="720" w:right="60"/>
        <w:spacing w:after="0" w:line="271" w:lineRule="auto"/>
        <w:rPr>
          <w:rFonts w:ascii="Arial" w:cs="Arial" w:eastAsia="Arial" w:hAnsi="Arial"/>
          <w:sz w:val="18"/>
          <w:szCs w:val="18"/>
          <w:color w:val="auto"/>
        </w:rPr>
      </w:pPr>
      <w:r>
        <w:rPr>
          <w:rFonts w:ascii="Arial" w:cs="Arial" w:eastAsia="Arial" w:hAnsi="Arial"/>
          <w:sz w:val="17"/>
          <w:szCs w:val="17"/>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statements of operations and comprehensive loss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they are realized.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ind w:left="700" w:hanging="34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Revenue recognition</w:t>
      </w:r>
    </w:p>
    <w:p>
      <w:pPr>
        <w:spacing w:after="0" w:line="118" w:lineRule="exact"/>
        <w:rPr>
          <w:rFonts w:ascii="Arial" w:cs="Arial" w:eastAsia="Arial" w:hAnsi="Arial"/>
          <w:sz w:val="18"/>
          <w:szCs w:val="18"/>
          <w:color w:val="auto"/>
        </w:rPr>
      </w:pPr>
    </w:p>
    <w:p>
      <w:pPr>
        <w:ind w:left="720" w:right="20"/>
        <w:spacing w:after="0" w:line="255" w:lineRule="auto"/>
        <w:rPr>
          <w:rFonts w:ascii="Arial" w:cs="Arial" w:eastAsia="Arial" w:hAnsi="Arial"/>
          <w:sz w:val="18"/>
          <w:szCs w:val="18"/>
          <w:color w:val="auto"/>
        </w:rPr>
      </w:pPr>
      <w:r>
        <w:rPr>
          <w:rFonts w:ascii="Arial" w:cs="Arial" w:eastAsia="Arial" w:hAnsi="Arial"/>
          <w:sz w:val="18"/>
          <w:szCs w:val="18"/>
          <w:color w:val="auto"/>
        </w:rPr>
        <w:t>Operating revenues from the sales of LNG and natural gas are recognized when the LNG or natural gas is delivered to the customer, either when the natural gas arrives at the customer’s flange or at the time that title to the LNG is transferred to the customer. Title typically transfers either when shipped or delivered to the customers’ storage facilities, depending on the terms of the contract. Shipping and handling costs related to the Company’s sales of LNG and natural gas are included in Cost of sales.</w:t>
      </w:r>
    </w:p>
    <w:p>
      <w:pPr>
        <w:spacing w:after="0" w:line="80" w:lineRule="exact"/>
        <w:rPr>
          <w:rFonts w:ascii="Arial" w:cs="Arial" w:eastAsia="Arial" w:hAnsi="Arial"/>
          <w:sz w:val="18"/>
          <w:szCs w:val="18"/>
          <w:color w:val="auto"/>
        </w:rPr>
      </w:pPr>
    </w:p>
    <w:p>
      <w:pPr>
        <w:ind w:left="720" w:right="500"/>
        <w:spacing w:after="0" w:line="309" w:lineRule="auto"/>
        <w:rPr>
          <w:rFonts w:ascii="Arial" w:cs="Arial" w:eastAsia="Arial" w:hAnsi="Arial"/>
          <w:sz w:val="18"/>
          <w:szCs w:val="18"/>
          <w:color w:val="auto"/>
        </w:rPr>
      </w:pPr>
      <w:r>
        <w:rPr>
          <w:rFonts w:ascii="Arial" w:cs="Arial" w:eastAsia="Arial" w:hAnsi="Arial"/>
          <w:sz w:val="16"/>
          <w:szCs w:val="16"/>
          <w:color w:val="auto"/>
        </w:rPr>
        <w:t>The Company collects sales taxes from its customers on sales of taxable products and remits such collections to the appropriate taxing authority. Sales tax collections are presented in the consolidated statements of operations and comprehensive loss on a net basis and, accordingly, are excluded from reported revenues.</w:t>
      </w:r>
    </w:p>
    <w:p>
      <w:pPr>
        <w:spacing w:after="0" w:line="40" w:lineRule="exact"/>
        <w:rPr>
          <w:rFonts w:ascii="Arial" w:cs="Arial" w:eastAsia="Arial" w:hAnsi="Arial"/>
          <w:sz w:val="18"/>
          <w:szCs w:val="18"/>
          <w:color w:val="auto"/>
        </w:rPr>
      </w:pPr>
    </w:p>
    <w:p>
      <w:pPr>
        <w:ind w:left="720" w:right="40"/>
        <w:spacing w:after="0" w:line="271" w:lineRule="auto"/>
        <w:rPr>
          <w:rFonts w:ascii="Arial" w:cs="Arial" w:eastAsia="Arial" w:hAnsi="Arial"/>
          <w:sz w:val="18"/>
          <w:szCs w:val="18"/>
          <w:color w:val="auto"/>
        </w:rPr>
      </w:pPr>
      <w:r>
        <w:rPr>
          <w:rFonts w:ascii="Arial" w:cs="Arial" w:eastAsia="Arial" w:hAnsi="Arial"/>
          <w:sz w:val="17"/>
          <w:szCs w:val="17"/>
          <w:color w:val="auto"/>
        </w:rPr>
        <w:t>The Company leases certain facilities and equipment to its customers which are accounted for as direct financing leases. Direct financing leases, net represents the minimum lease payments due, net of unearned revenue. The lease payments are segregated into principal and interest components similar to a loan. Unearned revenue is recognized on an effective interest method over the lease term and Other revenue in the consolidated statements of operations and comprehensive loss is primarily comprised of such interest revenue. The principal components of the lease payment are reflected as a reduction to the net investment in the finance lease.</w:t>
      </w:r>
    </w:p>
    <w:p>
      <w:pPr>
        <w:spacing w:after="0" w:line="70" w:lineRule="exact"/>
        <w:rPr>
          <w:rFonts w:ascii="Arial" w:cs="Arial" w:eastAsia="Arial" w:hAnsi="Arial"/>
          <w:sz w:val="18"/>
          <w:szCs w:val="18"/>
          <w:color w:val="auto"/>
        </w:rPr>
      </w:pPr>
    </w:p>
    <w:p>
      <w:pPr>
        <w:ind w:left="720" w:right="200"/>
        <w:spacing w:after="0" w:line="261" w:lineRule="auto"/>
        <w:rPr>
          <w:rFonts w:ascii="Arial" w:cs="Arial" w:eastAsia="Arial" w:hAnsi="Arial"/>
          <w:sz w:val="18"/>
          <w:szCs w:val="18"/>
          <w:color w:val="auto"/>
        </w:rPr>
      </w:pPr>
      <w:r>
        <w:rPr>
          <w:rFonts w:ascii="Arial" w:cs="Arial" w:eastAsia="Arial" w:hAnsi="Arial"/>
          <w:sz w:val="18"/>
          <w:szCs w:val="18"/>
          <w:color w:val="auto"/>
        </w:rPr>
        <w:t>The Company’s contracts with customers to supply LNG may contain a lease of equipment. The Company allocates consideration received from customers between lease and non-lease components based on the relative fair value of each component.</w:t>
      </w:r>
    </w:p>
    <w:p>
      <w:pPr>
        <w:spacing w:after="0" w:line="71" w:lineRule="exact"/>
        <w:rPr>
          <w:rFonts w:ascii="Arial" w:cs="Arial" w:eastAsia="Arial" w:hAnsi="Arial"/>
          <w:sz w:val="18"/>
          <w:szCs w:val="18"/>
          <w:color w:val="auto"/>
        </w:rPr>
      </w:pPr>
    </w:p>
    <w:p>
      <w:pPr>
        <w:ind w:left="700" w:hanging="34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Leases, as lessee</w:t>
      </w:r>
    </w:p>
    <w:p>
      <w:pPr>
        <w:spacing w:after="0" w:line="118" w:lineRule="exact"/>
        <w:rPr>
          <w:rFonts w:ascii="Arial" w:cs="Arial" w:eastAsia="Arial" w:hAnsi="Arial"/>
          <w:sz w:val="18"/>
          <w:szCs w:val="18"/>
          <w:color w:val="auto"/>
        </w:rPr>
      </w:pPr>
    </w:p>
    <w:p>
      <w:pPr>
        <w:ind w:left="720" w:right="120"/>
        <w:spacing w:after="0" w:line="309" w:lineRule="auto"/>
        <w:rPr>
          <w:rFonts w:ascii="Arial" w:cs="Arial" w:eastAsia="Arial" w:hAnsi="Arial"/>
          <w:sz w:val="18"/>
          <w:szCs w:val="18"/>
          <w:color w:val="auto"/>
        </w:rPr>
      </w:pPr>
      <w:r>
        <w:rPr>
          <w:rFonts w:ascii="Arial" w:cs="Arial" w:eastAsia="Arial" w:hAnsi="Arial"/>
          <w:sz w:val="16"/>
          <w:szCs w:val="16"/>
          <w:color w:val="auto"/>
        </w:rPr>
        <w:t xml:space="preserve">Lease agreements are evaluated to determine whether they are capital or operating leases. When substantially all of the risks and benefits of property ownership have been transferred to the Company, as determined by the test criteria in ASC 840, </w:t>
      </w:r>
      <w:r>
        <w:rPr>
          <w:rFonts w:ascii="Arial" w:cs="Arial" w:eastAsia="Arial" w:hAnsi="Arial"/>
          <w:sz w:val="16"/>
          <w:szCs w:val="16"/>
          <w:i w:val="1"/>
          <w:iCs w:val="1"/>
          <w:color w:val="auto"/>
        </w:rPr>
        <w:t>Leases</w:t>
      </w:r>
      <w:r>
        <w:rPr>
          <w:rFonts w:ascii="Arial" w:cs="Arial" w:eastAsia="Arial" w:hAnsi="Arial"/>
          <w:sz w:val="16"/>
          <w:szCs w:val="16"/>
          <w:color w:val="auto"/>
        </w:rPr>
        <w:t>, the lease is recognized as a capital lease. All other leases are classified as operating leases.</w:t>
      </w:r>
    </w:p>
    <w:p>
      <w:pPr>
        <w:spacing w:after="0" w:line="40" w:lineRule="exact"/>
        <w:rPr>
          <w:rFonts w:ascii="Arial" w:cs="Arial" w:eastAsia="Arial" w:hAnsi="Arial"/>
          <w:sz w:val="18"/>
          <w:szCs w:val="18"/>
          <w:color w:val="auto"/>
        </w:rPr>
      </w:pPr>
    </w:p>
    <w:p>
      <w:pPr>
        <w:ind w:left="720" w:right="80"/>
        <w:spacing w:after="0" w:line="274" w:lineRule="auto"/>
        <w:rPr>
          <w:rFonts w:ascii="Arial" w:cs="Arial" w:eastAsia="Arial" w:hAnsi="Arial"/>
          <w:sz w:val="18"/>
          <w:szCs w:val="18"/>
          <w:color w:val="auto"/>
        </w:rPr>
      </w:pPr>
      <w:r>
        <w:rPr>
          <w:rFonts w:ascii="Arial" w:cs="Arial" w:eastAsia="Arial" w:hAnsi="Arial"/>
          <w:sz w:val="18"/>
          <w:szCs w:val="18"/>
          <w:color w:val="auto"/>
        </w:rPr>
        <w:t>Rents payable under operating leases are charged to the consolidated statements of operations and comprehensive loss on a straight-line basis over the term of the relevant lease.</w:t>
      </w:r>
    </w:p>
    <w:p>
      <w:pPr>
        <w:spacing w:after="0" w:line="59" w:lineRule="exact"/>
        <w:rPr>
          <w:rFonts w:ascii="Arial" w:cs="Arial" w:eastAsia="Arial" w:hAnsi="Arial"/>
          <w:sz w:val="18"/>
          <w:szCs w:val="18"/>
          <w:color w:val="auto"/>
        </w:rPr>
      </w:pPr>
    </w:p>
    <w:p>
      <w:pPr>
        <w:ind w:left="700" w:hanging="34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Taxation</w:t>
      </w:r>
    </w:p>
    <w:p>
      <w:pPr>
        <w:spacing w:after="0" w:line="226"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Federal and state income taxes</w:t>
      </w:r>
    </w:p>
    <w:p>
      <w:pPr>
        <w:spacing w:after="0" w:line="114" w:lineRule="exact"/>
        <w:rPr>
          <w:rFonts w:ascii="Arial" w:cs="Arial" w:eastAsia="Arial" w:hAnsi="Arial"/>
          <w:sz w:val="18"/>
          <w:szCs w:val="18"/>
          <w:color w:val="auto"/>
        </w:rPr>
      </w:pPr>
    </w:p>
    <w:p>
      <w:pPr>
        <w:jc w:val="both"/>
        <w:ind w:left="720" w:right="180"/>
        <w:spacing w:after="0" w:line="286" w:lineRule="auto"/>
        <w:rPr>
          <w:rFonts w:ascii="Arial" w:cs="Arial" w:eastAsia="Arial" w:hAnsi="Arial"/>
          <w:sz w:val="18"/>
          <w:szCs w:val="18"/>
          <w:color w:val="auto"/>
        </w:rPr>
      </w:pPr>
      <w:r>
        <w:rPr>
          <w:rFonts w:ascii="Arial" w:cs="Arial" w:eastAsia="Arial" w:hAnsi="Arial"/>
          <w:sz w:val="16"/>
          <w:szCs w:val="16"/>
          <w:color w:val="auto"/>
        </w:rPr>
        <w:t>New Fortress Energy Holdings LLC is a limited liability company, which is considered a pass-through entity for federal income tax purposes, and thus no provision for federal income taxes has been recognized in these consolidated financial statements. The Company files tax returns in the U.S. federal jurisdiction and various state jurisdictions, as applicable.</w:t>
      </w:r>
    </w:p>
    <w:p>
      <w:pPr>
        <w:ind w:left="720" w:right="700"/>
        <w:spacing w:after="0" w:line="257" w:lineRule="auto"/>
        <w:rPr>
          <w:rFonts w:ascii="Arial" w:cs="Arial" w:eastAsia="Arial" w:hAnsi="Arial"/>
          <w:sz w:val="18"/>
          <w:szCs w:val="18"/>
          <w:color w:val="auto"/>
        </w:rPr>
      </w:pPr>
      <w:r>
        <w:rPr>
          <w:rFonts w:ascii="Arial" w:cs="Arial" w:eastAsia="Arial" w:hAnsi="Arial"/>
          <w:sz w:val="18"/>
          <w:szCs w:val="18"/>
          <w:color w:val="auto"/>
        </w:rPr>
        <w:t>The tax returns filed by the Company since inception are subject to examination by the U.S. federal and state tax authorities.</w:t>
      </w:r>
    </w:p>
    <w:p>
      <w:pPr>
        <w:spacing w:after="0" w:line="78" w:lineRule="exact"/>
        <w:rPr>
          <w:rFonts w:ascii="Arial" w:cs="Arial" w:eastAsia="Arial" w:hAnsi="Arial"/>
          <w:sz w:val="18"/>
          <w:szCs w:val="18"/>
          <w:color w:val="auto"/>
        </w:rPr>
      </w:pPr>
    </w:p>
    <w:p>
      <w:pPr>
        <w:ind w:left="720" w:right="80"/>
        <w:spacing w:after="0" w:line="268" w:lineRule="auto"/>
        <w:rPr>
          <w:rFonts w:ascii="Arial" w:cs="Arial" w:eastAsia="Arial" w:hAnsi="Arial"/>
          <w:sz w:val="18"/>
          <w:szCs w:val="18"/>
          <w:color w:val="auto"/>
        </w:rPr>
      </w:pPr>
      <w:r>
        <w:rPr>
          <w:rFonts w:ascii="Arial" w:cs="Arial" w:eastAsia="Arial" w:hAnsi="Arial"/>
          <w:sz w:val="17"/>
          <w:szCs w:val="17"/>
          <w:color w:val="auto"/>
        </w:rPr>
        <w:t>Upon consummation of the anticipated public offering (“Proposed Offering”), the Company will contribute all of its interests in its subsidiaries and its limited assets to a subsidiary of New Fortress Energy LLC (the “Registrant”). The Registrant has elected to be taxed as a corporation and will become subject to corporate U.S. federal and state income taxes. Accordingly, a pro forma income tax provision has been disclosed as if the Company was a taxable corporation for the year ended December 31, 2017. Pro forma tax expense was computed using an estimated effective rate of (1.7%), inclusive of applicable U.S. federal, state, and foreign taxes. The Company is in a net operating loss position for the year ended December 31, 2017 and has assessed a valuation allowance against all of its U.S. net deferred tax assets. As such, no pro forma tax expense was computed for U.S. federal and state income tax purposes. The Company’s subsidiaries incorporated in Jamaica are subject to income tax at a statutory tax rate of 25%. The pro forma tax expense is entirely attributable to Jamaica.</w:t>
      </w:r>
    </w:p>
    <w:p>
      <w:pPr>
        <w:spacing w:after="0" w:line="70" w:lineRule="exact"/>
        <w:rPr>
          <w:rFonts w:ascii="Arial" w:cs="Arial" w:eastAsia="Arial" w:hAnsi="Arial"/>
          <w:sz w:val="18"/>
          <w:szCs w:val="18"/>
          <w:color w:val="auto"/>
        </w:rPr>
      </w:pPr>
    </w:p>
    <w:p>
      <w:pPr>
        <w:ind w:left="720"/>
        <w:spacing w:after="0" w:line="257" w:lineRule="auto"/>
        <w:rPr>
          <w:rFonts w:ascii="Arial" w:cs="Arial" w:eastAsia="Arial" w:hAnsi="Arial"/>
          <w:sz w:val="18"/>
          <w:szCs w:val="18"/>
          <w:color w:val="auto"/>
        </w:rPr>
      </w:pPr>
      <w:r>
        <w:rPr>
          <w:rFonts w:ascii="Arial" w:cs="Arial" w:eastAsia="Arial" w:hAnsi="Arial"/>
          <w:sz w:val="18"/>
          <w:szCs w:val="18"/>
          <w:color w:val="auto"/>
        </w:rPr>
        <w:t>On December 22, 2017, the U.S. government enacted comprehensive tax legislation commonly referred to as the Tax Cuts and Jobs Act (the “Tax Act”), which significantly changed the U.S. tax code. The Tax Act makes broad and complex changes to the U.S. tax code that will impact many areas of taxation. Additionally, there are numerous interpretive issues and ambiguities that are not clearly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20" w:right="180"/>
        <w:spacing w:after="0" w:line="309" w:lineRule="auto"/>
        <w:rPr>
          <w:sz w:val="20"/>
          <w:szCs w:val="20"/>
          <w:color w:val="auto"/>
        </w:rPr>
      </w:pPr>
      <w:r>
        <w:rPr>
          <w:rFonts w:ascii="Arial" w:cs="Arial" w:eastAsia="Arial" w:hAnsi="Arial"/>
          <w:sz w:val="16"/>
          <w:szCs w:val="16"/>
          <w:color w:val="auto"/>
        </w:rPr>
        <w:t>addressed in current Tax Act guidance. Due to the complex nature of the Tax Act, including whether U.S. states will conform to the Tax Act in full or in part, the Company has not yet completed its accounting for the income tax effects of the Tax Act, and is not able to determine at this time the impact on the Company’s consolidated financial statements.</w:t>
      </w:r>
    </w:p>
    <w:p>
      <w:pPr>
        <w:spacing w:after="0" w:line="148"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Foreign taxes</w:t>
      </w:r>
    </w:p>
    <w:p>
      <w:pPr>
        <w:spacing w:after="0" w:line="115" w:lineRule="exact"/>
        <w:rPr>
          <w:sz w:val="20"/>
          <w:szCs w:val="20"/>
          <w:color w:val="auto"/>
        </w:rPr>
      </w:pPr>
    </w:p>
    <w:p>
      <w:pPr>
        <w:ind w:left="720" w:right="380"/>
        <w:spacing w:after="0" w:line="274" w:lineRule="auto"/>
        <w:rPr>
          <w:sz w:val="20"/>
          <w:szCs w:val="20"/>
          <w:color w:val="auto"/>
        </w:rPr>
      </w:pPr>
      <w:r>
        <w:rPr>
          <w:rFonts w:ascii="Arial" w:cs="Arial" w:eastAsia="Arial" w:hAnsi="Arial"/>
          <w:sz w:val="18"/>
          <w:szCs w:val="18"/>
          <w:color w:val="auto"/>
        </w:rPr>
        <w:t>Certain subsidiaries of NFE are subject to income tax in the local jurisdiction in which they operate; foreign taxes are computed based on the taxable income computed at the local jurisdictional tax rate.</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Other taxes</w:t>
      </w:r>
    </w:p>
    <w:p>
      <w:pPr>
        <w:spacing w:after="0" w:line="115" w:lineRule="exact"/>
        <w:rPr>
          <w:sz w:val="20"/>
          <w:szCs w:val="20"/>
          <w:color w:val="auto"/>
        </w:rPr>
      </w:pPr>
    </w:p>
    <w:p>
      <w:pPr>
        <w:ind w:left="720" w:right="160"/>
        <w:spacing w:after="0" w:line="299" w:lineRule="auto"/>
        <w:rPr>
          <w:sz w:val="20"/>
          <w:szCs w:val="20"/>
          <w:color w:val="auto"/>
        </w:rPr>
      </w:pPr>
      <w:r>
        <w:rPr>
          <w:rFonts w:ascii="Arial" w:cs="Arial" w:eastAsia="Arial" w:hAnsi="Arial"/>
          <w:sz w:val="16"/>
          <w:szCs w:val="16"/>
          <w:color w:val="auto"/>
        </w:rPr>
        <w:t>Certain subsidiaries of New Fortress Energy Holdings LLC may be subject to payroll taxes, excise taxes, property taxes, sales and use taxes, as well as income taxes in foreign countries in which they conduct business. In addition, certain subsidiaries are exposed to local state taxes such as franchise taxes. Local state taxes that are not income taxes are recorded within Other (income), net in the consolidated statements of operations and comprehensive loss.</w:t>
      </w:r>
    </w:p>
    <w:p>
      <w:pPr>
        <w:spacing w:after="0" w:line="45" w:lineRule="exact"/>
        <w:rPr>
          <w:sz w:val="20"/>
          <w:szCs w:val="20"/>
          <w:color w:val="auto"/>
        </w:rPr>
      </w:pPr>
    </w:p>
    <w:p>
      <w:pPr>
        <w:ind w:left="700" w:hanging="346"/>
        <w:spacing w:after="0"/>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Net loss per share</w:t>
      </w:r>
    </w:p>
    <w:p>
      <w:pPr>
        <w:spacing w:after="0" w:line="118" w:lineRule="exact"/>
        <w:rPr>
          <w:rFonts w:ascii="Arial" w:cs="Arial" w:eastAsia="Arial" w:hAnsi="Arial"/>
          <w:sz w:val="18"/>
          <w:szCs w:val="18"/>
          <w:color w:val="auto"/>
        </w:rPr>
      </w:pPr>
    </w:p>
    <w:p>
      <w:pPr>
        <w:ind w:left="720"/>
        <w:spacing w:after="0" w:line="271" w:lineRule="auto"/>
        <w:rPr>
          <w:rFonts w:ascii="Arial" w:cs="Arial" w:eastAsia="Arial" w:hAnsi="Arial"/>
          <w:sz w:val="18"/>
          <w:szCs w:val="18"/>
          <w:color w:val="auto"/>
        </w:rPr>
      </w:pPr>
      <w:r>
        <w:rPr>
          <w:rFonts w:ascii="Arial" w:cs="Arial" w:eastAsia="Arial" w:hAnsi="Arial"/>
          <w:sz w:val="17"/>
          <w:szCs w:val="17"/>
          <w:color w:val="auto"/>
        </w:rPr>
        <w:t>Net loss per share (“EPS”) is computed in accordance with GAAP. Basic EPS is computed by dividing net loss attributable to members by the weighted average number of common shares outstanding during the period. Diluted EPS reflects potential dilution and is computed by dividing net loss attributable to members by the weighted average number of common shares outstanding during the period increased by the number of additional common shares that would have been outstanding if all potential common shares had been issued and were dilutive. For the year ended ended December 31, 2017 and 2016 there were no potentially dilutive shares outstanding.</w:t>
      </w:r>
    </w:p>
    <w:p>
      <w:pPr>
        <w:spacing w:after="0" w:line="178"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Unaudited pro forma net loss per share</w:t>
      </w:r>
    </w:p>
    <w:p>
      <w:pPr>
        <w:spacing w:after="0" w:line="114" w:lineRule="exact"/>
        <w:rPr>
          <w:rFonts w:ascii="Arial" w:cs="Arial" w:eastAsia="Arial" w:hAnsi="Arial"/>
          <w:sz w:val="18"/>
          <w:szCs w:val="18"/>
          <w:color w:val="auto"/>
        </w:rPr>
      </w:pPr>
    </w:p>
    <w:p>
      <w:pPr>
        <w:ind w:left="720" w:right="60"/>
        <w:spacing w:after="0" w:line="261" w:lineRule="auto"/>
        <w:rPr>
          <w:rFonts w:ascii="Arial" w:cs="Arial" w:eastAsia="Arial" w:hAnsi="Arial"/>
          <w:sz w:val="18"/>
          <w:szCs w:val="18"/>
          <w:color w:val="auto"/>
        </w:rPr>
      </w:pPr>
      <w:r>
        <w:rPr>
          <w:rFonts w:ascii="Arial" w:cs="Arial" w:eastAsia="Arial" w:hAnsi="Arial"/>
          <w:sz w:val="18"/>
          <w:szCs w:val="18"/>
          <w:color w:val="auto"/>
        </w:rPr>
        <w:t>Pro forma net loss per share has been presented for the most recent period. Pro forma basic and diluted net loss per share was computed by dividing pro forma net loss by the weighted average number of common shares outstanding for the year ended December 31, 2017.</w:t>
      </w:r>
    </w:p>
    <w:p>
      <w:pPr>
        <w:spacing w:after="0" w:line="71" w:lineRule="exact"/>
        <w:rPr>
          <w:rFonts w:ascii="Arial" w:cs="Arial" w:eastAsia="Arial" w:hAnsi="Arial"/>
          <w:sz w:val="18"/>
          <w:szCs w:val="18"/>
          <w:color w:val="auto"/>
        </w:rPr>
      </w:pPr>
    </w:p>
    <w:p>
      <w:pPr>
        <w:ind w:left="360" w:hanging="355"/>
        <w:spacing w:after="0"/>
        <w:tabs>
          <w:tab w:leader="none" w:pos="3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and revised standards</w:t>
      </w:r>
    </w:p>
    <w:p>
      <w:pPr>
        <w:spacing w:after="0" w:line="118" w:lineRule="exact"/>
        <w:rPr>
          <w:rFonts w:ascii="Arial" w:cs="Arial" w:eastAsia="Arial" w:hAnsi="Arial"/>
          <w:sz w:val="18"/>
          <w:szCs w:val="18"/>
          <w:b w:val="1"/>
          <w:bCs w:val="1"/>
          <w:color w:val="auto"/>
        </w:rPr>
      </w:pPr>
    </w:p>
    <w:p>
      <w:pPr>
        <w:ind w:left="360" w:right="2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79" w:lineRule="exact"/>
        <w:rPr>
          <w:sz w:val="20"/>
          <w:szCs w:val="20"/>
          <w:color w:val="auto"/>
        </w:rPr>
      </w:pPr>
    </w:p>
    <w:p>
      <w:pPr>
        <w:ind w:left="720" w:right="140"/>
        <w:spacing w:after="0" w:line="254" w:lineRule="auto"/>
        <w:rPr>
          <w:sz w:val="20"/>
          <w:szCs w:val="20"/>
          <w:color w:val="auto"/>
        </w:rPr>
      </w:pPr>
      <w:r>
        <w:rPr>
          <w:rFonts w:ascii="Arial" w:cs="Arial" w:eastAsia="Arial" w:hAnsi="Arial"/>
          <w:sz w:val="18"/>
          <w:szCs w:val="18"/>
          <w:color w:val="auto"/>
        </w:rPr>
        <w:t xml:space="preserve">In July 2015, the Financial Accounting Standrards Board (“FASB”) issued Accounting Standard Update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changes the measurement principle for inventory from the lower of cost or market to the lower of cost and net realizable value. ASU 2015-11 is effective for the Company for annual periods in fiscal years beginning after December 15, 2016, and the Company adopted the new standard beginning January 1, 2017. Adoption of this guidance did not have a material effect on the Company’s consolidated financial statements.</w:t>
      </w:r>
    </w:p>
    <w:p>
      <w:pPr>
        <w:spacing w:after="0" w:line="81" w:lineRule="exact"/>
        <w:rPr>
          <w:sz w:val="20"/>
          <w:szCs w:val="20"/>
          <w:color w:val="auto"/>
        </w:rPr>
      </w:pPr>
    </w:p>
    <w:p>
      <w:pPr>
        <w:ind w:left="720" w:right="180"/>
        <w:spacing w:after="0" w:line="294"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which requires management of an entity to evaluate whether there are conditions or events, considered in the aggregate, that raise substantial doubt about the entity’s ability to continue as a going concern within one year after the date that the financial statements are issued or available to be issued. This update is effective for annual periods ending after December 15, 2016. Adoption of this guidance did not have a material impact on the Company’s consolidated financial statements.</w:t>
      </w:r>
    </w:p>
    <w:p>
      <w:pPr>
        <w:spacing w:after="0" w:line="50" w:lineRule="exact"/>
        <w:rPr>
          <w:sz w:val="20"/>
          <w:szCs w:val="20"/>
          <w:color w:val="auto"/>
        </w:rPr>
      </w:pPr>
    </w:p>
    <w:p>
      <w:pPr>
        <w:ind w:left="700" w:right="160" w:hanging="346"/>
        <w:spacing w:after="0" w:line="279" w:lineRule="auto"/>
        <w:tabs>
          <w:tab w:leader="none" w:pos="70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New standards, amendments and interpretations issued but not effective for the financial year beginning January 1, 2017 and not early adopted:</w:t>
      </w:r>
    </w:p>
    <w:p>
      <w:pPr>
        <w:spacing w:after="0" w:line="59" w:lineRule="exact"/>
        <w:rPr>
          <w:rFonts w:ascii="Arial" w:cs="Arial" w:eastAsia="Arial" w:hAnsi="Arial"/>
          <w:sz w:val="18"/>
          <w:szCs w:val="18"/>
          <w:color w:val="auto"/>
        </w:rPr>
      </w:pPr>
    </w:p>
    <w:p>
      <w:pPr>
        <w:ind w:left="720" w:right="600"/>
        <w:spacing w:after="0" w:line="274" w:lineRule="auto"/>
        <w:rPr>
          <w:rFonts w:ascii="Arial" w:cs="Arial" w:eastAsia="Arial" w:hAnsi="Arial"/>
          <w:sz w:val="18"/>
          <w:szCs w:val="18"/>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a statement of cash flows explain the change during the period in the total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20" w:right="20"/>
        <w:spacing w:after="0" w:line="255" w:lineRule="auto"/>
        <w:rPr>
          <w:sz w:val="20"/>
          <w:szCs w:val="20"/>
          <w:color w:val="auto"/>
        </w:rPr>
      </w:pPr>
      <w:r>
        <w:rPr>
          <w:rFonts w:ascii="Arial" w:cs="Arial" w:eastAsia="Arial" w:hAnsi="Arial"/>
          <w:sz w:val="18"/>
          <w:szCs w:val="18"/>
          <w:color w:val="auto"/>
        </w:rPr>
        <w:t>cash, cash equivalents, and amounts generally described as restricted cash and restricted cash equivalents. This is intended to limit the treatment of restricted cash in the statement of cash flows as the FASB acknowledged there is currently diversity in practice regarding the presentation of restricted cash within the statement of cash flows. The Company will adopt ASU 2016-18 during the year beginning January 1, 2019 and is currently evaluating the effect that ASU 2016-18 will have on its consolidated financial statements.</w:t>
      </w:r>
    </w:p>
    <w:p>
      <w:pPr>
        <w:spacing w:after="0" w:line="81" w:lineRule="exact"/>
        <w:rPr>
          <w:sz w:val="20"/>
          <w:szCs w:val="20"/>
          <w:color w:val="auto"/>
        </w:rPr>
      </w:pPr>
    </w:p>
    <w:p>
      <w:pPr>
        <w:ind w:left="720" w:right="80"/>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w:t>
      </w:r>
      <w:r>
        <w:rPr>
          <w:rFonts w:ascii="Arial" w:cs="Arial" w:eastAsia="Arial" w:hAnsi="Arial"/>
          <w:sz w:val="18"/>
          <w:szCs w:val="18"/>
          <w:color w:val="auto"/>
        </w:rPr>
        <w:t xml:space="preserve"> </w:t>
      </w:r>
      <w:r>
        <w:rPr>
          <w:rFonts w:ascii="Arial" w:cs="Arial" w:eastAsia="Arial" w:hAnsi="Arial"/>
          <w:sz w:val="18"/>
          <w:szCs w:val="18"/>
          <w:i w:val="1"/>
          <w:iCs w:val="1"/>
          <w:color w:val="auto"/>
        </w:rPr>
        <w:t>Receipts and Cash Payments</w:t>
      </w:r>
      <w:r>
        <w:rPr>
          <w:rFonts w:ascii="Arial" w:cs="Arial" w:eastAsia="Arial" w:hAnsi="Arial"/>
          <w:sz w:val="18"/>
          <w:szCs w:val="18"/>
          <w:color w:val="auto"/>
        </w:rPr>
        <w:t>, which provides guidance on eight specific cash flow issues with an intention to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diversity in practice. The Company will adopt ASU 2016-15 during the year beginning January 1, 2019 and does not expect a material effect on its consolidated financial statements.</w:t>
      </w:r>
    </w:p>
    <w:p>
      <w:pPr>
        <w:spacing w:after="0" w:line="79" w:lineRule="exact"/>
        <w:rPr>
          <w:sz w:val="20"/>
          <w:szCs w:val="20"/>
          <w:color w:val="auto"/>
        </w:rPr>
      </w:pPr>
    </w:p>
    <w:p>
      <w:pPr>
        <w:ind w:left="720" w:right="20"/>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for annual reporting periods beginning after December 15, 2019, and interim periods beginning after December 15, 2020, with early adoption permitted. ASU 2016-02 requires a modified retrospective transition approach for all leases existing at, or entered into after, the date of initial application, with an option to use certain transition relief. The Company is currently evaluating the impact of adopting this new guidance on its consolidated financial statements.</w:t>
      </w:r>
    </w:p>
    <w:p>
      <w:pPr>
        <w:spacing w:after="0" w:line="66" w:lineRule="exact"/>
        <w:rPr>
          <w:sz w:val="20"/>
          <w:szCs w:val="20"/>
          <w:color w:val="auto"/>
        </w:rPr>
      </w:pPr>
    </w:p>
    <w:p>
      <w:pPr>
        <w:ind w:left="700" w:hanging="346"/>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New and amended standards adopted by the Company:</w:t>
      </w:r>
    </w:p>
    <w:p>
      <w:pPr>
        <w:spacing w:after="0" w:line="118" w:lineRule="exact"/>
        <w:rPr>
          <w:rFonts w:ascii="Arial" w:cs="Arial" w:eastAsia="Arial" w:hAnsi="Arial"/>
          <w:sz w:val="18"/>
          <w:szCs w:val="18"/>
          <w:color w:val="auto"/>
        </w:rPr>
      </w:pPr>
    </w:p>
    <w:p>
      <w:pPr>
        <w:ind w:left="720" w:right="120"/>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(Subtopic 825-10): Recognition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Financial Assets and Financial Liabilities</w:t>
      </w:r>
      <w:r>
        <w:rPr>
          <w:rFonts w:ascii="Arial" w:cs="Arial" w:eastAsia="Arial" w:hAnsi="Arial"/>
          <w:sz w:val="17"/>
          <w:szCs w:val="17"/>
          <w:color w:val="auto"/>
        </w:rPr>
        <w:t>, which makes targeted improvements to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and presentation and disclosure of, financial instruments. ASU 2016-01 requires that most equity investments be measured at fair value, with subsequent changes in fair value recognized in net income. ASU 2016-01 does not affect the accounting for investments that would otherwise be consolidated or accounted for under the equity method. The new standard also impacts financial liabilities under the fair value option and the presentation and disclosure requirements for financial instruments. Most of the provisions of ASU 2016-01 are effective for the Company for annual periods in fiscal years beginning after December 15, 2018. The Company will adopt ASU 2016-01 during the year beginning January 1, 2019 and is currently evaluating the effect that ASU 2016-01 will have on the Company’s consolidated financial statements.</w:t>
      </w:r>
    </w:p>
    <w:p>
      <w:pPr>
        <w:spacing w:after="0" w:line="70" w:lineRule="exact"/>
        <w:rPr>
          <w:rFonts w:ascii="Arial" w:cs="Arial" w:eastAsia="Arial" w:hAnsi="Arial"/>
          <w:sz w:val="18"/>
          <w:szCs w:val="18"/>
          <w:color w:val="auto"/>
        </w:rPr>
      </w:pPr>
    </w:p>
    <w:p>
      <w:pPr>
        <w:ind w:left="72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In November 2015, the FASB issued accounting guidance that is designed to improve the way deferred taxes are classified on organizations’ balance sheets. ASU 2015-17, </w:t>
      </w:r>
      <w:r>
        <w:rPr>
          <w:rFonts w:ascii="Arial" w:cs="Arial" w:eastAsia="Arial" w:hAnsi="Arial"/>
          <w:sz w:val="18"/>
          <w:szCs w:val="18"/>
          <w:i w:val="1"/>
          <w:iCs w:val="1"/>
          <w:color w:val="auto"/>
        </w:rPr>
        <w:t>Income Taxes (Topic 740): Balance Sheet Classification of 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is part of the FASB’s simplification initiative designed to reduce complexity in financial reporting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sacrificing the quality of information provided to users. The new standard requires deferred tax liabilities and assets to be classified as non-current. The standard applies to all organizations that present a balance sheet. The Company adopted this guidance for the year beginning January 1, 2018 and the adoption of this guidance will not have a material impact on the consolidated financial statements.</w:t>
      </w:r>
    </w:p>
    <w:p>
      <w:pPr>
        <w:spacing w:after="0" w:line="82" w:lineRule="exact"/>
        <w:rPr>
          <w:rFonts w:ascii="Arial" w:cs="Arial" w:eastAsia="Arial" w:hAnsi="Arial"/>
          <w:sz w:val="18"/>
          <w:szCs w:val="18"/>
          <w:color w:val="auto"/>
        </w:rPr>
      </w:pPr>
    </w:p>
    <w:p>
      <w:pPr>
        <w:ind w:left="720" w:right="20"/>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consideration to recognize over each identified performance obligation. Additional disclosures will be required to help users of financial statements understand the nature, amount and timing of revenue and cash flows arising from contracts. In August 2015, the FASB issued ASU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to defer the effective date of ASU 2014-09 by one year, making 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7" w:right="1380"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20" w:right="60"/>
        <w:spacing w:after="0" w:line="309" w:lineRule="auto"/>
        <w:rPr>
          <w:sz w:val="20"/>
          <w:szCs w:val="20"/>
          <w:color w:val="auto"/>
        </w:rPr>
      </w:pPr>
      <w:r>
        <w:rPr>
          <w:rFonts w:ascii="Arial" w:cs="Arial" w:eastAsia="Arial" w:hAnsi="Arial"/>
          <w:sz w:val="16"/>
          <w:szCs w:val="16"/>
          <w:color w:val="auto"/>
        </w:rPr>
        <w:t>effective for annual reporting periods beginning after December 15, 2018, and interim periods within annual periods beginning after December 15, 2019, while also providing for early adoption but not before the original effective date. The Company is currently evaluating the impact of adopting this new guidance on its consolidated financial statements.</w:t>
      </w:r>
    </w:p>
    <w:p>
      <w:pPr>
        <w:spacing w:after="0" w:line="37" w:lineRule="exact"/>
        <w:rPr>
          <w:sz w:val="20"/>
          <w:szCs w:val="20"/>
          <w:color w:val="auto"/>
        </w:rPr>
      </w:pPr>
    </w:p>
    <w:p>
      <w:pPr>
        <w:ind w:left="360" w:hanging="355"/>
        <w:spacing w:after="0"/>
        <w:tabs>
          <w:tab w:leader="none" w:pos="3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18" w:lineRule="exact"/>
        <w:rPr>
          <w:rFonts w:ascii="Arial" w:cs="Arial" w:eastAsia="Arial" w:hAnsi="Arial"/>
          <w:sz w:val="18"/>
          <w:szCs w:val="18"/>
          <w:b w:val="1"/>
          <w:bCs w:val="1"/>
          <w:color w:val="auto"/>
        </w:rPr>
      </w:pPr>
    </w:p>
    <w:p>
      <w:pPr>
        <w:ind w:left="360" w:right="100"/>
        <w:spacing w:after="0" w:line="309" w:lineRule="auto"/>
        <w:rPr>
          <w:rFonts w:ascii="Arial" w:cs="Arial" w:eastAsia="Arial" w:hAnsi="Arial"/>
          <w:sz w:val="18"/>
          <w:szCs w:val="18"/>
          <w:b w:val="1"/>
          <w:bCs w:val="1"/>
          <w:color w:val="auto"/>
        </w:rPr>
      </w:pPr>
      <w:r>
        <w:rPr>
          <w:rFonts w:ascii="Arial" w:cs="Arial" w:eastAsia="Arial" w:hAnsi="Arial"/>
          <w:sz w:val="16"/>
          <w:szCs w:val="16"/>
          <w:color w:val="auto"/>
        </w:rPr>
        <w:t>In the normal course of business, the Company encounters several significant types of economic risks including credit, market and capital market risks. Credit risk arises from cash and cash equivalents and restricted cash held with banks and financial institutions, as well as credit exposures to customers, including outstanding receivables and committed transactions.</w:t>
      </w:r>
    </w:p>
    <w:p>
      <w:pPr>
        <w:spacing w:after="0" w:line="40" w:lineRule="exact"/>
        <w:rPr>
          <w:rFonts w:ascii="Arial" w:cs="Arial" w:eastAsia="Arial" w:hAnsi="Arial"/>
          <w:sz w:val="18"/>
          <w:szCs w:val="18"/>
          <w:b w:val="1"/>
          <w:bCs w:val="1"/>
          <w:color w:val="auto"/>
        </w:rPr>
      </w:pPr>
    </w:p>
    <w:p>
      <w:pPr>
        <w:ind w:left="3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of the Company’s cash and cash equivalents and restricted cash is held with banks and financial institutions with high credit ratings assigned by international credit-rating agencies. For customers and other counterparties, the credit quality is assessed by taking into account its external ratings published by international credit-rating agencies, if any, or its financial position, past experience and other factors. Transactions are entered into with customers and counterparties that are deemed to be of adequate credit quality by management.</w:t>
      </w:r>
    </w:p>
    <w:p>
      <w:pPr>
        <w:spacing w:after="0" w:line="80" w:lineRule="exact"/>
        <w:rPr>
          <w:rFonts w:ascii="Arial" w:cs="Arial" w:eastAsia="Arial" w:hAnsi="Arial"/>
          <w:sz w:val="18"/>
          <w:szCs w:val="18"/>
          <w:b w:val="1"/>
          <w:bCs w:val="1"/>
          <w:color w:val="auto"/>
        </w:rPr>
      </w:pPr>
    </w:p>
    <w:p>
      <w:pPr>
        <w:ind w:left="360" w:right="6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Company has a concentration of credit with a key customer, a company incorporated in Jamaica, West Indies. See Note 21 for additional details about the Company’s customer concentrations.</w:t>
      </w:r>
    </w:p>
    <w:p>
      <w:pPr>
        <w:spacing w:after="0" w:line="63" w:lineRule="exact"/>
        <w:rPr>
          <w:rFonts w:ascii="Arial" w:cs="Arial" w:eastAsia="Arial" w:hAnsi="Arial"/>
          <w:sz w:val="18"/>
          <w:szCs w:val="18"/>
          <w:b w:val="1"/>
          <w:bCs w:val="1"/>
          <w:color w:val="auto"/>
        </w:rPr>
      </w:pPr>
    </w:p>
    <w:p>
      <w:pPr>
        <w:ind w:left="36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is also exposed to foreign currency risk attributable to cash flows received or paid in currencies other than the US dollar.</w:t>
      </w:r>
    </w:p>
    <w:p>
      <w:pPr>
        <w:spacing w:after="0" w:line="68" w:lineRule="exact"/>
        <w:rPr>
          <w:rFonts w:ascii="Arial" w:cs="Arial" w:eastAsia="Arial" w:hAnsi="Arial"/>
          <w:sz w:val="18"/>
          <w:szCs w:val="18"/>
          <w:b w:val="1"/>
          <w:bCs w:val="1"/>
          <w:color w:val="auto"/>
        </w:rPr>
      </w:pPr>
    </w:p>
    <w:p>
      <w:pPr>
        <w:ind w:left="360" w:right="20"/>
        <w:spacing w:after="0" w:line="339" w:lineRule="auto"/>
        <w:rPr>
          <w:rFonts w:ascii="Arial" w:cs="Arial" w:eastAsia="Arial" w:hAnsi="Arial"/>
          <w:sz w:val="18"/>
          <w:szCs w:val="18"/>
          <w:b w:val="1"/>
          <w:bCs w:val="1"/>
          <w:color w:val="auto"/>
        </w:rPr>
      </w:pPr>
      <w:r>
        <w:rPr>
          <w:rFonts w:ascii="Arial" w:cs="Arial" w:eastAsia="Arial" w:hAnsi="Arial"/>
          <w:sz w:val="16"/>
          <w:szCs w:val="16"/>
          <w:color w:val="auto"/>
        </w:rPr>
        <w:t>The Company is also exposed to interest rate risk on its variable rate borrowings, primarily the Miami Loan (defined in Note 14). Increases in the market rate of interest could impact the Company’s results of operations and that impact could be material.</w:t>
      </w:r>
    </w:p>
    <w:p>
      <w:pPr>
        <w:spacing w:after="0" w:line="12" w:lineRule="exact"/>
        <w:rPr>
          <w:rFonts w:ascii="Arial" w:cs="Arial" w:eastAsia="Arial" w:hAnsi="Arial"/>
          <w:sz w:val="18"/>
          <w:szCs w:val="18"/>
          <w:b w:val="1"/>
          <w:bCs w:val="1"/>
          <w:color w:val="auto"/>
        </w:rPr>
      </w:pPr>
    </w:p>
    <w:p>
      <w:pPr>
        <w:ind w:left="360" w:hanging="355"/>
        <w:spacing w:after="0"/>
        <w:tabs>
          <w:tab w:leader="none" w:pos="3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18" w:lineRule="exact"/>
        <w:rPr>
          <w:rFonts w:ascii="Arial" w:cs="Arial" w:eastAsia="Arial" w:hAnsi="Arial"/>
          <w:sz w:val="18"/>
          <w:szCs w:val="18"/>
          <w:b w:val="1"/>
          <w:bCs w:val="1"/>
          <w:color w:val="auto"/>
        </w:rPr>
      </w:pPr>
    </w:p>
    <w:p>
      <w:pPr>
        <w:ind w:left="360" w:right="40"/>
        <w:spacing w:after="0" w:line="305" w:lineRule="auto"/>
        <w:rPr>
          <w:rFonts w:ascii="Arial" w:cs="Arial" w:eastAsia="Arial" w:hAnsi="Arial"/>
          <w:sz w:val="18"/>
          <w:szCs w:val="18"/>
          <w:b w:val="1"/>
          <w:bCs w:val="1"/>
          <w:color w:val="auto"/>
        </w:rPr>
      </w:pPr>
      <w:r>
        <w:rPr>
          <w:rFonts w:ascii="Arial" w:cs="Arial" w:eastAsia="Arial" w:hAnsi="Arial"/>
          <w:sz w:val="17"/>
          <w:szCs w:val="17"/>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39" w:lineRule="exact"/>
        <w:rPr>
          <w:rFonts w:ascii="Arial" w:cs="Arial" w:eastAsia="Arial" w:hAnsi="Arial"/>
          <w:sz w:val="18"/>
          <w:szCs w:val="18"/>
          <w:b w:val="1"/>
          <w:bCs w:val="1"/>
          <w:color w:val="auto"/>
        </w:rPr>
      </w:pPr>
    </w:p>
    <w:p>
      <w:pPr>
        <w:ind w:left="1060" w:hanging="344"/>
        <w:spacing w:after="0"/>
        <w:tabs>
          <w:tab w:leader="none" w:pos="1060"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observable inputs such as quoted prices in active markets for identical assets or liabilities.</w:t>
      </w:r>
    </w:p>
    <w:p>
      <w:pPr>
        <w:spacing w:after="0" w:line="114" w:lineRule="exact"/>
        <w:rPr>
          <w:rFonts w:ascii="Arial" w:cs="Arial" w:eastAsia="Arial" w:hAnsi="Arial"/>
          <w:sz w:val="18"/>
          <w:szCs w:val="18"/>
          <w:color w:val="auto"/>
        </w:rPr>
      </w:pPr>
    </w:p>
    <w:p>
      <w:pPr>
        <w:ind w:left="1060" w:hanging="344"/>
        <w:spacing w:after="0" w:line="274" w:lineRule="auto"/>
        <w:tabs>
          <w:tab w:leader="none" w:pos="1060"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quoted prices included within Level 1 that are observable, either directly or indirectly,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quoted prices for similar assets or liabilities or market corroborated inputs.</w:t>
      </w:r>
    </w:p>
    <w:p>
      <w:pPr>
        <w:spacing w:after="0" w:line="63" w:lineRule="exact"/>
        <w:rPr>
          <w:rFonts w:ascii="Arial" w:cs="Arial" w:eastAsia="Arial" w:hAnsi="Arial"/>
          <w:sz w:val="18"/>
          <w:szCs w:val="18"/>
          <w:color w:val="auto"/>
        </w:rPr>
      </w:pPr>
    </w:p>
    <w:p>
      <w:pPr>
        <w:ind w:left="1060" w:hanging="344"/>
        <w:spacing w:after="0" w:line="274" w:lineRule="auto"/>
        <w:tabs>
          <w:tab w:leader="none" w:pos="1060"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for which there is little or no market data and which require the Company to develop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assumptions about how market participants price the asset or liability.</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5" w:lineRule="exact"/>
        <w:rPr>
          <w:sz w:val="20"/>
          <w:szCs w:val="20"/>
          <w:color w:val="auto"/>
        </w:rPr>
      </w:pPr>
    </w:p>
    <w:p>
      <w:pPr>
        <w:ind w:left="1060" w:right="20" w:hanging="344"/>
        <w:spacing w:after="0" w:line="274"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Market approach </w:t>
      </w:r>
      <w:r>
        <w:rPr>
          <w:rFonts w:ascii="Arial" w:cs="Arial" w:eastAsia="Arial" w:hAnsi="Arial"/>
          <w:sz w:val="18"/>
          <w:szCs w:val="18"/>
          <w:color w:val="auto"/>
        </w:rPr>
        <w:t>– uses prices and other relevant information generated by market transactions involving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assets or liabilities.</w:t>
      </w:r>
    </w:p>
    <w:p>
      <w:pPr>
        <w:spacing w:after="0" w:line="63" w:lineRule="exact"/>
        <w:rPr>
          <w:rFonts w:ascii="Arial" w:cs="Arial" w:eastAsia="Arial" w:hAnsi="Arial"/>
          <w:sz w:val="18"/>
          <w:szCs w:val="18"/>
          <w:color w:val="auto"/>
        </w:rPr>
      </w:pPr>
    </w:p>
    <w:p>
      <w:pPr>
        <w:ind w:left="1060" w:right="140" w:hanging="344"/>
        <w:spacing w:after="0" w:line="274"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 uses valuation techniques to convert future amounts to a single present amount based on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expectations about those future amounts.</w:t>
      </w:r>
    </w:p>
    <w:p>
      <w:pPr>
        <w:spacing w:after="0" w:line="63" w:lineRule="exact"/>
        <w:rPr>
          <w:rFonts w:ascii="Arial" w:cs="Arial" w:eastAsia="Arial" w:hAnsi="Arial"/>
          <w:sz w:val="18"/>
          <w:szCs w:val="18"/>
          <w:color w:val="auto"/>
        </w:rPr>
      </w:pPr>
    </w:p>
    <w:p>
      <w:pPr>
        <w:ind w:left="1060" w:right="380" w:hanging="344"/>
        <w:spacing w:after="0" w:line="274"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Cost approach </w:t>
      </w:r>
      <w:r>
        <w:rPr>
          <w:rFonts w:ascii="Arial" w:cs="Arial" w:eastAsia="Arial" w:hAnsi="Arial"/>
          <w:sz w:val="18"/>
          <w:szCs w:val="18"/>
          <w:color w:val="auto"/>
        </w:rPr>
        <w:t>– based on the amount that currently would be required to replace the service capacity of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cost).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financial assets that are measured at fair value at December 31, 2017:</w:t>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3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December 31, 2017</w:t>
            </w: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8"/>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1"/>
              </w:rPr>
              <w:t>Valuation</w:t>
            </w:r>
          </w:p>
        </w:tc>
      </w:tr>
      <w:tr>
        <w:trPr>
          <w:trHeight w:val="184"/>
        </w:trPr>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technique</w:t>
            </w:r>
          </w:p>
        </w:tc>
      </w:tr>
      <w:tr>
        <w:trPr>
          <w:trHeight w:val="235"/>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84,708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84,708</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4"/>
              </w:rPr>
              <w:t>Market</w:t>
            </w:r>
          </w:p>
        </w:tc>
      </w:tr>
      <w:tr>
        <w:trPr>
          <w:trHeight w:val="248"/>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33,623</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33,623</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Market</w:t>
            </w:r>
          </w:p>
        </w:tc>
      </w:tr>
      <w:tr>
        <w:trPr>
          <w:trHeight w:val="241"/>
        </w:trPr>
        <w:tc>
          <w:tcPr>
            <w:tcW w:w="394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6,333</w:t>
            </w:r>
          </w:p>
        </w:tc>
        <w:tc>
          <w:tcPr>
            <w:tcW w:w="100" w:type="dxa"/>
            <w:vAlign w:val="bottom"/>
          </w:tcPr>
          <w:p>
            <w:pPr>
              <w:spacing w:after="0"/>
              <w:rPr>
                <w:sz w:val="20"/>
                <w:szCs w:val="20"/>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6,333</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4"/>
              </w:rPr>
              <w:t>Market</w:t>
            </w: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124,664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30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124,664</w:t>
            </w: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7"/>
        </w:trPr>
        <w:tc>
          <w:tcPr>
            <w:tcW w:w="394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financial assets that are measured at fair value at December 31, 2016:</w:t>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3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December 31, 2016</w:t>
            </w: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8"/>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1"/>
              </w:rPr>
              <w:t>Valuation</w:t>
            </w:r>
          </w:p>
        </w:tc>
      </w:tr>
      <w:tr>
        <w:trPr>
          <w:trHeight w:val="184"/>
        </w:trPr>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technique</w:t>
            </w:r>
          </w:p>
        </w:tc>
      </w:tr>
      <w:tr>
        <w:trPr>
          <w:trHeight w:val="235"/>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180,650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180,650</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4"/>
              </w:rPr>
              <w:t>Market</w:t>
            </w:r>
          </w:p>
        </w:tc>
      </w:tr>
      <w:tr>
        <w:trPr>
          <w:trHeight w:val="248"/>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8,471</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8,471</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Market</w:t>
            </w:r>
          </w:p>
        </w:tc>
      </w:tr>
      <w:tr>
        <w:trPr>
          <w:trHeight w:val="241"/>
        </w:trPr>
        <w:tc>
          <w:tcPr>
            <w:tcW w:w="394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20"/>
                <w:szCs w:val="20"/>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3,363</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4"/>
              </w:rPr>
              <w:t>Market</w:t>
            </w: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192,484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30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192,484</w:t>
            </w: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7"/>
        </w:trPr>
        <w:tc>
          <w:tcPr>
            <w:tcW w:w="394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ind w:left="360" w:right="100"/>
        <w:spacing w:after="0" w:line="273" w:lineRule="auto"/>
        <w:rPr>
          <w:sz w:val="20"/>
          <w:szCs w:val="20"/>
          <w:color w:val="auto"/>
        </w:rPr>
      </w:pPr>
      <w:r>
        <w:rPr>
          <w:rFonts w:ascii="Arial" w:cs="Arial" w:eastAsia="Arial" w:hAnsi="Arial"/>
          <w:sz w:val="17"/>
          <w:szCs w:val="17"/>
          <w:color w:val="auto"/>
        </w:rPr>
        <w:t>At December 31, 2017 and 2016, the Company had no liabilities that were measured at fair value on a recurring basis. The Company estimates fair value of outstanding debt using a discounted cash flows method based on current market interest rates for debt issuances with similar remaining years to maturity and adjusted for credit risk. The Company has estimated that the carrying value of the outstanding Miami Loan (defined in Note 14) and the outstanding MoBay Loan (defined in Note 14) approximates fair value. The fair value estimate is classified as Level 3 in the fair value hierarchy.</w:t>
      </w:r>
    </w:p>
    <w:p>
      <w:pPr>
        <w:spacing w:after="0" w:line="65" w:lineRule="exact"/>
        <w:rPr>
          <w:sz w:val="20"/>
          <w:szCs w:val="20"/>
          <w:color w:val="auto"/>
        </w:rPr>
      </w:pPr>
    </w:p>
    <w:p>
      <w:pPr>
        <w:ind w:left="360" w:hanging="355"/>
        <w:spacing w:after="0"/>
        <w:tabs>
          <w:tab w:leader="none" w:pos="3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restricted cash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35"/>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 for performance under customer agreements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20"/>
                <w:szCs w:val="20"/>
                <w:color w:val="auto"/>
              </w:rPr>
            </w:pPr>
          </w:p>
        </w:tc>
      </w:tr>
      <w:tr>
        <w:trPr>
          <w:trHeight w:val="235"/>
        </w:trPr>
        <w:tc>
          <w:tcPr>
            <w:tcW w:w="6800" w:type="dxa"/>
            <w:vAlign w:val="bottom"/>
          </w:tcPr>
          <w:p>
            <w:pPr>
              <w:spacing w:after="0"/>
              <w:rPr>
                <w:sz w:val="20"/>
                <w:szCs w:val="20"/>
                <w:color w:val="auto"/>
              </w:rPr>
            </w:pPr>
            <w:r>
              <w:rPr>
                <w:rFonts w:ascii="Arial" w:cs="Arial" w:eastAsia="Arial" w:hAnsi="Arial"/>
                <w:sz w:val="18"/>
                <w:szCs w:val="18"/>
                <w:color w:val="auto"/>
              </w:rPr>
              <w:t>Collateral for LNG purchases</w:t>
            </w: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7,000</w:t>
            </w:r>
          </w:p>
        </w:tc>
        <w:tc>
          <w:tcPr>
            <w:tcW w:w="2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8"/>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service reserve accounts (Note 14)</w:t>
            </w: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5,339</w:t>
            </w:r>
          </w:p>
        </w:tc>
        <w:tc>
          <w:tcPr>
            <w:tcW w:w="2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80" w:type="dxa"/>
            <w:vAlign w:val="bottom"/>
            <w:shd w:val="clear" w:color="auto" w:fill="CCEEFF"/>
          </w:tcPr>
          <w:p>
            <w:pPr>
              <w:spacing w:after="0"/>
              <w:rPr>
                <w:sz w:val="21"/>
                <w:szCs w:val="21"/>
                <w:color w:val="auto"/>
              </w:rPr>
            </w:pPr>
          </w:p>
        </w:tc>
      </w:tr>
      <w:tr>
        <w:trPr>
          <w:trHeight w:val="235"/>
        </w:trPr>
        <w:tc>
          <w:tcPr>
            <w:tcW w:w="6800" w:type="dxa"/>
            <w:vAlign w:val="bottom"/>
          </w:tcPr>
          <w:p>
            <w:pPr>
              <w:spacing w:after="0"/>
              <w:rPr>
                <w:sz w:val="20"/>
                <w:szCs w:val="20"/>
                <w:color w:val="auto"/>
              </w:rPr>
            </w:pPr>
            <w:r>
              <w:rPr>
                <w:rFonts w:ascii="Arial" w:cs="Arial" w:eastAsia="Arial" w:hAnsi="Arial"/>
                <w:sz w:val="18"/>
                <w:szCs w:val="18"/>
                <w:color w:val="auto"/>
              </w:rPr>
              <w:t>Customs and performance bonds</w:t>
            </w: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914</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20"/>
                <w:szCs w:val="20"/>
                <w:color w:val="auto"/>
              </w:rPr>
            </w:pPr>
          </w:p>
        </w:tc>
      </w:tr>
      <w:tr>
        <w:trPr>
          <w:trHeight w:val="248"/>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restricted cash</w:t>
            </w: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21"/>
                <w:szCs w:val="21"/>
                <w:color w:val="auto"/>
              </w:rPr>
            </w:pPr>
          </w:p>
        </w:tc>
      </w:tr>
      <w:tr>
        <w:trPr>
          <w:trHeight w:val="20"/>
        </w:trPr>
        <w:tc>
          <w:tcPr>
            <w:tcW w:w="68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6800" w:type="dxa"/>
            <w:vAlign w:val="bottom"/>
          </w:tcPr>
          <w:p>
            <w:pPr>
              <w:spacing w:after="0"/>
              <w:rPr>
                <w:sz w:val="20"/>
                <w:szCs w:val="20"/>
                <w:color w:val="auto"/>
              </w:rPr>
            </w:pPr>
            <w:r>
              <w:rPr>
                <w:rFonts w:ascii="Arial" w:cs="Arial" w:eastAsia="Arial" w:hAnsi="Arial"/>
                <w:sz w:val="18"/>
                <w:szCs w:val="18"/>
                <w:color w:val="auto"/>
              </w:rPr>
              <w:t>Total restricted cash</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33,623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8,471</w:t>
            </w:r>
          </w:p>
        </w:tc>
        <w:tc>
          <w:tcPr>
            <w:tcW w:w="80" w:type="dxa"/>
            <w:vAlign w:val="bottom"/>
          </w:tcPr>
          <w:p>
            <w:pPr>
              <w:spacing w:after="0"/>
              <w:rPr>
                <w:sz w:val="19"/>
                <w:szCs w:val="19"/>
                <w:color w:val="auto"/>
              </w:rPr>
            </w:pPr>
          </w:p>
        </w:tc>
      </w:tr>
      <w:tr>
        <w:trPr>
          <w:trHeight w:val="27"/>
        </w:trPr>
        <w:tc>
          <w:tcPr>
            <w:tcW w:w="68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1"/>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restricted cash</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13,623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80" w:type="dxa"/>
            <w:vAlign w:val="bottom"/>
            <w:shd w:val="clear" w:color="auto" w:fill="CCEEFF"/>
          </w:tcPr>
          <w:p>
            <w:pPr>
              <w:spacing w:after="0"/>
              <w:rPr>
                <w:sz w:val="20"/>
                <w:szCs w:val="20"/>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Non-current restricted cash</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9"/>
                <w:szCs w:val="19"/>
                <w:color w:val="auto"/>
              </w:rPr>
            </w:pPr>
          </w:p>
        </w:tc>
      </w:tr>
    </w:tbl>
    <w:p>
      <w:pPr>
        <w:spacing w:after="0" w:line="101" w:lineRule="exact"/>
        <w:rPr>
          <w:sz w:val="20"/>
          <w:szCs w:val="20"/>
          <w:color w:val="auto"/>
        </w:rPr>
      </w:pPr>
    </w:p>
    <w:p>
      <w:pPr>
        <w:ind w:left="360" w:hanging="355"/>
        <w:spacing w:after="0"/>
        <w:tabs>
          <w:tab w:leader="none" w:pos="3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inventory consisted of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35"/>
        </w:trPr>
        <w:tc>
          <w:tcPr>
            <w:tcW w:w="38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LNG and natural gas inventory</w:t>
            </w:r>
          </w:p>
        </w:tc>
        <w:tc>
          <w:tcPr>
            <w:tcW w:w="38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8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41"/>
        </w:trPr>
        <w:tc>
          <w:tcPr>
            <w:tcW w:w="38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Materials, supplies and other</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2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5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9"/>
        </w:trPr>
        <w:tc>
          <w:tcPr>
            <w:tcW w:w="380" w:type="dxa"/>
            <w:vAlign w:val="bottom"/>
          </w:tcPr>
          <w:p>
            <w:pPr>
              <w:spacing w:after="0"/>
              <w:rPr>
                <w:sz w:val="23"/>
                <w:szCs w:val="2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8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11,152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80" w:type="dxa"/>
            <w:vAlign w:val="bottom"/>
            <w:shd w:val="clear" w:color="auto" w:fill="CCEEFF"/>
          </w:tcPr>
          <w:p>
            <w:pPr>
              <w:spacing w:after="0"/>
              <w:rPr>
                <w:sz w:val="23"/>
                <w:szCs w:val="23"/>
                <w:color w:val="auto"/>
              </w:rPr>
            </w:pPr>
          </w:p>
        </w:tc>
        <w:tc>
          <w:tcPr>
            <w:tcW w:w="200" w:type="dxa"/>
            <w:vAlign w:val="bottom"/>
          </w:tcPr>
          <w:p>
            <w:pPr>
              <w:spacing w:after="0"/>
              <w:rPr>
                <w:sz w:val="23"/>
                <w:szCs w:val="23"/>
                <w:color w:val="auto"/>
              </w:rPr>
            </w:pPr>
          </w:p>
        </w:tc>
      </w:tr>
      <w:tr>
        <w:trPr>
          <w:trHeight w:val="430"/>
        </w:trPr>
        <w:tc>
          <w:tcPr>
            <w:tcW w:w="380" w:type="dxa"/>
            <w:vAlign w:val="bottom"/>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3580" w:type="dxa"/>
            <w:vAlign w:val="bottom"/>
            <w:tcBorders>
              <w:top w:val="single" w:sz="8" w:color="CCEEFF"/>
            </w:tcBorders>
          </w:tcPr>
          <w:p>
            <w:pPr>
              <w:ind w:left="980"/>
              <w:spacing w:after="0"/>
              <w:rPr>
                <w:sz w:val="20"/>
                <w:szCs w:val="20"/>
                <w:color w:val="auto"/>
              </w:rPr>
            </w:pPr>
            <w:r>
              <w:rPr>
                <w:rFonts w:ascii="Arial" w:cs="Arial" w:eastAsia="Arial" w:hAnsi="Arial"/>
                <w:sz w:val="18"/>
                <w:szCs w:val="18"/>
                <w:color w:val="auto"/>
              </w:rPr>
              <w:t>F-33</w:t>
            </w: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Pr>
          <w:p>
            <w:pPr>
              <w:spacing w:after="0"/>
              <w:rPr>
                <w:sz w:val="24"/>
                <w:szCs w:val="24"/>
                <w:color w:val="auto"/>
              </w:rPr>
            </w:pPr>
          </w:p>
        </w:tc>
      </w:tr>
      <w:tr>
        <w:trPr>
          <w:trHeight w:val="456"/>
        </w:trPr>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7"/>
        </w:trPr>
        <w:tc>
          <w:tcPr>
            <w:tcW w:w="380" w:type="dxa"/>
            <w:vAlign w:val="bottom"/>
            <w:shd w:val="clear" w:color="auto" w:fill="000000"/>
          </w:tcPr>
          <w:p>
            <w:pPr>
              <w:spacing w:after="0"/>
              <w:rPr>
                <w:sz w:val="5"/>
                <w:szCs w:val="5"/>
                <w:color w:val="auto"/>
              </w:rPr>
            </w:pPr>
          </w:p>
        </w:tc>
        <w:tc>
          <w:tcPr>
            <w:tcW w:w="3220" w:type="dxa"/>
            <w:vAlign w:val="bottom"/>
            <w:shd w:val="clear" w:color="auto" w:fill="000000"/>
          </w:tcPr>
          <w:p>
            <w:pPr>
              <w:spacing w:after="0"/>
              <w:rPr>
                <w:sz w:val="5"/>
                <w:szCs w:val="5"/>
                <w:color w:val="auto"/>
              </w:rPr>
            </w:pPr>
          </w:p>
        </w:tc>
        <w:tc>
          <w:tcPr>
            <w:tcW w:w="358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ind w:left="360" w:hanging="355"/>
        <w:spacing w:after="0"/>
        <w:tabs>
          <w:tab w:leader="none" w:pos="3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prepaid expenses and other current assets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35"/>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LNG</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1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5"/>
        </w:trPr>
        <w:tc>
          <w:tcPr>
            <w:tcW w:w="6800" w:type="dxa"/>
            <w:vAlign w:val="bottom"/>
          </w:tcPr>
          <w:p>
            <w:pPr>
              <w:spacing w:after="0"/>
              <w:rPr>
                <w:sz w:val="20"/>
                <w:szCs w:val="20"/>
                <w:color w:val="auto"/>
              </w:rPr>
            </w:pPr>
            <w:r>
              <w:rPr>
                <w:rFonts w:ascii="Arial" w:cs="Arial" w:eastAsia="Arial" w:hAnsi="Arial"/>
                <w:sz w:val="18"/>
                <w:szCs w:val="18"/>
                <w:color w:val="auto"/>
              </w:rPr>
              <w:t>Prepaid charter costs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1,374</w:t>
            </w:r>
          </w:p>
        </w:tc>
        <w:tc>
          <w:tcPr>
            <w:tcW w:w="80" w:type="dxa"/>
            <w:vAlign w:val="bottom"/>
          </w:tcPr>
          <w:p>
            <w:pPr>
              <w:spacing w:after="0"/>
              <w:rPr>
                <w:sz w:val="20"/>
                <w:szCs w:val="20"/>
                <w:color w:val="auto"/>
              </w:rPr>
            </w:pPr>
          </w:p>
        </w:tc>
      </w:tr>
      <w:tr>
        <w:trPr>
          <w:trHeight w:val="248"/>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21"/>
                <w:szCs w:val="21"/>
                <w:color w:val="auto"/>
              </w:rPr>
            </w:pPr>
          </w:p>
        </w:tc>
      </w:tr>
      <w:tr>
        <w:trPr>
          <w:trHeight w:val="235"/>
        </w:trPr>
        <w:tc>
          <w:tcPr>
            <w:tcW w:w="6800" w:type="dxa"/>
            <w:vAlign w:val="bottom"/>
          </w:tcPr>
          <w:p>
            <w:pPr>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20"/>
                <w:szCs w:val="20"/>
                <w:color w:val="auto"/>
              </w:rPr>
            </w:pPr>
          </w:p>
        </w:tc>
      </w:tr>
      <w:tr>
        <w:trPr>
          <w:trHeight w:val="248"/>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21"/>
                <w:szCs w:val="21"/>
                <w:color w:val="auto"/>
              </w:rPr>
            </w:pPr>
          </w:p>
        </w:tc>
      </w:tr>
      <w:tr>
        <w:trPr>
          <w:trHeight w:val="20"/>
        </w:trPr>
        <w:tc>
          <w:tcPr>
            <w:tcW w:w="68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24,875</w:t>
            </w:r>
          </w:p>
        </w:tc>
        <w:tc>
          <w:tcPr>
            <w:tcW w:w="1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3,360</w:t>
            </w: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ind w:left="360" w:right="20"/>
        <w:spacing w:after="0" w:line="274" w:lineRule="auto"/>
        <w:rPr>
          <w:sz w:val="20"/>
          <w:szCs w:val="20"/>
          <w:color w:val="auto"/>
        </w:rPr>
      </w:pPr>
      <w:r>
        <w:rPr>
          <w:rFonts w:ascii="Arial" w:cs="Arial" w:eastAsia="Arial" w:hAnsi="Arial"/>
          <w:sz w:val="18"/>
          <w:szCs w:val="18"/>
          <w:color w:val="auto"/>
        </w:rPr>
        <w:t>Prepaid LNG consists of payments for 2,808,587 MMBtus of LNG that have been prepaid by the Company as of December 31, 2017. The Company took delivery of these volumes in February 2018.</w:t>
      </w:r>
    </w:p>
    <w:p>
      <w:pPr>
        <w:spacing w:after="0" w:line="64" w:lineRule="exact"/>
        <w:rPr>
          <w:sz w:val="20"/>
          <w:szCs w:val="20"/>
          <w:color w:val="auto"/>
        </w:rPr>
      </w:pPr>
    </w:p>
    <w:p>
      <w:pPr>
        <w:ind w:left="360" w:right="20"/>
        <w:spacing w:after="0" w:line="309" w:lineRule="auto"/>
        <w:rPr>
          <w:sz w:val="20"/>
          <w:szCs w:val="20"/>
          <w:color w:val="auto"/>
        </w:rPr>
      </w:pPr>
      <w:r>
        <w:rPr>
          <w:rFonts w:ascii="Arial" w:cs="Arial" w:eastAsia="Arial" w:hAnsi="Arial"/>
          <w:sz w:val="16"/>
          <w:szCs w:val="16"/>
          <w:color w:val="auto"/>
        </w:rPr>
        <w:t>The Company has entered into ship time charter commitments in order to transport LNG from suppliers to the Company’s terminal facility at the Port of Montego Bay, Jamaica. In order to secure the vessel charters, charter hire costs are required to be paid in advance and are recorded within ‘Prepaid expenses and other current assets’ on the consolidated balance sheets.</w:t>
      </w:r>
    </w:p>
    <w:p>
      <w:pPr>
        <w:spacing w:after="0" w:line="41" w:lineRule="exact"/>
        <w:rPr>
          <w:sz w:val="20"/>
          <w:szCs w:val="20"/>
          <w:color w:val="auto"/>
        </w:rPr>
      </w:pPr>
    </w:p>
    <w:p>
      <w:pPr>
        <w:ind w:left="360" w:right="360"/>
        <w:spacing w:after="0" w:line="274" w:lineRule="auto"/>
        <w:rPr>
          <w:sz w:val="20"/>
          <w:szCs w:val="20"/>
          <w:color w:val="auto"/>
        </w:rPr>
      </w:pPr>
      <w:r>
        <w:rPr>
          <w:rFonts w:ascii="Arial" w:cs="Arial" w:eastAsia="Arial" w:hAnsi="Arial"/>
          <w:sz w:val="18"/>
          <w:szCs w:val="18"/>
          <w:color w:val="auto"/>
        </w:rPr>
        <w:t>The balances of deposits as of December 31, 2017 and 2016 primarily consists of $900 attributed to gas supply reservation deposit and $135 attributed to a land lease deposit with a related party (See Note 20).</w:t>
      </w:r>
    </w:p>
    <w:p>
      <w:pPr>
        <w:spacing w:after="0" w:line="60" w:lineRule="exact"/>
        <w:rPr>
          <w:sz w:val="20"/>
          <w:szCs w:val="20"/>
          <w:color w:val="auto"/>
        </w:rPr>
      </w:pPr>
    </w:p>
    <w:p>
      <w:pPr>
        <w:ind w:left="360" w:hanging="355"/>
        <w:spacing w:after="0"/>
        <w:tabs>
          <w:tab w:leader="none" w:pos="3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w:t>
      </w:r>
    </w:p>
    <w:p>
      <w:pPr>
        <w:spacing w:after="0" w:line="118" w:lineRule="exact"/>
        <w:rPr>
          <w:rFonts w:ascii="Arial" w:cs="Arial" w:eastAsia="Arial" w:hAnsi="Arial"/>
          <w:sz w:val="18"/>
          <w:szCs w:val="18"/>
          <w:b w:val="1"/>
          <w:bCs w:val="1"/>
          <w:color w:val="auto"/>
        </w:rPr>
      </w:pPr>
    </w:p>
    <w:p>
      <w:pPr>
        <w:ind w:left="360" w:right="56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During 2016 and 2017, the Company invested in equity securities of an international oil and gas drilling contractor. The following tables present the number of shares, cost and fair value of the investment:</w:t>
      </w:r>
    </w:p>
    <w:p>
      <w:pPr>
        <w:spacing w:after="0" w:line="29"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5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Borders>
              <w:bottom w:val="single" w:sz="8" w:color="auto"/>
            </w:tcBorders>
            <w:gridSpan w:val="8"/>
          </w:tcPr>
          <w:p>
            <w:pPr>
              <w:jc w:val="center"/>
              <w:ind w:left="804"/>
              <w:spacing w:after="0"/>
              <w:rPr>
                <w:sz w:val="20"/>
                <w:szCs w:val="20"/>
                <w:color w:val="auto"/>
              </w:rPr>
            </w:pPr>
            <w:r>
              <w:rPr>
                <w:rFonts w:ascii="Arial" w:cs="Arial" w:eastAsia="Arial" w:hAnsi="Arial"/>
                <w:sz w:val="14"/>
                <w:szCs w:val="14"/>
                <w:b w:val="1"/>
                <w:bCs w:val="1"/>
                <w:color w:val="auto"/>
                <w:w w:val="90"/>
              </w:rPr>
              <w:t>December 31, 2017</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8"/>
        </w:trPr>
        <w:tc>
          <w:tcPr>
            <w:tcW w:w="5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180"/>
              <w:spacing w:after="0" w:line="159"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of U.S. dollars except number of shares)</w:t>
            </w:r>
          </w:p>
        </w:tc>
        <w:tc>
          <w:tcPr>
            <w:tcW w:w="180" w:type="dxa"/>
            <w:vAlign w:val="bottom"/>
          </w:tcPr>
          <w:p>
            <w:pPr>
              <w:spacing w:after="0"/>
              <w:rPr>
                <w:sz w:val="15"/>
                <w:szCs w:val="15"/>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80" w:type="dxa"/>
            <w:vAlign w:val="bottom"/>
          </w:tcPr>
          <w:p>
            <w:pPr>
              <w:spacing w:after="0"/>
              <w:rPr>
                <w:sz w:val="15"/>
                <w:szCs w:val="15"/>
                <w:color w:val="auto"/>
              </w:rPr>
            </w:pPr>
          </w:p>
        </w:tc>
      </w:tr>
      <w:tr>
        <w:trPr>
          <w:trHeight w:val="235"/>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investment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7"/>
              </w:rPr>
              <w:t>1,476,280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3,667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80" w:type="dxa"/>
            <w:vAlign w:val="bottom"/>
            <w:shd w:val="clear" w:color="auto" w:fill="CCEEFF"/>
          </w:tcPr>
          <w:p>
            <w:pPr>
              <w:spacing w:after="0"/>
              <w:rPr>
                <w:sz w:val="20"/>
                <w:szCs w:val="20"/>
                <w:color w:val="auto"/>
              </w:rPr>
            </w:pPr>
          </w:p>
        </w:tc>
      </w:tr>
      <w:tr>
        <w:trPr>
          <w:trHeight w:val="241"/>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Borders>
              <w:bottom w:val="single" w:sz="8" w:color="auto"/>
            </w:tcBorders>
            <w:gridSpan w:val="8"/>
          </w:tcPr>
          <w:p>
            <w:pPr>
              <w:jc w:val="center"/>
              <w:ind w:left="804"/>
              <w:spacing w:after="0"/>
              <w:rPr>
                <w:sz w:val="20"/>
                <w:szCs w:val="20"/>
                <w:color w:val="auto"/>
              </w:rPr>
            </w:pPr>
            <w:r>
              <w:rPr>
                <w:rFonts w:ascii="Arial" w:cs="Arial" w:eastAsia="Arial" w:hAnsi="Arial"/>
                <w:sz w:val="14"/>
                <w:szCs w:val="14"/>
                <w:b w:val="1"/>
                <w:bCs w:val="1"/>
                <w:color w:val="auto"/>
                <w:w w:val="90"/>
              </w:rPr>
              <w:t>December 31, 2016</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58"/>
        </w:trPr>
        <w:tc>
          <w:tcPr>
            <w:tcW w:w="5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180"/>
              <w:spacing w:after="0" w:line="159"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4"/>
              </w:rPr>
              <w:t>Fair value</w:t>
            </w:r>
          </w:p>
        </w:tc>
      </w:tr>
      <w:tr>
        <w:trPr>
          <w:trHeight w:val="184"/>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of U.S. dollars except number of shares)</w:t>
            </w:r>
          </w:p>
        </w:tc>
        <w:tc>
          <w:tcPr>
            <w:tcW w:w="180" w:type="dxa"/>
            <w:vAlign w:val="bottom"/>
          </w:tcPr>
          <w:p>
            <w:pPr>
              <w:spacing w:after="0"/>
              <w:rPr>
                <w:sz w:val="15"/>
                <w:szCs w:val="15"/>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5"/>
                <w:szCs w:val="15"/>
                <w:color w:val="auto"/>
              </w:rPr>
            </w:pPr>
          </w:p>
        </w:tc>
      </w:tr>
      <w:tr>
        <w:trPr>
          <w:trHeight w:val="235"/>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investment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7"/>
              </w:rPr>
              <w:t>1,000,000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80" w:type="dxa"/>
            <w:vAlign w:val="bottom"/>
            <w:shd w:val="clear" w:color="auto" w:fill="CCEEFF"/>
          </w:tcPr>
          <w:p>
            <w:pPr>
              <w:spacing w:after="0"/>
              <w:rPr>
                <w:sz w:val="20"/>
                <w:szCs w:val="20"/>
                <w:color w:val="auto"/>
              </w:rPr>
            </w:pPr>
          </w:p>
        </w:tc>
      </w:tr>
    </w:tbl>
    <w:p>
      <w:pPr>
        <w:spacing w:after="0" w:line="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 of available-for-sale financial assets is summarized below:</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35"/>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January 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5"/>
        </w:trPr>
        <w:tc>
          <w:tcPr>
            <w:tcW w:w="6820" w:type="dxa"/>
            <w:vAlign w:val="bottom"/>
          </w:tcPr>
          <w:p>
            <w:pPr>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20"/>
                <w:szCs w:val="20"/>
                <w:color w:val="auto"/>
              </w:rPr>
            </w:pPr>
          </w:p>
        </w:tc>
      </w:tr>
      <w:tr>
        <w:trPr>
          <w:trHeight w:val="248"/>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gain</w:t>
            </w:r>
          </w:p>
        </w:tc>
        <w:tc>
          <w:tcPr>
            <w:tcW w:w="2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CEEFF"/>
          </w:tcPr>
          <w:p>
            <w:pPr>
              <w:spacing w:after="0"/>
              <w:rPr>
                <w:sz w:val="21"/>
                <w:szCs w:val="21"/>
                <w:color w:val="auto"/>
              </w:rPr>
            </w:pPr>
          </w:p>
        </w:tc>
      </w:tr>
      <w:tr>
        <w:trPr>
          <w:trHeight w:val="20"/>
        </w:trPr>
        <w:tc>
          <w:tcPr>
            <w:tcW w:w="68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6820" w:type="dxa"/>
            <w:vAlign w:val="bottom"/>
          </w:tcPr>
          <w:p>
            <w:pPr>
              <w:spacing w:after="0"/>
              <w:rPr>
                <w:sz w:val="20"/>
                <w:szCs w:val="20"/>
                <w:color w:val="auto"/>
              </w:rPr>
            </w:pPr>
            <w:r>
              <w:rPr>
                <w:rFonts w:ascii="Arial" w:cs="Arial" w:eastAsia="Arial" w:hAnsi="Arial"/>
                <w:sz w:val="18"/>
                <w:szCs w:val="18"/>
                <w:color w:val="auto"/>
              </w:rPr>
              <w:t>At December 31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6,333</w:t>
            </w:r>
          </w:p>
        </w:tc>
        <w:tc>
          <w:tcPr>
            <w:tcW w:w="1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3,363</w:t>
            </w:r>
          </w:p>
        </w:tc>
        <w:tc>
          <w:tcPr>
            <w:tcW w:w="8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2" w:lineRule="exact"/>
        <w:rPr>
          <w:sz w:val="20"/>
          <w:szCs w:val="20"/>
          <w:color w:val="auto"/>
        </w:rPr>
      </w:pPr>
    </w:p>
    <w:p>
      <w:pPr>
        <w:ind w:left="360" w:hanging="355"/>
        <w:spacing w:after="0"/>
        <w:tabs>
          <w:tab w:leader="none" w:pos="3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in progress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Company’s construction in progress activity during 2017 and 2016, is detailed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70,792</w:t>
            </w:r>
          </w:p>
        </w:tc>
        <w:tc>
          <w:tcPr>
            <w:tcW w:w="8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36,017</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88,825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to finance leases, net (Note 12)</w:t>
            </w:r>
          </w:p>
        </w:tc>
        <w:tc>
          <w:tcPr>
            <w:tcW w:w="20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(3,033)</w:t>
            </w:r>
          </w:p>
        </w:tc>
        <w:tc>
          <w:tcPr>
            <w:tcW w:w="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(92,828)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Transferred to property, plant and equipment, net (Note 11)</w:t>
            </w: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(62,121)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Abandoned project</w:t>
            </w:r>
          </w:p>
        </w:tc>
        <w:tc>
          <w:tcPr>
            <w:tcW w:w="20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8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As of December 31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35,413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820" w:type="dxa"/>
            <w:vAlign w:val="bottom"/>
            <w:vMerge w:val="restart"/>
          </w:tcPr>
          <w:p>
            <w:pPr>
              <w:ind w:left="4200"/>
              <w:spacing w:after="0"/>
              <w:rPr>
                <w:sz w:val="20"/>
                <w:szCs w:val="20"/>
                <w:color w:val="auto"/>
              </w:rPr>
            </w:pPr>
            <w:r>
              <w:rPr>
                <w:rFonts w:ascii="Arial" w:cs="Arial" w:eastAsia="Arial" w:hAnsi="Arial"/>
                <w:sz w:val="18"/>
                <w:szCs w:val="18"/>
                <w:color w:val="auto"/>
              </w:rPr>
              <w:t>F-34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6"/>
        </w:trPr>
        <w:tc>
          <w:tcPr>
            <w:tcW w:w="38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80" w:type="dxa"/>
            <w:vAlign w:val="bottom"/>
            <w:shd w:val="clear" w:color="auto" w:fill="000000"/>
          </w:tcPr>
          <w:p>
            <w:pPr>
              <w:spacing w:after="0"/>
              <w:rPr>
                <w:sz w:val="5"/>
                <w:szCs w:val="5"/>
                <w:color w:val="auto"/>
              </w:rPr>
            </w:pPr>
          </w:p>
        </w:tc>
        <w:tc>
          <w:tcPr>
            <w:tcW w:w="682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2240" w:h="15840" w:orient="portrait"/>
          <w:cols w:equalWidth="0" w:num="1">
            <w:col w:w="9500"/>
          </w:cols>
          <w:pgMar w:left="1360" w:top="138" w:right="1380"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Management determined it appropriate to expense $1,289 in 2017 as the decision was made to abandon the related project.</w:t>
      </w:r>
    </w:p>
    <w:p>
      <w:pPr>
        <w:spacing w:after="0" w:line="122" w:lineRule="exact"/>
        <w:rPr>
          <w:sz w:val="20"/>
          <w:szCs w:val="20"/>
          <w:color w:val="auto"/>
        </w:rPr>
      </w:pPr>
    </w:p>
    <w:p>
      <w:pPr>
        <w:ind w:left="360" w:hanging="355"/>
        <w:spacing w:after="0"/>
        <w:tabs>
          <w:tab w:leader="none" w:pos="3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At December 31, the Company’s property, plant and equipment, net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35"/>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66,203</w:t>
            </w:r>
          </w:p>
        </w:tc>
        <w:tc>
          <w:tcPr>
            <w:tcW w:w="1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65,452</w:t>
            </w:r>
          </w:p>
        </w:tc>
        <w:tc>
          <w:tcPr>
            <w:tcW w:w="80" w:type="dxa"/>
            <w:vAlign w:val="bottom"/>
            <w:shd w:val="clear" w:color="auto" w:fill="CCEEFF"/>
          </w:tcPr>
          <w:p>
            <w:pPr>
              <w:spacing w:after="0"/>
              <w:rPr>
                <w:sz w:val="20"/>
                <w:szCs w:val="20"/>
                <w:color w:val="auto"/>
              </w:rPr>
            </w:pPr>
          </w:p>
        </w:tc>
      </w:tr>
      <w:tr>
        <w:trPr>
          <w:trHeight w:val="235"/>
        </w:trPr>
        <w:tc>
          <w:tcPr>
            <w:tcW w:w="6820" w:type="dxa"/>
            <w:vAlign w:val="bottom"/>
          </w:tcPr>
          <w:p>
            <w:pPr>
              <w:spacing w:after="0"/>
              <w:rPr>
                <w:sz w:val="20"/>
                <w:szCs w:val="20"/>
                <w:color w:val="auto"/>
              </w:rPr>
            </w:pPr>
            <w:r>
              <w:rPr>
                <w:rFonts w:ascii="Arial" w:cs="Arial" w:eastAsia="Arial" w:hAnsi="Arial"/>
                <w:sz w:val="18"/>
                <w:szCs w:val="18"/>
                <w:color w:val="auto"/>
              </w:rPr>
              <w:t>ISO containers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7,899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7,418</w:t>
            </w:r>
          </w:p>
        </w:tc>
        <w:tc>
          <w:tcPr>
            <w:tcW w:w="80" w:type="dxa"/>
            <w:vAlign w:val="bottom"/>
          </w:tcPr>
          <w:p>
            <w:pPr>
              <w:spacing w:after="0"/>
              <w:rPr>
                <w:sz w:val="20"/>
                <w:szCs w:val="20"/>
                <w:color w:val="auto"/>
              </w:rPr>
            </w:pPr>
          </w:p>
        </w:tc>
      </w:tr>
      <w:tr>
        <w:trPr>
          <w:trHeight w:val="248"/>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Vehicles</w:t>
            </w:r>
          </w:p>
        </w:tc>
        <w:tc>
          <w:tcPr>
            <w:tcW w:w="2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1"/>
                <w:szCs w:val="21"/>
                <w:color w:val="auto"/>
              </w:rPr>
            </w:pPr>
          </w:p>
        </w:tc>
      </w:tr>
      <w:tr>
        <w:trPr>
          <w:trHeight w:val="235"/>
        </w:trPr>
        <w:tc>
          <w:tcPr>
            <w:tcW w:w="6820" w:type="dxa"/>
            <w:vAlign w:val="bottom"/>
          </w:tcPr>
          <w:p>
            <w:pPr>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0"/>
                <w:szCs w:val="20"/>
                <w:color w:val="auto"/>
              </w:rPr>
            </w:pPr>
          </w:p>
        </w:tc>
      </w:tr>
      <w:tr>
        <w:trPr>
          <w:trHeight w:val="248"/>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(5,592)</w:t>
            </w:r>
          </w:p>
        </w:tc>
        <w:tc>
          <w:tcPr>
            <w:tcW w:w="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(2,400)</w:t>
            </w:r>
          </w:p>
        </w:tc>
      </w:tr>
      <w:tr>
        <w:trPr>
          <w:trHeight w:val="20"/>
        </w:trPr>
        <w:tc>
          <w:tcPr>
            <w:tcW w:w="68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682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69,350</w:t>
            </w:r>
          </w:p>
        </w:tc>
        <w:tc>
          <w:tcPr>
            <w:tcW w:w="1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70,633</w:t>
            </w:r>
          </w:p>
        </w:tc>
        <w:tc>
          <w:tcPr>
            <w:tcW w:w="8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ind w:left="360" w:right="60"/>
        <w:spacing w:after="0" w:line="339" w:lineRule="auto"/>
        <w:rPr>
          <w:sz w:val="20"/>
          <w:szCs w:val="20"/>
          <w:color w:val="auto"/>
        </w:rPr>
      </w:pPr>
      <w:r>
        <w:rPr>
          <w:rFonts w:ascii="Arial" w:cs="Arial" w:eastAsia="Arial" w:hAnsi="Arial"/>
          <w:sz w:val="16"/>
          <w:szCs w:val="16"/>
          <w:color w:val="auto"/>
        </w:rPr>
        <w:t>Depreciation for the years ended December 31, 2017 and 2016 totaled $3,214 and $2,389, respectively, of which $453 and $48 is respectively included within Cost of sales in the consolidated statements of operations and comprehensive loss.</w:t>
      </w:r>
    </w:p>
    <w:p>
      <w:pPr>
        <w:spacing w:after="0" w:line="13" w:lineRule="exact"/>
        <w:rPr>
          <w:sz w:val="20"/>
          <w:szCs w:val="20"/>
          <w:color w:val="auto"/>
        </w:rPr>
      </w:pPr>
    </w:p>
    <w:p>
      <w:pPr>
        <w:ind w:left="360" w:hanging="355"/>
        <w:spacing w:after="0"/>
        <w:tabs>
          <w:tab w:leader="none" w:pos="3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Finance leases, net</w:t>
      </w:r>
    </w:p>
    <w:p>
      <w:pPr>
        <w:spacing w:after="0" w:line="118" w:lineRule="exact"/>
        <w:rPr>
          <w:rFonts w:ascii="Arial" w:cs="Arial" w:eastAsia="Arial" w:hAnsi="Arial"/>
          <w:sz w:val="18"/>
          <w:szCs w:val="18"/>
          <w:b w:val="1"/>
          <w:bCs w:val="1"/>
          <w:color w:val="auto"/>
        </w:rPr>
      </w:pPr>
    </w:p>
    <w:p>
      <w:pPr>
        <w:ind w:left="3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placed its Montego Bay LNG terminal into service on October 30, 2016, which has been accounted for as a direct finance lease. In addition, the Company also has entered into other arrangements to lease equipment to customers during the year which are accounted for as direct finance leases. The components of the direct finance leases at December 31, 2017 and 2016 are as follows:</w:t>
      </w:r>
    </w:p>
    <w:p>
      <w:pPr>
        <w:spacing w:after="0" w:line="44"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323,281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335,558</w:t>
            </w:r>
          </w:p>
        </w:tc>
        <w:tc>
          <w:tcPr>
            <w:tcW w:w="100" w:type="dxa"/>
            <w:vAlign w:val="bottom"/>
            <w:tcBorders>
              <w:left w:val="single" w:sz="8" w:color="CCEEFF"/>
            </w:tcBorders>
            <w:shd w:val="clear" w:color="auto" w:fill="CCEEFF"/>
          </w:tcPr>
          <w:p>
            <w:pPr>
              <w:spacing w:after="0"/>
              <w:rPr>
                <w:sz w:val="20"/>
                <w:szCs w:val="20"/>
                <w:color w:val="auto"/>
              </w:rPr>
            </w:pPr>
          </w:p>
        </w:tc>
      </w:tr>
      <w:tr>
        <w:trPr>
          <w:trHeight w:val="241"/>
        </w:trPr>
        <w:tc>
          <w:tcPr>
            <w:tcW w:w="6820" w:type="dxa"/>
            <w:vAlign w:val="bottom"/>
          </w:tcPr>
          <w:p>
            <w:pPr>
              <w:spacing w:after="0"/>
              <w:rPr>
                <w:sz w:val="20"/>
                <w:szCs w:val="20"/>
                <w:color w:val="auto"/>
              </w:rPr>
            </w:pPr>
            <w:r>
              <w:rPr>
                <w:rFonts w:ascii="Arial" w:cs="Arial" w:eastAsia="Arial" w:hAnsi="Arial"/>
                <w:sz w:val="18"/>
                <w:szCs w:val="18"/>
                <w:color w:val="auto"/>
              </w:rPr>
              <w:t>Unearned income</w:t>
            </w: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(228,026)</w:t>
            </w: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(242,730)</w:t>
            </w:r>
          </w:p>
        </w:tc>
      </w:tr>
      <w:tr>
        <w:trPr>
          <w:trHeight w:val="20"/>
        </w:trPr>
        <w:tc>
          <w:tcPr>
            <w:tcW w:w="68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 net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95,255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92,828</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82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r>
        <w:trPr>
          <w:trHeight w:val="235"/>
        </w:trPr>
        <w:tc>
          <w:tcPr>
            <w:tcW w:w="6820" w:type="dxa"/>
            <w:vAlign w:val="bottom"/>
          </w:tcPr>
          <w:p>
            <w:pPr>
              <w:spacing w:after="0"/>
              <w:rPr>
                <w:sz w:val="20"/>
                <w:szCs w:val="20"/>
                <w:color w:val="auto"/>
              </w:rPr>
            </w:pPr>
            <w:r>
              <w:rPr>
                <w:rFonts w:ascii="Arial" w:cs="Arial" w:eastAsia="Arial" w:hAnsi="Arial"/>
                <w:sz w:val="18"/>
                <w:szCs w:val="18"/>
                <w:color w:val="auto"/>
              </w:rPr>
              <w:t>Current portion</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1,178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r>
      <w:tr>
        <w:trPr>
          <w:trHeight w:val="248"/>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8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94,077</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92,320</w:t>
            </w:r>
          </w:p>
        </w:tc>
        <w:tc>
          <w:tcPr>
            <w:tcW w:w="100" w:type="dxa"/>
            <w:vAlign w:val="bottom"/>
            <w:tcBorders>
              <w:left w:val="single" w:sz="8" w:color="CCEEFF"/>
            </w:tcBorders>
            <w:shd w:val="clear" w:color="auto" w:fill="CCEEFF"/>
          </w:tcPr>
          <w:p>
            <w:pPr>
              <w:spacing w:after="0"/>
              <w:rPr>
                <w:sz w:val="21"/>
                <w:szCs w:val="21"/>
                <w:color w:val="auto"/>
              </w:rPr>
            </w:pPr>
          </w:p>
        </w:tc>
      </w:tr>
    </w:tbl>
    <w:p>
      <w:pPr>
        <w:spacing w:after="0" w:line="93" w:lineRule="exact"/>
        <w:rPr>
          <w:sz w:val="20"/>
          <w:szCs w:val="20"/>
          <w:color w:val="auto"/>
        </w:rPr>
      </w:pPr>
    </w:p>
    <w:p>
      <w:pPr>
        <w:ind w:left="360" w:right="240"/>
        <w:spacing w:after="0" w:line="261" w:lineRule="auto"/>
        <w:rPr>
          <w:sz w:val="20"/>
          <w:szCs w:val="20"/>
          <w:color w:val="auto"/>
        </w:rPr>
      </w:pPr>
      <w:r>
        <w:rPr>
          <w:rFonts w:ascii="Arial" w:cs="Arial" w:eastAsia="Arial" w:hAnsi="Arial"/>
          <w:sz w:val="18"/>
          <w:szCs w:val="18"/>
          <w:color w:val="auto"/>
        </w:rPr>
        <w:t>Receivables related to the Company’s direct finance leases are primarily with a national utility that generates consistent cash flow. Therefore, the Company does not expect a material impact to the results of operations or financial position due to nonperformance from such counterparty.</w:t>
      </w:r>
    </w:p>
    <w:p>
      <w:pPr>
        <w:spacing w:after="0" w:line="76" w:lineRule="exact"/>
        <w:rPr>
          <w:sz w:val="20"/>
          <w:szCs w:val="20"/>
          <w:color w:val="auto"/>
        </w:rPr>
      </w:pPr>
    </w:p>
    <w:p>
      <w:pPr>
        <w:ind w:left="360" w:right="380"/>
        <w:spacing w:after="0" w:line="274" w:lineRule="auto"/>
        <w:rPr>
          <w:sz w:val="20"/>
          <w:szCs w:val="20"/>
          <w:color w:val="auto"/>
        </w:rPr>
      </w:pPr>
      <w:r>
        <w:rPr>
          <w:rFonts w:ascii="Arial" w:cs="Arial" w:eastAsia="Arial" w:hAnsi="Arial"/>
          <w:sz w:val="18"/>
          <w:szCs w:val="18"/>
          <w:color w:val="auto"/>
        </w:rPr>
        <w:t>At December 31, 2017, future minimum lease payments to be received under direct finance leases for the remainder of the respective lease terms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35"/>
        </w:trPr>
        <w:tc>
          <w:tcPr>
            <w:tcW w:w="3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2018</w:t>
            </w:r>
          </w:p>
        </w:tc>
        <w:tc>
          <w:tcPr>
            <w:tcW w:w="496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16,157</w:t>
            </w:r>
          </w:p>
        </w:tc>
        <w:tc>
          <w:tcPr>
            <w:tcW w:w="200" w:type="dxa"/>
            <w:vAlign w:val="bottom"/>
          </w:tcPr>
          <w:p>
            <w:pPr>
              <w:spacing w:after="0"/>
              <w:rPr>
                <w:sz w:val="20"/>
                <w:szCs w:val="20"/>
                <w:color w:val="auto"/>
              </w:rPr>
            </w:pPr>
          </w:p>
        </w:tc>
      </w:tr>
      <w:tr>
        <w:trPr>
          <w:trHeight w:val="248"/>
        </w:trPr>
        <w:tc>
          <w:tcPr>
            <w:tcW w:w="380" w:type="dxa"/>
            <w:vAlign w:val="bottom"/>
          </w:tcPr>
          <w:p>
            <w:pPr>
              <w:spacing w:after="0"/>
              <w:rPr>
                <w:sz w:val="21"/>
                <w:szCs w:val="21"/>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16,157</w:t>
            </w:r>
          </w:p>
        </w:tc>
        <w:tc>
          <w:tcPr>
            <w:tcW w:w="200" w:type="dxa"/>
            <w:vAlign w:val="bottom"/>
          </w:tcPr>
          <w:p>
            <w:pPr>
              <w:spacing w:after="0"/>
              <w:rPr>
                <w:sz w:val="21"/>
                <w:szCs w:val="21"/>
                <w:color w:val="auto"/>
              </w:rPr>
            </w:pPr>
          </w:p>
        </w:tc>
      </w:tr>
      <w:tr>
        <w:trPr>
          <w:trHeight w:val="235"/>
        </w:trPr>
        <w:tc>
          <w:tcPr>
            <w:tcW w:w="3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2020</w:t>
            </w:r>
          </w:p>
        </w:tc>
        <w:tc>
          <w:tcPr>
            <w:tcW w:w="4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16,156</w:t>
            </w:r>
          </w:p>
        </w:tc>
        <w:tc>
          <w:tcPr>
            <w:tcW w:w="200" w:type="dxa"/>
            <w:vAlign w:val="bottom"/>
          </w:tcPr>
          <w:p>
            <w:pPr>
              <w:spacing w:after="0"/>
              <w:rPr>
                <w:sz w:val="20"/>
                <w:szCs w:val="20"/>
                <w:color w:val="auto"/>
              </w:rPr>
            </w:pPr>
          </w:p>
        </w:tc>
      </w:tr>
      <w:tr>
        <w:trPr>
          <w:trHeight w:val="248"/>
        </w:trPr>
        <w:tc>
          <w:tcPr>
            <w:tcW w:w="380" w:type="dxa"/>
            <w:vAlign w:val="bottom"/>
          </w:tcPr>
          <w:p>
            <w:pPr>
              <w:spacing w:after="0"/>
              <w:rPr>
                <w:sz w:val="21"/>
                <w:szCs w:val="21"/>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16,156</w:t>
            </w:r>
          </w:p>
        </w:tc>
        <w:tc>
          <w:tcPr>
            <w:tcW w:w="200" w:type="dxa"/>
            <w:vAlign w:val="bottom"/>
          </w:tcPr>
          <w:p>
            <w:pPr>
              <w:spacing w:after="0"/>
              <w:rPr>
                <w:sz w:val="21"/>
                <w:szCs w:val="21"/>
                <w:color w:val="auto"/>
              </w:rPr>
            </w:pPr>
          </w:p>
        </w:tc>
      </w:tr>
      <w:tr>
        <w:trPr>
          <w:trHeight w:val="235"/>
        </w:trPr>
        <w:tc>
          <w:tcPr>
            <w:tcW w:w="3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2022</w:t>
            </w:r>
          </w:p>
        </w:tc>
        <w:tc>
          <w:tcPr>
            <w:tcW w:w="4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16,101</w:t>
            </w:r>
          </w:p>
        </w:tc>
        <w:tc>
          <w:tcPr>
            <w:tcW w:w="200" w:type="dxa"/>
            <w:vAlign w:val="bottom"/>
          </w:tcPr>
          <w:p>
            <w:pPr>
              <w:spacing w:after="0"/>
              <w:rPr>
                <w:sz w:val="20"/>
                <w:szCs w:val="20"/>
                <w:color w:val="auto"/>
              </w:rPr>
            </w:pPr>
          </w:p>
        </w:tc>
      </w:tr>
      <w:tr>
        <w:trPr>
          <w:trHeight w:val="248"/>
        </w:trPr>
        <w:tc>
          <w:tcPr>
            <w:tcW w:w="380" w:type="dxa"/>
            <w:vAlign w:val="bottom"/>
          </w:tcPr>
          <w:p>
            <w:pPr>
              <w:spacing w:after="0"/>
              <w:rPr>
                <w:sz w:val="21"/>
                <w:szCs w:val="21"/>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242,554</w:t>
            </w:r>
          </w:p>
        </w:tc>
        <w:tc>
          <w:tcPr>
            <w:tcW w:w="20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1"/>
        </w:trPr>
        <w:tc>
          <w:tcPr>
            <w:tcW w:w="3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46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323,281</w:t>
            </w:r>
          </w:p>
        </w:tc>
        <w:tc>
          <w:tcPr>
            <w:tcW w:w="2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6"/>
        </w:trPr>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960" w:type="dxa"/>
            <w:vAlign w:val="bottom"/>
            <w:gridSpan w:val="2"/>
          </w:tcPr>
          <w:p>
            <w:pPr>
              <w:jc w:val="right"/>
              <w:ind w:right="3391"/>
              <w:spacing w:after="0"/>
              <w:rPr>
                <w:sz w:val="20"/>
                <w:szCs w:val="20"/>
                <w:color w:val="auto"/>
              </w:rPr>
            </w:pPr>
            <w:r>
              <w:rPr>
                <w:rFonts w:ascii="Arial" w:cs="Arial" w:eastAsia="Arial" w:hAnsi="Arial"/>
                <w:sz w:val="18"/>
                <w:szCs w:val="18"/>
                <w:color w:val="auto"/>
              </w:rPr>
              <w:t>F-35</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6"/>
        </w:trPr>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7"/>
        </w:trPr>
        <w:tc>
          <w:tcPr>
            <w:tcW w:w="380" w:type="dxa"/>
            <w:vAlign w:val="bottom"/>
            <w:shd w:val="clear" w:color="auto" w:fill="000000"/>
          </w:tcPr>
          <w:p>
            <w:pPr>
              <w:spacing w:after="0"/>
              <w:rPr>
                <w:sz w:val="5"/>
                <w:szCs w:val="5"/>
                <w:color w:val="auto"/>
              </w:rPr>
            </w:pPr>
          </w:p>
        </w:tc>
        <w:tc>
          <w:tcPr>
            <w:tcW w:w="3060" w:type="dxa"/>
            <w:vAlign w:val="bottom"/>
            <w:shd w:val="clear" w:color="auto" w:fill="000000"/>
          </w:tcPr>
          <w:p>
            <w:pPr>
              <w:spacing w:after="0"/>
              <w:rPr>
                <w:sz w:val="5"/>
                <w:szCs w:val="5"/>
                <w:color w:val="auto"/>
              </w:rPr>
            </w:pPr>
          </w:p>
        </w:tc>
        <w:tc>
          <w:tcPr>
            <w:tcW w:w="46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7" w:right="1380"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ind w:left="360" w:hanging="355"/>
        <w:spacing w:after="0"/>
        <w:tabs>
          <w:tab w:leader="none" w:pos="3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accrued liabilities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8,879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left w:val="single" w:sz="8" w:color="CCEEFF"/>
            </w:tcBorders>
            <w:shd w:val="clear" w:color="auto" w:fill="CCEEFF"/>
          </w:tcPr>
          <w:p>
            <w:pPr>
              <w:spacing w:after="0"/>
              <w:rPr>
                <w:sz w:val="20"/>
                <w:szCs w:val="20"/>
                <w:color w:val="auto"/>
              </w:rPr>
            </w:pPr>
          </w:p>
        </w:tc>
      </w:tr>
      <w:tr>
        <w:trPr>
          <w:trHeight w:val="241"/>
        </w:trPr>
        <w:tc>
          <w:tcPr>
            <w:tcW w:w="6280" w:type="dxa"/>
            <w:vAlign w:val="bottom"/>
          </w:tcPr>
          <w:p>
            <w:pPr>
              <w:spacing w:after="0"/>
              <w:rPr>
                <w:sz w:val="20"/>
                <w:szCs w:val="20"/>
                <w:color w:val="auto"/>
              </w:rPr>
            </w:pPr>
            <w:r>
              <w:rPr>
                <w:rFonts w:ascii="Arial" w:cs="Arial" w:eastAsia="Arial" w:hAnsi="Arial"/>
                <w:sz w:val="18"/>
                <w:szCs w:val="18"/>
                <w:color w:val="auto"/>
              </w:rPr>
              <w:t>Accrued bonuses</w:t>
            </w:r>
          </w:p>
        </w:tc>
        <w:tc>
          <w:tcPr>
            <w:tcW w:w="2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8,620</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0"/>
                <w:szCs w:val="20"/>
                <w:color w:val="auto"/>
              </w:rPr>
            </w:pPr>
          </w:p>
        </w:tc>
      </w:tr>
      <w:tr>
        <w:trPr>
          <w:trHeight w:val="20"/>
        </w:trPr>
        <w:tc>
          <w:tcPr>
            <w:tcW w:w="6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17,499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28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89" w:lineRule="exact"/>
        <w:rPr>
          <w:sz w:val="20"/>
          <w:szCs w:val="20"/>
          <w:color w:val="auto"/>
        </w:rPr>
      </w:pPr>
    </w:p>
    <w:p>
      <w:pPr>
        <w:ind w:left="360" w:hanging="355"/>
        <w:spacing w:after="0"/>
        <w:tabs>
          <w:tab w:leader="none" w:pos="3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long-term debt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Miami Loan, due November 2019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38,749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38,688</w:t>
            </w:r>
          </w:p>
        </w:tc>
        <w:tc>
          <w:tcPr>
            <w:tcW w:w="100" w:type="dxa"/>
            <w:vAlign w:val="bottom"/>
            <w:tcBorders>
              <w:left w:val="single" w:sz="8" w:color="CCEEFF"/>
            </w:tcBorders>
            <w:shd w:val="clear" w:color="auto" w:fill="CCEEFF"/>
          </w:tcPr>
          <w:p>
            <w:pPr>
              <w:spacing w:after="0"/>
              <w:rPr>
                <w:sz w:val="20"/>
                <w:szCs w:val="20"/>
                <w:color w:val="auto"/>
              </w:rPr>
            </w:pPr>
          </w:p>
        </w:tc>
      </w:tr>
      <w:tr>
        <w:trPr>
          <w:trHeight w:val="241"/>
        </w:trPr>
        <w:tc>
          <w:tcPr>
            <w:tcW w:w="6280" w:type="dxa"/>
            <w:vAlign w:val="bottom"/>
          </w:tcPr>
          <w:p>
            <w:pPr>
              <w:spacing w:after="0"/>
              <w:rPr>
                <w:sz w:val="20"/>
                <w:szCs w:val="20"/>
                <w:color w:val="auto"/>
              </w:rPr>
            </w:pPr>
            <w:r>
              <w:rPr>
                <w:rFonts w:ascii="Arial" w:cs="Arial" w:eastAsia="Arial" w:hAnsi="Arial"/>
                <w:sz w:val="18"/>
                <w:szCs w:val="18"/>
                <w:color w:val="auto"/>
              </w:rPr>
              <w:t>Montego Bay Loan, due June 2023</w:t>
            </w:r>
          </w:p>
        </w:tc>
        <w:tc>
          <w:tcPr>
            <w:tcW w:w="2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36,504</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41,697</w:t>
            </w:r>
          </w:p>
        </w:tc>
        <w:tc>
          <w:tcPr>
            <w:tcW w:w="100" w:type="dxa"/>
            <w:vAlign w:val="bottom"/>
          </w:tcPr>
          <w:p>
            <w:pPr>
              <w:spacing w:after="0"/>
              <w:rPr>
                <w:sz w:val="20"/>
                <w:szCs w:val="20"/>
                <w:color w:val="auto"/>
              </w:rPr>
            </w:pPr>
          </w:p>
        </w:tc>
      </w:tr>
      <w:tr>
        <w:trPr>
          <w:trHeight w:val="20"/>
        </w:trPr>
        <w:tc>
          <w:tcPr>
            <w:tcW w:w="6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75,253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80,385</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28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r>
        <w:trPr>
          <w:trHeight w:val="235"/>
        </w:trPr>
        <w:tc>
          <w:tcPr>
            <w:tcW w:w="62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5,828</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r>
      <w:tr>
        <w:trPr>
          <w:trHeight w:val="248"/>
        </w:trPr>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long-term debt</w:t>
            </w:r>
          </w:p>
        </w:tc>
        <w:tc>
          <w:tcPr>
            <w:tcW w:w="2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69,425</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74,557</w:t>
            </w:r>
          </w:p>
        </w:tc>
        <w:tc>
          <w:tcPr>
            <w:tcW w:w="100" w:type="dxa"/>
            <w:vAlign w:val="bottom"/>
            <w:tcBorders>
              <w:left w:val="single" w:sz="8" w:color="CCEEFF"/>
            </w:tcBorders>
            <w:shd w:val="clear" w:color="auto" w:fill="CCEEFF"/>
          </w:tcPr>
          <w:p>
            <w:pPr>
              <w:spacing w:after="0"/>
              <w:rPr>
                <w:sz w:val="21"/>
                <w:szCs w:val="21"/>
                <w:color w:val="auto"/>
              </w:rPr>
            </w:pPr>
          </w:p>
        </w:tc>
      </w:tr>
    </w:tbl>
    <w:p>
      <w:pPr>
        <w:spacing w:after="0" w:line="93" w:lineRule="exact"/>
        <w:rPr>
          <w:sz w:val="20"/>
          <w:szCs w:val="20"/>
          <w:color w:val="auto"/>
        </w:rPr>
      </w:pPr>
    </w:p>
    <w:p>
      <w:pPr>
        <w:jc w:val="both"/>
        <w:ind w:left="360" w:right="160"/>
        <w:spacing w:after="0" w:line="274" w:lineRule="auto"/>
        <w:rPr>
          <w:sz w:val="20"/>
          <w:szCs w:val="20"/>
          <w:color w:val="auto"/>
        </w:rPr>
      </w:pPr>
      <w:r>
        <w:rPr>
          <w:rFonts w:ascii="Arial" w:cs="Arial" w:eastAsia="Arial" w:hAnsi="Arial"/>
          <w:sz w:val="18"/>
          <w:szCs w:val="18"/>
          <w:color w:val="auto"/>
        </w:rPr>
        <w:t>Below is a schedule of future principal payments that the Company is obligated to make on the outstanding long-term debt as of December 31, 2017:</w:t>
      </w:r>
    </w:p>
    <w:p>
      <w:pPr>
        <w:spacing w:after="0" w:line="25" w:lineRule="exact"/>
        <w:rPr>
          <w:sz w:val="20"/>
          <w:szCs w:val="20"/>
          <w:color w:val="auto"/>
        </w:rPr>
      </w:pPr>
    </w:p>
    <w:tbl>
      <w:tblPr>
        <w:tblLayout w:type="fixed"/>
        <w:tblInd w:w="380" w:type="dxa"/>
        <w:tblCellMar>
          <w:top w:w="0" w:type="dxa"/>
          <w:left w:w="0" w:type="dxa"/>
          <w:bottom w:w="0" w:type="dxa"/>
          <w:right w:w="0" w:type="dxa"/>
        </w:tblCellMar>
      </w:tblPr>
      <w:tr>
        <w:trPr>
          <w:trHeight w:val="241"/>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36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7700" w:type="dxa"/>
            <w:vAlign w:val="bottom"/>
          </w:tcPr>
          <w:p>
            <w:pPr>
              <w:spacing w:after="0"/>
              <w:rPr>
                <w:sz w:val="20"/>
                <w:szCs w:val="20"/>
                <w:color w:val="auto"/>
              </w:rPr>
            </w:pPr>
            <w:r>
              <w:rPr>
                <w:rFonts w:ascii="Arial" w:cs="Arial" w:eastAsia="Arial" w:hAnsi="Arial"/>
                <w:sz w:val="18"/>
                <w:szCs w:val="18"/>
                <w:color w:val="auto"/>
              </w:rPr>
              <w:t>2018</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5,828</w:t>
            </w:r>
          </w:p>
        </w:tc>
        <w:tc>
          <w:tcPr>
            <w:tcW w:w="80" w:type="dxa"/>
            <w:vAlign w:val="bottom"/>
          </w:tcPr>
          <w:p>
            <w:pPr>
              <w:spacing w:after="0"/>
              <w:rPr>
                <w:sz w:val="20"/>
                <w:szCs w:val="20"/>
                <w:color w:val="auto"/>
              </w:rPr>
            </w:pPr>
          </w:p>
        </w:tc>
      </w:tr>
      <w:tr>
        <w:trPr>
          <w:trHeight w:val="24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43,777</w:t>
            </w:r>
          </w:p>
        </w:tc>
        <w:tc>
          <w:tcPr>
            <w:tcW w:w="80" w:type="dxa"/>
            <w:vAlign w:val="bottom"/>
            <w:shd w:val="clear" w:color="auto" w:fill="CCEEFF"/>
          </w:tcPr>
          <w:p>
            <w:pPr>
              <w:spacing w:after="0"/>
              <w:rPr>
                <w:sz w:val="21"/>
                <w:szCs w:val="21"/>
                <w:color w:val="auto"/>
              </w:rPr>
            </w:pPr>
          </w:p>
        </w:tc>
      </w:tr>
      <w:tr>
        <w:trPr>
          <w:trHeight w:val="235"/>
        </w:trPr>
        <w:tc>
          <w:tcPr>
            <w:tcW w:w="7700" w:type="dxa"/>
            <w:vAlign w:val="bottom"/>
          </w:tcPr>
          <w:p>
            <w:pPr>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5,428</w:t>
            </w:r>
          </w:p>
        </w:tc>
        <w:tc>
          <w:tcPr>
            <w:tcW w:w="80" w:type="dxa"/>
            <w:vAlign w:val="bottom"/>
          </w:tcPr>
          <w:p>
            <w:pPr>
              <w:spacing w:after="0"/>
              <w:rPr>
                <w:sz w:val="20"/>
                <w:szCs w:val="20"/>
                <w:color w:val="auto"/>
              </w:rPr>
            </w:pPr>
          </w:p>
        </w:tc>
      </w:tr>
      <w:tr>
        <w:trPr>
          <w:trHeight w:val="24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80" w:type="dxa"/>
            <w:vAlign w:val="bottom"/>
            <w:shd w:val="clear" w:color="auto" w:fill="CCEEFF"/>
          </w:tcPr>
          <w:p>
            <w:pPr>
              <w:spacing w:after="0"/>
              <w:rPr>
                <w:sz w:val="21"/>
                <w:szCs w:val="21"/>
                <w:color w:val="auto"/>
              </w:rPr>
            </w:pPr>
          </w:p>
        </w:tc>
      </w:tr>
      <w:tr>
        <w:trPr>
          <w:trHeight w:val="235"/>
        </w:trPr>
        <w:tc>
          <w:tcPr>
            <w:tcW w:w="770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5,428</w:t>
            </w:r>
          </w:p>
        </w:tc>
        <w:tc>
          <w:tcPr>
            <w:tcW w:w="80" w:type="dxa"/>
            <w:vAlign w:val="bottom"/>
          </w:tcPr>
          <w:p>
            <w:pPr>
              <w:spacing w:after="0"/>
              <w:rPr>
                <w:sz w:val="20"/>
                <w:szCs w:val="20"/>
                <w:color w:val="auto"/>
              </w:rPr>
            </w:pPr>
          </w:p>
        </w:tc>
      </w:tr>
      <w:tr>
        <w:trPr>
          <w:trHeight w:val="24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11,138</w:t>
            </w:r>
          </w:p>
        </w:tc>
        <w:tc>
          <w:tcPr>
            <w:tcW w:w="80" w:type="dxa"/>
            <w:vAlign w:val="bottom"/>
            <w:shd w:val="clear" w:color="auto" w:fill="CCEEFF"/>
          </w:tcPr>
          <w:p>
            <w:pPr>
              <w:spacing w:after="0"/>
              <w:rPr>
                <w:sz w:val="21"/>
                <w:szCs w:val="21"/>
                <w:color w:val="auto"/>
              </w:rPr>
            </w:pPr>
          </w:p>
        </w:tc>
      </w:tr>
      <w:tr>
        <w:trPr>
          <w:trHeight w:val="20"/>
        </w:trPr>
        <w:tc>
          <w:tcPr>
            <w:tcW w:w="77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Total future principal payments</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77,027</w:t>
            </w:r>
          </w:p>
        </w:tc>
        <w:tc>
          <w:tcPr>
            <w:tcW w:w="80" w:type="dxa"/>
            <w:vAlign w:val="bottom"/>
          </w:tcPr>
          <w:p>
            <w:pPr>
              <w:spacing w:after="0"/>
              <w:rPr>
                <w:sz w:val="19"/>
                <w:szCs w:val="19"/>
                <w:color w:val="auto"/>
              </w:rPr>
            </w:pPr>
          </w:p>
        </w:tc>
      </w:tr>
      <w:tr>
        <w:trPr>
          <w:trHeight w:val="24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financing costs</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(1,774)</w:t>
            </w:r>
          </w:p>
        </w:tc>
      </w:tr>
      <w:tr>
        <w:trPr>
          <w:trHeight w:val="20"/>
        </w:trPr>
        <w:tc>
          <w:tcPr>
            <w:tcW w:w="77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77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75,253</w:t>
            </w:r>
          </w:p>
        </w:tc>
        <w:tc>
          <w:tcPr>
            <w:tcW w:w="8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Miami Loan</w:t>
      </w:r>
    </w:p>
    <w:p>
      <w:pPr>
        <w:spacing w:after="0" w:line="115" w:lineRule="exact"/>
        <w:rPr>
          <w:sz w:val="20"/>
          <w:szCs w:val="20"/>
          <w:color w:val="auto"/>
        </w:rPr>
      </w:pPr>
    </w:p>
    <w:p>
      <w:pPr>
        <w:ind w:left="360" w:right="80"/>
        <w:spacing w:after="0" w:line="285" w:lineRule="auto"/>
        <w:rPr>
          <w:sz w:val="20"/>
          <w:szCs w:val="20"/>
          <w:color w:val="auto"/>
        </w:rPr>
      </w:pPr>
      <w:r>
        <w:rPr>
          <w:rFonts w:ascii="Arial" w:cs="Arial" w:eastAsia="Arial" w:hAnsi="Arial"/>
          <w:sz w:val="16"/>
          <w:szCs w:val="16"/>
          <w:color w:val="auto"/>
        </w:rPr>
        <w:t>In November 2014, LNG Holdings (Florida) LLC (“LHFL”), a controlled subsidiary, entered into a Credit Agreement (the “Miami Loan”) with a bank for an initial aggregate amount of $40,000, maturing on May 24, 2018, in connection with the construction of an LNG facility in Hialeah, Florida. Borrowings under the loan bear interest at a rate selected by LHFL of either (i) a LIBOR based rate, with a floor of 1.00%, plus a spread of 5.00%, or (ii) subject to a floor of 2%, a Base Rate equal to the higher of (a) the Prime Rate, (b) the Federal Funds Rate plus ½ of 1% or (c) the 1-month LIBOR rate plus the difference between the applicable LIBOR margin and Base Rate margin, plus a spread of 4.00%. Subject to certain conditions, the Miami Loan can be extended for an additional term of up to 18 months. If the Miami Loan is extended past the original maturity date, the spread on LIBOR and Base Rate increases to 5.50% and 4.50%, respectively. The Miami Loan also requires unused commitment fees of 1.25% per annum on undrawn amounts. The Miami Loan is secured by all of the assets of LHFL, which consists primarily of the Miami Facility. In connection with the Miami Loan, the Company paid origination and other fees of $1,363, of which $158 and $619 are unamortized as of December 31, 2017 and 2016, respectively. These costs are capitalized as deferred financing costs and recorded as a reduction in Long-term debt on the consolidated balance sheets.</w:t>
      </w:r>
    </w:p>
    <w:p>
      <w:pPr>
        <w:spacing w:after="0" w:line="61" w:lineRule="exact"/>
        <w:rPr>
          <w:sz w:val="20"/>
          <w:szCs w:val="20"/>
          <w:color w:val="auto"/>
        </w:rPr>
      </w:pPr>
    </w:p>
    <w:p>
      <w:pPr>
        <w:ind w:left="360"/>
        <w:spacing w:after="0" w:line="261" w:lineRule="auto"/>
        <w:rPr>
          <w:sz w:val="20"/>
          <w:szCs w:val="20"/>
          <w:color w:val="auto"/>
        </w:rPr>
      </w:pPr>
      <w:r>
        <w:rPr>
          <w:rFonts w:ascii="Arial" w:cs="Arial" w:eastAsia="Arial" w:hAnsi="Arial"/>
          <w:sz w:val="18"/>
          <w:szCs w:val="18"/>
          <w:color w:val="auto"/>
        </w:rPr>
        <w:t>The Miami Loan requires periodic payments of interest on either a monthly, quarterly or semi-annual basis, depending upon the interest rate option selected by LHFL. In addition, with respect to LIBOR based borrowings, LHFL, at its option, may elect to defer up to ten interest periods outstanding at any point 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line="294" w:lineRule="auto"/>
        <w:rPr>
          <w:sz w:val="20"/>
          <w:szCs w:val="20"/>
          <w:color w:val="auto"/>
        </w:rPr>
      </w:pPr>
      <w:r>
        <w:rPr>
          <w:rFonts w:ascii="Arial" w:cs="Arial" w:eastAsia="Arial" w:hAnsi="Arial"/>
          <w:sz w:val="16"/>
          <w:szCs w:val="16"/>
          <w:color w:val="auto"/>
        </w:rPr>
        <w:t>time. The Miami Loan also requires annual amortization in an amount equal to 1% of the amount outstanding. The Miami Loan can be prepaid without penalty after the first anniversary of the closing of the Miami Loan. At December 31, 2017 and 2016, interest was calculated on the borrowing based on a three-month LIBOR rate (1% floor) plus a spread of 5%, bearing a total interest rate of 6.57% and 6.00%, respectively. Interest expense, inclusive of amortized debt fees for the years ended December 31, 2017 and 2016, totaled $2,845 and $2,740 respectively, of which $0 and $937 was capitalized.</w:t>
      </w:r>
    </w:p>
    <w:p>
      <w:pPr>
        <w:spacing w:after="0" w:line="54" w:lineRule="exact"/>
        <w:rPr>
          <w:sz w:val="20"/>
          <w:szCs w:val="20"/>
          <w:color w:val="auto"/>
        </w:rPr>
      </w:pPr>
    </w:p>
    <w:p>
      <w:pPr>
        <w:ind w:left="360" w:right="80"/>
        <w:spacing w:after="0" w:line="274" w:lineRule="auto"/>
        <w:rPr>
          <w:sz w:val="20"/>
          <w:szCs w:val="20"/>
          <w:color w:val="auto"/>
        </w:rPr>
      </w:pPr>
      <w:r>
        <w:rPr>
          <w:rFonts w:ascii="Arial" w:cs="Arial" w:eastAsia="Arial" w:hAnsi="Arial"/>
          <w:sz w:val="18"/>
          <w:szCs w:val="18"/>
          <w:color w:val="auto"/>
        </w:rPr>
        <w:t>On May 16, 2018, the Company extended the maturity to November 2019. To execute the extension option, the Company paid an extension fee of $388, equating to 1% of the outstanding principal at that time.</w:t>
      </w:r>
    </w:p>
    <w:p>
      <w:pPr>
        <w:spacing w:after="0" w:line="64" w:lineRule="exact"/>
        <w:rPr>
          <w:sz w:val="20"/>
          <w:szCs w:val="20"/>
          <w:color w:val="auto"/>
        </w:rPr>
      </w:pPr>
    </w:p>
    <w:p>
      <w:pPr>
        <w:ind w:left="360"/>
        <w:spacing w:after="0" w:line="261" w:lineRule="auto"/>
        <w:rPr>
          <w:sz w:val="20"/>
          <w:szCs w:val="20"/>
          <w:color w:val="auto"/>
        </w:rPr>
      </w:pPr>
      <w:r>
        <w:rPr>
          <w:rFonts w:ascii="Arial" w:cs="Arial" w:eastAsia="Arial" w:hAnsi="Arial"/>
          <w:sz w:val="18"/>
          <w:szCs w:val="18"/>
          <w:color w:val="auto"/>
        </w:rPr>
        <w:t>Under the terms of the Miami Loan, LHFL is required to maintain a Debt Service Reserve Account (the “DSR Account”) in the amount of $912. Such amount is included as a component of Restricted cash on the Company’s consolidated balance sheets (see Note 6).</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2017 and 2016, LHFL was in compliance with all of the covenants under this agreement.</w:t>
      </w:r>
    </w:p>
    <w:p>
      <w:pPr>
        <w:spacing w:after="0" w:line="115" w:lineRule="exact"/>
        <w:rPr>
          <w:sz w:val="20"/>
          <w:szCs w:val="20"/>
          <w:color w:val="auto"/>
        </w:rPr>
      </w:pPr>
    </w:p>
    <w:p>
      <w:pPr>
        <w:ind w:left="360" w:right="140"/>
        <w:spacing w:after="0" w:line="274" w:lineRule="auto"/>
        <w:rPr>
          <w:sz w:val="20"/>
          <w:szCs w:val="20"/>
          <w:color w:val="auto"/>
        </w:rPr>
      </w:pPr>
      <w:r>
        <w:rPr>
          <w:rFonts w:ascii="Arial" w:cs="Arial" w:eastAsia="Arial" w:hAnsi="Arial"/>
          <w:sz w:val="18"/>
          <w:szCs w:val="18"/>
          <w:color w:val="auto"/>
        </w:rPr>
        <w:t>The Company intends to use the net proceeds of the Term Loan Facility entered into in August 2018 to repay the Miami Loan (defined and discussed in more detail in Note 22).</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Montego Bay Loan</w:t>
      </w:r>
    </w:p>
    <w:p>
      <w:pPr>
        <w:spacing w:after="0" w:line="115" w:lineRule="exact"/>
        <w:rPr>
          <w:sz w:val="20"/>
          <w:szCs w:val="20"/>
          <w:color w:val="auto"/>
        </w:rPr>
      </w:pPr>
    </w:p>
    <w:p>
      <w:pPr>
        <w:ind w:left="360" w:right="120"/>
        <w:spacing w:after="0" w:line="254" w:lineRule="auto"/>
        <w:rPr>
          <w:sz w:val="20"/>
          <w:szCs w:val="20"/>
          <w:color w:val="auto"/>
        </w:rPr>
      </w:pPr>
      <w:r>
        <w:rPr>
          <w:rFonts w:ascii="Arial" w:cs="Arial" w:eastAsia="Arial" w:hAnsi="Arial"/>
          <w:sz w:val="18"/>
          <w:szCs w:val="18"/>
          <w:color w:val="auto"/>
        </w:rPr>
        <w:t>In June 2016, NFE North Holdings Limited (“NNHL”), a subsidiary, entered into a Syndicated Loan Agreement (the “MoBay Loan”) with National Commercial Bank Jamaica Limited for an aggregate amount of $44,000, maturing on June 5, 2023, in connection with the construction of the LNG Terminal in Montego Bay, Jamaica. The MoBay Loan is to be repaid in 77 monthly payments of $452 commencing from December 6, 2016, and a final balloon payment of $9,172 due on the maturity date. Borrowings under the loan bear interest at 8.1%. The MoBay loan is secured by the LNG Terminal in Montego Bay, Jamaica.</w:t>
      </w:r>
    </w:p>
    <w:p>
      <w:pPr>
        <w:spacing w:after="0" w:line="81" w:lineRule="exact"/>
        <w:rPr>
          <w:sz w:val="20"/>
          <w:szCs w:val="20"/>
          <w:color w:val="auto"/>
        </w:rPr>
      </w:pPr>
    </w:p>
    <w:p>
      <w:pPr>
        <w:ind w:left="360" w:right="40"/>
        <w:spacing w:after="0" w:line="257" w:lineRule="auto"/>
        <w:rPr>
          <w:sz w:val="20"/>
          <w:szCs w:val="20"/>
          <w:color w:val="auto"/>
        </w:rPr>
      </w:pPr>
      <w:r>
        <w:rPr>
          <w:rFonts w:ascii="Arial" w:cs="Arial" w:eastAsia="Arial" w:hAnsi="Arial"/>
          <w:sz w:val="18"/>
          <w:szCs w:val="18"/>
          <w:color w:val="auto"/>
        </w:rPr>
        <w:t>Under the terms of the MoBay Loan, NNHL is required to maintain a DSR account in an amount equivalent to principal and interest due in the next six months. During the years ended December 31, 2017 and 2016 $2,615 and $1,812, respectively, was deposited in the DSR account and is included as a component of Restricted cash on the Company’s consolidated balance sheets (see Note 6).</w:t>
      </w:r>
    </w:p>
    <w:p>
      <w:pPr>
        <w:spacing w:after="0" w:line="79" w:lineRule="exact"/>
        <w:rPr>
          <w:sz w:val="20"/>
          <w:szCs w:val="20"/>
          <w:color w:val="auto"/>
        </w:rPr>
      </w:pPr>
    </w:p>
    <w:p>
      <w:pPr>
        <w:ind w:left="360"/>
        <w:spacing w:after="0" w:line="261" w:lineRule="auto"/>
        <w:rPr>
          <w:sz w:val="20"/>
          <w:szCs w:val="20"/>
          <w:color w:val="auto"/>
        </w:rPr>
      </w:pPr>
      <w:r>
        <w:rPr>
          <w:rFonts w:ascii="Arial" w:cs="Arial" w:eastAsia="Arial" w:hAnsi="Arial"/>
          <w:sz w:val="18"/>
          <w:szCs w:val="18"/>
          <w:color w:val="auto"/>
        </w:rPr>
        <w:t>In connection with the MoBay Loan, the Company paid origination and other fees of $2,031. These costs are capitalized as deferred financing costs and recorded as a reduction in Long-term debt on the consolidated balance sheets, of which $1,616 and $1,851 are unamortized as of December 31, 2017 and 2016, respectively.</w:t>
      </w:r>
    </w:p>
    <w:p>
      <w:pPr>
        <w:spacing w:after="0" w:line="76" w:lineRule="exact"/>
        <w:rPr>
          <w:sz w:val="20"/>
          <w:szCs w:val="20"/>
          <w:color w:val="auto"/>
        </w:rPr>
      </w:pPr>
    </w:p>
    <w:p>
      <w:pPr>
        <w:ind w:left="360"/>
        <w:spacing w:after="0" w:line="255" w:lineRule="auto"/>
        <w:rPr>
          <w:sz w:val="20"/>
          <w:szCs w:val="20"/>
          <w:color w:val="auto"/>
        </w:rPr>
      </w:pPr>
      <w:r>
        <w:rPr>
          <w:rFonts w:ascii="Arial" w:cs="Arial" w:eastAsia="Arial" w:hAnsi="Arial"/>
          <w:sz w:val="18"/>
          <w:szCs w:val="18"/>
          <w:color w:val="auto"/>
        </w:rPr>
        <w:t>During the construction period of certain projects in 2016, related interest expense and borrowings costs were capitalized as such costs were directly attributed to the construction. The capitalized interest is amortized as part of the capitalized cost of the asset that is subject to a direct finance lease upon its completion. Interest expense, inclusive of amortized debt fees for the years ended December 31, 2017 and 2016, totaled $3,611 and $1,990 respectively, of which $0 and $1,347 was capitalized and accounted for as a finance lease (See Note 12).</w:t>
      </w:r>
    </w:p>
    <w:p>
      <w:pPr>
        <w:spacing w:after="0" w:line="81" w:lineRule="exact"/>
        <w:rPr>
          <w:sz w:val="20"/>
          <w:szCs w:val="20"/>
          <w:color w:val="auto"/>
        </w:rPr>
      </w:pPr>
    </w:p>
    <w:p>
      <w:pPr>
        <w:ind w:left="360" w:right="340"/>
        <w:spacing w:after="0" w:line="274" w:lineRule="auto"/>
        <w:rPr>
          <w:sz w:val="20"/>
          <w:szCs w:val="20"/>
          <w:color w:val="auto"/>
        </w:rPr>
      </w:pPr>
      <w:r>
        <w:rPr>
          <w:rFonts w:ascii="Arial" w:cs="Arial" w:eastAsia="Arial" w:hAnsi="Arial"/>
          <w:sz w:val="18"/>
          <w:szCs w:val="18"/>
          <w:color w:val="auto"/>
        </w:rPr>
        <w:t>Financial covenants stipulated by the Syndicated Loan Agreement did not come into effect until December 31, 2017. As of December 31, 2017, NNHL was in compliance with all covenants under this agreement.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intends to use the net proceeds of the Term Loan Facility entered into in August 2018 to repay the MoBay Loan.</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is subject to a prepayment fee of 1% on the MoBay Loan.</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Corporate Loan</w:t>
      </w:r>
    </w:p>
    <w:p>
      <w:pPr>
        <w:spacing w:after="0" w:line="115" w:lineRule="exact"/>
        <w:rPr>
          <w:sz w:val="20"/>
          <w:szCs w:val="20"/>
          <w:color w:val="auto"/>
        </w:rPr>
      </w:pPr>
    </w:p>
    <w:p>
      <w:pPr>
        <w:ind w:left="360" w:right="20"/>
        <w:spacing w:after="0" w:line="309" w:lineRule="auto"/>
        <w:rPr>
          <w:sz w:val="20"/>
          <w:szCs w:val="20"/>
          <w:color w:val="auto"/>
        </w:rPr>
      </w:pPr>
      <w:r>
        <w:rPr>
          <w:rFonts w:ascii="Arial" w:cs="Arial" w:eastAsia="Arial" w:hAnsi="Arial"/>
          <w:sz w:val="16"/>
          <w:szCs w:val="16"/>
          <w:color w:val="auto"/>
        </w:rPr>
        <w:t>On December 21, 2015, NFE Atlantic Holdings LLC (“NAHL”), a subsidiary, entered into a Credit Agreement (the “Corporate Loan”) with a bank for an initial aggregate amount of $65,000, which matured on December 20, 2016. The Corporate Loan was for general corporate purposes, including present and future construction projects under development in various locations.</w:t>
      </w:r>
    </w:p>
    <w:p>
      <w:pPr>
        <w:spacing w:after="0" w:line="41" w:lineRule="exact"/>
        <w:rPr>
          <w:sz w:val="20"/>
          <w:szCs w:val="20"/>
          <w:color w:val="auto"/>
        </w:rPr>
      </w:pPr>
    </w:p>
    <w:p>
      <w:pPr>
        <w:ind w:left="360" w:right="640"/>
        <w:spacing w:after="0" w:line="305" w:lineRule="auto"/>
        <w:rPr>
          <w:sz w:val="20"/>
          <w:szCs w:val="20"/>
          <w:color w:val="auto"/>
        </w:rPr>
      </w:pPr>
      <w:r>
        <w:rPr>
          <w:rFonts w:ascii="Arial" w:cs="Arial" w:eastAsia="Arial" w:hAnsi="Arial"/>
          <w:sz w:val="17"/>
          <w:szCs w:val="17"/>
          <w:color w:val="auto"/>
        </w:rPr>
        <w:t>The Corporate Loan provided for an exit fee of 2% of the aggregate principal amounts repaid, whether by prepayment, scheduled repayment or repayment at maturity. An exit fee of $1,297 was accrued ratably over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line="273" w:lineRule="auto"/>
        <w:rPr>
          <w:sz w:val="20"/>
          <w:szCs w:val="20"/>
          <w:color w:val="auto"/>
        </w:rPr>
      </w:pPr>
      <w:r>
        <w:rPr>
          <w:rFonts w:ascii="Arial" w:cs="Arial" w:eastAsia="Arial" w:hAnsi="Arial"/>
          <w:sz w:val="17"/>
          <w:szCs w:val="17"/>
          <w:color w:val="auto"/>
        </w:rPr>
        <w:t>the term of the Corporate Loan and recorded as a component of Accrued liabilities and Interest expense in the Company’s consolidated balance sheets and consolidated statements of operations and comprehensive loss, respectively. In connection with the Corporate Loan, NAHL paid origination fees of $2,118 which had been recorded as a reduction to debt principal and were amortized over the term of the loan. Total interest expense of $0 and $3,892 was incurred during the years ended December 31, 2017 and 2016, of which $0 and $1,233, respectively, was capitalized.</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the Corporate Loan, NAHL was required to maintain a DSR Account in the amount of $3,576.</w:t>
      </w:r>
    </w:p>
    <w:p>
      <w:pPr>
        <w:spacing w:after="0" w:line="115" w:lineRule="exact"/>
        <w:rPr>
          <w:sz w:val="20"/>
          <w:szCs w:val="20"/>
          <w:color w:val="auto"/>
        </w:rPr>
      </w:pPr>
    </w:p>
    <w:p>
      <w:pPr>
        <w:jc w:val="both"/>
        <w:ind w:left="360" w:right="160"/>
        <w:spacing w:after="0" w:line="261" w:lineRule="auto"/>
        <w:rPr>
          <w:sz w:val="20"/>
          <w:szCs w:val="20"/>
          <w:color w:val="auto"/>
        </w:rPr>
      </w:pPr>
      <w:r>
        <w:rPr>
          <w:rFonts w:ascii="Arial" w:cs="Arial" w:eastAsia="Arial" w:hAnsi="Arial"/>
          <w:sz w:val="18"/>
          <w:szCs w:val="18"/>
          <w:color w:val="auto"/>
        </w:rPr>
        <w:t>The Corporate Loan was fully repaid together with the applicable accrued interest of $119 and exit fee of $1,297 for a total of $1,416 on June 3, 2016. Loss on extinguishment of debt of $1,177 was recognized during the year ended December 31, 2016 within the consolidated statements of operations and comprehensive loss.</w:t>
      </w:r>
    </w:p>
    <w:p>
      <w:pPr>
        <w:spacing w:after="0" w:line="72" w:lineRule="exact"/>
        <w:rPr>
          <w:sz w:val="20"/>
          <w:szCs w:val="20"/>
          <w:color w:val="auto"/>
        </w:rPr>
      </w:pPr>
    </w:p>
    <w:p>
      <w:pPr>
        <w:ind w:left="360" w:hanging="355"/>
        <w:spacing w:after="0"/>
        <w:tabs>
          <w:tab w:leader="none" w:pos="3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8" w:lineRule="exact"/>
        <w:rPr>
          <w:rFonts w:ascii="Arial" w:cs="Arial" w:eastAsia="Arial" w:hAnsi="Arial"/>
          <w:sz w:val="18"/>
          <w:szCs w:val="18"/>
          <w:b w:val="1"/>
          <w:bCs w:val="1"/>
          <w:color w:val="auto"/>
        </w:rPr>
      </w:pPr>
    </w:p>
    <w:p>
      <w:pPr>
        <w:ind w:left="360" w:right="28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the U.S. and the Caribbean. As a pass-through entity for U.S. federal tax purposes, no income tax provision or benefit for U.S. income taxes has been recorded for the periods presented.</w:t>
      </w:r>
    </w:p>
    <w:p>
      <w:pPr>
        <w:spacing w:after="0" w:line="17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Jamaica</w:t>
      </w:r>
    </w:p>
    <w:p>
      <w:pPr>
        <w:spacing w:after="0" w:line="114" w:lineRule="exact"/>
        <w:rPr>
          <w:rFonts w:ascii="Arial" w:cs="Arial" w:eastAsia="Arial" w:hAnsi="Arial"/>
          <w:sz w:val="18"/>
          <w:szCs w:val="18"/>
          <w:b w:val="1"/>
          <w:bCs w:val="1"/>
          <w:color w:val="auto"/>
        </w:rPr>
      </w:pPr>
    </w:p>
    <w:p>
      <w:pPr>
        <w:ind w:left="360" w:right="50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Company’s subsidiaries incorporated in Jamaica are subject to income tax which is computed at 25% of the relevant subsidiaries’ results for the year, adjusted for tax purposes.</w:t>
      </w:r>
    </w:p>
    <w:p>
      <w:pPr>
        <w:spacing w:after="0" w:line="63"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provision / (benefit) for the taxes on income consists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1"/>
        </w:trPr>
        <w:tc>
          <w:tcPr>
            <w:tcW w:w="6820" w:type="dxa"/>
            <w:vAlign w:val="bottom"/>
          </w:tcPr>
          <w:p>
            <w:pPr>
              <w:spacing w:after="0"/>
              <w:rPr>
                <w:sz w:val="20"/>
                <w:szCs w:val="20"/>
                <w:color w:val="auto"/>
              </w:rPr>
            </w:pPr>
            <w:r>
              <w:rPr>
                <w:rFonts w:ascii="Arial" w:cs="Arial" w:eastAsia="Arial" w:hAnsi="Arial"/>
                <w:sz w:val="18"/>
                <w:szCs w:val="18"/>
                <w:color w:val="auto"/>
              </w:rPr>
              <w:t>Deferred income tax</w:t>
            </w:r>
          </w:p>
        </w:tc>
        <w:tc>
          <w:tcPr>
            <w:tcW w:w="62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521</w:t>
            </w:r>
          </w:p>
        </w:tc>
        <w:tc>
          <w:tcPr>
            <w:tcW w:w="2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r>
      <w:tr>
        <w:trPr>
          <w:trHeight w:val="20"/>
        </w:trPr>
        <w:tc>
          <w:tcPr>
            <w:tcW w:w="68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526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r>
      <w:tr>
        <w:trPr>
          <w:trHeight w:val="27"/>
        </w:trPr>
        <w:tc>
          <w:tcPr>
            <w:tcW w:w="6820" w:type="dxa"/>
            <w:vAlign w:val="bottom"/>
            <w:tcBorders>
              <w:top w:val="single" w:sz="8" w:color="CCEEFF"/>
              <w:right w:val="single" w:sz="8" w:color="auto"/>
            </w:tcBorders>
            <w:shd w:val="clear" w:color="auto" w:fill="CCEEFF"/>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jc w:val="both"/>
        <w:ind w:left="360" w:right="220"/>
        <w:spacing w:after="0" w:line="261" w:lineRule="auto"/>
        <w:rPr>
          <w:sz w:val="20"/>
          <w:szCs w:val="20"/>
          <w:color w:val="auto"/>
        </w:rPr>
      </w:pPr>
      <w:r>
        <w:rPr>
          <w:rFonts w:ascii="Arial" w:cs="Arial" w:eastAsia="Arial" w:hAnsi="Arial"/>
          <w:sz w:val="18"/>
          <w:szCs w:val="18"/>
          <w:color w:val="auto"/>
        </w:rPr>
        <w:t>The effective tax rate for the year-ended December 31, 2017 and 2016 was (1.7%) and 1.1%, respectively. As a pass through entity, the Company’s statutory rate is 0% and the entire difference between the statutory and effective rate is attributable to foreign taxes.</w:t>
      </w:r>
    </w:p>
    <w:p>
      <w:pPr>
        <w:spacing w:after="0" w:line="76" w:lineRule="exact"/>
        <w:rPr>
          <w:sz w:val="20"/>
          <w:szCs w:val="20"/>
          <w:color w:val="auto"/>
        </w:rPr>
      </w:pPr>
    </w:p>
    <w:p>
      <w:pPr>
        <w:ind w:left="360" w:right="200"/>
        <w:spacing w:after="0" w:line="294" w:lineRule="auto"/>
        <w:rPr>
          <w:sz w:val="20"/>
          <w:szCs w:val="20"/>
          <w:color w:val="auto"/>
        </w:rPr>
      </w:pPr>
      <w:r>
        <w:rPr>
          <w:rFonts w:ascii="Arial" w:cs="Arial" w:eastAsia="Arial" w:hAnsi="Arial"/>
          <w:sz w:val="16"/>
          <w:szCs w:val="16"/>
          <w:color w:val="auto"/>
        </w:rPr>
        <w:t>Deferred income tax assets are recognized for tax loss carry-forwards in certain of the Company’s foreign subsidiaries to the extent that it is more likely than not that the Company will realize the related tax benefit through future taxable profits. Management, through tax-planning assessment and consideration of the relevant subsidiaries fixed revenue streams, believes that it is more likely than not that tax loss carry-forwards will be fully utilized by the subsidiary in future reporting periods. These tax loss carry-forwards do not expire, but will become subject to certain limitations in 2020.</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deferred taxes were as follows for the period ended December 31, 2017 and 2016:</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07"/>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Accelerated tax depreciation taken on property, plant and equipment underlying the finance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42"/>
        </w:trPr>
        <w:tc>
          <w:tcPr>
            <w:tcW w:w="6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receivables, and other temporary differences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(2,179)</w:t>
            </w:r>
          </w:p>
        </w:tc>
      </w:tr>
      <w:tr>
        <w:trPr>
          <w:trHeight w:val="241"/>
        </w:trPr>
        <w:tc>
          <w:tcPr>
            <w:tcW w:w="6820" w:type="dxa"/>
            <w:vAlign w:val="bottom"/>
          </w:tcPr>
          <w:p>
            <w:pPr>
              <w:spacing w:after="0"/>
              <w:rPr>
                <w:sz w:val="20"/>
                <w:szCs w:val="20"/>
                <w:color w:val="auto"/>
              </w:rPr>
            </w:pPr>
            <w:r>
              <w:rPr>
                <w:rFonts w:ascii="Arial" w:cs="Arial" w:eastAsia="Arial" w:hAnsi="Arial"/>
                <w:sz w:val="18"/>
                <w:szCs w:val="18"/>
                <w:color w:val="auto"/>
              </w:rPr>
              <w:t>Taxable losses available for offsetting against future taxable income</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3,597</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0"/>
                <w:szCs w:val="20"/>
                <w:color w:val="auto"/>
              </w:rPr>
            </w:pPr>
          </w:p>
        </w:tc>
      </w:tr>
      <w:tr>
        <w:trPr>
          <w:trHeight w:val="20"/>
        </w:trPr>
        <w:tc>
          <w:tcPr>
            <w:tcW w:w="68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 asset, net at December 31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82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jc w:val="both"/>
        <w:ind w:left="360" w:right="220"/>
        <w:spacing w:after="0" w:line="339" w:lineRule="auto"/>
        <w:rPr>
          <w:sz w:val="20"/>
          <w:szCs w:val="20"/>
          <w:color w:val="auto"/>
        </w:rPr>
      </w:pPr>
      <w:r>
        <w:rPr>
          <w:rFonts w:ascii="Arial" w:cs="Arial" w:eastAsia="Arial" w:hAnsi="Arial"/>
          <w:sz w:val="16"/>
          <w:szCs w:val="16"/>
          <w:color w:val="auto"/>
        </w:rPr>
        <w:t>The Company has not recorded a liability for uncertain tax positions as of December 31, 2017 or 2016. We remain subject to periodic audits and reviews by the taxing authority; our returns since our formation remain open for examination.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Bermuda</w:t>
      </w:r>
    </w:p>
    <w:p>
      <w:pPr>
        <w:spacing w:after="0" w:line="115" w:lineRule="exact"/>
        <w:rPr>
          <w:sz w:val="20"/>
          <w:szCs w:val="20"/>
          <w:color w:val="auto"/>
        </w:rPr>
      </w:pPr>
    </w:p>
    <w:p>
      <w:pPr>
        <w:ind w:left="360" w:right="20"/>
        <w:spacing w:after="0" w:line="274" w:lineRule="auto"/>
        <w:rPr>
          <w:sz w:val="20"/>
          <w:szCs w:val="20"/>
          <w:color w:val="auto"/>
        </w:rPr>
      </w:pPr>
      <w:r>
        <w:rPr>
          <w:rFonts w:ascii="Arial" w:cs="Arial" w:eastAsia="Arial" w:hAnsi="Arial"/>
          <w:sz w:val="18"/>
          <w:szCs w:val="18"/>
          <w:color w:val="auto"/>
        </w:rPr>
        <w:t>The Company has subsidiaries incorporated in Bermuda. Under current Bermuda law, the Company is not required to pay taxes in Bermuda on either income or capital gains. The Company has received 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right="720"/>
        <w:spacing w:after="0" w:line="274" w:lineRule="auto"/>
        <w:rPr>
          <w:sz w:val="20"/>
          <w:szCs w:val="20"/>
          <w:color w:val="auto"/>
        </w:rPr>
      </w:pPr>
      <w:r>
        <w:rPr>
          <w:rFonts w:ascii="Arial" w:cs="Arial" w:eastAsia="Arial" w:hAnsi="Arial"/>
          <w:sz w:val="18"/>
          <w:szCs w:val="18"/>
          <w:color w:val="auto"/>
        </w:rPr>
        <w:t>undertaking from the Bermuda government that, in the event of income or capital gain taxes being imposed, it will be exempted from such taxes until the period 2035.</w:t>
      </w:r>
    </w:p>
    <w:p>
      <w:pPr>
        <w:spacing w:after="0" w:line="60" w:lineRule="exact"/>
        <w:rPr>
          <w:sz w:val="20"/>
          <w:szCs w:val="20"/>
          <w:color w:val="auto"/>
        </w:rPr>
      </w:pPr>
    </w:p>
    <w:p>
      <w:pPr>
        <w:ind w:left="360" w:hanging="355"/>
        <w:spacing w:after="0"/>
        <w:tabs>
          <w:tab w:leader="none" w:pos="3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8" w:lineRule="exact"/>
        <w:rPr>
          <w:rFonts w:ascii="Arial" w:cs="Arial" w:eastAsia="Arial" w:hAnsi="Arial"/>
          <w:sz w:val="18"/>
          <w:szCs w:val="18"/>
          <w:b w:val="1"/>
          <w:bCs w:val="1"/>
          <w:color w:val="auto"/>
        </w:rPr>
      </w:pPr>
    </w:p>
    <w:p>
      <w:pPr>
        <w:ind w:left="3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conjunction with its principal business activities, the Company enters into various firm commitments in the purchase, production and transportation of LNG and natural gas. Such agreements may include options related to the price of quantities of natural gas under gas purchase and sale agreements, LNG purchase agreements, or options related to the duration of time charters for shipping cargoes. The exercise of these options is dependent upon conditions being fulfilled by the option’s holder and future LNG market levels.</w:t>
      </w:r>
    </w:p>
    <w:p>
      <w:pPr>
        <w:spacing w:after="0" w:line="80" w:lineRule="exact"/>
        <w:rPr>
          <w:rFonts w:ascii="Arial" w:cs="Arial" w:eastAsia="Arial" w:hAnsi="Arial"/>
          <w:sz w:val="18"/>
          <w:szCs w:val="18"/>
          <w:b w:val="1"/>
          <w:bCs w:val="1"/>
          <w:color w:val="auto"/>
        </w:rPr>
      </w:pPr>
    </w:p>
    <w:p>
      <w:pPr>
        <w:ind w:left="360" w:right="4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At the balance sheet date, the estimated future cash payments related to outstanding contractual commitments, at market prices as of December 31, 2017, is summarized as follows:</w:t>
      </w:r>
    </w:p>
    <w:p>
      <w:pPr>
        <w:spacing w:after="0" w:line="29"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3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5"/>
                <w:szCs w:val="15"/>
                <w:color w:val="auto"/>
              </w:rPr>
            </w:pPr>
          </w:p>
        </w:tc>
      </w:tr>
      <w:tr>
        <w:trPr>
          <w:trHeight w:val="235"/>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Natural gas supply purchase obligations</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w:t>
            </w:r>
          </w:p>
        </w:tc>
        <w:tc>
          <w:tcPr>
            <w:tcW w:w="7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rPr>
              <w:t>$  —  $</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LNG inventory purchases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50,461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r>
    </w:tbl>
    <w:p>
      <w:pPr>
        <w:spacing w:after="0" w:line="105" w:lineRule="exact"/>
        <w:rPr>
          <w:sz w:val="20"/>
          <w:szCs w:val="20"/>
          <w:color w:val="auto"/>
        </w:rPr>
      </w:pPr>
    </w:p>
    <w:p>
      <w:pPr>
        <w:ind w:left="360" w:right="20"/>
        <w:spacing w:after="0" w:line="257" w:lineRule="auto"/>
        <w:rPr>
          <w:sz w:val="20"/>
          <w:szCs w:val="20"/>
          <w:color w:val="auto"/>
        </w:rPr>
      </w:pPr>
      <w:r>
        <w:rPr>
          <w:rFonts w:ascii="Arial" w:cs="Arial" w:eastAsia="Arial" w:hAnsi="Arial"/>
          <w:sz w:val="18"/>
          <w:szCs w:val="18"/>
          <w:color w:val="auto"/>
        </w:rPr>
        <w:t>The future cash payments summarized above represent the Company’s minimum firm purchase commitment as of December 31, 2017. The 2018 commitment for LNG inventory purchases was partially prepaid as of December 31, 2017 in the amount of $16,665. During the years ended December 31, 2017 and 2016, the Company made purchases of $57,613 and $25,800 under unconditional purchase agreements.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Natural gas supply purchase obligations</w:t>
      </w:r>
    </w:p>
    <w:p>
      <w:pPr>
        <w:spacing w:after="0" w:line="115" w:lineRule="exact"/>
        <w:rPr>
          <w:sz w:val="20"/>
          <w:szCs w:val="20"/>
          <w:color w:val="auto"/>
        </w:rPr>
      </w:pPr>
    </w:p>
    <w:p>
      <w:pPr>
        <w:ind w:left="360"/>
        <w:spacing w:after="0" w:line="299" w:lineRule="auto"/>
        <w:rPr>
          <w:sz w:val="20"/>
          <w:szCs w:val="20"/>
          <w:color w:val="auto"/>
        </w:rPr>
      </w:pPr>
      <w:r>
        <w:rPr>
          <w:rFonts w:ascii="Arial" w:cs="Arial" w:eastAsia="Arial" w:hAnsi="Arial"/>
          <w:sz w:val="16"/>
          <w:szCs w:val="16"/>
          <w:color w:val="auto"/>
        </w:rPr>
        <w:t>The Company is a party to contractual purchase commitments with terms of 38 months and 60 months. These commitments are designed to assure sources of supply and are not expected to be in excess of normal requirements. For agreements for supply where there is an active markets, such agreements qualify for and the Company elected the normal purchase exception under the derivatives guidance; therefore, the purchases under these contracts are included in Inventory and Cost of sales as incurred.</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LNG inventory purchases and other</w:t>
      </w:r>
    </w:p>
    <w:p>
      <w:pPr>
        <w:spacing w:after="0" w:line="115" w:lineRule="exact"/>
        <w:rPr>
          <w:sz w:val="20"/>
          <w:szCs w:val="20"/>
          <w:color w:val="auto"/>
        </w:rPr>
      </w:pPr>
    </w:p>
    <w:p>
      <w:pPr>
        <w:ind w:left="360" w:right="900"/>
        <w:spacing w:after="0" w:line="274" w:lineRule="auto"/>
        <w:rPr>
          <w:sz w:val="20"/>
          <w:szCs w:val="20"/>
          <w:color w:val="auto"/>
        </w:rPr>
      </w:pPr>
      <w:r>
        <w:rPr>
          <w:rFonts w:ascii="Arial" w:cs="Arial" w:eastAsia="Arial" w:hAnsi="Arial"/>
          <w:sz w:val="18"/>
          <w:szCs w:val="18"/>
          <w:color w:val="auto"/>
        </w:rPr>
        <w:t>On December 20, 2016, the Company committed to the purchase of 756,000 cubic meters of LNG, with half of the commitment delivered in 2017 and half in 2018.</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lease obligations are discussed in Note 19, Leases, as lessee.</w:t>
      </w:r>
    </w:p>
    <w:p>
      <w:pPr>
        <w:spacing w:after="0" w:line="115" w:lineRule="exact"/>
        <w:rPr>
          <w:sz w:val="20"/>
          <w:szCs w:val="20"/>
          <w:color w:val="auto"/>
        </w:rPr>
      </w:pPr>
    </w:p>
    <w:p>
      <w:pPr>
        <w:ind w:left="360" w:right="100"/>
        <w:spacing w:after="0" w:line="255" w:lineRule="auto"/>
        <w:rPr>
          <w:sz w:val="20"/>
          <w:szCs w:val="20"/>
          <w:color w:val="auto"/>
        </w:rPr>
      </w:pPr>
      <w:r>
        <w:rPr>
          <w:rFonts w:ascii="Arial" w:cs="Arial" w:eastAsia="Arial" w:hAnsi="Arial"/>
          <w:sz w:val="18"/>
          <w:szCs w:val="18"/>
          <w:color w:val="auto"/>
        </w:rPr>
        <w:t>In addition to the above disclosed commitments, in September 2016 the Company made a commitment of up to an estimated $180,000 to build a gas-fired combined heat and power plant in Jamaica under a Joint Development Agreement with a third party prior to commercial agreements being finalized. In August and October 2017 respectively, a Power Purchase Agreement and Steam Supply Agreement were executed, obligating the Company to complete the development subject to the conditions set forth in those agreements.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Contingencies</w:t>
      </w:r>
    </w:p>
    <w:p>
      <w:pPr>
        <w:spacing w:after="0" w:line="115" w:lineRule="exact"/>
        <w:rPr>
          <w:sz w:val="20"/>
          <w:szCs w:val="20"/>
          <w:color w:val="auto"/>
        </w:rPr>
      </w:pPr>
    </w:p>
    <w:p>
      <w:pPr>
        <w:ind w:left="360" w:right="20"/>
        <w:spacing w:after="0" w:line="273" w:lineRule="auto"/>
        <w:rPr>
          <w:sz w:val="20"/>
          <w:szCs w:val="20"/>
          <w:color w:val="auto"/>
        </w:rPr>
      </w:pPr>
      <w:r>
        <w:rPr>
          <w:rFonts w:ascii="Arial" w:cs="Arial" w:eastAsia="Arial" w:hAnsi="Arial"/>
          <w:sz w:val="17"/>
          <w:szCs w:val="17"/>
          <w:color w:val="auto"/>
        </w:rPr>
        <w:t>As of December 31, 2016, the Company had accrued for $1,204 of tangible personal property tax levied in the State of Florida in respect of the LNG Plant in Hialeah. During 2017, the Company paid this amount in full and subsequently took legal proceedings to challenge the tax amount for a full or partial rebate. The Company successfully challenged the tax amount, including penalties, and received a full rebate. The State of Florida has appealed the determination and the Company repaid the rebate amount in order to avoid penalties and charges while the appeal is under consideration.</w:t>
      </w:r>
    </w:p>
    <w:p>
      <w:pPr>
        <w:spacing w:after="0" w:line="69" w:lineRule="exact"/>
        <w:rPr>
          <w:sz w:val="20"/>
          <w:szCs w:val="20"/>
          <w:color w:val="auto"/>
        </w:rPr>
      </w:pPr>
    </w:p>
    <w:p>
      <w:pPr>
        <w:ind w:left="360" w:right="120"/>
        <w:spacing w:after="0" w:line="261" w:lineRule="auto"/>
        <w:rPr>
          <w:sz w:val="20"/>
          <w:szCs w:val="20"/>
          <w:color w:val="auto"/>
        </w:rPr>
      </w:pPr>
      <w:r>
        <w:rPr>
          <w:rFonts w:ascii="Arial" w:cs="Arial" w:eastAsia="Arial" w:hAnsi="Arial"/>
          <w:sz w:val="18"/>
          <w:szCs w:val="18"/>
          <w:color w:val="auto"/>
        </w:rPr>
        <w:t>As at the date at which these consolidated financial statements were issued, the appeal has not been concluded. Should the State of Florida lose the appeal the Company expects a full refund which will be recognized as a gain contingency recognized in earnings when the cash is received.</w:t>
      </w:r>
    </w:p>
    <w:p>
      <w:pPr>
        <w:spacing w:after="0" w:line="72" w:lineRule="exact"/>
        <w:rPr>
          <w:sz w:val="20"/>
          <w:szCs w:val="20"/>
          <w:color w:val="auto"/>
        </w:rPr>
      </w:pPr>
    </w:p>
    <w:p>
      <w:pPr>
        <w:ind w:left="360" w:hanging="355"/>
        <w:spacing w:after="0"/>
        <w:tabs>
          <w:tab w:leader="none" w:pos="3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 May 2016, the Company received capital contributions of $271 from Fortress Equity Partners (A) LP (“FEP”).</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7" w:right="1400"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line="255" w:lineRule="auto"/>
        <w:rPr>
          <w:sz w:val="20"/>
          <w:szCs w:val="20"/>
          <w:color w:val="auto"/>
        </w:rPr>
      </w:pPr>
      <w:r>
        <w:rPr>
          <w:rFonts w:ascii="Arial" w:cs="Arial" w:eastAsia="Arial" w:hAnsi="Arial"/>
          <w:sz w:val="18"/>
          <w:szCs w:val="18"/>
          <w:color w:val="auto"/>
        </w:rPr>
        <w:t>On June 2, 2016, the Company entered into a Limited Liability Company Agreement with its shareholders. Under the agreement, the Company is authorized to issue up to 500,000,000 common shares. On June 2, 2016, the Company issued 65,000,000 common shares (no par value) to Members in proportion to their respective ownership interests, receiving $300,505 of capital contributions. The Company incurred costs of $1,076 in raising capital which was recorded as a reduction of equity on the consolidated balance sheets.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February 2017, an existing Member purchased 2,500 additional shares for $50.</w:t>
      </w:r>
    </w:p>
    <w:p>
      <w:pPr>
        <w:spacing w:after="0" w:line="115" w:lineRule="exact"/>
        <w:rPr>
          <w:sz w:val="20"/>
          <w:szCs w:val="20"/>
          <w:color w:val="auto"/>
        </w:rPr>
      </w:pPr>
    </w:p>
    <w:p>
      <w:pPr>
        <w:ind w:left="360" w:right="140"/>
        <w:spacing w:after="0" w:line="273" w:lineRule="auto"/>
        <w:rPr>
          <w:sz w:val="20"/>
          <w:szCs w:val="20"/>
          <w:color w:val="auto"/>
        </w:rPr>
      </w:pPr>
      <w:r>
        <w:rPr>
          <w:rFonts w:ascii="Arial" w:cs="Arial" w:eastAsia="Arial" w:hAnsi="Arial"/>
          <w:sz w:val="17"/>
          <w:szCs w:val="17"/>
          <w:color w:val="auto"/>
        </w:rPr>
        <w:t>On December 29, 2017, 2,314,752 common shares (no par value) were subscribed for consideration of $70,050 and recorded within Members’ capital on the consolidated balance sheets. Of the total amount subscribed, $20,050 was received during the period and $50,000 was received after December 31, 2017 which was recorded as Stock subscriptions receivable offsetting Members’ capital on the consolidated balance sheets. The Company incurred costs in raising capital of $192 which was recorded as a reduction of equity on the consolidated balance sheets.</w:t>
      </w:r>
    </w:p>
    <w:p>
      <w:pPr>
        <w:spacing w:after="0" w:line="65" w:lineRule="exact"/>
        <w:rPr>
          <w:sz w:val="20"/>
          <w:szCs w:val="20"/>
          <w:color w:val="auto"/>
        </w:rPr>
      </w:pPr>
    </w:p>
    <w:p>
      <w:pPr>
        <w:ind w:left="360" w:hanging="355"/>
        <w:spacing w:after="0"/>
        <w:tabs>
          <w:tab w:leader="none" w:pos="3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18" w:lineRule="exact"/>
        <w:rPr>
          <w:rFonts w:ascii="Arial" w:cs="Arial" w:eastAsia="Arial" w:hAnsi="Arial"/>
          <w:sz w:val="18"/>
          <w:szCs w:val="18"/>
          <w:b w:val="1"/>
          <w:bCs w:val="1"/>
          <w:color w:val="auto"/>
        </w:rPr>
      </w:pPr>
    </w:p>
    <w:p>
      <w:pPr>
        <w:ind w:left="360" w:right="12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The Company operates a defined contribution plan through a Jamaican service provider for Jamaican employees. For the year ended December 31, 2017 and 2016, expense for the defined contribution plan totaled $46 and $27, respectively, and is included within Cost of sales in the consolidated statements of operations and comprehensive loss.</w:t>
      </w:r>
    </w:p>
    <w:p>
      <w:pPr>
        <w:spacing w:after="0" w:line="53" w:lineRule="exact"/>
        <w:rPr>
          <w:rFonts w:ascii="Arial" w:cs="Arial" w:eastAsia="Arial" w:hAnsi="Arial"/>
          <w:sz w:val="18"/>
          <w:szCs w:val="18"/>
          <w:b w:val="1"/>
          <w:bCs w:val="1"/>
          <w:color w:val="auto"/>
        </w:rPr>
      </w:pPr>
    </w:p>
    <w:p>
      <w:pPr>
        <w:ind w:left="360" w:hanging="355"/>
        <w:spacing w:after="0"/>
        <w:tabs>
          <w:tab w:leader="none" w:pos="3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Leases, as lessee</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7"/>
          <w:szCs w:val="17"/>
          <w:color w:val="auto"/>
        </w:rPr>
        <w:t>During the year ended December 31, 2017 and 2016, the Company recognized rental expense for all operating leases of</w:t>
      </w:r>
    </w:p>
    <w:p>
      <w:pPr>
        <w:spacing w:after="0" w:line="33" w:lineRule="exact"/>
        <w:rPr>
          <w:rFonts w:ascii="Arial" w:cs="Arial" w:eastAsia="Arial" w:hAnsi="Arial"/>
          <w:sz w:val="18"/>
          <w:szCs w:val="18"/>
          <w:b w:val="1"/>
          <w:bCs w:val="1"/>
          <w:color w:val="auto"/>
        </w:rPr>
      </w:pPr>
    </w:p>
    <w:p>
      <w:pPr>
        <w:ind w:left="360" w:right="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$17,369 and $3,539, respectively, related primarily to LNG vessel time charters, office space, a land site lease, and a marine port berth lease. The land site lease is held with an affiliate (see Note 20) of the Company and has an initial term up to 5 years, and the marine port berth lease had an initial term up to 10 years. Both leases contain renewal options.</w:t>
      </w:r>
    </w:p>
    <w:p>
      <w:pPr>
        <w:spacing w:after="0" w:line="65"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non-cancellable operating leases are as follows: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3"/>
        </w:trPr>
        <w:tc>
          <w:tcPr>
            <w:tcW w:w="20" w:type="dxa"/>
            <w:vAlign w:val="bottom"/>
          </w:tcPr>
          <w:p>
            <w:pPr>
              <w:spacing w:after="0"/>
              <w:rPr>
                <w:sz w:val="4"/>
                <w:szCs w:val="4"/>
                <w:color w:val="auto"/>
              </w:rPr>
            </w:pPr>
          </w:p>
        </w:tc>
        <w:tc>
          <w:tcPr>
            <w:tcW w:w="7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41"/>
        </w:trPr>
        <w:tc>
          <w:tcPr>
            <w:tcW w:w="20" w:type="dxa"/>
            <w:vAlign w:val="bottom"/>
          </w:tcPr>
          <w:p>
            <w:pPr>
              <w:spacing w:after="0"/>
              <w:rPr>
                <w:sz w:val="20"/>
                <w:szCs w:val="20"/>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36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2018</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15,470</w:t>
            </w:r>
          </w:p>
        </w:tc>
        <w:tc>
          <w:tcPr>
            <w:tcW w:w="8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8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80" w:type="dxa"/>
            <w:vAlign w:val="bottom"/>
            <w:shd w:val="clear" w:color="auto" w:fill="CCEEFF"/>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2,237</w:t>
            </w:r>
          </w:p>
        </w:tc>
        <w:tc>
          <w:tcPr>
            <w:tcW w:w="80" w:type="dxa"/>
            <w:vAlign w:val="bottom"/>
          </w:tcPr>
          <w:p>
            <w:pPr>
              <w:spacing w:after="0"/>
              <w:rPr>
                <w:sz w:val="20"/>
                <w:szCs w:val="20"/>
                <w:color w:val="auto"/>
              </w:rPr>
            </w:pPr>
          </w:p>
        </w:tc>
      </w:tr>
      <w:tr>
        <w:trPr>
          <w:trHeight w:val="248"/>
        </w:trPr>
        <w:tc>
          <w:tcPr>
            <w:tcW w:w="20" w:type="dxa"/>
            <w:vAlign w:val="bottom"/>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31,042</w:t>
            </w:r>
          </w:p>
        </w:tc>
        <w:tc>
          <w:tcPr>
            <w:tcW w:w="8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2" w:lineRule="exact"/>
        <w:rPr>
          <w:sz w:val="20"/>
          <w:szCs w:val="20"/>
          <w:color w:val="auto"/>
        </w:rPr>
      </w:pPr>
    </w:p>
    <w:p>
      <w:pPr>
        <w:ind w:left="360" w:right="7100" w:hanging="355"/>
        <w:spacing w:after="0" w:line="422" w:lineRule="auto"/>
        <w:tabs>
          <w:tab w:leader="none" w:pos="351"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i w:val="1"/>
          <w:iCs w:val="1"/>
          <w:color w:val="auto"/>
        </w:rPr>
        <w:t>Management services</w:t>
      </w:r>
    </w:p>
    <w:p>
      <w:pPr>
        <w:ind w:left="360" w:right="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the ordinary course of business, Fortress, through affiliated entities, charges the Company for administrative and general expenses incurred. The portion of such charges that are attributable to the Company totaled $3,866 and $2,214 for the years ended December 31, 2017 and 2016, respectively, and are included within Selling, general and administrative in the consolidated statements of operations and comprehensive loss. As of December 31, 2017 and 2016, $2,054 and $621 were due to Fortress, respectively.</w:t>
      </w:r>
    </w:p>
    <w:p>
      <w:pPr>
        <w:spacing w:after="0" w:line="80" w:lineRule="exact"/>
        <w:rPr>
          <w:rFonts w:ascii="Arial" w:cs="Arial" w:eastAsia="Arial" w:hAnsi="Arial"/>
          <w:sz w:val="16"/>
          <w:szCs w:val="16"/>
          <w:b w:val="1"/>
          <w:bCs w:val="1"/>
          <w:color w:val="auto"/>
        </w:rPr>
      </w:pPr>
    </w:p>
    <w:p>
      <w:pPr>
        <w:ind w:left="360" w:right="2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The Company is controlled by a Member who owned or leased aircraft that the Company chartered from a third-party aircraft operator for business purposes in the course of operations. The Company paid the aircraft operator market rates for the charters of $2,917 and $1,592 for the years ended December 31, 2017 and 2016, respectively, and these amounts are included in the activity and balances disclosed above.</w:t>
      </w:r>
    </w:p>
    <w:p>
      <w:pPr>
        <w:spacing w:after="0" w:line="186" w:lineRule="exact"/>
        <w:rPr>
          <w:rFonts w:ascii="Arial" w:cs="Arial" w:eastAsia="Arial" w:hAnsi="Arial"/>
          <w:sz w:val="16"/>
          <w:szCs w:val="16"/>
          <w:b w:val="1"/>
          <w:bCs w:val="1"/>
          <w:color w:val="auto"/>
        </w:rPr>
      </w:pPr>
    </w:p>
    <w:p>
      <w:pPr>
        <w:ind w:left="3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Land lease</w:t>
      </w:r>
    </w:p>
    <w:p>
      <w:pPr>
        <w:spacing w:after="0" w:line="114" w:lineRule="exact"/>
        <w:rPr>
          <w:rFonts w:ascii="Arial" w:cs="Arial" w:eastAsia="Arial" w:hAnsi="Arial"/>
          <w:sz w:val="16"/>
          <w:szCs w:val="16"/>
          <w:b w:val="1"/>
          <w:bCs w:val="1"/>
          <w:color w:val="auto"/>
        </w:rPr>
      </w:pPr>
    </w:p>
    <w:p>
      <w:pPr>
        <w:ind w:left="360" w:right="460"/>
        <w:spacing w:after="0" w:line="274" w:lineRule="auto"/>
        <w:rPr>
          <w:rFonts w:ascii="Arial" w:cs="Arial" w:eastAsia="Arial" w:hAnsi="Arial"/>
          <w:sz w:val="16"/>
          <w:szCs w:val="16"/>
          <w:b w:val="1"/>
          <w:bCs w:val="1"/>
          <w:color w:val="auto"/>
        </w:rPr>
      </w:pPr>
      <w:r>
        <w:rPr>
          <w:rFonts w:ascii="Arial" w:cs="Arial" w:eastAsia="Arial" w:hAnsi="Arial"/>
          <w:sz w:val="18"/>
          <w:szCs w:val="18"/>
          <w:color w:val="auto"/>
        </w:rPr>
        <w:t>As disclosed in Note 19, the Company has a land and office lease with Florida East Coast Industries, LLC (“FECI”). The expense for the year ended December 31, 2017 and 2016 totaled $285 and $302,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right="1020"/>
        <w:spacing w:after="0" w:line="339" w:lineRule="auto"/>
        <w:rPr>
          <w:sz w:val="20"/>
          <w:szCs w:val="20"/>
          <w:color w:val="auto"/>
        </w:rPr>
      </w:pPr>
      <w:r>
        <w:rPr>
          <w:rFonts w:ascii="Arial" w:cs="Arial" w:eastAsia="Arial" w:hAnsi="Arial"/>
          <w:sz w:val="16"/>
          <w:szCs w:val="16"/>
          <w:color w:val="auto"/>
        </w:rPr>
        <w:t>respectively, and is included within Operations and maintenance in the consolidated statements of operations and comprehensive loss. As of December 31, 2017 and 2016, $37 and $554 were due to FECI, respectively.</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Florida East Coast Railway (“FECR”)</w:t>
      </w:r>
    </w:p>
    <w:p>
      <w:pPr>
        <w:spacing w:after="0" w:line="115" w:lineRule="exact"/>
        <w:rPr>
          <w:sz w:val="20"/>
          <w:szCs w:val="20"/>
          <w:color w:val="auto"/>
        </w:rPr>
      </w:pPr>
    </w:p>
    <w:p>
      <w:pPr>
        <w:ind w:left="360" w:right="100"/>
        <w:spacing w:after="0" w:line="261" w:lineRule="auto"/>
        <w:rPr>
          <w:sz w:val="20"/>
          <w:szCs w:val="20"/>
          <w:color w:val="auto"/>
        </w:rPr>
      </w:pPr>
      <w:r>
        <w:rPr>
          <w:rFonts w:ascii="Arial" w:cs="Arial" w:eastAsia="Arial" w:hAnsi="Arial"/>
          <w:sz w:val="18"/>
          <w:szCs w:val="18"/>
          <w:color w:val="auto"/>
        </w:rPr>
        <w:t>The Company was affiliated with FECR, an entity previously majority-owned by an affiliate of Fortress, and sells LNG to FECR under a purchase and sale agreement entered into in December 2016. FECR was sold by Fortress on June 30, 2017, the date from which FECR was no longer considered affiliated with the Company.</w:t>
      </w:r>
    </w:p>
    <w:p>
      <w:pPr>
        <w:spacing w:after="0" w:line="76" w:lineRule="exact"/>
        <w:rPr>
          <w:sz w:val="20"/>
          <w:szCs w:val="20"/>
          <w:color w:val="auto"/>
        </w:rPr>
      </w:pPr>
    </w:p>
    <w:p>
      <w:pPr>
        <w:ind w:left="360" w:right="240"/>
        <w:spacing w:after="0" w:line="339" w:lineRule="auto"/>
        <w:rPr>
          <w:sz w:val="20"/>
          <w:szCs w:val="20"/>
          <w:color w:val="auto"/>
        </w:rPr>
      </w:pPr>
      <w:r>
        <w:rPr>
          <w:rFonts w:ascii="Arial" w:cs="Arial" w:eastAsia="Arial" w:hAnsi="Arial"/>
          <w:sz w:val="16"/>
          <w:szCs w:val="16"/>
          <w:color w:val="auto"/>
        </w:rPr>
        <w:t>During the years ended December 31, 2017 and 2016, the Company made sales of LNG to FECR totaling $1,618 and $329, respectively, for the periods FECR was affiliated with the Company. As of December 31, 2016, $22 were due to FECR.</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Due to/from Affiliates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tables below summarizes the balances outstanding with affiliates at December 31, 2017 and 2016:</w:t>
      </w:r>
    </w:p>
    <w:p>
      <w:pPr>
        <w:spacing w:after="0" w:line="80" w:lineRule="exact"/>
        <w:rPr>
          <w:sz w:val="20"/>
          <w:szCs w:val="20"/>
          <w:color w:val="auto"/>
        </w:rPr>
      </w:pPr>
    </w:p>
    <w:p>
      <w:pPr>
        <w:ind w:left="7500"/>
        <w:spacing w:after="0"/>
        <w:tabs>
          <w:tab w:leader="none" w:pos="86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12865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15" w:lineRule="exact"/>
        <w:rPr>
          <w:sz w:val="20"/>
          <w:szCs w:val="20"/>
          <w:color w:val="auto"/>
        </w:rPr>
      </w:pPr>
    </w:p>
    <w:p>
      <w:pPr>
        <w:ind w:left="380"/>
        <w:spacing w:after="0"/>
        <w:tabs>
          <w:tab w:leader="none" w:pos="7180" w:val="left"/>
          <w:tab w:leader="none" w:pos="7680" w:val="left"/>
          <w:tab w:leader="none" w:pos="8260" w:val="left"/>
          <w:tab w:leader="none" w:pos="8780" w:val="left"/>
        </w:tabs>
        <w:rPr>
          <w:sz w:val="20"/>
          <w:szCs w:val="20"/>
          <w:color w:val="auto"/>
        </w:rPr>
      </w:pPr>
      <w:r>
        <w:rPr>
          <w:rFonts w:ascii="Arial" w:cs="Arial" w:eastAsia="Arial" w:hAnsi="Arial"/>
          <w:sz w:val="18"/>
          <w:szCs w:val="18"/>
          <w:color w:val="auto"/>
        </w:rPr>
        <w:t>Amounts due to affiliates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2,091</w:t>
        <w:tab/>
        <w:t>$</w:t>
      </w:r>
      <w:r>
        <w:rPr>
          <w:sz w:val="20"/>
          <w:szCs w:val="20"/>
          <w:color w:val="auto"/>
        </w:rPr>
        <w:tab/>
      </w:r>
      <w:r>
        <w:rPr>
          <w:rFonts w:ascii="Arial" w:cs="Arial" w:eastAsia="Arial" w:hAnsi="Arial"/>
          <w:sz w:val="16"/>
          <w:szCs w:val="16"/>
          <w:color w:val="auto"/>
        </w:rPr>
        <w:t>1,197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-130175</wp:posOffset>
            </wp:positionV>
            <wp:extent cx="5664835" cy="153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64835" cy="153035"/>
                    </a:xfrm>
                    <a:prstGeom prst="rect">
                      <a:avLst/>
                    </a:prstGeom>
                    <a:noFill/>
                  </pic:spPr>
                </pic:pic>
              </a:graphicData>
            </a:graphic>
          </wp:anchor>
        </w:drawing>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year ended December 31, 2016, the Company received a promissory note from FEP for a principal amount of $120.</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 did not require interest and was repaid in full in February 2017.</w:t>
      </w:r>
    </w:p>
    <w:p>
      <w:pPr>
        <w:spacing w:after="0" w:line="96" w:lineRule="exact"/>
        <w:rPr>
          <w:sz w:val="20"/>
          <w:szCs w:val="20"/>
          <w:color w:val="auto"/>
        </w:rPr>
      </w:pPr>
    </w:p>
    <w:p>
      <w:pPr>
        <w:ind w:left="360" w:hanging="355"/>
        <w:spacing w:after="0"/>
        <w:tabs>
          <w:tab w:leader="none" w:pos="3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Customer concentrations</w:t>
      </w:r>
    </w:p>
    <w:p>
      <w:pPr>
        <w:spacing w:after="0" w:line="118" w:lineRule="exact"/>
        <w:rPr>
          <w:rFonts w:ascii="Arial" w:cs="Arial" w:eastAsia="Arial" w:hAnsi="Arial"/>
          <w:sz w:val="18"/>
          <w:szCs w:val="18"/>
          <w:b w:val="1"/>
          <w:bCs w:val="1"/>
          <w:color w:val="auto"/>
        </w:rPr>
      </w:pPr>
    </w:p>
    <w:p>
      <w:pPr>
        <w:ind w:left="360" w:right="6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For the years ended and as of December 31, 2017 and 2016, revenue from a significant customer constituted 92% and 61% of total revenues, respectively, and 92% and 96% of total receivables, respectively. In addition to trade receivables, the Company has primarily leased facilities under direct financing leases to this customer. As of December 31, 2017 and 2016, 97% and 100% of the Finance leases, net balance was attributed to this customer.</w:t>
      </w:r>
    </w:p>
    <w:p>
      <w:pPr>
        <w:spacing w:after="0" w:line="63" w:lineRule="exact"/>
        <w:rPr>
          <w:rFonts w:ascii="Arial" w:cs="Arial" w:eastAsia="Arial" w:hAnsi="Arial"/>
          <w:sz w:val="18"/>
          <w:szCs w:val="18"/>
          <w:b w:val="1"/>
          <w:bCs w:val="1"/>
          <w:color w:val="auto"/>
        </w:rPr>
      </w:pPr>
    </w:p>
    <w:p>
      <w:pPr>
        <w:ind w:left="360" w:right="140"/>
        <w:spacing w:after="0" w:line="299" w:lineRule="auto"/>
        <w:rPr>
          <w:rFonts w:ascii="Arial" w:cs="Arial" w:eastAsia="Arial" w:hAnsi="Arial"/>
          <w:sz w:val="18"/>
          <w:szCs w:val="18"/>
          <w:b w:val="1"/>
          <w:bCs w:val="1"/>
          <w:color w:val="auto"/>
        </w:rPr>
      </w:pPr>
      <w:r>
        <w:rPr>
          <w:rFonts w:ascii="Arial" w:cs="Arial" w:eastAsia="Arial" w:hAnsi="Arial"/>
          <w:sz w:val="16"/>
          <w:szCs w:val="16"/>
          <w:color w:val="auto"/>
        </w:rPr>
        <w:t>During the years ended December 31, 2017 and 2016, revenues from external customers that were derived from customers located in the United States was $4,935 and $319, respectively and from customers outside of the United States was $92,327 and $21,076, respectively, all of which was derived from customers in the Caribbean. The Company attributes revenues from external customers to the country in which the party to the applicable agreement has its principal place of business.</w:t>
      </w:r>
    </w:p>
    <w:p>
      <w:pPr>
        <w:spacing w:after="0" w:line="48" w:lineRule="exact"/>
        <w:rPr>
          <w:rFonts w:ascii="Arial" w:cs="Arial" w:eastAsia="Arial" w:hAnsi="Arial"/>
          <w:sz w:val="18"/>
          <w:szCs w:val="18"/>
          <w:b w:val="1"/>
          <w:bCs w:val="1"/>
          <w:color w:val="auto"/>
        </w:rPr>
      </w:pPr>
    </w:p>
    <w:p>
      <w:pPr>
        <w:ind w:left="360" w:right="80"/>
        <w:spacing w:after="0" w:line="309" w:lineRule="auto"/>
        <w:rPr>
          <w:rFonts w:ascii="Arial" w:cs="Arial" w:eastAsia="Arial" w:hAnsi="Arial"/>
          <w:sz w:val="18"/>
          <w:szCs w:val="18"/>
          <w:b w:val="1"/>
          <w:bCs w:val="1"/>
          <w:color w:val="auto"/>
        </w:rPr>
      </w:pPr>
      <w:r>
        <w:rPr>
          <w:rFonts w:ascii="Arial" w:cs="Arial" w:eastAsia="Arial" w:hAnsi="Arial"/>
          <w:sz w:val="16"/>
          <w:szCs w:val="16"/>
          <w:color w:val="auto"/>
        </w:rPr>
        <w:t>As of December 31, 2017 and 2016, long lived assets, which are all non-current assets excluding deferred tax assets and available-for-sale securities, located in the United States were $88,604 and $76,591, respectively and long lived assets located outside of the United States was $131,300 and $96,859, respectively, all of which were located in the Caribbean.</w:t>
      </w:r>
    </w:p>
    <w:p>
      <w:pPr>
        <w:spacing w:after="0" w:line="36" w:lineRule="exact"/>
        <w:rPr>
          <w:rFonts w:ascii="Arial" w:cs="Arial" w:eastAsia="Arial" w:hAnsi="Arial"/>
          <w:sz w:val="18"/>
          <w:szCs w:val="18"/>
          <w:b w:val="1"/>
          <w:bCs w:val="1"/>
          <w:color w:val="auto"/>
        </w:rPr>
      </w:pPr>
    </w:p>
    <w:p>
      <w:pPr>
        <w:ind w:left="360" w:hanging="355"/>
        <w:spacing w:after="0"/>
        <w:tabs>
          <w:tab w:leader="none" w:pos="3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Purchase and other commitments</w:t>
      </w:r>
    </w:p>
    <w:p>
      <w:pPr>
        <w:spacing w:after="0" w:line="114" w:lineRule="exact"/>
        <w:rPr>
          <w:rFonts w:ascii="Arial" w:cs="Arial" w:eastAsia="Arial" w:hAnsi="Arial"/>
          <w:sz w:val="18"/>
          <w:szCs w:val="18"/>
          <w:b w:val="1"/>
          <w:bCs w:val="1"/>
          <w:color w:val="auto"/>
        </w:rPr>
      </w:pPr>
    </w:p>
    <w:p>
      <w:pPr>
        <w:ind w:left="3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January 18, 2018, the Company signed a timecharter party agreement for a 125,000 cubic meter floating storage and regasification unit commencing from the point at which the vessel is delivered, for an initial term of 15 years, with the option to extend for one additional period of 5 years. Charter costs are charged at a capital rate of $50 per day, and operating expense rate of $22 per day with annual escalation clauses.</w:t>
      </w:r>
    </w:p>
    <w:p>
      <w:pPr>
        <w:spacing w:after="0" w:line="79" w:lineRule="exact"/>
        <w:rPr>
          <w:rFonts w:ascii="Arial" w:cs="Arial" w:eastAsia="Arial" w:hAnsi="Arial"/>
          <w:sz w:val="18"/>
          <w:szCs w:val="18"/>
          <w:b w:val="1"/>
          <w:bCs w:val="1"/>
          <w:color w:val="auto"/>
        </w:rPr>
      </w:pPr>
    </w:p>
    <w:p>
      <w:pPr>
        <w:ind w:left="360" w:right="64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On February 21, 2018, the Company committed to purchase an LNG terminal support vessel for $498. The vessel was delivered on April 17, 2018.</w:t>
      </w:r>
    </w:p>
    <w:p>
      <w:pPr>
        <w:spacing w:after="0" w:line="63" w:lineRule="exact"/>
        <w:rPr>
          <w:rFonts w:ascii="Arial" w:cs="Arial" w:eastAsia="Arial" w:hAnsi="Arial"/>
          <w:sz w:val="18"/>
          <w:szCs w:val="18"/>
          <w:b w:val="1"/>
          <w:bCs w:val="1"/>
          <w:color w:val="auto"/>
        </w:rPr>
      </w:pPr>
    </w:p>
    <w:p>
      <w:pPr>
        <w:jc w:val="both"/>
        <w:ind w:left="360" w:right="4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On March 2, 2018, the Company entered into a gas purchase agreement with a major Marcellus Shale producer to supply approximately 160 mcf/d or equivalent of approximately 2,000,000 LNG gallons per day to the Company effective upon fulfillment of certain conditions precedent.</w:t>
      </w:r>
    </w:p>
    <w:p>
      <w:pPr>
        <w:spacing w:after="0" w:line="75" w:lineRule="exact"/>
        <w:rPr>
          <w:rFonts w:ascii="Arial" w:cs="Arial" w:eastAsia="Arial" w:hAnsi="Arial"/>
          <w:sz w:val="18"/>
          <w:szCs w:val="18"/>
          <w:b w:val="1"/>
          <w:bCs w:val="1"/>
          <w:color w:val="auto"/>
        </w:rPr>
      </w:pPr>
    </w:p>
    <w:p>
      <w:pPr>
        <w:ind w:left="36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On March 14, 2018, the Company extended an existing time charter party agreement expiring May 2018 for continued charter of a 140,500 cubic meter LNG carrier to January 2019. All other conditions to the time charter party agreement remain the same.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line="261" w:lineRule="auto"/>
        <w:rPr>
          <w:sz w:val="20"/>
          <w:szCs w:val="20"/>
          <w:color w:val="auto"/>
        </w:rPr>
      </w:pPr>
      <w:r>
        <w:rPr>
          <w:rFonts w:ascii="Arial" w:cs="Arial" w:eastAsia="Arial" w:hAnsi="Arial"/>
          <w:sz w:val="18"/>
          <w:szCs w:val="18"/>
          <w:color w:val="auto"/>
        </w:rPr>
        <w:t>The Company had previously committed to a call option agreement to charter a 15,600 cubic meter LNG carrier for a minimum period of 24 months, and to a maximum period of 27 months. The option is priced at $100 per month and was exercised on March 16, 2018.</w:t>
      </w:r>
    </w:p>
    <w:p>
      <w:pPr>
        <w:spacing w:after="0" w:line="76" w:lineRule="exact"/>
        <w:rPr>
          <w:sz w:val="20"/>
          <w:szCs w:val="20"/>
          <w:color w:val="auto"/>
        </w:rPr>
      </w:pPr>
    </w:p>
    <w:p>
      <w:pPr>
        <w:ind w:left="360" w:right="240"/>
        <w:spacing w:after="0" w:line="274" w:lineRule="auto"/>
        <w:rPr>
          <w:sz w:val="20"/>
          <w:szCs w:val="20"/>
          <w:color w:val="auto"/>
        </w:rPr>
      </w:pPr>
      <w:r>
        <w:rPr>
          <w:rFonts w:ascii="Arial" w:cs="Arial" w:eastAsia="Arial" w:hAnsi="Arial"/>
          <w:sz w:val="18"/>
          <w:szCs w:val="18"/>
          <w:color w:val="auto"/>
        </w:rPr>
        <w:t>Subsequent to December 31, 2017, the Company has entered into multiple agreements to acquire land. Total purchases since December 31, 2017 were $9,956.</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Leases, as lessee</w:t>
      </w:r>
    </w:p>
    <w:p>
      <w:pPr>
        <w:spacing w:after="0" w:line="115" w:lineRule="exact"/>
        <w:rPr>
          <w:sz w:val="20"/>
          <w:szCs w:val="20"/>
          <w:color w:val="auto"/>
        </w:rPr>
      </w:pPr>
    </w:p>
    <w:p>
      <w:pPr>
        <w:ind w:left="360" w:right="40"/>
        <w:spacing w:after="0" w:line="254" w:lineRule="auto"/>
        <w:rPr>
          <w:sz w:val="20"/>
          <w:szCs w:val="20"/>
          <w:color w:val="auto"/>
        </w:rPr>
      </w:pPr>
      <w:r>
        <w:rPr>
          <w:rFonts w:ascii="Arial" w:cs="Arial" w:eastAsia="Arial" w:hAnsi="Arial"/>
          <w:sz w:val="18"/>
          <w:szCs w:val="18"/>
          <w:color w:val="auto"/>
        </w:rPr>
        <w:t>The Company entered into several lease agreements during 2018 in Latin America. Such agreements include securing certain facilities, wharf areas, office space and specified port areas for development of terminals. Terms for these leases range from 20 to 30 years, and certain of these leases contain extension terms. One-time fees paid subsequent to December 31, 2017 to secure leases were $19,000. Fixed lease payments under these leases are expected to be approximately $1,200 and some of these lease contain variable components based on LNG processed. The Company has also restricted funds of approximately $2,200 as collateral for these leases.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Members’ Equity</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January 26, 2018, 665,843 common shares (no par value) were issued for consideration of $20,150.</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Debt</w:t>
      </w:r>
    </w:p>
    <w:p>
      <w:pPr>
        <w:spacing w:after="0" w:line="115" w:lineRule="exact"/>
        <w:rPr>
          <w:sz w:val="20"/>
          <w:szCs w:val="20"/>
          <w:color w:val="auto"/>
        </w:rPr>
      </w:pPr>
    </w:p>
    <w:p>
      <w:pPr>
        <w:ind w:left="360" w:right="20"/>
        <w:spacing w:after="0" w:line="268" w:lineRule="auto"/>
        <w:rPr>
          <w:sz w:val="20"/>
          <w:szCs w:val="20"/>
          <w:color w:val="auto"/>
        </w:rPr>
      </w:pPr>
      <w:r>
        <w:rPr>
          <w:rFonts w:ascii="Arial" w:cs="Arial" w:eastAsia="Arial" w:hAnsi="Arial"/>
          <w:sz w:val="16"/>
          <w:szCs w:val="16"/>
          <w:color w:val="auto"/>
        </w:rPr>
        <w:t xml:space="preserve">On August 16, 2018, the Company entered into a Term Loan Facility (the “Term Loan Facility”) to borrow term loans, available in three draws, up to an aggregate principal amount of $240,000. Borrowings under the Term Loan Facility bear interest at a rate selected by the Company of either (i) a LIBOR based rate, plus a spread of 4.0%, or (ii) subject to a floor of 1%, a Base Rate equal to the higher of (a) the Prime Rate, (b) the Federal Funds Rate plus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2</w:t>
      </w:r>
      <w:r>
        <w:rPr>
          <w:rFonts w:ascii="Arial" w:cs="Arial" w:eastAsia="Arial" w:hAnsi="Arial"/>
          <w:sz w:val="16"/>
          <w:szCs w:val="16"/>
          <w:color w:val="auto"/>
        </w:rPr>
        <w:t xml:space="preserve"> of 1% or (c) the 1-month LIBOR rate plus the difference between the applicable LIBOR margin and Base Rate margin, plus a spread of 3.0%. The Term Loan Facility is set to mature on August 14, 2019 and is repayable in quarterly installments of $600, with a balloon payment due on the maturity date. The Company has the option to extend the maturity date for two additional six month periods; upon the exercise of each extension option, the spread on LIBOR and Base Rate increases by 0.5%. To exercise the extension option, the Company must pay a fee equal to 1.0% of the outstanding principal balance at the time of the exercise of the option.</w:t>
      </w:r>
    </w:p>
    <w:p>
      <w:pPr>
        <w:spacing w:after="0" w:line="75" w:lineRule="exact"/>
        <w:rPr>
          <w:sz w:val="20"/>
          <w:szCs w:val="20"/>
          <w:color w:val="auto"/>
        </w:rPr>
      </w:pPr>
    </w:p>
    <w:p>
      <w:pPr>
        <w:ind w:left="360" w:right="40"/>
        <w:spacing w:after="0" w:line="299" w:lineRule="auto"/>
        <w:rPr>
          <w:sz w:val="20"/>
          <w:szCs w:val="20"/>
          <w:color w:val="auto"/>
        </w:rPr>
      </w:pPr>
      <w:r>
        <w:rPr>
          <w:rFonts w:ascii="Arial" w:cs="Arial" w:eastAsia="Arial" w:hAnsi="Arial"/>
          <w:sz w:val="16"/>
          <w:szCs w:val="16"/>
          <w:color w:val="auto"/>
        </w:rPr>
        <w:t>The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in indebtedness, liens, acquisitions and investments, restricted payments and dispositions. The Term Loan Facility also provides for customary events of default, prepayment and cure provisions.</w:t>
      </w:r>
    </w:p>
    <w:p>
      <w:pPr>
        <w:spacing w:after="0" w:line="49" w:lineRule="exact"/>
        <w:rPr>
          <w:sz w:val="20"/>
          <w:szCs w:val="20"/>
          <w:color w:val="auto"/>
        </w:rPr>
      </w:pPr>
    </w:p>
    <w:p>
      <w:pPr>
        <w:ind w:left="360" w:right="300"/>
        <w:spacing w:after="0" w:line="261" w:lineRule="auto"/>
        <w:rPr>
          <w:sz w:val="20"/>
          <w:szCs w:val="20"/>
          <w:color w:val="auto"/>
        </w:rPr>
      </w:pPr>
      <w:r>
        <w:rPr>
          <w:rFonts w:ascii="Arial" w:cs="Arial" w:eastAsia="Arial" w:hAnsi="Arial"/>
          <w:sz w:val="18"/>
          <w:szCs w:val="18"/>
          <w:color w:val="auto"/>
        </w:rPr>
        <w:t>The Term Loan Facility funded $130,000 less fees at closing. The remaining capacity of $110,000 under the Term Loan Facility is subject to a delayed draw feature, resulting in $40,000 to be funded at the payoff of the Miami Loan and then the remainder to be funded in September 2018 at the payoff of the Mobay Loan.</w:t>
      </w:r>
    </w:p>
    <w:p>
      <w:pPr>
        <w:spacing w:after="0" w:line="76" w:lineRule="exact"/>
        <w:rPr>
          <w:sz w:val="20"/>
          <w:szCs w:val="20"/>
          <w:color w:val="auto"/>
        </w:rPr>
      </w:pPr>
    </w:p>
    <w:p>
      <w:pPr>
        <w:jc w:val="both"/>
        <w:ind w:left="360" w:right="40"/>
        <w:spacing w:after="0" w:line="261" w:lineRule="auto"/>
        <w:rPr>
          <w:sz w:val="20"/>
          <w:szCs w:val="20"/>
          <w:color w:val="auto"/>
        </w:rPr>
      </w:pPr>
      <w:r>
        <w:rPr>
          <w:rFonts w:ascii="Arial" w:cs="Arial" w:eastAsia="Arial" w:hAnsi="Arial"/>
          <w:sz w:val="18"/>
          <w:szCs w:val="18"/>
          <w:color w:val="auto"/>
        </w:rPr>
        <w:t>The Company will use the net proceeds of the Term Loan Facility to repay both the Miami Loan and the MoBay Loan, and the remaining proceeds will be used for general corporate purposes, including capital expenditures and future construction projects under development.</w:t>
      </w:r>
    </w:p>
    <w:p>
      <w:pPr>
        <w:spacing w:after="0" w:line="76" w:lineRule="exact"/>
        <w:rPr>
          <w:sz w:val="20"/>
          <w:szCs w:val="20"/>
          <w:color w:val="auto"/>
        </w:rPr>
      </w:pPr>
    </w:p>
    <w:p>
      <w:pPr>
        <w:ind w:left="360" w:right="520"/>
        <w:spacing w:after="0" w:line="274" w:lineRule="auto"/>
        <w:rPr>
          <w:sz w:val="20"/>
          <w:szCs w:val="20"/>
          <w:color w:val="auto"/>
        </w:rPr>
      </w:pPr>
      <w:r>
        <w:rPr>
          <w:rFonts w:ascii="Arial" w:cs="Arial" w:eastAsia="Arial" w:hAnsi="Arial"/>
          <w:sz w:val="18"/>
          <w:szCs w:val="18"/>
          <w:color w:val="auto"/>
        </w:rPr>
        <w:t>Management performed an evaluation of subsequent events through August 16, 2018, the date the consolidated financial statements were issued.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603059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0595"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150495</wp:posOffset>
            </wp:positionV>
            <wp:extent cx="60305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0595" cy="825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977265</wp:posOffset>
            </wp:positionV>
            <wp:extent cx="2419350" cy="6388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19350" cy="638810"/>
                    </a:xfrm>
                    <a:prstGeom prst="rect">
                      <a:avLst/>
                    </a:prstGeom>
                    <a:noFill/>
                  </pic:spPr>
                </pic:pic>
              </a:graphicData>
            </a:graphic>
          </wp:anchor>
        </w:drawing>
      </w:r>
    </w:p>
    <w:p>
      <w:pPr>
        <w:sectPr>
          <w:pgSz w:w="12240" w:h="15840" w:orient="portrait"/>
          <w:cols w:equalWidth="0" w:num="1">
            <w:col w:w="9440"/>
          </w:cols>
          <w:pgMar w:left="1360" w:top="1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auto"/>
        </w:rPr>
        <w:t>New Fortress Energy LLC</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20,000,000 Class A shares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6"/>
          <w:szCs w:val="26"/>
          <w:b w:val="1"/>
          <w:bCs w:val="1"/>
          <w:color w:val="auto"/>
        </w:rPr>
        <w:t>Representing Limited Liability Company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716280</wp:posOffset>
            </wp:positionV>
            <wp:extent cx="10223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80"/>
        <w:spacing w:after="0"/>
        <w:rPr>
          <w:sz w:val="20"/>
          <w:szCs w:val="20"/>
          <w:color w:val="auto"/>
        </w:rPr>
      </w:pPr>
      <w:r>
        <w:rPr>
          <w:rFonts w:ascii="Arial" w:cs="Arial" w:eastAsia="Arial" w:hAnsi="Arial"/>
          <w:sz w:val="21"/>
          <w:szCs w:val="21"/>
          <w:color w:val="auto"/>
        </w:rPr>
        <w:t>Prospectus</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116205</wp:posOffset>
            </wp:positionV>
            <wp:extent cx="10223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Morgan Stanley</w:t>
      </w:r>
    </w:p>
    <w:p>
      <w:pPr>
        <w:jc w:val="center"/>
        <w:ind w:right="-59"/>
        <w:spacing w:after="0" w:line="209" w:lineRule="auto"/>
        <w:rPr>
          <w:sz w:val="20"/>
          <w:szCs w:val="20"/>
          <w:color w:val="auto"/>
        </w:rPr>
      </w:pPr>
      <w:r>
        <w:rPr>
          <w:rFonts w:ascii="Arial" w:cs="Arial" w:eastAsia="Arial" w:hAnsi="Arial"/>
          <w:sz w:val="32"/>
          <w:szCs w:val="32"/>
          <w:b w:val="1"/>
          <w:bCs w:val="1"/>
          <w:color w:val="auto"/>
        </w:rPr>
        <w:t>Barclays</w:t>
      </w:r>
    </w:p>
    <w:p>
      <w:pPr>
        <w:jc w:val="center"/>
        <w:ind w:right="-59"/>
        <w:spacing w:after="0" w:line="210" w:lineRule="auto"/>
        <w:rPr>
          <w:sz w:val="20"/>
          <w:szCs w:val="20"/>
          <w:color w:val="auto"/>
        </w:rPr>
      </w:pPr>
      <w:r>
        <w:rPr>
          <w:rFonts w:ascii="Arial" w:cs="Arial" w:eastAsia="Arial" w:hAnsi="Arial"/>
          <w:sz w:val="32"/>
          <w:szCs w:val="32"/>
          <w:b w:val="1"/>
          <w:bCs w:val="1"/>
          <w:color w:val="auto"/>
        </w:rPr>
        <w:t>Citigroup</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Credit Suisse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Evercore ISI</w:t>
      </w:r>
    </w:p>
    <w:p>
      <w:pPr>
        <w:jc w:val="center"/>
        <w:ind w:right="-59"/>
        <w:spacing w:after="0"/>
        <w:rPr>
          <w:sz w:val="20"/>
          <w:szCs w:val="20"/>
          <w:color w:val="auto"/>
        </w:rPr>
      </w:pPr>
      <w:r>
        <w:rPr>
          <w:rFonts w:ascii="Arial" w:cs="Arial" w:eastAsia="Arial" w:hAnsi="Arial"/>
          <w:sz w:val="25"/>
          <w:szCs w:val="25"/>
          <w:b w:val="1"/>
          <w:bCs w:val="1"/>
          <w:color w:val="auto"/>
        </w:rPr>
        <w:t>Allen &amp; Company LLC</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JMP Securities</w:t>
      </w:r>
    </w:p>
    <w:p>
      <w:pPr>
        <w:jc w:val="center"/>
        <w:ind w:right="-59"/>
        <w:spacing w:after="0"/>
        <w:rPr>
          <w:sz w:val="20"/>
          <w:szCs w:val="20"/>
          <w:color w:val="auto"/>
        </w:rPr>
      </w:pPr>
      <w:r>
        <w:rPr>
          <w:rFonts w:ascii="Arial" w:cs="Arial" w:eastAsia="Arial" w:hAnsi="Arial"/>
          <w:sz w:val="25"/>
          <w:szCs w:val="25"/>
          <w:b w:val="1"/>
          <w:bCs w:val="1"/>
          <w:color w:val="auto"/>
        </w:rPr>
        <w:t>Stifel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606425</wp:posOffset>
            </wp:positionV>
            <wp:extent cx="10223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ectPr>
          <w:pgSz w:w="12240" w:h="15840" w:orient="portrait"/>
          <w:cols w:equalWidth="0" w:num="1">
            <w:col w:w="9440"/>
          </w:cols>
          <w:pgMar w:left="1360" w:top="13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57"/>
        <w:spacing w:after="0" w:line="222" w:lineRule="auto"/>
        <w:rPr>
          <w:sz w:val="20"/>
          <w:szCs w:val="20"/>
          <w:color w:val="auto"/>
        </w:rPr>
      </w:pPr>
      <w:r>
        <w:rPr>
          <w:rFonts w:ascii="Arial" w:cs="Arial" w:eastAsia="Arial" w:hAnsi="Arial"/>
          <w:sz w:val="18"/>
          <w:szCs w:val="18"/>
          <w:b w:val="1"/>
          <w:bCs w:val="1"/>
          <w:color w:val="auto"/>
        </w:rPr>
        <w:t>Through and including , 2019 (the 25</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day after the date of this prospectus), federal securities laws may require all dealers that effect transactions in these securities, whether or not participating in this offering, to deliver a prospectus. This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60305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05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189865</wp:posOffset>
            </wp:positionV>
            <wp:extent cx="603059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059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496570</wp:posOffset>
            </wp:positionV>
            <wp:extent cx="603059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7" w:right="1440" w:bottom="1440" w:gutter="0" w:footer="0" w:header="0"/>
          <w:type w:val="continuous"/>
        </w:sectPr>
      </w:pPr>
    </w:p>
    <w:bookmarkStart w:id="183" w:name="page184"/>
    <w:bookmarkEnd w:id="1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19" w:lineRule="exact"/>
        <w:rPr>
          <w:sz w:val="20"/>
          <w:szCs w:val="20"/>
          <w:color w:val="auto"/>
        </w:rPr>
      </w:pPr>
    </w:p>
    <w:p>
      <w:pPr>
        <w:ind w:right="100" w:firstLine="357"/>
        <w:spacing w:after="0" w:line="261" w:lineRule="auto"/>
        <w:rPr>
          <w:sz w:val="20"/>
          <w:szCs w:val="20"/>
          <w:color w:val="auto"/>
        </w:rPr>
      </w:pPr>
      <w:r>
        <w:rPr>
          <w:rFonts w:ascii="Arial" w:cs="Arial" w:eastAsia="Arial" w:hAnsi="Arial"/>
          <w:sz w:val="18"/>
          <w:szCs w:val="18"/>
          <w:color w:val="auto"/>
        </w:rPr>
        <w:t>Set forth below are the expenses (other than underwriting discounts) expected to be incurred in connection with the issuance and distribution of the securities registered hereby. With the exception of the Securities and Exchange Commission registration fee, the FINRA filing fee and NASDAQ listing fee the amounts set forth below are estimates.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58,790</w:t>
            </w:r>
          </w:p>
        </w:tc>
      </w:tr>
      <w:tr>
        <w:trPr>
          <w:trHeight w:val="235"/>
        </w:trPr>
        <w:tc>
          <w:tcPr>
            <w:tcW w:w="8100" w:type="dxa"/>
            <w:vAlign w:val="bottom"/>
          </w:tcPr>
          <w:p>
            <w:pPr>
              <w:spacing w:after="0"/>
              <w:rPr>
                <w:sz w:val="20"/>
                <w:szCs w:val="20"/>
                <w:color w:val="auto"/>
              </w:rPr>
            </w:pPr>
            <w:r>
              <w:rPr>
                <w:rFonts w:ascii="Arial" w:cs="Arial" w:eastAsia="Arial" w:hAnsi="Arial"/>
                <w:sz w:val="18"/>
                <w:szCs w:val="18"/>
                <w:color w:val="auto"/>
              </w:rPr>
              <w:t>FINRA filing fee</w:t>
            </w:r>
          </w:p>
        </w:tc>
        <w:tc>
          <w:tcPr>
            <w:tcW w:w="3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73,261</w:t>
            </w:r>
          </w:p>
        </w:tc>
      </w:tr>
      <w:tr>
        <w:trPr>
          <w:trHeight w:val="248"/>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280,000</w:t>
            </w:r>
          </w:p>
        </w:tc>
      </w:tr>
      <w:tr>
        <w:trPr>
          <w:trHeight w:val="235"/>
        </w:trPr>
        <w:tc>
          <w:tcPr>
            <w:tcW w:w="8100" w:type="dxa"/>
            <w:vAlign w:val="bottom"/>
          </w:tcPr>
          <w:p>
            <w:pPr>
              <w:spacing w:after="0"/>
              <w:rPr>
                <w:sz w:val="20"/>
                <w:szCs w:val="20"/>
                <w:color w:val="auto"/>
              </w:rPr>
            </w:pPr>
            <w:r>
              <w:rPr>
                <w:rFonts w:ascii="Arial" w:cs="Arial" w:eastAsia="Arial" w:hAnsi="Arial"/>
                <w:sz w:val="18"/>
                <w:szCs w:val="18"/>
                <w:color w:val="auto"/>
              </w:rPr>
              <w:t>Fees and expenses of legal counsel</w:t>
            </w:r>
          </w:p>
        </w:tc>
        <w:tc>
          <w:tcPr>
            <w:tcW w:w="3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2,750,000</w:t>
            </w:r>
          </w:p>
        </w:tc>
      </w:tr>
      <w:tr>
        <w:trPr>
          <w:trHeight w:val="248"/>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2,985,000</w:t>
            </w:r>
          </w:p>
        </w:tc>
      </w:tr>
      <w:tr>
        <w:trPr>
          <w:trHeight w:val="235"/>
        </w:trPr>
        <w:tc>
          <w:tcPr>
            <w:tcW w:w="810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3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20,000</w:t>
            </w:r>
          </w:p>
        </w:tc>
      </w:tr>
      <w:tr>
        <w:trPr>
          <w:trHeight w:val="248"/>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125,000</w:t>
            </w:r>
          </w:p>
        </w:tc>
      </w:tr>
      <w:tr>
        <w:trPr>
          <w:trHeight w:val="228"/>
        </w:trPr>
        <w:tc>
          <w:tcPr>
            <w:tcW w:w="8100" w:type="dxa"/>
            <w:vAlign w:val="bottom"/>
          </w:tcPr>
          <w:p>
            <w:pPr>
              <w:spacing w:after="0"/>
              <w:rPr>
                <w:sz w:val="20"/>
                <w:szCs w:val="20"/>
                <w:color w:val="auto"/>
              </w:rPr>
            </w:pPr>
            <w:r>
              <w:rPr>
                <w:rFonts w:ascii="Arial" w:cs="Arial" w:eastAsia="Arial" w:hAnsi="Arial"/>
                <w:sz w:val="18"/>
                <w:szCs w:val="18"/>
                <w:color w:val="auto"/>
              </w:rPr>
              <w:t>Miscellaneous</w:t>
            </w:r>
          </w:p>
        </w:tc>
        <w:tc>
          <w:tcPr>
            <w:tcW w:w="3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7,949</w:t>
            </w:r>
          </w:p>
        </w:tc>
      </w:tr>
      <w:tr>
        <w:trPr>
          <w:trHeight w:val="27"/>
        </w:trPr>
        <w:tc>
          <w:tcPr>
            <w:tcW w:w="8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6,300,000</w:t>
            </w:r>
          </w:p>
        </w:tc>
      </w:tr>
      <w:tr>
        <w:trPr>
          <w:trHeight w:val="27"/>
        </w:trPr>
        <w:tc>
          <w:tcPr>
            <w:tcW w:w="8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9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OFFICERS AND MEMBERS OF OUR BOARD OF DIRECTORS.</w:t>
      </w:r>
    </w:p>
    <w:p>
      <w:pPr>
        <w:spacing w:after="0" w:line="119"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color w:val="auto"/>
        </w:rPr>
        <w:t>Our operating agreement provides that we will indemnify, to the fullest extent permitted by the Delaware LLC Act, each person who was or is made a party or is threatened to be made a party in any legal proceeding by reason of the fact that he or she is or was our or our subsidiary’s director or officer. However, such indemnification is permitted only if such person acted in good faith and lawfully. Indemnification is authorized on a case-by-case basis by (1) our board of directors by a majority vote of disinterested directors, (2) a committee of the disinterested directors, (3) independent legal counsel in a written opinion if (1) and (2) are not available, or if disinterested directors so direct, or (4) the shareholders. Indemnification of former directors or officers shall be determined by any person authorized to act on the matter on our behalf. Expenses incurred by a director or officer in defending against such legal proceedings are payable before the final disposition of the action, provided that the director or officer undertakes to repay us if it is later determined that he or she is not entitled to indemnification.</w:t>
      </w:r>
    </w:p>
    <w:p>
      <w:pPr>
        <w:spacing w:after="0" w:line="74" w:lineRule="exact"/>
        <w:rPr>
          <w:sz w:val="20"/>
          <w:szCs w:val="20"/>
          <w:color w:val="auto"/>
        </w:rPr>
      </w:pPr>
    </w:p>
    <w:p>
      <w:pPr>
        <w:ind w:right="60" w:firstLine="357"/>
        <w:spacing w:after="0" w:line="289" w:lineRule="auto"/>
        <w:rPr>
          <w:sz w:val="20"/>
          <w:szCs w:val="20"/>
          <w:color w:val="auto"/>
        </w:rPr>
      </w:pPr>
      <w:r>
        <w:rPr>
          <w:rFonts w:ascii="Arial" w:cs="Arial" w:eastAsia="Arial" w:hAnsi="Arial"/>
          <w:sz w:val="16"/>
          <w:szCs w:val="16"/>
          <w:color w:val="auto"/>
        </w:rPr>
        <w:t>Our operating agreement provides that we may indemnify any person who is or was a director, officer, employee or agent of us to the fullest extent permitted by Delaware law. The indemnification provisions contained in our operating agreement are not exclusive of any other rights to which a person may be entitled by law, agreement, vote of shareholders or disinterested directors or otherwise. In addition, we have entered into separate indemnification agreements with each of our directors and executive officers, which are broader than the specific indemnification provisions contained in the Delaware LLC Act. These indemnification agreements require us, among other things, to indemnify our directors and officers against liabilities that may arise by reason of their status or service as directors or officers, other than liabilities arising from willful misconduct.</w:t>
      </w:r>
    </w:p>
    <w:p>
      <w:pPr>
        <w:spacing w:after="0" w:line="59" w:lineRule="exact"/>
        <w:rPr>
          <w:sz w:val="20"/>
          <w:szCs w:val="20"/>
          <w:color w:val="auto"/>
        </w:rPr>
      </w:pPr>
    </w:p>
    <w:p>
      <w:pPr>
        <w:ind w:right="120" w:firstLine="357"/>
        <w:spacing w:after="0" w:line="274" w:lineRule="auto"/>
        <w:rPr>
          <w:sz w:val="20"/>
          <w:szCs w:val="20"/>
          <w:color w:val="auto"/>
        </w:rPr>
      </w:pPr>
      <w:r>
        <w:rPr>
          <w:rFonts w:ascii="Arial" w:cs="Arial" w:eastAsia="Arial" w:hAnsi="Arial"/>
          <w:sz w:val="18"/>
          <w:szCs w:val="18"/>
          <w:color w:val="auto"/>
        </w:rPr>
        <w:t>We will purchase insurance covering our officers and directors against liabilities asserted and expenses incurred in connection with their activities as our officers and directors or any of our direct or indirect subsidiaries.</w:t>
      </w:r>
    </w:p>
    <w:p>
      <w:pPr>
        <w:spacing w:after="0" w:line="64" w:lineRule="exact"/>
        <w:rPr>
          <w:sz w:val="20"/>
          <w:szCs w:val="20"/>
          <w:color w:val="auto"/>
        </w:rPr>
      </w:pPr>
    </w:p>
    <w:p>
      <w:pPr>
        <w:ind w:right="100" w:firstLine="357"/>
        <w:spacing w:after="0" w:line="257" w:lineRule="auto"/>
        <w:rPr>
          <w:sz w:val="20"/>
          <w:szCs w:val="20"/>
          <w:color w:val="auto"/>
        </w:rPr>
      </w:pPr>
      <w:r>
        <w:rPr>
          <w:rFonts w:ascii="Arial" w:cs="Arial" w:eastAsia="Arial" w:hAnsi="Arial"/>
          <w:sz w:val="18"/>
          <w:szCs w:val="18"/>
          <w:color w:val="auto"/>
        </w:rPr>
        <w:t>The underwriting agreement to be entered into in connection with the sale of the securities offered pursuant to this registration statement, the form of which will be filed as an exhibit to this registration statement, provides for indemnification of New Fortress Energy Holdings, their officers and directors, and any person who controls New Fortress Energy Holdings, including indemnification for liabilities under the Securities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19" w:lineRule="exact"/>
        <w:rPr>
          <w:sz w:val="20"/>
          <w:szCs w:val="20"/>
          <w:color w:val="auto"/>
        </w:rPr>
      </w:pPr>
    </w:p>
    <w:p>
      <w:pPr>
        <w:ind w:right="120" w:firstLine="357"/>
        <w:spacing w:after="0" w:line="267" w:lineRule="auto"/>
        <w:rPr>
          <w:sz w:val="20"/>
          <w:szCs w:val="20"/>
          <w:color w:val="auto"/>
        </w:rPr>
      </w:pPr>
      <w:r>
        <w:rPr>
          <w:rFonts w:ascii="Arial" w:cs="Arial" w:eastAsia="Arial" w:hAnsi="Arial"/>
          <w:sz w:val="17"/>
          <w:szCs w:val="17"/>
          <w:color w:val="auto"/>
        </w:rPr>
        <w:t>On August 6, 2018, in connection with the formation of New Fortress Energy LLC, we issued the 100.0% limited liability company interest in us to New Fortress Energy Holdings LLC. The issuance was exempt from registration under Section 4(a)(2) of the Securities Act. There have been no other sales of unregistered securities within the past three years.</w:t>
      </w:r>
    </w:p>
    <w:p>
      <w:pPr>
        <w:spacing w:after="0" w:line="45" w:lineRule="exact"/>
        <w:rPr>
          <w:sz w:val="20"/>
          <w:szCs w:val="20"/>
          <w:color w:val="auto"/>
        </w:rPr>
      </w:pPr>
    </w:p>
    <w:p>
      <w:pPr>
        <w:ind w:right="420" w:firstLine="357"/>
        <w:spacing w:after="0" w:line="304" w:lineRule="auto"/>
        <w:rPr>
          <w:sz w:val="20"/>
          <w:szCs w:val="20"/>
          <w:color w:val="auto"/>
        </w:rPr>
      </w:pPr>
      <w:r>
        <w:rPr>
          <w:rFonts w:ascii="Arial" w:cs="Arial" w:eastAsia="Arial" w:hAnsi="Arial"/>
          <w:sz w:val="16"/>
          <w:szCs w:val="16"/>
          <w:color w:val="auto"/>
        </w:rPr>
        <w:t>In connection with the formation transactions described herein, we will issue 147,058,824 Class B shares, representing an aggregate 88.0% non-economic limited liability company interest in us, to New Fortress Energy Holdings.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0" w:type="dxa"/>
            <w:vAlign w:val="bottom"/>
            <w:gridSpan w:val="7"/>
          </w:tcPr>
          <w:p>
            <w:pPr>
              <w:spacing w:after="0"/>
              <w:rPr>
                <w:sz w:val="20"/>
                <w:szCs w:val="20"/>
                <w:color w:val="auto"/>
              </w:rPr>
            </w:pPr>
            <w:r>
              <w:rPr>
                <w:rFonts w:ascii="Arial" w:cs="Arial" w:eastAsia="Arial" w:hAnsi="Arial"/>
                <w:sz w:val="18"/>
                <w:szCs w:val="18"/>
                <w:b w:val="1"/>
                <w:bCs w:val="1"/>
                <w:color w:val="auto"/>
              </w:rPr>
              <w:t>ITEM 16.</w:t>
            </w:r>
          </w:p>
        </w:tc>
        <w:tc>
          <w:tcPr>
            <w:tcW w:w="864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218"/>
        </w:trPr>
        <w:tc>
          <w:tcPr>
            <w:tcW w:w="860" w:type="dxa"/>
            <w:vAlign w:val="bottom"/>
            <w:gridSpan w:val="7"/>
          </w:tcPr>
          <w:p>
            <w:pPr>
              <w:ind w:left="18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7"/>
        </w:trPr>
        <w:tc>
          <w:tcPr>
            <w:tcW w:w="86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5"/>
                <w:szCs w:val="15"/>
                <w:color w:val="auto"/>
              </w:rPr>
            </w:pPr>
          </w:p>
        </w:tc>
        <w:tc>
          <w:tcPr>
            <w:tcW w:w="8340" w:type="dxa"/>
            <w:vAlign w:val="bottom"/>
            <w:tcBorders>
              <w:bottom w:val="single" w:sz="8" w:color="auto"/>
            </w:tcBorders>
          </w:tcPr>
          <w:p>
            <w:pPr>
              <w:ind w:left="38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5"/>
                <w:szCs w:val="15"/>
                <w:color w:val="auto"/>
              </w:rPr>
            </w:pPr>
          </w:p>
        </w:tc>
      </w:tr>
      <w:tr>
        <w:trPr>
          <w:trHeight w:val="221"/>
        </w:trPr>
        <w:tc>
          <w:tcPr>
            <w:tcW w:w="320" w:type="dxa"/>
            <w:vAlign w:val="bottom"/>
            <w:tcBorders>
              <w:bottom w:val="single" w:sz="8" w:color="0000EE"/>
            </w:tcBorders>
            <w:shd w:val="clear" w:color="auto" w:fill="CCEEFF"/>
          </w:tcPr>
          <w:p>
            <w:pPr>
              <w:spacing w:after="0" w:line="188" w:lineRule="exact"/>
              <w:rPr>
                <w:sz w:val="20"/>
                <w:szCs w:val="20"/>
                <w:color w:val="auto"/>
              </w:rPr>
            </w:pPr>
            <w:r>
              <w:rPr>
                <w:rFonts w:ascii="Arial" w:cs="Arial" w:eastAsia="Arial" w:hAnsi="Arial"/>
                <w:sz w:val="18"/>
                <w:szCs w:val="18"/>
                <w:color w:val="0000EE"/>
                <w:w w:val="93"/>
              </w:rPr>
              <w:t>1.</w:t>
            </w:r>
            <w:r>
              <w:rPr>
                <w:rFonts w:ascii="Arial" w:cs="Arial" w:eastAsia="Arial" w:hAnsi="Arial"/>
                <w:sz w:val="18"/>
                <w:szCs w:val="18"/>
                <w:u w:val="single" w:color="auto"/>
                <w:color w:val="0000EE"/>
                <w:w w:val="93"/>
              </w:rPr>
              <w:t>1*</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40" w:type="dxa"/>
            <w:vAlign w:val="bottom"/>
            <w:tcBorders>
              <w:bottom w:val="single" w:sz="8" w:color="CCEEFF"/>
            </w:tcBorders>
            <w:gridSpan w:val="2"/>
            <w:shd w:val="clear" w:color="auto" w:fill="CCEEFF"/>
          </w:tcPr>
          <w:p>
            <w:pPr>
              <w:ind w:left="140"/>
              <w:spacing w:after="0" w:line="188" w:lineRule="exact"/>
              <w:rPr>
                <w:sz w:val="20"/>
                <w:szCs w:val="20"/>
                <w:color w:val="auto"/>
              </w:rPr>
            </w:pPr>
            <w:r>
              <w:rPr>
                <w:rFonts w:ascii="Arial" w:cs="Arial" w:eastAsia="Arial" w:hAnsi="Arial"/>
                <w:sz w:val="18"/>
                <w:szCs w:val="18"/>
                <w:color w:val="auto"/>
              </w:rPr>
              <w:t>— Form of Underwriting Agreement</w:t>
            </w:r>
          </w:p>
        </w:tc>
      </w:tr>
      <w:tr>
        <w:trPr>
          <w:trHeight w:val="188"/>
        </w:trPr>
        <w:tc>
          <w:tcPr>
            <w:tcW w:w="580" w:type="dxa"/>
            <w:vAlign w:val="bottom"/>
            <w:gridSpan w:val="3"/>
          </w:tcPr>
          <w:p>
            <w:pPr>
              <w:spacing w:after="0" w:line="188" w:lineRule="exact"/>
              <w:rPr>
                <w:rFonts w:ascii="Arial" w:cs="Arial" w:eastAsia="Arial" w:hAnsi="Arial"/>
                <w:sz w:val="18"/>
                <w:szCs w:val="18"/>
                <w:color w:val="0000EE"/>
              </w:rPr>
            </w:pPr>
            <w:hyperlink r:id="rId250">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40" w:type="dxa"/>
            <w:vAlign w:val="bottom"/>
            <w:gridSpan w:val="2"/>
          </w:tcPr>
          <w:p>
            <w:pPr>
              <w:ind w:left="140"/>
              <w:spacing w:after="0" w:line="188" w:lineRule="exact"/>
              <w:rPr>
                <w:sz w:val="20"/>
                <w:szCs w:val="20"/>
                <w:color w:val="auto"/>
              </w:rPr>
            </w:pPr>
            <w:r>
              <w:rPr>
                <w:rFonts w:ascii="Arial" w:cs="Arial" w:eastAsia="Arial" w:hAnsi="Arial"/>
                <w:sz w:val="18"/>
                <w:szCs w:val="18"/>
                <w:color w:val="auto"/>
              </w:rPr>
              <w:t>— Certificate of Formation of New Fortress Energy LLC</w:t>
            </w:r>
          </w:p>
        </w:tc>
      </w:tr>
      <w:tr>
        <w:trPr>
          <w:trHeight w:val="34"/>
        </w:trPr>
        <w:tc>
          <w:tcPr>
            <w:tcW w:w="3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500" w:type="dxa"/>
            <w:vAlign w:val="bottom"/>
            <w:tcBorders>
              <w:bottom w:val="single" w:sz="8" w:color="0000EE"/>
            </w:tcBorders>
            <w:gridSpan w:val="2"/>
            <w:shd w:val="clear" w:color="auto" w:fill="CCEEFF"/>
          </w:tcPr>
          <w:p>
            <w:pPr>
              <w:spacing w:after="0" w:line="188" w:lineRule="exact"/>
              <w:rPr>
                <w:rFonts w:ascii="Arial" w:cs="Arial" w:eastAsia="Arial" w:hAnsi="Arial"/>
                <w:sz w:val="18"/>
                <w:szCs w:val="18"/>
                <w:color w:val="0000EE"/>
              </w:rPr>
            </w:pPr>
            <w:hyperlink r:id="rId251">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40" w:type="dxa"/>
            <w:vAlign w:val="bottom"/>
            <w:tcBorders>
              <w:bottom w:val="single" w:sz="8" w:color="CCEEFF"/>
            </w:tcBorders>
            <w:gridSpan w:val="2"/>
            <w:shd w:val="clear" w:color="auto" w:fill="CCEEFF"/>
          </w:tcPr>
          <w:p>
            <w:pPr>
              <w:ind w:left="140"/>
              <w:spacing w:after="0" w:line="188" w:lineRule="exact"/>
              <w:rPr>
                <w:sz w:val="20"/>
                <w:szCs w:val="20"/>
                <w:color w:val="auto"/>
              </w:rPr>
            </w:pPr>
            <w:r>
              <w:rPr>
                <w:rFonts w:ascii="Arial" w:cs="Arial" w:eastAsia="Arial" w:hAnsi="Arial"/>
                <w:sz w:val="18"/>
                <w:szCs w:val="18"/>
                <w:color w:val="auto"/>
              </w:rPr>
              <w:t>— Certificate of Amendment to Certificate of Formation of New Fortress Energy LLC</w:t>
            </w:r>
          </w:p>
        </w:tc>
      </w:tr>
      <w:tr>
        <w:trPr>
          <w:trHeight w:val="188"/>
        </w:trPr>
        <w:tc>
          <w:tcPr>
            <w:tcW w:w="580" w:type="dxa"/>
            <w:vAlign w:val="bottom"/>
            <w:gridSpan w:val="3"/>
          </w:tcPr>
          <w:p>
            <w:pPr>
              <w:spacing w:after="0" w:line="188" w:lineRule="exact"/>
              <w:rPr>
                <w:rFonts w:ascii="Arial" w:cs="Arial" w:eastAsia="Arial" w:hAnsi="Arial"/>
                <w:sz w:val="18"/>
                <w:szCs w:val="18"/>
                <w:color w:val="0000EE"/>
              </w:rPr>
            </w:pPr>
            <w:hyperlink r:id="rId252">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40" w:type="dxa"/>
            <w:vAlign w:val="bottom"/>
            <w:gridSpan w:val="2"/>
          </w:tcPr>
          <w:p>
            <w:pPr>
              <w:ind w:left="140"/>
              <w:spacing w:after="0" w:line="188" w:lineRule="exact"/>
              <w:rPr>
                <w:sz w:val="20"/>
                <w:szCs w:val="20"/>
                <w:color w:val="auto"/>
              </w:rPr>
            </w:pPr>
            <w:r>
              <w:rPr>
                <w:rFonts w:ascii="Arial" w:cs="Arial" w:eastAsia="Arial" w:hAnsi="Arial"/>
                <w:sz w:val="18"/>
                <w:szCs w:val="18"/>
                <w:color w:val="auto"/>
                <w:w w:val="96"/>
              </w:rPr>
              <w:t>— Form of First Amended and Restated Limited Liability Company Agreement of New Fortress Energy LLC</w:t>
            </w:r>
          </w:p>
        </w:tc>
      </w:tr>
      <w:tr>
        <w:trPr>
          <w:trHeight w:val="34"/>
        </w:trPr>
        <w:tc>
          <w:tcPr>
            <w:tcW w:w="3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500" w:type="dxa"/>
            <w:vAlign w:val="bottom"/>
            <w:tcBorders>
              <w:bottom w:val="single" w:sz="8" w:color="0000EE"/>
            </w:tcBorders>
            <w:gridSpan w:val="2"/>
            <w:shd w:val="clear" w:color="auto" w:fill="CCEEFF"/>
          </w:tcPr>
          <w:p>
            <w:pPr>
              <w:spacing w:after="0" w:line="188" w:lineRule="exact"/>
              <w:rPr>
                <w:rFonts w:ascii="Arial" w:cs="Arial" w:eastAsia="Arial" w:hAnsi="Arial"/>
                <w:sz w:val="18"/>
                <w:szCs w:val="18"/>
                <w:color w:val="0000EE"/>
              </w:rPr>
            </w:pPr>
            <w:hyperlink r:id="rId253">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40" w:type="dxa"/>
            <w:vAlign w:val="bottom"/>
            <w:tcBorders>
              <w:bottom w:val="single" w:sz="8" w:color="CCEEFF"/>
            </w:tcBorders>
            <w:gridSpan w:val="2"/>
            <w:shd w:val="clear" w:color="auto" w:fill="CCEEFF"/>
          </w:tcPr>
          <w:p>
            <w:pPr>
              <w:ind w:left="140"/>
              <w:spacing w:after="0" w:line="188" w:lineRule="exact"/>
              <w:rPr>
                <w:sz w:val="20"/>
                <w:szCs w:val="20"/>
                <w:color w:val="auto"/>
              </w:rPr>
            </w:pPr>
            <w:r>
              <w:rPr>
                <w:rFonts w:ascii="Arial" w:cs="Arial" w:eastAsia="Arial" w:hAnsi="Arial"/>
                <w:sz w:val="18"/>
                <w:szCs w:val="18"/>
                <w:color w:val="auto"/>
              </w:rPr>
              <w:t>— Opinion of Vinson &amp; Elkins L.L.P. as to the legality of the securities being registered</w:t>
            </w:r>
          </w:p>
        </w:tc>
      </w:tr>
      <w:tr>
        <w:trPr>
          <w:trHeight w:val="188"/>
        </w:trPr>
        <w:tc>
          <w:tcPr>
            <w:tcW w:w="660" w:type="dxa"/>
            <w:vAlign w:val="bottom"/>
            <w:gridSpan w:val="4"/>
          </w:tcPr>
          <w:p>
            <w:pPr>
              <w:spacing w:after="0" w:line="188" w:lineRule="exact"/>
              <w:rPr>
                <w:rFonts w:ascii="Arial" w:cs="Arial" w:eastAsia="Arial" w:hAnsi="Arial"/>
                <w:sz w:val="18"/>
                <w:szCs w:val="18"/>
                <w:color w:val="0000EE"/>
              </w:rPr>
            </w:pPr>
            <w:hyperlink r:id="rId25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40" w:type="dxa"/>
            <w:vAlign w:val="bottom"/>
            <w:gridSpan w:val="2"/>
          </w:tcPr>
          <w:p>
            <w:pPr>
              <w:ind w:left="140"/>
              <w:spacing w:after="0" w:line="188" w:lineRule="exact"/>
              <w:rPr>
                <w:sz w:val="20"/>
                <w:szCs w:val="20"/>
                <w:color w:val="auto"/>
              </w:rPr>
            </w:pPr>
            <w:r>
              <w:rPr>
                <w:rFonts w:ascii="Arial" w:cs="Arial" w:eastAsia="Arial" w:hAnsi="Arial"/>
                <w:sz w:val="18"/>
                <w:szCs w:val="18"/>
                <w:color w:val="auto"/>
                <w:w w:val="96"/>
              </w:rPr>
              <w:t>— Form of Amended and Restated Limited Liability Company Agreement of New Fortress Intermediate LLC</w:t>
            </w:r>
          </w:p>
        </w:tc>
      </w:tr>
      <w:tr>
        <w:trPr>
          <w:trHeight w:val="34"/>
        </w:trPr>
        <w:tc>
          <w:tcPr>
            <w:tcW w:w="3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660" w:type="dxa"/>
            <w:vAlign w:val="bottom"/>
            <w:gridSpan w:val="4"/>
            <w:shd w:val="clear" w:color="auto" w:fill="CCEEFF"/>
          </w:tcPr>
          <w:p>
            <w:pPr>
              <w:spacing w:after="0" w:line="188" w:lineRule="exact"/>
              <w:rPr>
                <w:rFonts w:ascii="Arial" w:cs="Arial" w:eastAsia="Arial" w:hAnsi="Arial"/>
                <w:sz w:val="18"/>
                <w:szCs w:val="18"/>
                <w:color w:val="0000EE"/>
              </w:rPr>
            </w:pPr>
            <w:hyperlink r:id="rId255">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40"/>
              <w:spacing w:after="0" w:line="188" w:lineRule="exact"/>
              <w:rPr>
                <w:sz w:val="20"/>
                <w:szCs w:val="20"/>
                <w:color w:val="auto"/>
              </w:rPr>
            </w:pPr>
            <w:r>
              <w:rPr>
                <w:rFonts w:ascii="Arial" w:cs="Arial" w:eastAsia="Arial" w:hAnsi="Arial"/>
                <w:sz w:val="18"/>
                <w:szCs w:val="18"/>
                <w:color w:val="auto"/>
              </w:rPr>
              <w:t>— Form of Contribution Agreement</w:t>
            </w:r>
          </w:p>
        </w:tc>
      </w:tr>
      <w:tr>
        <w:trPr>
          <w:trHeight w:val="34"/>
        </w:trPr>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660" w:type="dxa"/>
            <w:vAlign w:val="bottom"/>
            <w:gridSpan w:val="4"/>
          </w:tcPr>
          <w:p>
            <w:pPr>
              <w:spacing w:after="0" w:line="188" w:lineRule="exact"/>
              <w:rPr>
                <w:rFonts w:ascii="Arial" w:cs="Arial" w:eastAsia="Arial" w:hAnsi="Arial"/>
                <w:sz w:val="18"/>
                <w:szCs w:val="18"/>
                <w:color w:val="0000EE"/>
              </w:rPr>
            </w:pPr>
            <w:hyperlink r:id="rId256">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40" w:type="dxa"/>
            <w:vAlign w:val="bottom"/>
            <w:gridSpan w:val="2"/>
          </w:tcPr>
          <w:p>
            <w:pPr>
              <w:ind w:left="140"/>
              <w:spacing w:after="0" w:line="188" w:lineRule="exact"/>
              <w:rPr>
                <w:sz w:val="20"/>
                <w:szCs w:val="20"/>
                <w:color w:val="auto"/>
              </w:rPr>
            </w:pPr>
            <w:r>
              <w:rPr>
                <w:rFonts w:ascii="Arial" w:cs="Arial" w:eastAsia="Arial" w:hAnsi="Arial"/>
                <w:sz w:val="18"/>
                <w:szCs w:val="18"/>
                <w:color w:val="auto"/>
              </w:rPr>
              <w:t>— Form of New Fortress Energy LLC 2019 Omnibus Incentive Plan</w:t>
            </w:r>
          </w:p>
        </w:tc>
      </w:tr>
      <w:tr>
        <w:trPr>
          <w:trHeight w:val="34"/>
        </w:trPr>
        <w:tc>
          <w:tcPr>
            <w:tcW w:w="3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660" w:type="dxa"/>
            <w:vAlign w:val="bottom"/>
            <w:gridSpan w:val="4"/>
            <w:shd w:val="clear" w:color="auto" w:fill="CCEEFF"/>
          </w:tcPr>
          <w:p>
            <w:pPr>
              <w:spacing w:after="0" w:line="188" w:lineRule="exact"/>
              <w:rPr>
                <w:rFonts w:ascii="Arial" w:cs="Arial" w:eastAsia="Arial" w:hAnsi="Arial"/>
                <w:sz w:val="18"/>
                <w:szCs w:val="18"/>
                <w:color w:val="0000EE"/>
              </w:rPr>
            </w:pPr>
            <w:hyperlink r:id="rId257">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40"/>
              <w:spacing w:after="0" w:line="188" w:lineRule="exact"/>
              <w:rPr>
                <w:sz w:val="20"/>
                <w:szCs w:val="20"/>
                <w:color w:val="auto"/>
              </w:rPr>
            </w:pPr>
            <w:r>
              <w:rPr>
                <w:rFonts w:ascii="Arial" w:cs="Arial" w:eastAsia="Arial" w:hAnsi="Arial"/>
                <w:sz w:val="18"/>
                <w:szCs w:val="18"/>
                <w:color w:val="auto"/>
              </w:rPr>
              <w:t>— Form of Director Restricted Share Unit Award Agreement</w:t>
            </w:r>
          </w:p>
        </w:tc>
      </w:tr>
      <w:tr>
        <w:trPr>
          <w:trHeight w:val="34"/>
        </w:trPr>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660" w:type="dxa"/>
            <w:vAlign w:val="bottom"/>
            <w:gridSpan w:val="4"/>
          </w:tcPr>
          <w:p>
            <w:pPr>
              <w:spacing w:after="0" w:line="188" w:lineRule="exact"/>
              <w:rPr>
                <w:rFonts w:ascii="Arial" w:cs="Arial" w:eastAsia="Arial" w:hAnsi="Arial"/>
                <w:sz w:val="18"/>
                <w:szCs w:val="18"/>
                <w:color w:val="0000EE"/>
              </w:rPr>
            </w:pPr>
            <w:hyperlink r:id="rId258">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40" w:type="dxa"/>
            <w:vAlign w:val="bottom"/>
            <w:gridSpan w:val="2"/>
          </w:tcPr>
          <w:p>
            <w:pPr>
              <w:ind w:left="140"/>
              <w:spacing w:after="0" w:line="188" w:lineRule="exact"/>
              <w:rPr>
                <w:sz w:val="20"/>
                <w:szCs w:val="20"/>
                <w:color w:val="auto"/>
              </w:rPr>
            </w:pPr>
            <w:r>
              <w:rPr>
                <w:rFonts w:ascii="Arial" w:cs="Arial" w:eastAsia="Arial" w:hAnsi="Arial"/>
                <w:sz w:val="18"/>
                <w:szCs w:val="18"/>
                <w:color w:val="auto"/>
              </w:rPr>
              <w:t>— Offer Letter, dated March 14, 2017, by and between NFE Management, LLC and Christopher Guinta</w:t>
            </w:r>
          </w:p>
        </w:tc>
      </w:tr>
      <w:tr>
        <w:trPr>
          <w:trHeight w:val="34"/>
        </w:trPr>
        <w:tc>
          <w:tcPr>
            <w:tcW w:w="3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660" w:type="dxa"/>
            <w:vAlign w:val="bottom"/>
            <w:gridSpan w:val="4"/>
            <w:shd w:val="clear" w:color="auto" w:fill="CCEEFF"/>
          </w:tcPr>
          <w:p>
            <w:pPr>
              <w:spacing w:after="0" w:line="188" w:lineRule="exact"/>
              <w:rPr>
                <w:rFonts w:ascii="Arial" w:cs="Arial" w:eastAsia="Arial" w:hAnsi="Arial"/>
                <w:sz w:val="18"/>
                <w:szCs w:val="18"/>
                <w:color w:val="0000EE"/>
              </w:rPr>
            </w:pPr>
            <w:hyperlink r:id="rId259">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40"/>
              <w:spacing w:after="0" w:line="188" w:lineRule="exact"/>
              <w:rPr>
                <w:sz w:val="20"/>
                <w:szCs w:val="20"/>
                <w:color w:val="auto"/>
              </w:rPr>
            </w:pPr>
            <w:r>
              <w:rPr>
                <w:rFonts w:ascii="Arial" w:cs="Arial" w:eastAsia="Arial" w:hAnsi="Arial"/>
                <w:sz w:val="18"/>
                <w:szCs w:val="18"/>
                <w:color w:val="auto"/>
                <w:w w:val="97"/>
              </w:rPr>
              <w:t>— Offer Letter, dated as of August 30, 2018, by and between NFE Management, LLC and Michael J. Utsler</w:t>
            </w:r>
          </w:p>
        </w:tc>
      </w:tr>
      <w:tr>
        <w:trPr>
          <w:trHeight w:val="34"/>
        </w:trPr>
        <w:tc>
          <w:tcPr>
            <w:tcW w:w="3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660" w:type="dxa"/>
            <w:vAlign w:val="bottom"/>
            <w:gridSpan w:val="4"/>
          </w:tcPr>
          <w:p>
            <w:pPr>
              <w:spacing w:after="0" w:line="188" w:lineRule="exact"/>
              <w:rPr>
                <w:rFonts w:ascii="Arial" w:cs="Arial" w:eastAsia="Arial" w:hAnsi="Arial"/>
                <w:sz w:val="18"/>
                <w:szCs w:val="18"/>
                <w:color w:val="0000EE"/>
              </w:rPr>
            </w:pPr>
            <w:hyperlink r:id="rId260">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40" w:type="dxa"/>
            <w:vAlign w:val="bottom"/>
            <w:gridSpan w:val="2"/>
          </w:tcPr>
          <w:p>
            <w:pPr>
              <w:ind w:left="140"/>
              <w:spacing w:after="0" w:line="188" w:lineRule="exact"/>
              <w:rPr>
                <w:sz w:val="20"/>
                <w:szCs w:val="20"/>
                <w:color w:val="auto"/>
              </w:rPr>
            </w:pPr>
            <w:r>
              <w:rPr>
                <w:rFonts w:ascii="Arial" w:cs="Arial" w:eastAsia="Arial" w:hAnsi="Arial"/>
                <w:sz w:val="18"/>
                <w:szCs w:val="18"/>
                <w:color w:val="auto"/>
              </w:rPr>
              <w:t>— Form of Shareholders’ Agreement</w:t>
            </w:r>
          </w:p>
        </w:tc>
      </w:tr>
      <w:tr>
        <w:trPr>
          <w:trHeight w:val="34"/>
        </w:trPr>
        <w:tc>
          <w:tcPr>
            <w:tcW w:w="3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660" w:type="dxa"/>
            <w:vAlign w:val="bottom"/>
            <w:gridSpan w:val="4"/>
            <w:shd w:val="clear" w:color="auto" w:fill="CCEEFF"/>
          </w:tcPr>
          <w:p>
            <w:pPr>
              <w:spacing w:after="0" w:line="188" w:lineRule="exact"/>
              <w:rPr>
                <w:rFonts w:ascii="Arial" w:cs="Arial" w:eastAsia="Arial" w:hAnsi="Arial"/>
                <w:sz w:val="18"/>
                <w:szCs w:val="18"/>
                <w:color w:val="0000EE"/>
              </w:rPr>
            </w:pPr>
            <w:hyperlink r:id="rId261">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40"/>
              <w:spacing w:after="0" w:line="188" w:lineRule="exact"/>
              <w:rPr>
                <w:sz w:val="20"/>
                <w:szCs w:val="20"/>
                <w:color w:val="auto"/>
              </w:rPr>
            </w:pPr>
            <w:r>
              <w:rPr>
                <w:rFonts w:ascii="Arial" w:cs="Arial" w:eastAsia="Arial" w:hAnsi="Arial"/>
                <w:sz w:val="18"/>
                <w:szCs w:val="18"/>
                <w:color w:val="auto"/>
                <w:w w:val="92"/>
              </w:rPr>
              <w:t>— Form of Administrative Services Agreement, by and between New Fortress Energy Intermediate LLC and FIG</w:t>
            </w:r>
          </w:p>
        </w:tc>
      </w:tr>
      <w:tr>
        <w:trPr>
          <w:trHeight w:val="248"/>
        </w:trPr>
        <w:tc>
          <w:tcPr>
            <w:tcW w:w="32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44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LLC</w:t>
            </w:r>
          </w:p>
        </w:tc>
      </w:tr>
      <w:tr>
        <w:trPr>
          <w:trHeight w:val="188"/>
        </w:trPr>
        <w:tc>
          <w:tcPr>
            <w:tcW w:w="660" w:type="dxa"/>
            <w:vAlign w:val="bottom"/>
            <w:gridSpan w:val="4"/>
          </w:tcPr>
          <w:p>
            <w:pPr>
              <w:spacing w:after="0" w:line="188" w:lineRule="exact"/>
              <w:rPr>
                <w:rFonts w:ascii="Arial" w:cs="Arial" w:eastAsia="Arial" w:hAnsi="Arial"/>
                <w:sz w:val="18"/>
                <w:szCs w:val="18"/>
                <w:color w:val="0000EE"/>
              </w:rPr>
            </w:pPr>
            <w:hyperlink r:id="rId262">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40" w:type="dxa"/>
            <w:vAlign w:val="bottom"/>
            <w:gridSpan w:val="2"/>
          </w:tcPr>
          <w:p>
            <w:pPr>
              <w:ind w:left="140"/>
              <w:spacing w:after="0" w:line="188" w:lineRule="exact"/>
              <w:rPr>
                <w:sz w:val="20"/>
                <w:szCs w:val="20"/>
                <w:color w:val="auto"/>
              </w:rPr>
            </w:pPr>
            <w:r>
              <w:rPr>
                <w:rFonts w:ascii="Arial" w:cs="Arial" w:eastAsia="Arial" w:hAnsi="Arial"/>
                <w:sz w:val="18"/>
                <w:szCs w:val="18"/>
                <w:color w:val="auto"/>
                <w:w w:val="93"/>
              </w:rPr>
              <w:t>— Senior Secured Delayed Draw Term Loan Credit Agreement, dated November 24, 2014, by and among LNG</w:t>
            </w:r>
          </w:p>
        </w:tc>
      </w:tr>
      <w:tr>
        <w:trPr>
          <w:trHeight w:val="221"/>
        </w:trPr>
        <w:tc>
          <w:tcPr>
            <w:tcW w:w="3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40" w:type="dxa"/>
            <w:vAlign w:val="bottom"/>
            <w:gridSpan w:val="2"/>
          </w:tcPr>
          <w:p>
            <w:pPr>
              <w:ind w:left="440"/>
              <w:spacing w:after="0"/>
              <w:rPr>
                <w:sz w:val="20"/>
                <w:szCs w:val="20"/>
                <w:color w:val="auto"/>
              </w:rPr>
            </w:pPr>
            <w:r>
              <w:rPr>
                <w:rFonts w:ascii="Arial" w:cs="Arial" w:eastAsia="Arial" w:hAnsi="Arial"/>
                <w:sz w:val="18"/>
                <w:szCs w:val="18"/>
                <w:color w:val="auto"/>
                <w:w w:val="94"/>
              </w:rPr>
              <w:t>Holdings LLC, FEP GP LNG Holdings LLC, LNG Holdings (Florida) LLC, as the borrower, Morgan Stanley</w:t>
            </w:r>
          </w:p>
        </w:tc>
      </w:tr>
      <w:tr>
        <w:trPr>
          <w:trHeight w:val="236"/>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40" w:type="dxa"/>
            <w:vAlign w:val="bottom"/>
            <w:gridSpan w:val="2"/>
          </w:tcPr>
          <w:p>
            <w:pPr>
              <w:ind w:left="440"/>
              <w:spacing w:after="0"/>
              <w:rPr>
                <w:sz w:val="20"/>
                <w:szCs w:val="20"/>
                <w:color w:val="auto"/>
              </w:rPr>
            </w:pPr>
            <w:r>
              <w:rPr>
                <w:rFonts w:ascii="Arial" w:cs="Arial" w:eastAsia="Arial" w:hAnsi="Arial"/>
                <w:sz w:val="18"/>
                <w:szCs w:val="18"/>
                <w:color w:val="auto"/>
              </w:rPr>
              <w:t>Senior Funding, Inc., as administrative agent and the lenders party thereto</w:t>
            </w:r>
          </w:p>
        </w:tc>
      </w:tr>
      <w:tr>
        <w:trPr>
          <w:trHeight w:val="194"/>
        </w:trPr>
        <w:tc>
          <w:tcPr>
            <w:tcW w:w="760" w:type="dxa"/>
            <w:vAlign w:val="bottom"/>
            <w:gridSpan w:val="6"/>
            <w:shd w:val="clear" w:color="auto" w:fill="CCEEFF"/>
          </w:tcPr>
          <w:p>
            <w:pPr>
              <w:spacing w:after="0" w:line="195" w:lineRule="exact"/>
              <w:rPr>
                <w:rFonts w:ascii="Arial" w:cs="Arial" w:eastAsia="Arial" w:hAnsi="Arial"/>
                <w:sz w:val="18"/>
                <w:szCs w:val="18"/>
                <w:color w:val="0000EE"/>
              </w:rPr>
            </w:pPr>
            <w:hyperlink r:id="rId263">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40"/>
              <w:spacing w:after="0" w:line="195" w:lineRule="exact"/>
              <w:rPr>
                <w:sz w:val="20"/>
                <w:szCs w:val="20"/>
                <w:color w:val="auto"/>
              </w:rPr>
            </w:pPr>
            <w:r>
              <w:rPr>
                <w:rFonts w:ascii="Arial" w:cs="Arial" w:eastAsia="Arial" w:hAnsi="Arial"/>
                <w:sz w:val="18"/>
                <w:szCs w:val="18"/>
                <w:color w:val="auto"/>
                <w:w w:val="91"/>
              </w:rPr>
              <w:t>— Syndicated Loan Agreement, dated June 3, 2016, by and among NFE North Holdings Limited, as the borrower,</w:t>
            </w:r>
          </w:p>
        </w:tc>
      </w:tr>
      <w:tr>
        <w:trPr>
          <w:trHeight w:val="221"/>
        </w:trPr>
        <w:tc>
          <w:tcPr>
            <w:tcW w:w="32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44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w w:val="93"/>
              </w:rPr>
              <w:t>National Commercial Bank Jamaica Limited, as arranger, JCSD Trustee Services Limited, as agent and the</w:t>
            </w:r>
          </w:p>
        </w:tc>
      </w:tr>
      <w:tr>
        <w:trPr>
          <w:trHeight w:val="242"/>
        </w:trPr>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lenders party thereto</w:t>
            </w:r>
          </w:p>
        </w:tc>
      </w:tr>
      <w:tr>
        <w:trPr>
          <w:trHeight w:val="188"/>
        </w:trPr>
        <w:tc>
          <w:tcPr>
            <w:tcW w:w="680" w:type="dxa"/>
            <w:vAlign w:val="bottom"/>
            <w:gridSpan w:val="5"/>
          </w:tcPr>
          <w:p>
            <w:pPr>
              <w:spacing w:after="0" w:line="188" w:lineRule="exact"/>
              <w:rPr>
                <w:rFonts w:ascii="Arial" w:cs="Arial" w:eastAsia="Arial" w:hAnsi="Arial"/>
                <w:sz w:val="18"/>
                <w:szCs w:val="18"/>
                <w:color w:val="0000EE"/>
                <w:w w:val="99"/>
              </w:rPr>
            </w:pPr>
            <w:hyperlink r:id="rId264">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11***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40" w:type="dxa"/>
            <w:vAlign w:val="bottom"/>
            <w:gridSpan w:val="2"/>
          </w:tcPr>
          <w:p>
            <w:pPr>
              <w:ind w:left="140"/>
              <w:spacing w:after="0" w:line="188" w:lineRule="exact"/>
              <w:rPr>
                <w:sz w:val="20"/>
                <w:szCs w:val="20"/>
                <w:color w:val="auto"/>
              </w:rPr>
            </w:pPr>
            <w:r>
              <w:rPr>
                <w:rFonts w:ascii="Arial" w:cs="Arial" w:eastAsia="Arial" w:hAnsi="Arial"/>
                <w:sz w:val="18"/>
                <w:szCs w:val="18"/>
                <w:color w:val="auto"/>
                <w:w w:val="93"/>
              </w:rPr>
              <w:t>— Credit Agreement, dated August 15, 2018, by and between New Fortress Energy Holdings LLC, NFE Atlantic</w:t>
            </w:r>
          </w:p>
        </w:tc>
      </w:tr>
      <w:tr>
        <w:trPr>
          <w:trHeight w:val="221"/>
        </w:trPr>
        <w:tc>
          <w:tcPr>
            <w:tcW w:w="3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40" w:type="dxa"/>
            <w:vAlign w:val="bottom"/>
            <w:gridSpan w:val="2"/>
          </w:tcPr>
          <w:p>
            <w:pPr>
              <w:ind w:left="440"/>
              <w:spacing w:after="0"/>
              <w:rPr>
                <w:sz w:val="20"/>
                <w:szCs w:val="20"/>
                <w:color w:val="auto"/>
              </w:rPr>
            </w:pPr>
            <w:r>
              <w:rPr>
                <w:rFonts w:ascii="Arial" w:cs="Arial" w:eastAsia="Arial" w:hAnsi="Arial"/>
                <w:sz w:val="18"/>
                <w:szCs w:val="18"/>
                <w:color w:val="auto"/>
                <w:w w:val="92"/>
              </w:rPr>
              <w:t>Holdings LLC, as borrower, Morgan Stanley Senior Funding, Inc., as administrative agent and the subsidiary</w:t>
            </w:r>
          </w:p>
        </w:tc>
      </w:tr>
      <w:tr>
        <w:trPr>
          <w:trHeight w:val="236"/>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40" w:type="dxa"/>
            <w:vAlign w:val="bottom"/>
            <w:gridSpan w:val="2"/>
          </w:tcPr>
          <w:p>
            <w:pPr>
              <w:ind w:left="440"/>
              <w:spacing w:after="0"/>
              <w:rPr>
                <w:sz w:val="20"/>
                <w:szCs w:val="20"/>
                <w:color w:val="auto"/>
              </w:rPr>
            </w:pPr>
            <w:r>
              <w:rPr>
                <w:rFonts w:ascii="Arial" w:cs="Arial" w:eastAsia="Arial" w:hAnsi="Arial"/>
                <w:sz w:val="18"/>
                <w:szCs w:val="18"/>
                <w:color w:val="auto"/>
              </w:rPr>
              <w:t>guarantors and lenders parties thereto</w:t>
            </w:r>
          </w:p>
        </w:tc>
      </w:tr>
      <w:tr>
        <w:trPr>
          <w:trHeight w:val="194"/>
        </w:trPr>
        <w:tc>
          <w:tcPr>
            <w:tcW w:w="860" w:type="dxa"/>
            <w:vAlign w:val="bottom"/>
            <w:gridSpan w:val="7"/>
            <w:shd w:val="clear" w:color="auto" w:fill="CCEEFF"/>
          </w:tcPr>
          <w:p>
            <w:pPr>
              <w:spacing w:after="0" w:line="195" w:lineRule="exact"/>
              <w:rPr>
                <w:rFonts w:ascii="Arial" w:cs="Arial" w:eastAsia="Arial" w:hAnsi="Arial"/>
                <w:sz w:val="18"/>
                <w:szCs w:val="18"/>
                <w:color w:val="0000EE"/>
              </w:rPr>
            </w:pPr>
            <w:hyperlink r:id="rId265">
              <w:r>
                <w:rPr>
                  <w:rFonts w:ascii="Arial" w:cs="Arial" w:eastAsia="Arial" w:hAnsi="Arial"/>
                  <w:sz w:val="18"/>
                  <w:szCs w:val="18"/>
                  <w:color w:val="0000EE"/>
                </w:rPr>
                <w:t>‡10.12***</w:t>
              </w:r>
            </w:hyperlink>
          </w:p>
        </w:tc>
        <w:tc>
          <w:tcPr>
            <w:tcW w:w="20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40"/>
              <w:spacing w:after="0" w:line="195" w:lineRule="exact"/>
              <w:rPr>
                <w:sz w:val="20"/>
                <w:szCs w:val="20"/>
                <w:color w:val="auto"/>
              </w:rPr>
            </w:pPr>
            <w:r>
              <w:rPr>
                <w:rFonts w:ascii="Arial" w:cs="Arial" w:eastAsia="Arial" w:hAnsi="Arial"/>
                <w:sz w:val="18"/>
                <w:szCs w:val="18"/>
                <w:color w:val="auto"/>
                <w:w w:val="92"/>
              </w:rPr>
              <w:t>— Gas Sales Agreement, dated August 5, 2015, by and between New Fortress Energy LLC and Jamaica Public</w:t>
            </w:r>
          </w:p>
        </w:tc>
      </w:tr>
      <w:tr>
        <w:trPr>
          <w:trHeight w:val="248"/>
        </w:trPr>
        <w:tc>
          <w:tcPr>
            <w:tcW w:w="32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44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Service Company Limited</w:t>
            </w:r>
          </w:p>
        </w:tc>
      </w:tr>
      <w:tr>
        <w:trPr>
          <w:trHeight w:val="188"/>
        </w:trPr>
        <w:tc>
          <w:tcPr>
            <w:tcW w:w="860" w:type="dxa"/>
            <w:vAlign w:val="bottom"/>
            <w:gridSpan w:val="7"/>
          </w:tcPr>
          <w:p>
            <w:pPr>
              <w:spacing w:after="0" w:line="188" w:lineRule="exact"/>
              <w:rPr>
                <w:rFonts w:ascii="Arial" w:cs="Arial" w:eastAsia="Arial" w:hAnsi="Arial"/>
                <w:sz w:val="18"/>
                <w:szCs w:val="18"/>
                <w:color w:val="0000EE"/>
              </w:rPr>
            </w:pPr>
            <w:hyperlink r:id="rId266">
              <w:r>
                <w:rPr>
                  <w:rFonts w:ascii="Arial" w:cs="Arial" w:eastAsia="Arial" w:hAnsi="Arial"/>
                  <w:sz w:val="18"/>
                  <w:szCs w:val="18"/>
                  <w:color w:val="0000EE"/>
                </w:rPr>
                <w:t>‡10.13***</w:t>
              </w:r>
            </w:hyperlink>
          </w:p>
        </w:tc>
        <w:tc>
          <w:tcPr>
            <w:tcW w:w="200" w:type="dxa"/>
            <w:vAlign w:val="bottom"/>
          </w:tcPr>
          <w:p>
            <w:pPr>
              <w:spacing w:after="0"/>
              <w:rPr>
                <w:sz w:val="16"/>
                <w:szCs w:val="16"/>
                <w:color w:val="auto"/>
              </w:rPr>
            </w:pPr>
          </w:p>
        </w:tc>
        <w:tc>
          <w:tcPr>
            <w:tcW w:w="8440" w:type="dxa"/>
            <w:vAlign w:val="bottom"/>
            <w:gridSpan w:val="2"/>
          </w:tcPr>
          <w:p>
            <w:pPr>
              <w:ind w:left="140"/>
              <w:spacing w:after="0" w:line="188" w:lineRule="exact"/>
              <w:rPr>
                <w:sz w:val="20"/>
                <w:szCs w:val="20"/>
                <w:color w:val="auto"/>
              </w:rPr>
            </w:pPr>
            <w:r>
              <w:rPr>
                <w:rFonts w:ascii="Arial" w:cs="Arial" w:eastAsia="Arial" w:hAnsi="Arial"/>
                <w:sz w:val="18"/>
                <w:szCs w:val="18"/>
                <w:color w:val="auto"/>
                <w:w w:val="92"/>
              </w:rPr>
              <w:t>— First Amendment to Gas Sales Agreement, dated May 23, 2016, by and between NFE North Holdings Limited</w:t>
            </w:r>
          </w:p>
        </w:tc>
      </w:tr>
      <w:tr>
        <w:trPr>
          <w:trHeight w:val="242"/>
        </w:trPr>
        <w:tc>
          <w:tcPr>
            <w:tcW w:w="32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40" w:type="dxa"/>
            <w:vAlign w:val="bottom"/>
            <w:gridSpan w:val="2"/>
          </w:tcPr>
          <w:p>
            <w:pPr>
              <w:ind w:left="440"/>
              <w:spacing w:after="0"/>
              <w:rPr>
                <w:sz w:val="20"/>
                <w:szCs w:val="20"/>
                <w:color w:val="auto"/>
              </w:rPr>
            </w:pPr>
            <w:r>
              <w:rPr>
                <w:rFonts w:ascii="Arial" w:cs="Arial" w:eastAsia="Arial" w:hAnsi="Arial"/>
                <w:sz w:val="18"/>
                <w:szCs w:val="18"/>
                <w:color w:val="auto"/>
              </w:rPr>
              <w:t>and Jamaica Public Service Company Limited</w:t>
            </w:r>
          </w:p>
        </w:tc>
      </w:tr>
      <w:tr>
        <w:trPr>
          <w:trHeight w:val="228"/>
        </w:trPr>
        <w:tc>
          <w:tcPr>
            <w:tcW w:w="680" w:type="dxa"/>
            <w:vAlign w:val="bottom"/>
            <w:tcBorders>
              <w:bottom w:val="single" w:sz="8" w:color="0000EE"/>
            </w:tcBorders>
            <w:gridSpan w:val="5"/>
            <w:shd w:val="clear" w:color="auto" w:fill="CCEEFF"/>
          </w:tcPr>
          <w:p>
            <w:pPr>
              <w:spacing w:after="0" w:line="195" w:lineRule="exact"/>
              <w:rPr>
                <w:rFonts w:ascii="Arial" w:cs="Arial" w:eastAsia="Arial" w:hAnsi="Arial"/>
                <w:sz w:val="18"/>
                <w:szCs w:val="18"/>
                <w:color w:val="0000EE"/>
                <w:w w:val="99"/>
              </w:rPr>
            </w:pPr>
            <w:hyperlink r:id="rId267">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14***</w:t>
              </w:r>
            </w:hyperlink>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40" w:type="dxa"/>
            <w:vAlign w:val="bottom"/>
            <w:tcBorders>
              <w:bottom w:val="single" w:sz="8" w:color="CCEEFF"/>
            </w:tcBorders>
            <w:gridSpan w:val="2"/>
            <w:shd w:val="clear" w:color="auto" w:fill="CCEEFF"/>
          </w:tcPr>
          <w:p>
            <w:pPr>
              <w:ind w:left="140"/>
              <w:spacing w:after="0" w:line="195" w:lineRule="exact"/>
              <w:rPr>
                <w:sz w:val="20"/>
                <w:szCs w:val="20"/>
                <w:color w:val="auto"/>
              </w:rPr>
            </w:pPr>
            <w:r>
              <w:rPr>
                <w:rFonts w:ascii="Arial" w:cs="Arial" w:eastAsia="Arial" w:hAnsi="Arial"/>
                <w:sz w:val="18"/>
                <w:szCs w:val="18"/>
                <w:color w:val="auto"/>
              </w:rPr>
              <w:t>— Form of Indemnification Agreement</w:t>
            </w:r>
          </w:p>
        </w:tc>
      </w:tr>
      <w:tr>
        <w:trPr>
          <w:trHeight w:val="188"/>
        </w:trPr>
        <w:tc>
          <w:tcPr>
            <w:tcW w:w="760" w:type="dxa"/>
            <w:vAlign w:val="bottom"/>
            <w:gridSpan w:val="6"/>
          </w:tcPr>
          <w:p>
            <w:pPr>
              <w:spacing w:after="0" w:line="188" w:lineRule="exact"/>
              <w:rPr>
                <w:rFonts w:ascii="Arial" w:cs="Arial" w:eastAsia="Arial" w:hAnsi="Arial"/>
                <w:sz w:val="18"/>
                <w:szCs w:val="18"/>
                <w:color w:val="0000EE"/>
              </w:rPr>
            </w:pPr>
            <w:hyperlink r:id="rId268">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40" w:type="dxa"/>
            <w:vAlign w:val="bottom"/>
            <w:gridSpan w:val="2"/>
          </w:tcPr>
          <w:p>
            <w:pPr>
              <w:ind w:left="140"/>
              <w:spacing w:after="0" w:line="188" w:lineRule="exact"/>
              <w:rPr>
                <w:sz w:val="20"/>
                <w:szCs w:val="20"/>
                <w:color w:val="auto"/>
              </w:rPr>
            </w:pPr>
            <w:r>
              <w:rPr>
                <w:rFonts w:ascii="Arial" w:cs="Arial" w:eastAsia="Arial" w:hAnsi="Arial"/>
                <w:sz w:val="18"/>
                <w:szCs w:val="18"/>
                <w:color w:val="auto"/>
                <w:w w:val="92"/>
              </w:rPr>
              <w:t>— Amendment Agreement to Credit Agreement, dated December 31, 2018, by and among New Fortress Energy</w:t>
            </w:r>
          </w:p>
        </w:tc>
      </w:tr>
      <w:tr>
        <w:trPr>
          <w:trHeight w:val="221"/>
        </w:trPr>
        <w:tc>
          <w:tcPr>
            <w:tcW w:w="3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40" w:type="dxa"/>
            <w:vAlign w:val="bottom"/>
            <w:gridSpan w:val="2"/>
          </w:tcPr>
          <w:p>
            <w:pPr>
              <w:ind w:left="440"/>
              <w:spacing w:after="0"/>
              <w:rPr>
                <w:sz w:val="20"/>
                <w:szCs w:val="20"/>
                <w:color w:val="auto"/>
              </w:rPr>
            </w:pPr>
            <w:r>
              <w:rPr>
                <w:rFonts w:ascii="Arial" w:cs="Arial" w:eastAsia="Arial" w:hAnsi="Arial"/>
                <w:sz w:val="18"/>
                <w:szCs w:val="18"/>
                <w:color w:val="auto"/>
              </w:rPr>
              <w:t>Holdings LLC, NFE Atlantic Holdings LLC, as the borrower, Morgan Stanley Senior Funding, Inc., as</w:t>
            </w:r>
          </w:p>
        </w:tc>
      </w:tr>
      <w:tr>
        <w:trPr>
          <w:trHeight w:val="236"/>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40" w:type="dxa"/>
            <w:vAlign w:val="bottom"/>
            <w:gridSpan w:val="2"/>
          </w:tcPr>
          <w:p>
            <w:pPr>
              <w:ind w:left="440"/>
              <w:spacing w:after="0"/>
              <w:rPr>
                <w:sz w:val="20"/>
                <w:szCs w:val="20"/>
                <w:color w:val="auto"/>
              </w:rPr>
            </w:pPr>
            <w:r>
              <w:rPr>
                <w:rFonts w:ascii="Arial" w:cs="Arial" w:eastAsia="Arial" w:hAnsi="Arial"/>
                <w:sz w:val="18"/>
                <w:szCs w:val="18"/>
                <w:color w:val="auto"/>
              </w:rPr>
              <w:t>administrative agent and the subsidiary guarantors and lenders parties thereto</w:t>
            </w:r>
          </w:p>
        </w:tc>
      </w:tr>
      <w:tr>
        <w:trPr>
          <w:trHeight w:val="194"/>
        </w:trPr>
        <w:tc>
          <w:tcPr>
            <w:tcW w:w="760" w:type="dxa"/>
            <w:vAlign w:val="bottom"/>
            <w:gridSpan w:val="6"/>
            <w:shd w:val="clear" w:color="auto" w:fill="CCEEFF"/>
          </w:tcPr>
          <w:p>
            <w:pPr>
              <w:spacing w:after="0" w:line="195" w:lineRule="exact"/>
              <w:rPr>
                <w:rFonts w:ascii="Arial" w:cs="Arial" w:eastAsia="Arial" w:hAnsi="Arial"/>
                <w:sz w:val="18"/>
                <w:szCs w:val="18"/>
                <w:color w:val="0000EE"/>
              </w:rPr>
            </w:pPr>
            <w:hyperlink r:id="rId269">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40" w:type="dxa"/>
            <w:vAlign w:val="bottom"/>
            <w:gridSpan w:val="2"/>
            <w:shd w:val="clear" w:color="auto" w:fill="CCEEFF"/>
          </w:tcPr>
          <w:p>
            <w:pPr>
              <w:ind w:left="140"/>
              <w:spacing w:after="0" w:line="195" w:lineRule="exact"/>
              <w:rPr>
                <w:sz w:val="20"/>
                <w:szCs w:val="20"/>
                <w:color w:val="auto"/>
              </w:rPr>
            </w:pPr>
            <w:r>
              <w:rPr>
                <w:rFonts w:ascii="Arial" w:cs="Arial" w:eastAsia="Arial" w:hAnsi="Arial"/>
                <w:sz w:val="18"/>
                <w:szCs w:val="18"/>
                <w:color w:val="auto"/>
                <w:w w:val="98"/>
              </w:rPr>
              <w:t>— Master LNG Sale and Purchase Agreement, dated December 20, 2016, by and between Centrica LNG</w:t>
            </w:r>
          </w:p>
        </w:tc>
      </w:tr>
      <w:tr>
        <w:trPr>
          <w:trHeight w:val="248"/>
        </w:trPr>
        <w:tc>
          <w:tcPr>
            <w:tcW w:w="32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44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Company Limited and NFE North Trading Limited</w:t>
            </w:r>
          </w:p>
        </w:tc>
      </w:tr>
      <w:tr>
        <w:trPr>
          <w:trHeight w:val="188"/>
        </w:trPr>
        <w:tc>
          <w:tcPr>
            <w:tcW w:w="760" w:type="dxa"/>
            <w:vAlign w:val="bottom"/>
            <w:gridSpan w:val="6"/>
          </w:tcPr>
          <w:p>
            <w:pPr>
              <w:spacing w:after="0" w:line="188" w:lineRule="exact"/>
              <w:rPr>
                <w:rFonts w:ascii="Arial" w:cs="Arial" w:eastAsia="Arial" w:hAnsi="Arial"/>
                <w:sz w:val="18"/>
                <w:szCs w:val="18"/>
                <w:color w:val="0000EE"/>
              </w:rPr>
            </w:pPr>
            <w:hyperlink r:id="rId270">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40" w:type="dxa"/>
            <w:vAlign w:val="bottom"/>
            <w:gridSpan w:val="2"/>
          </w:tcPr>
          <w:p>
            <w:pPr>
              <w:ind w:left="140"/>
              <w:spacing w:after="0" w:line="188" w:lineRule="exact"/>
              <w:rPr>
                <w:sz w:val="20"/>
                <w:szCs w:val="20"/>
                <w:color w:val="auto"/>
              </w:rPr>
            </w:pPr>
            <w:r>
              <w:rPr>
                <w:rFonts w:ascii="Arial" w:cs="Arial" w:eastAsia="Arial" w:hAnsi="Arial"/>
                <w:sz w:val="18"/>
                <w:szCs w:val="18"/>
                <w:color w:val="auto"/>
                <w:w w:val="95"/>
              </w:rPr>
              <w:t>— Engineering, Procurement and Construction Agreement for the Marcellus LNG Production Facility I, dated</w:t>
            </w:r>
          </w:p>
        </w:tc>
      </w:tr>
      <w:tr>
        <w:trPr>
          <w:trHeight w:val="221"/>
        </w:trPr>
        <w:tc>
          <w:tcPr>
            <w:tcW w:w="3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40" w:type="dxa"/>
            <w:vAlign w:val="bottom"/>
            <w:gridSpan w:val="2"/>
          </w:tcPr>
          <w:p>
            <w:pPr>
              <w:ind w:left="440"/>
              <w:spacing w:after="0"/>
              <w:rPr>
                <w:sz w:val="20"/>
                <w:szCs w:val="20"/>
                <w:color w:val="auto"/>
              </w:rPr>
            </w:pPr>
            <w:r>
              <w:rPr>
                <w:rFonts w:ascii="Arial" w:cs="Arial" w:eastAsia="Arial" w:hAnsi="Arial"/>
                <w:sz w:val="18"/>
                <w:szCs w:val="18"/>
                <w:color w:val="auto"/>
                <w:w w:val="90"/>
              </w:rPr>
              <w:t>January 8, 2019, by and between Bradford County Real Estate Partners LLC and Black &amp; Veatch Construction,</w:t>
            </w:r>
          </w:p>
        </w:tc>
      </w:tr>
      <w:tr>
        <w:trPr>
          <w:trHeight w:val="229"/>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40" w:type="dxa"/>
            <w:vAlign w:val="bottom"/>
            <w:gridSpan w:val="2"/>
          </w:tcPr>
          <w:p>
            <w:pPr>
              <w:ind w:left="440"/>
              <w:spacing w:after="0"/>
              <w:rPr>
                <w:sz w:val="20"/>
                <w:szCs w:val="20"/>
                <w:color w:val="auto"/>
              </w:rPr>
            </w:pPr>
            <w:r>
              <w:rPr>
                <w:rFonts w:ascii="Arial" w:cs="Arial" w:eastAsia="Arial" w:hAnsi="Arial"/>
                <w:sz w:val="18"/>
                <w:szCs w:val="18"/>
                <w:color w:val="auto"/>
              </w:rPr>
              <w:t>Inc.</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7" w:right="1380"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3"/>
          </w:tcPr>
          <w:p>
            <w:pPr>
              <w:ind w:left="18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8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5"/>
                <w:szCs w:val="15"/>
                <w:color w:val="auto"/>
              </w:rPr>
            </w:pPr>
          </w:p>
        </w:tc>
        <w:tc>
          <w:tcPr>
            <w:tcW w:w="8340" w:type="dxa"/>
            <w:vAlign w:val="bottom"/>
            <w:tcBorders>
              <w:bottom w:val="single" w:sz="8" w:color="auto"/>
            </w:tcBorders>
          </w:tcPr>
          <w:p>
            <w:pPr>
              <w:ind w:left="38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5"/>
                <w:szCs w:val="15"/>
                <w:color w:val="auto"/>
              </w:rPr>
            </w:pPr>
          </w:p>
        </w:tc>
      </w:tr>
      <w:tr>
        <w:trPr>
          <w:trHeight w:val="220"/>
        </w:trPr>
        <w:tc>
          <w:tcPr>
            <w:tcW w:w="580" w:type="dxa"/>
            <w:vAlign w:val="bottom"/>
            <w:tcBorders>
              <w:bottom w:val="single" w:sz="8" w:color="0000EE"/>
            </w:tcBorders>
            <w:gridSpan w:val="2"/>
            <w:shd w:val="clear" w:color="auto" w:fill="CCEEFF"/>
          </w:tcPr>
          <w:p>
            <w:pPr>
              <w:spacing w:after="0" w:line="182" w:lineRule="exact"/>
              <w:rPr>
                <w:rFonts w:ascii="Arial" w:cs="Arial" w:eastAsia="Arial" w:hAnsi="Arial"/>
                <w:sz w:val="18"/>
                <w:szCs w:val="18"/>
                <w:color w:val="0000EE"/>
                <w:w w:val="99"/>
              </w:rPr>
            </w:pPr>
            <w:hyperlink r:id="rId272">
              <w:r>
                <w:rPr>
                  <w:rFonts w:ascii="Arial" w:cs="Arial" w:eastAsia="Arial" w:hAnsi="Arial"/>
                  <w:sz w:val="18"/>
                  <w:szCs w:val="18"/>
                  <w:color w:val="0000EE"/>
                  <w:w w:val="99"/>
                </w:rPr>
                <w:t>21.</w:t>
              </w:r>
              <w:r>
                <w:rPr>
                  <w:rFonts w:ascii="Arial" w:cs="Arial" w:eastAsia="Arial" w:hAnsi="Arial"/>
                  <w:sz w:val="18"/>
                  <w:szCs w:val="18"/>
                  <w:u w:val="single" w:color="auto"/>
                  <w:color w:val="0000EE"/>
                  <w:w w:val="99"/>
                </w:rPr>
                <w:t>1***</w:t>
              </w:r>
            </w:hyperlink>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40" w:type="dxa"/>
            <w:vAlign w:val="bottom"/>
            <w:tcBorders>
              <w:bottom w:val="single" w:sz="8" w:color="CCEEFF"/>
            </w:tcBorders>
            <w:gridSpan w:val="2"/>
            <w:shd w:val="clear" w:color="auto" w:fill="CCEEFF"/>
          </w:tcPr>
          <w:p>
            <w:pPr>
              <w:ind w:left="140"/>
              <w:spacing w:after="0" w:line="182" w:lineRule="exact"/>
              <w:rPr>
                <w:sz w:val="20"/>
                <w:szCs w:val="20"/>
                <w:color w:val="auto"/>
              </w:rPr>
            </w:pPr>
            <w:r>
              <w:rPr>
                <w:rFonts w:ascii="Arial" w:cs="Arial" w:eastAsia="Arial" w:hAnsi="Arial"/>
                <w:sz w:val="18"/>
                <w:szCs w:val="18"/>
                <w:color w:val="auto"/>
              </w:rPr>
              <w:t>— List of Subsidiaries of New Fortress Energy LLC</w:t>
            </w:r>
          </w:p>
        </w:tc>
      </w:tr>
      <w:tr>
        <w:trPr>
          <w:trHeight w:val="188"/>
        </w:trPr>
        <w:tc>
          <w:tcPr>
            <w:tcW w:w="580" w:type="dxa"/>
            <w:vAlign w:val="bottom"/>
            <w:tcBorders>
              <w:top w:val="single" w:sz="8" w:color="CCEEFF"/>
            </w:tcBorders>
            <w:gridSpan w:val="2"/>
          </w:tcPr>
          <w:p>
            <w:pPr>
              <w:spacing w:after="0" w:line="188" w:lineRule="exact"/>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1*</w:t>
            </w:r>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440" w:type="dxa"/>
            <w:vAlign w:val="bottom"/>
            <w:tcBorders>
              <w:top w:val="single" w:sz="8" w:color="CCEEFF"/>
            </w:tcBorders>
            <w:gridSpan w:val="2"/>
          </w:tcPr>
          <w:p>
            <w:pPr>
              <w:ind w:left="140"/>
              <w:spacing w:after="0" w:line="188" w:lineRule="exact"/>
              <w:rPr>
                <w:sz w:val="20"/>
                <w:szCs w:val="20"/>
                <w:color w:val="auto"/>
              </w:rPr>
            </w:pPr>
            <w:r>
              <w:rPr>
                <w:rFonts w:ascii="Arial" w:cs="Arial" w:eastAsia="Arial" w:hAnsi="Arial"/>
                <w:sz w:val="18"/>
                <w:szCs w:val="18"/>
                <w:color w:val="auto"/>
              </w:rPr>
              <w:t>— Consent of Ernst &amp; Young L.L.P.</w:t>
            </w:r>
          </w:p>
        </w:tc>
      </w:tr>
      <w:tr>
        <w:trPr>
          <w:trHeight w:val="34"/>
        </w:trPr>
        <w:tc>
          <w:tcPr>
            <w:tcW w:w="40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580" w:type="dxa"/>
            <w:vAlign w:val="bottom"/>
            <w:tcBorders>
              <w:bottom w:val="single" w:sz="8" w:color="0000EE"/>
            </w:tcBorders>
            <w:gridSpan w:val="2"/>
            <w:shd w:val="clear" w:color="auto" w:fill="CCEEFF"/>
          </w:tcPr>
          <w:p>
            <w:pPr>
              <w:spacing w:after="0" w:line="188" w:lineRule="exact"/>
              <w:rPr>
                <w:rFonts w:ascii="Arial" w:cs="Arial" w:eastAsia="Arial" w:hAnsi="Arial"/>
                <w:sz w:val="18"/>
                <w:szCs w:val="18"/>
                <w:color w:val="0000EE"/>
                <w:w w:val="99"/>
              </w:rPr>
            </w:pPr>
            <w:hyperlink r:id="rId273">
              <w:r>
                <w:rPr>
                  <w:rFonts w:ascii="Arial" w:cs="Arial" w:eastAsia="Arial" w:hAnsi="Arial"/>
                  <w:sz w:val="18"/>
                  <w:szCs w:val="18"/>
                  <w:color w:val="0000EE"/>
                  <w:w w:val="99"/>
                </w:rPr>
                <w:t>23.</w:t>
              </w:r>
              <w:r>
                <w:rPr>
                  <w:rFonts w:ascii="Arial" w:cs="Arial" w:eastAsia="Arial" w:hAnsi="Arial"/>
                  <w:sz w:val="18"/>
                  <w:szCs w:val="18"/>
                  <w:u w:val="single" w:color="auto"/>
                  <w:color w:val="0000EE"/>
                  <w:w w:val="99"/>
                </w:rPr>
                <w:t>2***</w:t>
              </w:r>
            </w:hyperlink>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40" w:type="dxa"/>
            <w:vAlign w:val="bottom"/>
            <w:tcBorders>
              <w:bottom w:val="single" w:sz="8" w:color="CCEEFF"/>
            </w:tcBorders>
            <w:gridSpan w:val="2"/>
            <w:shd w:val="clear" w:color="auto" w:fill="CCEEFF"/>
          </w:tcPr>
          <w:p>
            <w:pPr>
              <w:ind w:left="140"/>
              <w:spacing w:after="0" w:line="188" w:lineRule="exact"/>
              <w:rPr>
                <w:sz w:val="20"/>
                <w:szCs w:val="20"/>
                <w:color w:val="auto"/>
              </w:rPr>
            </w:pPr>
            <w:r>
              <w:rPr>
                <w:rFonts w:ascii="Arial" w:cs="Arial" w:eastAsia="Arial" w:hAnsi="Arial"/>
                <w:sz w:val="18"/>
                <w:szCs w:val="18"/>
                <w:color w:val="auto"/>
              </w:rPr>
              <w:t>— Consent of Vinson &amp; Elkins L.L.P. (contained in Exhibit 5.1)</w:t>
            </w:r>
          </w:p>
        </w:tc>
      </w:tr>
      <w:tr>
        <w:trPr>
          <w:trHeight w:val="188"/>
        </w:trPr>
        <w:tc>
          <w:tcPr>
            <w:tcW w:w="580" w:type="dxa"/>
            <w:vAlign w:val="bottom"/>
            <w:tcBorders>
              <w:top w:val="single" w:sz="8" w:color="CCEEFF"/>
              <w:bottom w:val="single" w:sz="8" w:color="0000EE"/>
            </w:tcBorders>
            <w:gridSpan w:val="2"/>
          </w:tcPr>
          <w:p>
            <w:pPr>
              <w:spacing w:after="0" w:line="188" w:lineRule="exact"/>
              <w:rPr>
                <w:rFonts w:ascii="Arial" w:cs="Arial" w:eastAsia="Arial" w:hAnsi="Arial"/>
                <w:sz w:val="18"/>
                <w:szCs w:val="18"/>
                <w:color w:val="0000EE"/>
                <w:w w:val="99"/>
              </w:rPr>
            </w:pPr>
            <w:hyperlink r:id="rId274">
              <w:r>
                <w:rPr>
                  <w:rFonts w:ascii="Arial" w:cs="Arial" w:eastAsia="Arial" w:hAnsi="Arial"/>
                  <w:sz w:val="18"/>
                  <w:szCs w:val="18"/>
                  <w:color w:val="0000EE"/>
                  <w:w w:val="99"/>
                </w:rPr>
                <w:t>24.</w:t>
              </w:r>
              <w:r>
                <w:rPr>
                  <w:rFonts w:ascii="Arial" w:cs="Arial" w:eastAsia="Arial" w:hAnsi="Arial"/>
                  <w:sz w:val="18"/>
                  <w:szCs w:val="18"/>
                  <w:u w:val="single" w:color="auto"/>
                  <w:color w:val="0000EE"/>
                  <w:w w:val="99"/>
                </w:rPr>
                <w:t>1***</w:t>
              </w:r>
            </w:hyperlink>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440" w:type="dxa"/>
            <w:vAlign w:val="bottom"/>
            <w:tcBorders>
              <w:top w:val="single" w:sz="8" w:color="CCEEFF"/>
            </w:tcBorders>
            <w:gridSpan w:val="2"/>
          </w:tcPr>
          <w:p>
            <w:pPr>
              <w:ind w:left="140"/>
              <w:spacing w:after="0" w:line="188" w:lineRule="exact"/>
              <w:rPr>
                <w:sz w:val="20"/>
                <w:szCs w:val="20"/>
                <w:color w:val="auto"/>
              </w:rPr>
            </w:pPr>
            <w:r>
              <w:rPr>
                <w:rFonts w:ascii="Arial" w:cs="Arial" w:eastAsia="Arial" w:hAnsi="Arial"/>
                <w:sz w:val="18"/>
                <w:szCs w:val="18"/>
                <w:color w:val="auto"/>
              </w:rPr>
              <w:t>— Powers of Attorney (contained on signature page)</w:t>
            </w:r>
          </w:p>
        </w:tc>
      </w:tr>
      <w:tr>
        <w:trPr>
          <w:trHeight w:val="34"/>
        </w:trPr>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580" w:type="dxa"/>
            <w:vAlign w:val="bottom"/>
            <w:tcBorders>
              <w:bottom w:val="single" w:sz="8" w:color="0000EE"/>
            </w:tcBorders>
            <w:gridSpan w:val="2"/>
            <w:shd w:val="clear" w:color="auto" w:fill="CCEEFF"/>
          </w:tcPr>
          <w:p>
            <w:pPr>
              <w:spacing w:after="0" w:line="188" w:lineRule="exact"/>
              <w:rPr>
                <w:rFonts w:ascii="Arial" w:cs="Arial" w:eastAsia="Arial" w:hAnsi="Arial"/>
                <w:sz w:val="18"/>
                <w:szCs w:val="18"/>
                <w:color w:val="0000EE"/>
                <w:w w:val="99"/>
              </w:rPr>
            </w:pPr>
            <w:hyperlink r:id="rId275">
              <w:r>
                <w:rPr>
                  <w:rFonts w:ascii="Arial" w:cs="Arial" w:eastAsia="Arial" w:hAnsi="Arial"/>
                  <w:sz w:val="18"/>
                  <w:szCs w:val="18"/>
                  <w:color w:val="0000EE"/>
                  <w:w w:val="99"/>
                </w:rPr>
                <w:t>99.</w:t>
              </w:r>
              <w:r>
                <w:rPr>
                  <w:rFonts w:ascii="Arial" w:cs="Arial" w:eastAsia="Arial" w:hAnsi="Arial"/>
                  <w:sz w:val="18"/>
                  <w:szCs w:val="18"/>
                  <w:u w:val="single" w:color="auto"/>
                  <w:color w:val="0000EE"/>
                  <w:w w:val="99"/>
                </w:rPr>
                <w:t>1***</w:t>
              </w:r>
            </w:hyperlink>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40" w:type="dxa"/>
            <w:vAlign w:val="bottom"/>
            <w:tcBorders>
              <w:bottom w:val="single" w:sz="8" w:color="CCEEFF"/>
            </w:tcBorders>
            <w:gridSpan w:val="2"/>
            <w:shd w:val="clear" w:color="auto" w:fill="CCEEFF"/>
          </w:tcPr>
          <w:p>
            <w:pPr>
              <w:ind w:left="140"/>
              <w:spacing w:after="0" w:line="188" w:lineRule="exact"/>
              <w:rPr>
                <w:sz w:val="20"/>
                <w:szCs w:val="20"/>
                <w:color w:val="auto"/>
              </w:rPr>
            </w:pPr>
            <w:r>
              <w:rPr>
                <w:rFonts w:ascii="Arial" w:cs="Arial" w:eastAsia="Arial" w:hAnsi="Arial"/>
                <w:sz w:val="18"/>
                <w:szCs w:val="18"/>
                <w:color w:val="auto"/>
              </w:rPr>
              <w:t>— Consent of C. William Griffin, as Director Nominee</w:t>
            </w:r>
          </w:p>
        </w:tc>
      </w:tr>
      <w:tr>
        <w:trPr>
          <w:trHeight w:val="188"/>
        </w:trPr>
        <w:tc>
          <w:tcPr>
            <w:tcW w:w="580" w:type="dxa"/>
            <w:vAlign w:val="bottom"/>
            <w:tcBorders>
              <w:top w:val="single" w:sz="8" w:color="CCEEFF"/>
              <w:bottom w:val="single" w:sz="8" w:color="0000EE"/>
            </w:tcBorders>
            <w:gridSpan w:val="2"/>
          </w:tcPr>
          <w:p>
            <w:pPr>
              <w:spacing w:after="0" w:line="188" w:lineRule="exact"/>
              <w:rPr>
                <w:rFonts w:ascii="Arial" w:cs="Arial" w:eastAsia="Arial" w:hAnsi="Arial"/>
                <w:sz w:val="18"/>
                <w:szCs w:val="18"/>
                <w:color w:val="0000EE"/>
                <w:w w:val="99"/>
              </w:rPr>
            </w:pPr>
            <w:hyperlink r:id="rId276">
              <w:r>
                <w:rPr>
                  <w:rFonts w:ascii="Arial" w:cs="Arial" w:eastAsia="Arial" w:hAnsi="Arial"/>
                  <w:sz w:val="18"/>
                  <w:szCs w:val="18"/>
                  <w:color w:val="0000EE"/>
                  <w:w w:val="99"/>
                </w:rPr>
                <w:t>99.</w:t>
              </w:r>
              <w:r>
                <w:rPr>
                  <w:rFonts w:ascii="Arial" w:cs="Arial" w:eastAsia="Arial" w:hAnsi="Arial"/>
                  <w:sz w:val="18"/>
                  <w:szCs w:val="18"/>
                  <w:u w:val="single" w:color="auto"/>
                  <w:color w:val="0000EE"/>
                  <w:w w:val="99"/>
                </w:rPr>
                <w:t>2***</w:t>
              </w:r>
            </w:hyperlink>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440" w:type="dxa"/>
            <w:vAlign w:val="bottom"/>
            <w:tcBorders>
              <w:top w:val="single" w:sz="8" w:color="CCEEFF"/>
            </w:tcBorders>
            <w:gridSpan w:val="2"/>
          </w:tcPr>
          <w:p>
            <w:pPr>
              <w:ind w:left="140"/>
              <w:spacing w:after="0" w:line="188" w:lineRule="exact"/>
              <w:rPr>
                <w:sz w:val="20"/>
                <w:szCs w:val="20"/>
                <w:color w:val="auto"/>
              </w:rPr>
            </w:pPr>
            <w:r>
              <w:rPr>
                <w:rFonts w:ascii="Arial" w:cs="Arial" w:eastAsia="Arial" w:hAnsi="Arial"/>
                <w:sz w:val="18"/>
                <w:szCs w:val="18"/>
                <w:color w:val="auto"/>
              </w:rPr>
              <w:t>— Consent of John J. Mack, as Director Nominee</w:t>
            </w:r>
          </w:p>
        </w:tc>
      </w:tr>
      <w:tr>
        <w:trPr>
          <w:trHeight w:val="34"/>
        </w:trPr>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580" w:type="dxa"/>
            <w:vAlign w:val="bottom"/>
            <w:tcBorders>
              <w:bottom w:val="single" w:sz="8" w:color="0000EE"/>
            </w:tcBorders>
            <w:gridSpan w:val="2"/>
            <w:shd w:val="clear" w:color="auto" w:fill="CCEEFF"/>
          </w:tcPr>
          <w:p>
            <w:pPr>
              <w:spacing w:after="0" w:line="188" w:lineRule="exact"/>
              <w:rPr>
                <w:rFonts w:ascii="Arial" w:cs="Arial" w:eastAsia="Arial" w:hAnsi="Arial"/>
                <w:sz w:val="18"/>
                <w:szCs w:val="18"/>
                <w:color w:val="0000EE"/>
                <w:w w:val="99"/>
              </w:rPr>
            </w:pPr>
            <w:hyperlink r:id="rId277">
              <w:r>
                <w:rPr>
                  <w:rFonts w:ascii="Arial" w:cs="Arial" w:eastAsia="Arial" w:hAnsi="Arial"/>
                  <w:sz w:val="18"/>
                  <w:szCs w:val="18"/>
                  <w:color w:val="0000EE"/>
                  <w:w w:val="99"/>
                </w:rPr>
                <w:t>99.</w:t>
              </w:r>
              <w:r>
                <w:rPr>
                  <w:rFonts w:ascii="Arial" w:cs="Arial" w:eastAsia="Arial" w:hAnsi="Arial"/>
                  <w:sz w:val="18"/>
                  <w:szCs w:val="18"/>
                  <w:u w:val="single" w:color="auto"/>
                  <w:color w:val="0000EE"/>
                  <w:w w:val="99"/>
                </w:rPr>
                <w:t>3***</w:t>
              </w:r>
            </w:hyperlink>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40" w:type="dxa"/>
            <w:vAlign w:val="bottom"/>
            <w:tcBorders>
              <w:bottom w:val="single" w:sz="8" w:color="CCEEFF"/>
            </w:tcBorders>
            <w:gridSpan w:val="2"/>
            <w:shd w:val="clear" w:color="auto" w:fill="CCEEFF"/>
          </w:tcPr>
          <w:p>
            <w:pPr>
              <w:ind w:left="140"/>
              <w:spacing w:after="0" w:line="188" w:lineRule="exact"/>
              <w:rPr>
                <w:sz w:val="20"/>
                <w:szCs w:val="20"/>
                <w:color w:val="auto"/>
              </w:rPr>
            </w:pPr>
            <w:r>
              <w:rPr>
                <w:rFonts w:ascii="Arial" w:cs="Arial" w:eastAsia="Arial" w:hAnsi="Arial"/>
                <w:sz w:val="18"/>
                <w:szCs w:val="18"/>
                <w:color w:val="auto"/>
              </w:rPr>
              <w:t>— Consent of Matthew Wilkinson, as Director Nominee</w:t>
            </w:r>
          </w:p>
        </w:tc>
      </w:tr>
      <w:tr>
        <w:trPr>
          <w:trHeight w:val="188"/>
        </w:trPr>
        <w:tc>
          <w:tcPr>
            <w:tcW w:w="580" w:type="dxa"/>
            <w:vAlign w:val="bottom"/>
            <w:tcBorders>
              <w:top w:val="single" w:sz="8" w:color="CCEEFF"/>
              <w:bottom w:val="single" w:sz="8" w:color="0000EE"/>
            </w:tcBorders>
            <w:gridSpan w:val="2"/>
          </w:tcPr>
          <w:p>
            <w:pPr>
              <w:spacing w:after="0" w:line="188" w:lineRule="exact"/>
              <w:rPr>
                <w:rFonts w:ascii="Arial" w:cs="Arial" w:eastAsia="Arial" w:hAnsi="Arial"/>
                <w:sz w:val="18"/>
                <w:szCs w:val="18"/>
                <w:color w:val="0000EE"/>
                <w:w w:val="99"/>
              </w:rPr>
            </w:pPr>
            <w:hyperlink r:id="rId278">
              <w:r>
                <w:rPr>
                  <w:rFonts w:ascii="Arial" w:cs="Arial" w:eastAsia="Arial" w:hAnsi="Arial"/>
                  <w:sz w:val="18"/>
                  <w:szCs w:val="18"/>
                  <w:color w:val="0000EE"/>
                  <w:w w:val="99"/>
                </w:rPr>
                <w:t>99.</w:t>
              </w:r>
              <w:r>
                <w:rPr>
                  <w:rFonts w:ascii="Arial" w:cs="Arial" w:eastAsia="Arial" w:hAnsi="Arial"/>
                  <w:sz w:val="18"/>
                  <w:szCs w:val="18"/>
                  <w:u w:val="single" w:color="auto"/>
                  <w:color w:val="0000EE"/>
                  <w:w w:val="99"/>
                </w:rPr>
                <w:t>4***</w:t>
              </w:r>
            </w:hyperlink>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440" w:type="dxa"/>
            <w:vAlign w:val="bottom"/>
            <w:tcBorders>
              <w:top w:val="single" w:sz="8" w:color="CCEEFF"/>
            </w:tcBorders>
            <w:gridSpan w:val="2"/>
          </w:tcPr>
          <w:p>
            <w:pPr>
              <w:ind w:left="140"/>
              <w:spacing w:after="0" w:line="188" w:lineRule="exact"/>
              <w:rPr>
                <w:sz w:val="20"/>
                <w:szCs w:val="20"/>
                <w:color w:val="auto"/>
              </w:rPr>
            </w:pPr>
            <w:r>
              <w:rPr>
                <w:rFonts w:ascii="Arial" w:cs="Arial" w:eastAsia="Arial" w:hAnsi="Arial"/>
                <w:sz w:val="18"/>
                <w:szCs w:val="18"/>
                <w:color w:val="auto"/>
              </w:rPr>
              <w:t>— Consent of David J. Grain, as Director Nominee</w:t>
            </w:r>
          </w:p>
        </w:tc>
      </w:tr>
      <w:tr>
        <w:trPr>
          <w:trHeight w:val="34"/>
        </w:trPr>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580" w:type="dxa"/>
            <w:vAlign w:val="bottom"/>
            <w:tcBorders>
              <w:bottom w:val="single" w:sz="8" w:color="0000EE"/>
            </w:tcBorders>
            <w:gridSpan w:val="2"/>
            <w:shd w:val="clear" w:color="auto" w:fill="CCEEFF"/>
          </w:tcPr>
          <w:p>
            <w:pPr>
              <w:spacing w:after="0" w:line="188" w:lineRule="exact"/>
              <w:rPr>
                <w:rFonts w:ascii="Arial" w:cs="Arial" w:eastAsia="Arial" w:hAnsi="Arial"/>
                <w:sz w:val="18"/>
                <w:szCs w:val="18"/>
                <w:color w:val="0000EE"/>
                <w:w w:val="99"/>
              </w:rPr>
            </w:pPr>
            <w:hyperlink r:id="rId279">
              <w:r>
                <w:rPr>
                  <w:rFonts w:ascii="Arial" w:cs="Arial" w:eastAsia="Arial" w:hAnsi="Arial"/>
                  <w:sz w:val="18"/>
                  <w:szCs w:val="18"/>
                  <w:color w:val="0000EE"/>
                  <w:w w:val="99"/>
                </w:rPr>
                <w:t>99.</w:t>
              </w:r>
              <w:r>
                <w:rPr>
                  <w:rFonts w:ascii="Arial" w:cs="Arial" w:eastAsia="Arial" w:hAnsi="Arial"/>
                  <w:sz w:val="18"/>
                  <w:szCs w:val="18"/>
                  <w:u w:val="single" w:color="auto"/>
                  <w:color w:val="0000EE"/>
                  <w:w w:val="99"/>
                </w:rPr>
                <w:t>5***</w:t>
              </w:r>
            </w:hyperlink>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40" w:type="dxa"/>
            <w:vAlign w:val="bottom"/>
            <w:tcBorders>
              <w:bottom w:val="single" w:sz="8" w:color="CCEEFF"/>
            </w:tcBorders>
            <w:gridSpan w:val="2"/>
            <w:shd w:val="clear" w:color="auto" w:fill="CCEEFF"/>
          </w:tcPr>
          <w:p>
            <w:pPr>
              <w:ind w:left="140"/>
              <w:spacing w:after="0" w:line="188" w:lineRule="exact"/>
              <w:rPr>
                <w:sz w:val="20"/>
                <w:szCs w:val="20"/>
                <w:color w:val="auto"/>
              </w:rPr>
            </w:pPr>
            <w:r>
              <w:rPr>
                <w:rFonts w:ascii="Arial" w:cs="Arial" w:eastAsia="Arial" w:hAnsi="Arial"/>
                <w:sz w:val="18"/>
                <w:szCs w:val="18"/>
                <w:color w:val="auto"/>
              </w:rPr>
              <w:t>— Consent of Desmond Iain Catterall, as Director Nominee</w:t>
            </w:r>
          </w:p>
        </w:tc>
      </w:tr>
      <w:tr>
        <w:trPr>
          <w:trHeight w:val="188"/>
        </w:trPr>
        <w:tc>
          <w:tcPr>
            <w:tcW w:w="580" w:type="dxa"/>
            <w:vAlign w:val="bottom"/>
            <w:tcBorders>
              <w:top w:val="single" w:sz="8" w:color="CCEEFF"/>
              <w:bottom w:val="single" w:sz="8" w:color="0000EE"/>
            </w:tcBorders>
            <w:gridSpan w:val="2"/>
          </w:tcPr>
          <w:p>
            <w:pPr>
              <w:spacing w:after="0" w:line="188" w:lineRule="exact"/>
              <w:rPr>
                <w:rFonts w:ascii="Arial" w:cs="Arial" w:eastAsia="Arial" w:hAnsi="Arial"/>
                <w:sz w:val="18"/>
                <w:szCs w:val="18"/>
                <w:color w:val="0000EE"/>
                <w:w w:val="99"/>
              </w:rPr>
            </w:pPr>
            <w:hyperlink r:id="rId280">
              <w:r>
                <w:rPr>
                  <w:rFonts w:ascii="Arial" w:cs="Arial" w:eastAsia="Arial" w:hAnsi="Arial"/>
                  <w:sz w:val="18"/>
                  <w:szCs w:val="18"/>
                  <w:color w:val="0000EE"/>
                  <w:w w:val="99"/>
                </w:rPr>
                <w:t>99.</w:t>
              </w:r>
              <w:r>
                <w:rPr>
                  <w:rFonts w:ascii="Arial" w:cs="Arial" w:eastAsia="Arial" w:hAnsi="Arial"/>
                  <w:sz w:val="18"/>
                  <w:szCs w:val="18"/>
                  <w:u w:val="single" w:color="auto"/>
                  <w:color w:val="0000EE"/>
                  <w:w w:val="99"/>
                </w:rPr>
                <w:t>6***</w:t>
              </w:r>
            </w:hyperlink>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440" w:type="dxa"/>
            <w:vAlign w:val="bottom"/>
            <w:tcBorders>
              <w:top w:val="single" w:sz="8" w:color="CCEEFF"/>
            </w:tcBorders>
            <w:gridSpan w:val="2"/>
          </w:tcPr>
          <w:p>
            <w:pPr>
              <w:ind w:left="140"/>
              <w:spacing w:after="0" w:line="188" w:lineRule="exact"/>
              <w:rPr>
                <w:sz w:val="20"/>
                <w:szCs w:val="20"/>
                <w:color w:val="auto"/>
              </w:rPr>
            </w:pPr>
            <w:r>
              <w:rPr>
                <w:rFonts w:ascii="Arial" w:cs="Arial" w:eastAsia="Arial" w:hAnsi="Arial"/>
                <w:sz w:val="18"/>
                <w:szCs w:val="18"/>
                <w:color w:val="auto"/>
              </w:rPr>
              <w:t>— Consent of Katherine E. Wanner, as 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9029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1">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spacing w:after="0" w:line="323" w:lineRule="exact"/>
        <w:rPr>
          <w:sz w:val="20"/>
          <w:szCs w:val="20"/>
          <w:color w:val="auto"/>
        </w:rPr>
      </w:pPr>
    </w:p>
    <w:p>
      <w:pPr>
        <w:ind w:left="360" w:hanging="355"/>
        <w:spacing w:after="0"/>
        <w:tabs>
          <w:tab w:leader="none" w:pos="3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Provided herewith.</w:t>
      </w:r>
    </w:p>
    <w:p>
      <w:pPr>
        <w:spacing w:after="0" w:line="107" w:lineRule="exact"/>
        <w:rPr>
          <w:sz w:val="20"/>
          <w:szCs w:val="20"/>
          <w:color w:val="auto"/>
        </w:rPr>
      </w:pPr>
    </w:p>
    <w:p>
      <w:pPr>
        <w:ind w:left="360" w:hanging="355"/>
        <w:spacing w:after="0"/>
        <w:tabs>
          <w:tab w:leader="none" w:pos="36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107" w:lineRule="exact"/>
        <w:rPr>
          <w:rFonts w:ascii="Arial" w:cs="Arial" w:eastAsia="Arial" w:hAnsi="Arial"/>
          <w:sz w:val="14"/>
          <w:szCs w:val="14"/>
          <w:color w:val="auto"/>
        </w:rPr>
      </w:pPr>
    </w:p>
    <w:p>
      <w:pPr>
        <w:ind w:left="360" w:hanging="355"/>
        <w:spacing w:after="0"/>
        <w:tabs>
          <w:tab w:leader="none" w:pos="36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107" w:lineRule="exact"/>
        <w:rPr>
          <w:sz w:val="20"/>
          <w:szCs w:val="20"/>
          <w:color w:val="auto"/>
        </w:rPr>
      </w:pPr>
    </w:p>
    <w:p>
      <w:pPr>
        <w:ind w:left="360" w:hanging="355"/>
        <w:spacing w:after="0"/>
        <w:tabs>
          <w:tab w:leader="none" w:pos="36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Confidential treatment has been requested with respect to certain portions of this exhibit. Omitted portions have been filed separately with the SEC.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19"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6" w:lineRule="exact"/>
        <w:rPr>
          <w:sz w:val="20"/>
          <w:szCs w:val="20"/>
          <w:color w:val="auto"/>
        </w:rPr>
      </w:pPr>
    </w:p>
    <w:p>
      <w:pPr>
        <w:ind w:right="60" w:firstLine="357"/>
        <w:spacing w:after="0" w:line="268"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115" w:lineRule="exact"/>
        <w:rPr>
          <w:sz w:val="20"/>
          <w:szCs w:val="20"/>
          <w:color w:val="auto"/>
        </w:rPr>
      </w:pPr>
    </w:p>
    <w:p>
      <w:pPr>
        <w:ind w:left="360" w:right="40" w:hanging="355"/>
        <w:spacing w:after="0" w:line="257" w:lineRule="auto"/>
        <w:tabs>
          <w:tab w:leader="none" w:pos="3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9" w:lineRule="exact"/>
        <w:rPr>
          <w:rFonts w:ascii="Arial" w:cs="Arial" w:eastAsia="Arial" w:hAnsi="Arial"/>
          <w:sz w:val="18"/>
          <w:szCs w:val="18"/>
          <w:color w:val="auto"/>
        </w:rPr>
      </w:pPr>
    </w:p>
    <w:p>
      <w:pPr>
        <w:ind w:left="360" w:right="80" w:hanging="355"/>
        <w:spacing w:after="0" w:line="261" w:lineRule="auto"/>
        <w:tabs>
          <w:tab w:leader="none" w:pos="3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right="120" w:firstLine="357"/>
        <w:spacing w:after="0" w:line="261"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January 29, 2019.</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New Fortress Energy LLC</w:t>
      </w:r>
    </w:p>
    <w:p>
      <w:pPr>
        <w:spacing w:after="0" w:line="280" w:lineRule="exact"/>
        <w:rPr>
          <w:sz w:val="20"/>
          <w:szCs w:val="20"/>
          <w:color w:val="auto"/>
        </w:rPr>
      </w:pPr>
    </w:p>
    <w:tbl>
      <w:tblPr>
        <w:tblLayout w:type="fixed"/>
        <w:tblInd w:w="4760" w:type="dxa"/>
        <w:tblCellMar>
          <w:top w:w="0" w:type="dxa"/>
          <w:left w:w="0" w:type="dxa"/>
          <w:bottom w:w="0" w:type="dxa"/>
          <w:right w:w="0" w:type="dxa"/>
        </w:tblCellMar>
      </w:tblP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Christopher S. Guinta</w:t>
            </w:r>
          </w:p>
        </w:tc>
      </w:tr>
      <w:tr>
        <w:trPr>
          <w:trHeight w:val="235"/>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ind w:left="60"/>
              <w:spacing w:after="0"/>
              <w:rPr>
                <w:sz w:val="20"/>
                <w:szCs w:val="20"/>
                <w:color w:val="auto"/>
              </w:rPr>
            </w:pPr>
            <w:r>
              <w:rPr>
                <w:rFonts w:ascii="Arial" w:cs="Arial" w:eastAsia="Arial" w:hAnsi="Arial"/>
                <w:sz w:val="18"/>
                <w:szCs w:val="18"/>
                <w:color w:val="auto"/>
              </w:rPr>
              <w:t>Christopher S. Guinta</w:t>
            </w:r>
          </w:p>
        </w:tc>
      </w:tr>
      <w:tr>
        <w:trPr>
          <w:trHeight w:val="241"/>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19" w:lineRule="exact"/>
        <w:rPr>
          <w:sz w:val="20"/>
          <w:szCs w:val="20"/>
          <w:color w:val="auto"/>
        </w:rPr>
      </w:pPr>
    </w:p>
    <w:p>
      <w:pPr>
        <w:ind w:right="120" w:firstLine="357"/>
        <w:spacing w:after="0" w:line="274"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the dates indicated.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jc w:val="center"/>
              <w:ind w:right="575"/>
              <w:spacing w:after="0"/>
              <w:rPr>
                <w:sz w:val="20"/>
                <w:szCs w:val="20"/>
                <w:color w:val="auto"/>
              </w:rPr>
            </w:pPr>
            <w:r>
              <w:rPr>
                <w:rFonts w:ascii="Arial" w:cs="Arial" w:eastAsia="Arial" w:hAnsi="Arial"/>
                <w:sz w:val="14"/>
                <w:szCs w:val="14"/>
                <w:b w:val="1"/>
                <w:bCs w:val="1"/>
                <w:color w:val="auto"/>
                <w:w w:val="94"/>
              </w:rPr>
              <w:t>Name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7"/>
              </w:rPr>
              <w:t>Title</w:t>
            </w:r>
          </w:p>
        </w:tc>
        <w:tc>
          <w:tcPr>
            <w:tcW w:w="160" w:type="dxa"/>
            <w:vAlign w:val="bottom"/>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76"/>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Wesley R. Edens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tcPr>
          <w:p>
            <w:pPr>
              <w:jc w:val="center"/>
              <w:ind w:right="93"/>
              <w:spacing w:after="0"/>
              <w:rPr>
                <w:sz w:val="20"/>
                <w:szCs w:val="20"/>
                <w:color w:val="auto"/>
              </w:rPr>
            </w:pPr>
            <w:r>
              <w:rPr>
                <w:rFonts w:ascii="Arial" w:cs="Arial" w:eastAsia="Arial" w:hAnsi="Arial"/>
                <w:sz w:val="18"/>
                <w:szCs w:val="18"/>
                <w:color w:val="auto"/>
                <w:w w:val="90"/>
              </w:rPr>
              <w:t>Wesley R. Edens, Chief Executive Officer and</w:t>
            </w:r>
          </w:p>
        </w:tc>
        <w:tc>
          <w:tcPr>
            <w:tcW w:w="160" w:type="dxa"/>
            <w:vAlign w:val="bottom"/>
          </w:tcPr>
          <w:p>
            <w:pPr>
              <w:spacing w:after="0"/>
              <w:rPr>
                <w:sz w:val="24"/>
                <w:szCs w:val="24"/>
                <w:color w:val="auto"/>
              </w:rPr>
            </w:pPr>
          </w:p>
        </w:tc>
        <w:tc>
          <w:tcPr>
            <w:tcW w:w="2200" w:type="dxa"/>
            <w:vAlign w:val="bottom"/>
          </w:tcPr>
          <w:p>
            <w:pPr>
              <w:jc w:val="center"/>
              <w:ind w:left="15"/>
              <w:spacing w:after="0"/>
              <w:rPr>
                <w:sz w:val="20"/>
                <w:szCs w:val="20"/>
                <w:color w:val="auto"/>
              </w:rPr>
            </w:pPr>
            <w:r>
              <w:rPr>
                <w:rFonts w:ascii="Arial" w:cs="Arial" w:eastAsia="Arial" w:hAnsi="Arial"/>
                <w:sz w:val="18"/>
                <w:szCs w:val="18"/>
                <w:color w:val="auto"/>
                <w:w w:val="87"/>
              </w:rPr>
              <w:t>January 29, 2019</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tcPr>
          <w:p>
            <w:pPr>
              <w:jc w:val="center"/>
              <w:ind w:right="73"/>
              <w:spacing w:after="0" w:line="181" w:lineRule="exact"/>
              <w:rPr>
                <w:sz w:val="20"/>
                <w:szCs w:val="20"/>
                <w:color w:val="auto"/>
              </w:rPr>
            </w:pPr>
            <w:r>
              <w:rPr>
                <w:rFonts w:ascii="Arial" w:cs="Arial" w:eastAsia="Arial" w:hAnsi="Arial"/>
                <w:sz w:val="18"/>
                <w:szCs w:val="18"/>
                <w:color w:val="auto"/>
                <w:w w:val="89"/>
              </w:rPr>
              <w:t>Chairman</w:t>
            </w:r>
          </w:p>
        </w:tc>
        <w:tc>
          <w:tcPr>
            <w:tcW w:w="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00" w:type="dxa"/>
            <w:vAlign w:val="bottom"/>
          </w:tcPr>
          <w:p>
            <w:pPr>
              <w:jc w:val="center"/>
              <w:ind w:right="93"/>
              <w:spacing w:after="0"/>
              <w:rPr>
                <w:sz w:val="20"/>
                <w:szCs w:val="20"/>
                <w:color w:val="auto"/>
              </w:rPr>
            </w:pPr>
            <w:r>
              <w:rPr>
                <w:rFonts w:ascii="Arial" w:cs="Arial" w:eastAsia="Arial" w:hAnsi="Arial"/>
                <w:sz w:val="18"/>
                <w:szCs w:val="18"/>
                <w:color w:val="auto"/>
                <w:w w:val="93"/>
              </w:rPr>
              <w:t>(Principal Executive Officer)</w:t>
            </w:r>
          </w:p>
        </w:tc>
        <w:tc>
          <w:tcPr>
            <w:tcW w:w="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Guinta</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tcPr>
          <w:p>
            <w:pPr>
              <w:jc w:val="center"/>
              <w:ind w:right="93"/>
              <w:spacing w:after="0"/>
              <w:rPr>
                <w:sz w:val="20"/>
                <w:szCs w:val="20"/>
                <w:color w:val="auto"/>
              </w:rPr>
            </w:pPr>
            <w:r>
              <w:rPr>
                <w:rFonts w:ascii="Arial" w:cs="Arial" w:eastAsia="Arial" w:hAnsi="Arial"/>
                <w:sz w:val="18"/>
                <w:szCs w:val="18"/>
                <w:color w:val="auto"/>
                <w:w w:val="92"/>
              </w:rPr>
              <w:t>Christopher S. Guinta, Chief Financial Officer</w:t>
            </w:r>
          </w:p>
        </w:tc>
        <w:tc>
          <w:tcPr>
            <w:tcW w:w="160" w:type="dxa"/>
            <w:vAlign w:val="bottom"/>
          </w:tcPr>
          <w:p>
            <w:pPr>
              <w:spacing w:after="0"/>
              <w:rPr>
                <w:sz w:val="24"/>
                <w:szCs w:val="24"/>
                <w:color w:val="auto"/>
              </w:rPr>
            </w:pPr>
          </w:p>
        </w:tc>
        <w:tc>
          <w:tcPr>
            <w:tcW w:w="2200" w:type="dxa"/>
            <w:vAlign w:val="bottom"/>
          </w:tcPr>
          <w:p>
            <w:pPr>
              <w:jc w:val="center"/>
              <w:ind w:left="15"/>
              <w:spacing w:after="0"/>
              <w:rPr>
                <w:sz w:val="20"/>
                <w:szCs w:val="20"/>
                <w:color w:val="auto"/>
              </w:rPr>
            </w:pPr>
            <w:r>
              <w:rPr>
                <w:rFonts w:ascii="Arial" w:cs="Arial" w:eastAsia="Arial" w:hAnsi="Arial"/>
                <w:sz w:val="18"/>
                <w:szCs w:val="18"/>
                <w:color w:val="auto"/>
                <w:w w:val="87"/>
              </w:rPr>
              <w:t>January 29, 2019</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tcPr>
          <w:p>
            <w:pPr>
              <w:jc w:val="center"/>
              <w:ind w:right="93"/>
              <w:spacing w:after="0" w:line="181" w:lineRule="exact"/>
              <w:rPr>
                <w:sz w:val="20"/>
                <w:szCs w:val="20"/>
                <w:color w:val="auto"/>
              </w:rPr>
            </w:pPr>
            <w:r>
              <w:rPr>
                <w:rFonts w:ascii="Arial" w:cs="Arial" w:eastAsia="Arial" w:hAnsi="Arial"/>
                <w:sz w:val="18"/>
                <w:szCs w:val="18"/>
                <w:color w:val="auto"/>
                <w:w w:val="92"/>
              </w:rPr>
              <w:t>(Principal Financial Officer and Principal</w:t>
            </w:r>
          </w:p>
        </w:tc>
        <w:tc>
          <w:tcPr>
            <w:tcW w:w="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00" w:type="dxa"/>
            <w:vAlign w:val="bottom"/>
          </w:tcPr>
          <w:p>
            <w:pPr>
              <w:jc w:val="center"/>
              <w:ind w:right="93"/>
              <w:spacing w:after="0"/>
              <w:rPr>
                <w:sz w:val="20"/>
                <w:szCs w:val="20"/>
                <w:color w:val="auto"/>
              </w:rPr>
            </w:pPr>
            <w:r>
              <w:rPr>
                <w:rFonts w:ascii="Arial" w:cs="Arial" w:eastAsia="Arial" w:hAnsi="Arial"/>
                <w:sz w:val="18"/>
                <w:szCs w:val="18"/>
                <w:color w:val="auto"/>
                <w:w w:val="94"/>
              </w:rPr>
              <w:t>Accounting Officer)</w:t>
            </w:r>
          </w:p>
        </w:tc>
        <w:tc>
          <w:tcPr>
            <w:tcW w:w="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5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ind w:right="145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tcPr>
          <w:p>
            <w:pPr>
              <w:jc w:val="center"/>
              <w:ind w:right="73"/>
              <w:spacing w:after="0"/>
              <w:rPr>
                <w:sz w:val="20"/>
                <w:szCs w:val="20"/>
                <w:color w:val="auto"/>
              </w:rPr>
            </w:pPr>
            <w:r>
              <w:rPr>
                <w:rFonts w:ascii="Arial" w:cs="Arial" w:eastAsia="Arial" w:hAnsi="Arial"/>
                <w:sz w:val="18"/>
                <w:szCs w:val="18"/>
                <w:color w:val="auto"/>
                <w:w w:val="90"/>
              </w:rPr>
              <w:t>Randal A. Nardone</w:t>
            </w:r>
          </w:p>
        </w:tc>
        <w:tc>
          <w:tcPr>
            <w:tcW w:w="160" w:type="dxa"/>
            <w:vAlign w:val="bottom"/>
          </w:tcPr>
          <w:p>
            <w:pPr>
              <w:spacing w:after="0"/>
              <w:rPr>
                <w:sz w:val="24"/>
                <w:szCs w:val="24"/>
                <w:color w:val="auto"/>
              </w:rPr>
            </w:pPr>
          </w:p>
        </w:tc>
        <w:tc>
          <w:tcPr>
            <w:tcW w:w="2200" w:type="dxa"/>
            <w:vAlign w:val="bottom"/>
          </w:tcPr>
          <w:p>
            <w:pPr>
              <w:jc w:val="center"/>
              <w:ind w:left="15"/>
              <w:spacing w:after="0"/>
              <w:rPr>
                <w:sz w:val="20"/>
                <w:szCs w:val="20"/>
                <w:color w:val="auto"/>
              </w:rPr>
            </w:pPr>
            <w:r>
              <w:rPr>
                <w:rFonts w:ascii="Arial" w:cs="Arial" w:eastAsia="Arial" w:hAnsi="Arial"/>
                <w:sz w:val="18"/>
                <w:szCs w:val="18"/>
                <w:color w:val="auto"/>
                <w:w w:val="87"/>
              </w:rPr>
              <w:t>January 29, 2019</w:t>
            </w:r>
          </w:p>
        </w:tc>
        <w:tc>
          <w:tcPr>
            <w:tcW w:w="0" w:type="dxa"/>
            <w:vAlign w:val="bottom"/>
          </w:tcPr>
          <w:p>
            <w:pPr>
              <w:spacing w:after="0"/>
              <w:rPr>
                <w:sz w:val="1"/>
                <w:szCs w:val="1"/>
                <w:color w:val="auto"/>
              </w:rPr>
            </w:pPr>
          </w:p>
        </w:tc>
      </w:tr>
      <w:tr>
        <w:trPr>
          <w:trHeight w:val="209"/>
        </w:trPr>
        <w:tc>
          <w:tcPr>
            <w:tcW w:w="560" w:type="dxa"/>
            <w:vAlign w:val="bottom"/>
            <w:vMerge w:val="restart"/>
          </w:tcPr>
          <w:p>
            <w:pPr>
              <w:spacing w:after="0"/>
              <w:rPr>
                <w:sz w:val="20"/>
                <w:szCs w:val="20"/>
                <w:color w:val="auto"/>
              </w:rPr>
            </w:pPr>
            <w:r>
              <w:rPr>
                <w:rFonts w:ascii="Arial" w:cs="Arial" w:eastAsia="Arial" w:hAnsi="Arial"/>
                <w:sz w:val="18"/>
                <w:szCs w:val="18"/>
                <w:color w:val="auto"/>
              </w:rPr>
              <w:t>*By:</w:t>
            </w:r>
          </w:p>
        </w:tc>
        <w:tc>
          <w:tcPr>
            <w:tcW w:w="2540" w:type="dxa"/>
            <w:vAlign w:val="bottom"/>
            <w:vMerge w:val="restart"/>
          </w:tcPr>
          <w:p>
            <w:pPr>
              <w:ind w:left="80"/>
              <w:spacing w:after="0"/>
              <w:rPr>
                <w:sz w:val="20"/>
                <w:szCs w:val="20"/>
                <w:color w:val="auto"/>
              </w:rPr>
            </w:pPr>
            <w:r>
              <w:rPr>
                <w:rFonts w:ascii="Arial" w:cs="Arial" w:eastAsia="Arial" w:hAnsi="Arial"/>
                <w:sz w:val="18"/>
                <w:szCs w:val="18"/>
                <w:color w:val="auto"/>
              </w:rPr>
              <w:t>/s/ Christopher S. Guinta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jc w:val="center"/>
              <w:ind w:right="93"/>
              <w:spacing w:after="0"/>
              <w:rPr>
                <w:sz w:val="20"/>
                <w:szCs w:val="20"/>
                <w:color w:val="auto"/>
              </w:rPr>
            </w:pPr>
            <w:r>
              <w:rPr>
                <w:rFonts w:ascii="Arial" w:cs="Arial" w:eastAsia="Arial" w:hAnsi="Arial"/>
                <w:sz w:val="18"/>
                <w:szCs w:val="18"/>
                <w:color w:val="auto"/>
                <w:w w:val="95"/>
              </w:rPr>
              <w:t>Director</w:t>
            </w: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0" w:type="dxa"/>
            <w:vAlign w:val="bottom"/>
            <w:vMerge w:val="continue"/>
          </w:tcPr>
          <w:p>
            <w:pPr>
              <w:spacing w:after="0"/>
              <w:rPr>
                <w:sz w:val="24"/>
                <w:szCs w:val="24"/>
                <w:color w:val="auto"/>
              </w:rPr>
            </w:pPr>
          </w:p>
        </w:tc>
        <w:tc>
          <w:tcPr>
            <w:tcW w:w="254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60" w:type="dxa"/>
            <w:vAlign w:val="bottom"/>
          </w:tcPr>
          <w:p>
            <w:pPr>
              <w:spacing w:after="0"/>
              <w:rPr>
                <w:sz w:val="20"/>
                <w:szCs w:val="20"/>
                <w:color w:val="auto"/>
              </w:rPr>
            </w:pPr>
          </w:p>
        </w:tc>
        <w:tc>
          <w:tcPr>
            <w:tcW w:w="2540" w:type="dxa"/>
            <w:vAlign w:val="bottom"/>
          </w:tcPr>
          <w:p>
            <w:pPr>
              <w:ind w:left="80"/>
              <w:spacing w:after="0"/>
              <w:rPr>
                <w:sz w:val="20"/>
                <w:szCs w:val="20"/>
                <w:color w:val="auto"/>
              </w:rPr>
            </w:pPr>
            <w:r>
              <w:rPr>
                <w:rFonts w:ascii="Arial" w:cs="Arial" w:eastAsia="Arial" w:hAnsi="Arial"/>
                <w:sz w:val="18"/>
                <w:szCs w:val="18"/>
                <w:i w:val="1"/>
                <w:iCs w:val="1"/>
                <w:color w:val="auto"/>
              </w:rPr>
              <w:t>Attorney-in-fact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7" w:right="1400"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4">
                      <a:extLst>
                        <a:ext uri="{28A0092B-C50C-407E-A947-70E740481C1C}"/>
                      </a:extLst>
                    </a:blip>
                    <a:srcRect/>
                    <a:stretch>
                      <a:fillRect/>
                    </a:stretch>
                  </pic:blipFill>
                  <pic:spPr bwMode="auto">
                    <a:xfrm>
                      <a:off x="0" y="0"/>
                      <a:ext cx="7086600" cy="34290"/>
                    </a:xfrm>
                    <a:prstGeom prst="rect">
                      <a:avLst/>
                    </a:prstGeom>
                    <a:noFill/>
                  </pic:spPr>
                </pic:pic>
              </a:graphicData>
            </a:graphic>
          </wp:anchor>
        </w:drawing>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708660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5">
                      <a:extLst>
                        <a:ext uri="{28A0092B-C50C-407E-A947-70E740481C1C}"/>
                      </a:extLst>
                    </a:blip>
                    <a:srcRect/>
                    <a:stretch>
                      <a:fillRect/>
                    </a:stretch>
                  </pic:blipFill>
                  <pic:spPr bwMode="auto">
                    <a:xfrm>
                      <a:off x="0" y="0"/>
                      <a:ext cx="708660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708660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6">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FORTRESS ENERGY LLC</w:t>
      </w:r>
    </w:p>
    <w:p>
      <w:pPr>
        <w:spacing w:after="0" w:line="24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 Delaware limited liability company)</w:t>
      </w:r>
    </w:p>
    <w:p>
      <w:pPr>
        <w:spacing w:after="0" w:line="2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Class A Shares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UNDERWRITING AGREEMENT</w:t>
      </w:r>
    </w:p>
    <w:p>
      <w:pPr>
        <w:spacing w:after="0" w:line="27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708660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129" w:right="560"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color w:val="auto"/>
        </w:rPr>
        <w:t>NEW FORTRESS ENERGY LLC</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Delaware limited liability company)</w:t>
      </w:r>
    </w:p>
    <w:p>
      <w:pPr>
        <w:spacing w:after="0" w:line="24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Class A Shares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AGREEMENT</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2019</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Representatives of the</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several Underwriters listed</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Schedule A hereto</w:t>
      </w:r>
    </w:p>
    <w:p>
      <w:pPr>
        <w:sectPr>
          <w:pgSz w:w="12240" w:h="15840" w:orient="portrait"/>
          <w:cols w:equalWidth="0" w:num="1">
            <w:col w:w="11160"/>
          </w:cols>
          <w:pgMar w:left="520" w:top="0" w:right="560"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Morgan Stanley &amp; Co. LLC</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10036</w:t>
      </w:r>
    </w:p>
    <w:p>
      <w:pPr>
        <w:spacing w:after="0" w:line="200" w:lineRule="exact"/>
        <w:rPr>
          <w:sz w:val="20"/>
          <w:szCs w:val="20"/>
          <w:color w:val="auto"/>
        </w:rPr>
      </w:pPr>
    </w:p>
    <w:p>
      <w:pPr>
        <w:sectPr>
          <w:pgSz w:w="12240" w:h="15840" w:orient="portrait"/>
          <w:cols w:equalWidth="0" w:num="2">
            <w:col w:w="220" w:space="420"/>
            <w:col w:w="10520"/>
          </w:cols>
          <w:pgMar w:left="520" w:top="0" w:right="560"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Barclays Capital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w:t>
      </w:r>
    </w:p>
    <w:p>
      <w:pPr>
        <w:spacing w:after="0" w:line="200" w:lineRule="exact"/>
        <w:rPr>
          <w:sz w:val="20"/>
          <w:szCs w:val="20"/>
          <w:color w:val="auto"/>
        </w:rPr>
      </w:pPr>
    </w:p>
    <w:p>
      <w:pPr>
        <w:sectPr>
          <w:pgSz w:w="12240" w:h="15840" w:orient="portrait"/>
          <w:cols w:equalWidth="0" w:num="2">
            <w:col w:w="220" w:space="420"/>
            <w:col w:w="10520"/>
          </w:cols>
          <w:pgMar w:left="520" w:top="0" w:right="560"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Citigroup Global Markets Inc.</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00" w:lineRule="exact"/>
        <w:rPr>
          <w:sz w:val="20"/>
          <w:szCs w:val="20"/>
          <w:color w:val="auto"/>
        </w:rPr>
      </w:pPr>
    </w:p>
    <w:p>
      <w:pPr>
        <w:sectPr>
          <w:pgSz w:w="12240" w:h="15840" w:orient="portrait"/>
          <w:cols w:equalWidth="0" w:num="2">
            <w:col w:w="220" w:space="420"/>
            <w:col w:w="10520"/>
          </w:cols>
          <w:pgMar w:left="520" w:top="0" w:right="560"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Credit Suisse Securities (USA) LLC</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10010-3629</w:t>
      </w:r>
    </w:p>
    <w:p>
      <w:pPr>
        <w:spacing w:after="0" w:line="200" w:lineRule="exact"/>
        <w:rPr>
          <w:sz w:val="20"/>
          <w:szCs w:val="20"/>
          <w:color w:val="auto"/>
        </w:rPr>
      </w:pPr>
    </w:p>
    <w:p>
      <w:pPr>
        <w:sectPr>
          <w:pgSz w:w="12240" w:h="15840" w:orient="portrait"/>
          <w:cols w:equalWidth="0" w:num="2">
            <w:col w:w="220" w:space="420"/>
            <w:col w:w="10520"/>
          </w:cols>
          <w:pgMar w:left="520" w:top="0" w:right="560"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9" w:lineRule="exact"/>
        <w:rPr>
          <w:sz w:val="20"/>
          <w:szCs w:val="20"/>
          <w:color w:val="auto"/>
        </w:rPr>
      </w:pPr>
    </w:p>
    <w:p>
      <w:pPr>
        <w:jc w:val="both"/>
        <w:ind w:firstLine="644"/>
        <w:spacing w:after="0" w:line="283" w:lineRule="auto"/>
        <w:rPr>
          <w:sz w:val="20"/>
          <w:szCs w:val="20"/>
          <w:color w:val="auto"/>
        </w:rPr>
      </w:pPr>
      <w:r>
        <w:rPr>
          <w:rFonts w:ascii="Arial" w:cs="Arial" w:eastAsia="Arial" w:hAnsi="Arial"/>
          <w:sz w:val="16"/>
          <w:szCs w:val="16"/>
          <w:color w:val="auto"/>
        </w:rPr>
        <w:t>New Fortress Energy LLC, a Delaware limited liability company (the “Company”), confirms its agreement with Morgan Stanley &amp; Co. LLC (“Morgan Stanley”), Barclays Capital Inc., Citigroup Global Markets Inc. and Credit Suisse Securities (USA) LLC and each of the other Underwriters named in Schedule A hereto (collectively, the “Underwriters,” which term shall also include any underwriter substituted as hereinafter provided in Section 10 hereof), for whom you are acting as representatives (in such capacity, the “Representatives”), with respect to (i) the sale by the Company and the purchase by the Underwriters, acting severally and not jointly, of the respective numbers of Class A shares representing limited liability company interests in the Company (“Class A Shares”) set forth in Schedule A hereto and (ii) the grant by the Company to the Underwriters, acting severally and not jointly, of</w:t>
      </w:r>
    </w:p>
    <w:tbl>
      <w:tblPr>
        <w:tblLayout w:type="fixed"/>
        <w:tblInd w:w="0" w:type="dxa"/>
        <w:tblCellMar>
          <w:top w:w="0" w:type="dxa"/>
          <w:left w:w="0" w:type="dxa"/>
          <w:bottom w:w="0" w:type="dxa"/>
          <w:right w:w="0" w:type="dxa"/>
        </w:tblCellMar>
      </w:tblP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w w:val="95"/>
              </w:rPr>
              <w:t>the option described in Section 2(b) hereof to purchase all or any part of</w:t>
            </w:r>
          </w:p>
        </w:tc>
        <w:tc>
          <w:tcPr>
            <w:tcW w:w="3500" w:type="dxa"/>
            <w:vAlign w:val="bottom"/>
          </w:tcPr>
          <w:p>
            <w:pPr>
              <w:jc w:val="right"/>
              <w:ind w:right="71"/>
              <w:spacing w:after="0" w:line="201" w:lineRule="exact"/>
              <w:rPr>
                <w:sz w:val="20"/>
                <w:szCs w:val="20"/>
                <w:color w:val="auto"/>
              </w:rPr>
            </w:pPr>
            <w:r>
              <w:rPr>
                <w:rFonts w:ascii="Arial" w:cs="Arial" w:eastAsia="Arial" w:hAnsi="Arial"/>
                <w:sz w:val="18"/>
                <w:szCs w:val="18"/>
                <w:color w:val="auto"/>
              </w:rPr>
              <w:t>additional Class A Shares.  The aforesaid</w:t>
            </w:r>
          </w:p>
        </w:tc>
        <w:tc>
          <w:tcPr>
            <w:tcW w:w="2160" w:type="dxa"/>
            <w:vAlign w:val="bottom"/>
          </w:tcPr>
          <w:p>
            <w:pPr>
              <w:jc w:val="right"/>
              <w:spacing w:after="0" w:line="201" w:lineRule="exact"/>
              <w:rPr>
                <w:sz w:val="20"/>
                <w:szCs w:val="20"/>
                <w:color w:val="auto"/>
              </w:rPr>
            </w:pPr>
            <w:r>
              <w:rPr>
                <w:rFonts w:ascii="Arial" w:cs="Arial" w:eastAsia="Arial" w:hAnsi="Arial"/>
                <w:sz w:val="18"/>
                <w:szCs w:val="18"/>
                <w:color w:val="auto"/>
              </w:rPr>
              <w:t>Class A Shares (the “Initial</w:t>
            </w:r>
          </w:p>
        </w:tc>
      </w:tr>
      <w:tr>
        <w:trPr>
          <w:trHeight w:val="215"/>
        </w:trPr>
        <w:tc>
          <w:tcPr>
            <w:tcW w:w="5500" w:type="dxa"/>
            <w:vAlign w:val="bottom"/>
          </w:tcPr>
          <w:p>
            <w:pPr>
              <w:spacing w:after="0"/>
              <w:rPr>
                <w:sz w:val="20"/>
                <w:szCs w:val="20"/>
                <w:color w:val="auto"/>
              </w:rPr>
            </w:pPr>
            <w:r>
              <w:rPr>
                <w:rFonts w:ascii="Arial" w:cs="Arial" w:eastAsia="Arial" w:hAnsi="Arial"/>
                <w:sz w:val="18"/>
                <w:szCs w:val="18"/>
                <w:color w:val="auto"/>
                <w:w w:val="93"/>
              </w:rPr>
              <w:t>Securities”) to be purchased by the Underwriters and all or any part of the</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w w:val="96"/>
              </w:rPr>
              <w:t>Class A Shares subject to the option described in Section 2(b) hereof (the</w:t>
            </w: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“Option Securities”) are herein called, collectively, the “Securities.”</w:t>
            </w:r>
          </w:p>
        </w:tc>
        <w:tc>
          <w:tcPr>
            <w:tcW w:w="35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630"/>
        </w:trPr>
        <w:tc>
          <w:tcPr>
            <w:tcW w:w="5500" w:type="dxa"/>
            <w:vAlign w:val="bottom"/>
          </w:tcPr>
          <w:p>
            <w:pPr>
              <w:spacing w:after="0"/>
              <w:rPr>
                <w:sz w:val="24"/>
                <w:szCs w:val="24"/>
                <w:color w:val="auto"/>
              </w:rPr>
            </w:pPr>
          </w:p>
        </w:tc>
        <w:tc>
          <w:tcPr>
            <w:tcW w:w="3500" w:type="dxa"/>
            <w:vAlign w:val="bottom"/>
          </w:tcPr>
          <w:p>
            <w:pPr>
              <w:jc w:val="right"/>
              <w:ind w:right="3271"/>
              <w:spacing w:after="0"/>
              <w:rPr>
                <w:sz w:val="20"/>
                <w:szCs w:val="20"/>
                <w:color w:val="auto"/>
              </w:rPr>
            </w:pPr>
            <w:r>
              <w:rPr>
                <w:rFonts w:ascii="Arial" w:cs="Arial" w:eastAsia="Arial" w:hAnsi="Arial"/>
                <w:sz w:val="18"/>
                <w:szCs w:val="18"/>
                <w:color w:val="auto"/>
              </w:rPr>
              <w:t>1</w:t>
            </w:r>
          </w:p>
        </w:tc>
        <w:tc>
          <w:tcPr>
            <w:tcW w:w="2160" w:type="dxa"/>
            <w:vAlign w:val="bottom"/>
          </w:tcPr>
          <w:p>
            <w:pPr>
              <w:spacing w:after="0"/>
              <w:rPr>
                <w:sz w:val="24"/>
                <w:szCs w:val="24"/>
                <w:color w:val="auto"/>
              </w:rPr>
            </w:pPr>
          </w:p>
        </w:tc>
      </w:tr>
      <w:tr>
        <w:trPr>
          <w:trHeight w:val="60"/>
        </w:trPr>
        <w:tc>
          <w:tcPr>
            <w:tcW w:w="5500" w:type="dxa"/>
            <w:vAlign w:val="bottom"/>
            <w:tcBorders>
              <w:bottom w:val="single" w:sz="8" w:color="auto"/>
            </w:tcBorders>
          </w:tcPr>
          <w:p>
            <w:pPr>
              <w:spacing w:after="0"/>
              <w:rPr>
                <w:sz w:val="5"/>
                <w:szCs w:val="5"/>
                <w:color w:val="auto"/>
              </w:rPr>
            </w:pPr>
          </w:p>
        </w:tc>
        <w:tc>
          <w:tcPr>
            <w:tcW w:w="350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r>
    </w:tbl>
    <w:p>
      <w:pPr>
        <w:sectPr>
          <w:pgSz w:w="12240" w:h="15840" w:orient="portrait"/>
          <w:cols w:equalWidth="0" w:num="1">
            <w:col w:w="11160"/>
          </w:cols>
          <w:pgMar w:left="520" w:top="0" w:right="560" w:bottom="1440" w:gutter="0" w:footer="0" w:header="0"/>
          <w:type w:val="continuous"/>
        </w:sectPr>
      </w:pPr>
    </w:p>
    <w:bookmarkStart w:id="189" w:name="page190"/>
    <w:bookmarkEnd w:id="189"/>
    <w:p>
      <w:pPr>
        <w:ind w:firstLine="644"/>
        <w:spacing w:after="0" w:line="25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Representatives deem advisable after this Agreement has been executed and delivered.</w:t>
      </w:r>
    </w:p>
    <w:p>
      <w:pPr>
        <w:spacing w:after="0" w:line="213" w:lineRule="exact"/>
        <w:rPr>
          <w:sz w:val="20"/>
          <w:szCs w:val="20"/>
          <w:color w:val="auto"/>
        </w:rPr>
      </w:pPr>
    </w:p>
    <w:p>
      <w:pPr>
        <w:ind w:firstLine="644"/>
        <w:spacing w:after="0" w:line="305" w:lineRule="auto"/>
        <w:rPr>
          <w:sz w:val="20"/>
          <w:szCs w:val="20"/>
          <w:color w:val="auto"/>
        </w:rPr>
      </w:pPr>
      <w:r>
        <w:rPr>
          <w:rFonts w:ascii="Arial" w:cs="Arial" w:eastAsia="Arial" w:hAnsi="Arial"/>
          <w:sz w:val="17"/>
          <w:szCs w:val="17"/>
          <w:color w:val="auto"/>
        </w:rPr>
        <w:t>On the date hereof, the Company’s business is conducted through New Fortress Intermediate LLC, a Delaware limited liability Company (“NFI”), and its subsidiaries. Immediately prior to or on the Closing Date (as hereinafter defined), the following transactions will occur:</w:t>
      </w:r>
    </w:p>
    <w:p>
      <w:pPr>
        <w:spacing w:after="0" w:line="201" w:lineRule="exact"/>
        <w:rPr>
          <w:sz w:val="20"/>
          <w:szCs w:val="20"/>
          <w:color w:val="auto"/>
        </w:rPr>
      </w:pPr>
    </w:p>
    <w:p>
      <w:pPr>
        <w:jc w:val="both"/>
        <w:ind w:left="640" w:firstLine="648"/>
        <w:spacing w:after="0" w:line="261" w:lineRule="auto"/>
        <w:tabs>
          <w:tab w:leader="none" w:pos="208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New Fortress Energy Holdings LLC, a Delaware limited liability company (“New Fortress Energy Holdings”) will contribute all of its interests in NFE Atlantic Holdings LLC, a Delaware limited liability company, and its limited assets and liabilities, if any, to NFI in exchange for common units of NFI (“NFI LLC Units”), which will be the only class of units of NFI;</w:t>
      </w:r>
    </w:p>
    <w:p>
      <w:pPr>
        <w:spacing w:after="0" w:line="236" w:lineRule="exact"/>
        <w:rPr>
          <w:rFonts w:ascii="Arial" w:cs="Arial" w:eastAsia="Arial" w:hAnsi="Arial"/>
          <w:sz w:val="18"/>
          <w:szCs w:val="18"/>
          <w:color w:val="auto"/>
        </w:rPr>
      </w:pPr>
    </w:p>
    <w:p>
      <w:pPr>
        <w:ind w:left="2040" w:hanging="752"/>
        <w:spacing w:after="0"/>
        <w:tabs>
          <w:tab w:leader="none" w:pos="20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Company will contribute the net proceeds from the offering of the Securities to NFI in exchange for NFI LLC Units;</w:t>
      </w:r>
    </w:p>
    <w:p>
      <w:pPr>
        <w:spacing w:after="0" w:line="287" w:lineRule="exact"/>
        <w:rPr>
          <w:rFonts w:ascii="Arial" w:cs="Arial" w:eastAsia="Arial" w:hAnsi="Arial"/>
          <w:sz w:val="17"/>
          <w:szCs w:val="17"/>
          <w:color w:val="auto"/>
        </w:rPr>
      </w:pPr>
    </w:p>
    <w:p>
      <w:pPr>
        <w:ind w:left="640" w:right="20" w:firstLine="648"/>
        <w:spacing w:after="0" w:line="274" w:lineRule="auto"/>
        <w:tabs>
          <w:tab w:leader="none" w:pos="2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New Fortress Energy Holdings will receive a number of Class B shares equal to the number of NFI LLC Units held by i immediately following the completion of the public offering of the Securities;</w:t>
      </w:r>
    </w:p>
    <w:p>
      <w:pPr>
        <w:spacing w:after="0" w:line="224" w:lineRule="exact"/>
        <w:rPr>
          <w:rFonts w:ascii="Arial" w:cs="Arial" w:eastAsia="Arial" w:hAnsi="Arial"/>
          <w:sz w:val="18"/>
          <w:szCs w:val="18"/>
          <w:color w:val="auto"/>
        </w:rPr>
      </w:pPr>
    </w:p>
    <w:p>
      <w:pPr>
        <w:jc w:val="both"/>
        <w:ind w:left="640" w:firstLine="648"/>
        <w:spacing w:after="0" w:line="261" w:lineRule="auto"/>
        <w:tabs>
          <w:tab w:leader="none" w:pos="224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limited liability company agreement of the Company will be amended and restated (as so amended and restated, the “Company Operating Agreement”) to, among other things, authorize two classes of common shares, Class A Shares and Class B Shares representing limited liability company interests in the Company (“Class B Shares”);</w:t>
      </w:r>
    </w:p>
    <w:p>
      <w:pPr>
        <w:spacing w:after="0" w:line="236" w:lineRule="exact"/>
        <w:rPr>
          <w:rFonts w:ascii="Arial" w:cs="Arial" w:eastAsia="Arial" w:hAnsi="Arial"/>
          <w:sz w:val="18"/>
          <w:szCs w:val="18"/>
          <w:color w:val="auto"/>
        </w:rPr>
      </w:pPr>
    </w:p>
    <w:p>
      <w:pPr>
        <w:ind w:left="640" w:firstLine="648"/>
        <w:spacing w:after="0" w:line="274" w:lineRule="auto"/>
        <w:tabs>
          <w:tab w:leader="none" w:pos="2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limited liability company agreement of NFI will be amended and restated (as so amended and restated, the “NFI LLC Agreement”) to, among other things, appoint the Company as the sole managing member of NFI; and</w:t>
      </w:r>
    </w:p>
    <w:p>
      <w:pPr>
        <w:spacing w:after="0" w:line="224" w:lineRule="exact"/>
        <w:rPr>
          <w:rFonts w:ascii="Arial" w:cs="Arial" w:eastAsia="Arial" w:hAnsi="Arial"/>
          <w:sz w:val="18"/>
          <w:szCs w:val="18"/>
          <w:color w:val="auto"/>
        </w:rPr>
      </w:pPr>
    </w:p>
    <w:p>
      <w:pPr>
        <w:jc w:val="both"/>
        <w:ind w:left="640" w:firstLine="648"/>
        <w:spacing w:after="0" w:line="269" w:lineRule="auto"/>
        <w:tabs>
          <w:tab w:leader="none" w:pos="229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Company will enter into (i) a contribution agreement with NFI and certain other parties to be named therein (the “Contribution Agreement”) to give effect to the transactions described in clauses (a) through (d) above, and (ii) a shareholders’ agreement with New Fortress Energy Holdings (the “Shareholders’ Agreement”) to provide certain rights related to, among other things, the designation and election of directors of the Company and the registration of the resale of Class A Shares held by certain shareholders of the Company, consistent with the descriptions thereof set forth in the Registration Statement (as defined below), the General Disclosure Package (as defined below) and the Prospectus (as defined below) under the captions “Certain Relationships and Related Party Transactions—Agreements with Affiliates in Connection with the Transactions—Contribution Agreement” and “Certain Relationships and Related Party Transactions—Agreements with Affiliates in Connection with the Transactions—Shareholders’ Agreement,” respectively.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8">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190" w:name="page191"/>
    <w:bookmarkEnd w:id="190"/>
    <w:p>
      <w:pPr>
        <w:jc w:val="both"/>
        <w:ind w:firstLine="644"/>
        <w:spacing w:after="0" w:line="251" w:lineRule="auto"/>
        <w:rPr>
          <w:sz w:val="20"/>
          <w:szCs w:val="20"/>
          <w:color w:val="auto"/>
        </w:rPr>
      </w:pPr>
      <w:r>
        <w:rPr>
          <w:rFonts w:ascii="Arial" w:cs="Arial" w:eastAsia="Arial" w:hAnsi="Arial"/>
          <w:sz w:val="18"/>
          <w:szCs w:val="18"/>
          <w:color w:val="auto"/>
        </w:rPr>
        <w:t>The transactions contemplated in clauses (a) through (f) above are collectively referred to herein as the “Transactions.” As the sole managing member of NFI, the Company will operate and control all of the business and affairs of NFI and, through NFI and its subsidiaries, conduct the Company’s business. The Company and NFI are collectively referred to herein as the “New Fortress Energy Parties” and each individually as a “New Fortress Energy Party.”</w:t>
      </w:r>
    </w:p>
    <w:p>
      <w:pPr>
        <w:spacing w:after="0" w:line="220"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7"/>
          <w:szCs w:val="17"/>
          <w:color w:val="auto"/>
        </w:rPr>
        <w:t xml:space="preserve">The Company has filed with the Securities and Exchange Commission (the “Commission”) a registration statement on Form S-1 (No. 333-228339), including the related preliminary prospectus or prospectuses, covering the registration of the sale of the Securities under the Securities Act of 1933, as amended (the “1933 Act”). Promptly after execution and delivery of this Agreement, the Company will prepare and file a prospectus in accordance with </w:t>
      </w:r>
      <w:r>
        <w:rPr>
          <w:rFonts w:ascii="Arial" w:cs="Arial" w:eastAsia="Arial" w:hAnsi="Arial"/>
          <w:sz w:val="20"/>
          <w:szCs w:val="20"/>
          <w:color w:val="auto"/>
        </w:rPr>
        <w:t>the provisions of</w:t>
      </w:r>
      <w:r>
        <w:rPr>
          <w:rFonts w:ascii="Arial" w:cs="Arial" w:eastAsia="Arial" w:hAnsi="Arial"/>
          <w:sz w:val="17"/>
          <w:szCs w:val="17"/>
          <w:color w:val="auto"/>
        </w:rPr>
        <w:t xml:space="preserve"> Rule 430A (“Rule 430A”) of the rules and regulations of the Commission under the 1933 Act (the “1933 Act Regulations</w:t>
      </w:r>
      <w:r>
        <w:rPr>
          <w:rFonts w:ascii="Arial" w:cs="Arial" w:eastAsia="Arial" w:hAnsi="Arial"/>
          <w:sz w:val="20"/>
          <w:szCs w:val="20"/>
          <w:color w:val="auto"/>
        </w:rPr>
        <w:t>”) and Rule 424(b) (“Rule 424(b)”) of the 1933 Act Regulations. The information included in such prospectus that was</w:t>
      </w:r>
      <w:r>
        <w:rPr>
          <w:rFonts w:ascii="Arial" w:cs="Arial" w:eastAsia="Arial" w:hAnsi="Arial"/>
          <w:sz w:val="17"/>
          <w:szCs w:val="17"/>
          <w:color w:val="auto"/>
        </w:rPr>
        <w:t xml:space="preserve"> </w:t>
      </w:r>
      <w:r>
        <w:rPr>
          <w:rFonts w:ascii="Arial" w:cs="Arial" w:eastAsia="Arial" w:hAnsi="Arial"/>
          <w:sz w:val="20"/>
          <w:szCs w:val="20"/>
          <w:color w:val="auto"/>
        </w:rPr>
        <w:t xml:space="preserve">omitted from such registration statement at the time it became effective but that is deemed to be part of such registration statement at the time it became effective pursuant to Rule 430A(b) is herein called the “Rule 430A Information.” </w:t>
      </w:r>
      <w:r>
        <w:rPr>
          <w:rFonts w:ascii="Arial" w:cs="Arial" w:eastAsia="Arial" w:hAnsi="Arial"/>
          <w:sz w:val="16"/>
          <w:szCs w:val="16"/>
          <w:color w:val="auto"/>
        </w:rPr>
        <w:t>Such registration</w:t>
      </w:r>
      <w:r>
        <w:rPr>
          <w:rFonts w:ascii="Arial" w:cs="Arial" w:eastAsia="Arial" w:hAnsi="Arial"/>
          <w:sz w:val="20"/>
          <w:szCs w:val="20"/>
          <w:color w:val="auto"/>
        </w:rPr>
        <w:t xml:space="preserve"> </w:t>
      </w:r>
      <w:r>
        <w:rPr>
          <w:rFonts w:ascii="Arial" w:cs="Arial" w:eastAsia="Arial" w:hAnsi="Arial"/>
          <w:sz w:val="16"/>
          <w:szCs w:val="16"/>
          <w:color w:val="auto"/>
        </w:rPr>
        <w:t xml:space="preserve">statement, including the amendments thereto, the exhibits thereto and any schedules thereto, at the time it became effective, </w:t>
      </w:r>
      <w:r>
        <w:rPr>
          <w:rFonts w:ascii="Arial" w:cs="Arial" w:eastAsia="Arial" w:hAnsi="Arial"/>
          <w:sz w:val="20"/>
          <w:szCs w:val="20"/>
          <w:color w:val="auto"/>
        </w:rPr>
        <w:t>including the Rule 430A</w:t>
      </w:r>
      <w:r>
        <w:rPr>
          <w:rFonts w:ascii="Arial" w:cs="Arial" w:eastAsia="Arial" w:hAnsi="Arial"/>
          <w:sz w:val="16"/>
          <w:szCs w:val="16"/>
          <w:color w:val="auto"/>
        </w:rPr>
        <w:t xml:space="preserve"> </w:t>
      </w:r>
      <w:r>
        <w:rPr>
          <w:rFonts w:ascii="Arial" w:cs="Arial" w:eastAsia="Arial" w:hAnsi="Arial"/>
          <w:sz w:val="20"/>
          <w:szCs w:val="20"/>
          <w:color w:val="auto"/>
        </w:rPr>
        <w:t xml:space="preserve">Information, </w:t>
      </w:r>
      <w:r>
        <w:rPr>
          <w:rFonts w:ascii="Arial" w:cs="Arial" w:eastAsia="Arial" w:hAnsi="Arial"/>
          <w:sz w:val="16"/>
          <w:szCs w:val="16"/>
          <w:color w:val="auto"/>
        </w:rPr>
        <w:t>is herein called the “Registration Statement.” Any registration statement filed pursuant to Rule 462(b) of the 1933 Act Regulations is herein</w:t>
      </w:r>
      <w:r>
        <w:rPr>
          <w:rFonts w:ascii="Arial" w:cs="Arial" w:eastAsia="Arial" w:hAnsi="Arial"/>
          <w:sz w:val="20"/>
          <w:szCs w:val="20"/>
          <w:color w:val="auto"/>
        </w:rPr>
        <w:t xml:space="preserve"> </w:t>
      </w:r>
      <w:r>
        <w:rPr>
          <w:rFonts w:ascii="Arial" w:cs="Arial" w:eastAsia="Arial" w:hAnsi="Arial"/>
          <w:sz w:val="16"/>
          <w:szCs w:val="16"/>
          <w:color w:val="auto"/>
        </w:rPr>
        <w:t>called the “Rule 462(b) Registration Statement” and, after such filing, the term “Registration Statement” shall include the Rule 462(b) Registration Statement. Each prospectus used prior to the effectiveness of the Registration Statement</w:t>
      </w:r>
      <w:r>
        <w:rPr>
          <w:rFonts w:ascii="Arial" w:cs="Arial" w:eastAsia="Arial" w:hAnsi="Arial"/>
          <w:sz w:val="20"/>
          <w:szCs w:val="20"/>
          <w:color w:val="auto"/>
        </w:rPr>
        <w:t>, and each prospectus that omitted the Rule 430A</w:t>
      </w:r>
      <w:r>
        <w:rPr>
          <w:rFonts w:ascii="Arial" w:cs="Arial" w:eastAsia="Arial" w:hAnsi="Arial"/>
          <w:sz w:val="16"/>
          <w:szCs w:val="16"/>
          <w:color w:val="auto"/>
        </w:rPr>
        <w:t xml:space="preserve"> </w:t>
      </w:r>
      <w:r>
        <w:rPr>
          <w:rFonts w:ascii="Arial" w:cs="Arial" w:eastAsia="Arial" w:hAnsi="Arial"/>
          <w:sz w:val="20"/>
          <w:szCs w:val="20"/>
          <w:color w:val="auto"/>
        </w:rPr>
        <w:t xml:space="preserve">Information that was used after such effectiveness and prior to the execution and delivery of this Agreement, </w:t>
      </w:r>
      <w:r>
        <w:rPr>
          <w:rFonts w:ascii="Arial" w:cs="Arial" w:eastAsia="Arial" w:hAnsi="Arial"/>
          <w:sz w:val="16"/>
          <w:szCs w:val="16"/>
          <w:color w:val="auto"/>
        </w:rPr>
        <w:t>is herein called a</w:t>
      </w:r>
      <w:r>
        <w:rPr>
          <w:rFonts w:ascii="Arial" w:cs="Arial" w:eastAsia="Arial" w:hAnsi="Arial"/>
          <w:sz w:val="20"/>
          <w:szCs w:val="20"/>
          <w:color w:val="auto"/>
        </w:rPr>
        <w:t xml:space="preserve"> </w:t>
      </w:r>
      <w:r>
        <w:rPr>
          <w:rFonts w:ascii="Arial" w:cs="Arial" w:eastAsia="Arial" w:hAnsi="Arial"/>
          <w:sz w:val="16"/>
          <w:szCs w:val="16"/>
          <w:color w:val="auto"/>
        </w:rPr>
        <w:t>“preliminary prospectus.” The final prospectus, in the form first furnished to the Underwriters for use in connection with the offering of the Securities, is herein called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Agreement:</w:t>
      </w:r>
    </w:p>
    <w:p>
      <w:pPr>
        <w:sectPr>
          <w:pgSz w:w="12240" w:h="15840" w:orient="portrait"/>
          <w:cols w:equalWidth="0" w:num="1">
            <w:col w:w="11160"/>
          </w:cols>
          <w:pgMar w:left="520" w:top="0" w:right="560" w:bottom="1440" w:gutter="0" w:footer="0" w:header="0"/>
        </w:sectPr>
      </w:pPr>
    </w:p>
    <w:p>
      <w:pPr>
        <w:spacing w:after="0" w:line="27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“Applicable Time” means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New York City time, on</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2019 or such other time as agreed by the Company and the</w:t>
      </w:r>
    </w:p>
    <w:p>
      <w:pPr>
        <w:spacing w:after="0" w:line="44" w:lineRule="exact"/>
        <w:rPr>
          <w:sz w:val="20"/>
          <w:szCs w:val="20"/>
          <w:color w:val="auto"/>
        </w:rPr>
      </w:pPr>
    </w:p>
    <w:p>
      <w:pPr>
        <w:sectPr>
          <w:pgSz w:w="12240" w:h="15840" w:orient="portrait"/>
          <w:cols w:equalWidth="0" w:num="3">
            <w:col w:w="3240" w:space="720"/>
            <w:col w:w="1940" w:space="680"/>
            <w:col w:w="4580"/>
          </w:cols>
          <w:pgMar w:left="520" w:top="0" w:right="560" w:bottom="1440" w:gutter="0" w:footer="0" w:header="0"/>
          <w:type w:val="continuous"/>
        </w:sectPr>
      </w:pPr>
    </w:p>
    <w:p>
      <w:pPr>
        <w:ind w:left="640"/>
        <w:spacing w:after="0"/>
        <w:rPr>
          <w:sz w:val="20"/>
          <w:szCs w:val="20"/>
          <w:color w:val="auto"/>
        </w:rPr>
      </w:pPr>
      <w:r>
        <w:rPr>
          <w:rFonts w:ascii="Arial" w:cs="Arial" w:eastAsia="Arial" w:hAnsi="Arial"/>
          <w:sz w:val="15"/>
          <w:szCs w:val="15"/>
          <w:color w:val="auto"/>
        </w:rPr>
        <w:t>Representatives.</w:t>
      </w:r>
    </w:p>
    <w:p>
      <w:pPr>
        <w:sectPr>
          <w:pgSz w:w="12240" w:h="15840" w:orient="portrait"/>
          <w:cols w:equalWidth="0" w:num="1">
            <w:col w:w="11160"/>
          </w:cols>
          <w:pgMar w:left="520" w:top="0" w:right="560" w:bottom="1440" w:gutter="0" w:footer="0" w:header="0"/>
          <w:type w:val="continuous"/>
        </w:sectPr>
      </w:pPr>
    </w:p>
    <w:p>
      <w:pPr>
        <w:spacing w:after="0" w:line="269" w:lineRule="exact"/>
        <w:rPr>
          <w:sz w:val="20"/>
          <w:szCs w:val="20"/>
          <w:color w:val="auto"/>
        </w:rPr>
      </w:pPr>
    </w:p>
    <w:p>
      <w:pPr>
        <w:jc w:val="both"/>
        <w:ind w:left="640" w:firstLine="644"/>
        <w:spacing w:after="0" w:line="261" w:lineRule="auto"/>
        <w:rPr>
          <w:sz w:val="20"/>
          <w:szCs w:val="20"/>
          <w:color w:val="auto"/>
        </w:rPr>
      </w:pPr>
      <w:r>
        <w:rPr>
          <w:rFonts w:ascii="Arial" w:cs="Arial" w:eastAsia="Arial" w:hAnsi="Arial"/>
          <w:sz w:val="18"/>
          <w:szCs w:val="18"/>
          <w:color w:val="auto"/>
        </w:rPr>
        <w:t>“General Disclosure Package” means any Issuer General Use Free Writing Prospectuses issued at or prior to the Applicable Time, the most recent preliminary prospectus that is distributed to investors prior to the Applicable Time and the information included on Schedule B-1 hereto, all considered together.</w:t>
      </w:r>
    </w:p>
    <w:p>
      <w:pPr>
        <w:spacing w:after="0" w:line="210" w:lineRule="exact"/>
        <w:rPr>
          <w:sz w:val="20"/>
          <w:szCs w:val="20"/>
          <w:color w:val="auto"/>
        </w:rPr>
      </w:pPr>
    </w:p>
    <w:p>
      <w:pPr>
        <w:jc w:val="both"/>
        <w:ind w:left="640" w:firstLine="644"/>
        <w:spacing w:after="0" w:line="253" w:lineRule="auto"/>
        <w:rPr>
          <w:sz w:val="20"/>
          <w:szCs w:val="20"/>
          <w:color w:val="auto"/>
        </w:rPr>
      </w:pPr>
      <w:r>
        <w:rPr>
          <w:rFonts w:ascii="Arial" w:cs="Arial" w:eastAsia="Arial" w:hAnsi="Arial"/>
          <w:sz w:val="18"/>
          <w:szCs w:val="18"/>
          <w:color w:val="auto"/>
        </w:rPr>
        <w:t>“Issuer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or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type w:val="continuous"/>
        </w:sectPr>
      </w:pPr>
    </w:p>
    <w:bookmarkStart w:id="191" w:name="page192"/>
    <w:bookmarkEnd w:id="191"/>
    <w:p>
      <w:pPr>
        <w:jc w:val="both"/>
        <w:ind w:left="620" w:firstLine="644"/>
        <w:spacing w:after="0" w:line="253" w:lineRule="auto"/>
        <w:rPr>
          <w:sz w:val="20"/>
          <w:szCs w:val="20"/>
          <w:color w:val="auto"/>
        </w:rPr>
      </w:pPr>
      <w:r>
        <w:rPr>
          <w:rFonts w:ascii="Arial" w:cs="Arial" w:eastAsia="Arial" w:hAnsi="Arial"/>
          <w:sz w:val="18"/>
          <w:szCs w:val="18"/>
          <w:color w:val="auto"/>
        </w:rPr>
        <w:t>“Issuer General Use Free Writing Prospectus” means any Issuer Free Writing Prospectus that is intended for general distribution to prospective investors (other than a “bona fide electronic road show,” as defined in Rule 433 (the “Bona Fide Electronic Road Show”)), as evidenced by its being specified in Schedule B-2 hereto.</w:t>
      </w:r>
    </w:p>
    <w:p>
      <w:pPr>
        <w:spacing w:after="0" w:line="216" w:lineRule="exact"/>
        <w:rPr>
          <w:sz w:val="20"/>
          <w:szCs w:val="20"/>
          <w:color w:val="auto"/>
        </w:rPr>
      </w:pPr>
    </w:p>
    <w:p>
      <w:pPr>
        <w:jc w:val="both"/>
        <w:ind w:left="620" w:firstLine="644"/>
        <w:spacing w:after="0" w:line="274"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198"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222" w:lineRule="exact"/>
        <w:rPr>
          <w:sz w:val="20"/>
          <w:szCs w:val="20"/>
          <w:color w:val="auto"/>
        </w:rPr>
      </w:pPr>
    </w:p>
    <w:p>
      <w:pPr>
        <w:jc w:val="both"/>
        <w:ind w:left="-20" w:firstLine="644"/>
        <w:spacing w:after="0" w:line="261" w:lineRule="auto"/>
        <w:tabs>
          <w:tab w:leader="none" w:pos="136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Representations and Warranties by the New Fortress Energy Parties. Each New Fortress Energy Party represents and warrants to each Underwriter as of the date hereof, the Applicable Time, the Closing Time and any Date of Delivery (as defined below), and agrees with each Underwriter as follows:</w:t>
      </w:r>
    </w:p>
    <w:p>
      <w:pPr>
        <w:spacing w:after="0" w:line="210" w:lineRule="exact"/>
        <w:rPr>
          <w:rFonts w:ascii="Arial" w:cs="Arial" w:eastAsia="Arial" w:hAnsi="Arial"/>
          <w:sz w:val="18"/>
          <w:szCs w:val="18"/>
          <w:color w:val="auto"/>
        </w:rPr>
      </w:pPr>
    </w:p>
    <w:p>
      <w:pPr>
        <w:jc w:val="both"/>
        <w:ind w:left="620" w:firstLine="648"/>
        <w:spacing w:after="0" w:line="294" w:lineRule="auto"/>
        <w:tabs>
          <w:tab w:leader="none" w:pos="2041"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Prospectuses</w:t>
      </w:r>
      <w:r>
        <w:rPr>
          <w:rFonts w:ascii="Arial" w:cs="Arial" w:eastAsia="Arial" w:hAnsi="Arial"/>
          <w:sz w:val="16"/>
          <w:szCs w:val="16"/>
          <w:color w:val="auto"/>
        </w:rPr>
        <w:t>. Each of the Registration Statement and any post-effective amendment thereto has become effective under the 1933 Act. No stop order suspending the effectiveness of the Registration Statement or any post-effective amendmen thereto has been issued under the 1933 Act, no order preventing or suspending the use of any preliminary prospectus or the Prospectus has been issued and no proceedings for any of those purposes have been instituted or are pending or, to the knowledge of the New Fortress Energy Parties, threatened by the Commission. The Company has complied with each request (if any) from the Commission for additional information.</w:t>
      </w:r>
    </w:p>
    <w:p>
      <w:pPr>
        <w:spacing w:after="0" w:line="188" w:lineRule="exact"/>
        <w:rPr>
          <w:sz w:val="20"/>
          <w:szCs w:val="20"/>
          <w:color w:val="auto"/>
        </w:rPr>
      </w:pPr>
    </w:p>
    <w:p>
      <w:pPr>
        <w:jc w:val="both"/>
        <w:ind w:left="620" w:firstLine="644"/>
        <w:spacing w:after="0" w:line="254" w:lineRule="auto"/>
        <w:rPr>
          <w:sz w:val="20"/>
          <w:szCs w:val="20"/>
          <w:color w:val="auto"/>
        </w:rPr>
      </w:pPr>
      <w:r>
        <w:rPr>
          <w:rFonts w:ascii="Arial" w:cs="Arial" w:eastAsia="Arial" w:hAnsi="Arial"/>
          <w:sz w:val="18"/>
          <w:szCs w:val="18"/>
          <w:color w:val="auto"/>
        </w:rPr>
        <w:t>Each of the Registration Statement and any post-effective amendment thereto, at the time it became effective,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by the Company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215" w:lineRule="exact"/>
        <w:rPr>
          <w:sz w:val="20"/>
          <w:szCs w:val="20"/>
          <w:color w:val="auto"/>
        </w:rPr>
      </w:pPr>
    </w:p>
    <w:p>
      <w:pPr>
        <w:jc w:val="both"/>
        <w:ind w:left="620" w:firstLine="648"/>
        <w:spacing w:after="0" w:line="267" w:lineRule="auto"/>
        <w:tabs>
          <w:tab w:leader="none" w:pos="1929"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Accurate Disclosure</w:t>
      </w:r>
      <w:r>
        <w:rPr>
          <w:rFonts w:ascii="Arial" w:cs="Arial" w:eastAsia="Arial" w:hAnsi="Arial"/>
          <w:sz w:val="17"/>
          <w:szCs w:val="17"/>
          <w:color w:val="auto"/>
        </w:rPr>
        <w:t>. Neither the Registration Statement nor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none of (A) the Genera Disclosure Package, (B) any individual Issuer Limited Use Free Writing Prospectus, when considered together with the General Disclosure Package, (C) any individual Written Testing-the-Waters Communication (as defined below), when considered together with the General Disclosure Package, and (D) the Bona Fide Electronic Road Show,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 misleading.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48260</wp:posOffset>
            </wp:positionV>
            <wp:extent cx="708660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40"/>
          </w:cols>
          <w:pgMar w:left="540" w:top="0" w:right="560" w:bottom="1440" w:gutter="0" w:footer="0" w:header="0"/>
        </w:sectPr>
      </w:pPr>
    </w:p>
    <w:bookmarkStart w:id="192" w:name="page193"/>
    <w:bookmarkEnd w:id="192"/>
    <w:p>
      <w:pPr>
        <w:jc w:val="both"/>
        <w:ind w:firstLine="644"/>
        <w:spacing w:after="0" w:line="250" w:lineRule="auto"/>
        <w:rPr>
          <w:sz w:val="20"/>
          <w:szCs w:val="20"/>
          <w:color w:val="auto"/>
        </w:rPr>
      </w:pPr>
      <w:r>
        <w:rPr>
          <w:rFonts w:ascii="Arial" w:cs="Arial" w:eastAsia="Arial" w:hAnsi="Arial"/>
          <w:sz w:val="18"/>
          <w:szCs w:val="18"/>
          <w:color w:val="auto"/>
        </w:rPr>
        <w:t>The representations and warranties in this subsection shall not apply to statements in or omissions from the Registration Statement (or any amendment thereto), the General Disclosure Package, any Issuer Free Writing Prospectus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third eleventh and thirteenth paragraphs under the heading “Underwriting” in each case contained in the Prospectus (collectively, the “Underwriter Information”).</w:t>
      </w:r>
    </w:p>
    <w:p>
      <w:pPr>
        <w:spacing w:after="0" w:line="221" w:lineRule="exact"/>
        <w:rPr>
          <w:sz w:val="20"/>
          <w:szCs w:val="20"/>
          <w:color w:val="auto"/>
        </w:rPr>
      </w:pPr>
    </w:p>
    <w:p>
      <w:pPr>
        <w:jc w:val="both"/>
        <w:ind w:firstLine="648"/>
        <w:spacing w:after="0" w:line="277" w:lineRule="auto"/>
        <w:tabs>
          <w:tab w:leader="none" w:pos="1359"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Issuer Free Writing Prospectuses</w:t>
      </w:r>
      <w:r>
        <w:rPr>
          <w:rFonts w:ascii="Arial" w:cs="Arial" w:eastAsia="Arial" w:hAnsi="Arial"/>
          <w:sz w:val="17"/>
          <w:szCs w:val="17"/>
          <w:color w:val="auto"/>
        </w:rPr>
        <w:t>. No Issuer Free Writing Prospectus conflicts or will conflict with the information contained in the Registration Statement or the Prospectus, and any preliminary or other prospectus deemed to be a part thereof that has not been superseded or modified. The Company has made available a Bona Fide Electronic Road Show in compliance with Rule 433(d)(8)(ii) such that no filing of any “road show” (as defined in Rule 433(h)) is required in connection with the offering of the Securities.</w:t>
      </w:r>
    </w:p>
    <w:p>
      <w:pPr>
        <w:spacing w:after="0" w:line="197" w:lineRule="exact"/>
        <w:rPr>
          <w:rFonts w:ascii="Arial" w:cs="Arial" w:eastAsia="Arial" w:hAnsi="Arial"/>
          <w:sz w:val="17"/>
          <w:szCs w:val="17"/>
          <w:color w:val="auto"/>
        </w:rPr>
      </w:pPr>
    </w:p>
    <w:p>
      <w:pPr>
        <w:jc w:val="both"/>
        <w:ind w:firstLine="648"/>
        <w:spacing w:after="0" w:line="255" w:lineRule="auto"/>
        <w:tabs>
          <w:tab w:leader="none" w:pos="1416"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Company Not Ineligible Issuer</w:t>
      </w:r>
      <w:r>
        <w:rPr>
          <w:rFonts w:ascii="Arial" w:cs="Arial" w:eastAsia="Arial" w:hAnsi="Arial"/>
          <w:sz w:val="18"/>
          <w:szCs w:val="18"/>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215" w:lineRule="exact"/>
        <w:rPr>
          <w:rFonts w:ascii="Arial" w:cs="Arial" w:eastAsia="Arial" w:hAnsi="Arial"/>
          <w:sz w:val="18"/>
          <w:szCs w:val="18"/>
          <w:color w:val="auto"/>
        </w:rPr>
      </w:pPr>
    </w:p>
    <w:p>
      <w:pPr>
        <w:jc w:val="both"/>
        <w:ind w:firstLine="648"/>
        <w:spacing w:after="0" w:line="252" w:lineRule="auto"/>
        <w:tabs>
          <w:tab w:leader="none" w:pos="1313"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Due Organization, Valid Existence and Good Standing</w:t>
      </w:r>
      <w:r>
        <w:rPr>
          <w:rFonts w:ascii="Arial" w:cs="Arial" w:eastAsia="Arial" w:hAnsi="Arial"/>
          <w:sz w:val="18"/>
          <w:szCs w:val="18"/>
          <w:color w:val="auto"/>
        </w:rPr>
        <w:t>. Each of the New Fortress Energy Parties and their subsidiaries has been duly organized, is validly existing and in good standing as a limited liability company, limited partnership, corporation or other business entity under the laws of its jurisdiction of organization and is duly qualified to do business and in good standing as a foreign limited liability company, limited partnership, corporation or other business entity in each jurisdiction in which its ownership or lease of property or the conduct of its businesses requires such qualification, except where the failure to be so qualified or in good standing could not, in the aggregate, reasonably be expected to have a material adverse effect on the condition (financial or otherwise), results of operations, members’ or stockholders’ equity properties or business of the New Fortress Energy Parties and their subsidiaries taken as a whole (a “Material Adverse Effect”). Each New Fortress Energy Party and its subsidiaries has all power and authority necessary to own or hold its properties and to conduct the businesses in which it is engaged.</w:t>
      </w:r>
    </w:p>
    <w:p>
      <w:pPr>
        <w:spacing w:after="0" w:line="39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48260</wp:posOffset>
            </wp:positionV>
            <wp:extent cx="708660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1">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520"/>
          </w:cols>
          <w:pgMar w:left="1160" w:top="0" w:right="560" w:bottom="1440" w:gutter="0" w:footer="0" w:header="0"/>
        </w:sectPr>
      </w:pPr>
    </w:p>
    <w:bookmarkStart w:id="193" w:name="page194"/>
    <w:bookmarkEnd w:id="193"/>
    <w:p>
      <w:pPr>
        <w:jc w:val="both"/>
        <w:ind w:left="-280" w:firstLine="648"/>
        <w:spacing w:after="0" w:line="288" w:lineRule="auto"/>
        <w:tabs>
          <w:tab w:leader="none" w:pos="1163"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in each of the Registration Statement, the General Disclosure Package and the Prospectus, and all of the authorized, issued and outstanding limited liability company interests of the Company have been duly authorized and validly issued and are fully paid and non-assessable. All of the issued and outstanding shares of capital stock or other equity interests of each subsidiary of the New Fortress Energy Parties have been duly authorized and validly issued, are fully paid and non-assessable and are owned directly or indirectly by the New Fortress Energy Parties, free and clear of all liens, encumbrances, equities or claims, except for such liens, encumbrances, equities or claims as could not, in the aggregate, reasonably be expected to have a Material Adverse Effect.</w:t>
      </w:r>
    </w:p>
    <w:p>
      <w:pPr>
        <w:spacing w:after="0" w:line="190" w:lineRule="exact"/>
        <w:rPr>
          <w:rFonts w:ascii="Arial" w:cs="Arial" w:eastAsia="Arial" w:hAnsi="Arial"/>
          <w:sz w:val="16"/>
          <w:szCs w:val="16"/>
          <w:color w:val="auto"/>
        </w:rPr>
      </w:pPr>
    </w:p>
    <w:p>
      <w:pPr>
        <w:jc w:val="both"/>
        <w:ind w:left="-280" w:firstLine="648"/>
        <w:spacing w:after="0" w:line="253" w:lineRule="auto"/>
        <w:tabs>
          <w:tab w:leader="none" w:pos="113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Authorization and Description of Securities</w:t>
      </w:r>
      <w:r>
        <w:rPr>
          <w:rFonts w:ascii="Arial" w:cs="Arial" w:eastAsia="Arial" w:hAnsi="Arial"/>
          <w:sz w:val="18"/>
          <w:szCs w:val="18"/>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New Fortress Energy Parties. The Class A Shares and the Class B Shares conform in all material respects to all statements relating thereto contained in the Registration Statement, the General Disclosure Package and the Prospectus and such description conforms in all material respects to the rights set forth in the instruments defining the same.</w:t>
      </w:r>
    </w:p>
    <w:p>
      <w:pPr>
        <w:spacing w:after="0" w:line="216" w:lineRule="exact"/>
        <w:rPr>
          <w:rFonts w:ascii="Arial" w:cs="Arial" w:eastAsia="Arial" w:hAnsi="Arial"/>
          <w:sz w:val="18"/>
          <w:szCs w:val="18"/>
          <w:color w:val="auto"/>
        </w:rPr>
      </w:pPr>
    </w:p>
    <w:p>
      <w:pPr>
        <w:jc w:val="both"/>
        <w:ind w:left="-280" w:firstLine="648"/>
        <w:spacing w:after="0" w:line="261" w:lineRule="auto"/>
        <w:tabs>
          <w:tab w:leader="none" w:pos="1195"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Power and Authority</w:t>
      </w:r>
      <w:r>
        <w:rPr>
          <w:rFonts w:ascii="Arial" w:cs="Arial" w:eastAsia="Arial" w:hAnsi="Arial"/>
          <w:sz w:val="18"/>
          <w:szCs w:val="18"/>
          <w:color w:val="auto"/>
        </w:rPr>
        <w:t>. Each New Fortress Energy Party has all requisite corporate power and authority to execute, deliver and perform its obligations under this Agreement. This Agreement has been duly and validly authorized, executed and delivered by each New Fortress Energy Party.</w:t>
      </w:r>
    </w:p>
    <w:p>
      <w:pPr>
        <w:spacing w:after="0" w:line="236" w:lineRule="exact"/>
        <w:rPr>
          <w:rFonts w:ascii="Arial" w:cs="Arial" w:eastAsia="Arial" w:hAnsi="Arial"/>
          <w:sz w:val="18"/>
          <w:szCs w:val="18"/>
          <w:color w:val="auto"/>
        </w:rPr>
      </w:pPr>
    </w:p>
    <w:p>
      <w:pPr>
        <w:jc w:val="both"/>
        <w:ind w:left="-280" w:firstLine="648"/>
        <w:spacing w:after="0" w:line="284" w:lineRule="auto"/>
        <w:tabs>
          <w:tab w:leader="none" w:pos="1226"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Authorization of Transaction Documents</w:t>
      </w:r>
      <w:r>
        <w:rPr>
          <w:rFonts w:ascii="Arial" w:cs="Arial" w:eastAsia="Arial" w:hAnsi="Arial"/>
          <w:sz w:val="17"/>
          <w:szCs w:val="17"/>
          <w:color w:val="auto"/>
        </w:rPr>
        <w:t>. Each of (i) the Company Operating Agreement, (ii) the NFI LLC Agreement, (iii) the Contribution Agreement, and (iv) the Shareholders’ Agreement (collectively, the “Transaction Documents” and each individually, a “Transaction Document”) has been duly authorized, executed and delivered by the New Fortress Energy Parties.</w:t>
      </w:r>
    </w:p>
    <w:p>
      <w:pPr>
        <w:spacing w:after="0" w:line="218" w:lineRule="exact"/>
        <w:rPr>
          <w:rFonts w:ascii="Arial" w:cs="Arial" w:eastAsia="Arial" w:hAnsi="Arial"/>
          <w:sz w:val="17"/>
          <w:szCs w:val="17"/>
          <w:color w:val="auto"/>
        </w:rPr>
      </w:pPr>
    </w:p>
    <w:p>
      <w:pPr>
        <w:ind w:left="-280" w:firstLine="648"/>
        <w:spacing w:after="0" w:line="274" w:lineRule="auto"/>
        <w:tabs>
          <w:tab w:leader="none" w:pos="112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Description of Transaction Documents</w:t>
      </w:r>
      <w:r>
        <w:rPr>
          <w:rFonts w:ascii="Arial" w:cs="Arial" w:eastAsia="Arial" w:hAnsi="Arial"/>
          <w:sz w:val="18"/>
          <w:szCs w:val="18"/>
          <w:color w:val="auto"/>
        </w:rPr>
        <w:t>. Each Transaction Document conforms in all material respects to the description thereof contained in the Registration Statement, the General Disclosure Package and the Prospectus.</w:t>
      </w:r>
    </w:p>
    <w:p>
      <w:pPr>
        <w:spacing w:after="0" w:line="37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48260</wp:posOffset>
            </wp:positionV>
            <wp:extent cx="708660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2">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40"/>
          </w:cols>
          <w:pgMar w:left="1440" w:top="0" w:right="560" w:bottom="1440" w:gutter="0" w:footer="0" w:header="0"/>
        </w:sectPr>
      </w:pPr>
    </w:p>
    <w:bookmarkStart w:id="194" w:name="page195"/>
    <w:bookmarkEnd w:id="194"/>
    <w:p>
      <w:pPr>
        <w:jc w:val="both"/>
        <w:ind w:left="-280" w:firstLine="648"/>
        <w:spacing w:after="0" w:line="283" w:lineRule="auto"/>
        <w:tabs>
          <w:tab w:leader="none" w:pos="1377"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Absence of Violations, Defaults and Conflicts with this Agreement</w:t>
      </w:r>
      <w:r>
        <w:rPr>
          <w:rFonts w:ascii="Arial" w:cs="Arial" w:eastAsia="Arial" w:hAnsi="Arial"/>
          <w:sz w:val="16"/>
          <w:szCs w:val="16"/>
          <w:color w:val="auto"/>
        </w:rPr>
        <w:t>. The execution, delivery and performance of this Agreement and the Transaction Documents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“Use of Proceeds”) will not (i) conflict with or result in a breach or violation of any of the terms or provisions of, impose any lien, charge or encumbrance upon any property or assets of the New Fortress Energy Parties or their respective subsidiaries, or constitute a default under, any indenture, mortgage, deed of trust, loan agreement, license, lease or other agreement or instrument to which any New Fortress Energy Party or its subsidiaries is a party or by which any New Fortress Energy Party or its subsidiaries is bound or to which any of the property or assets of any New Fortress Energy Party or its subsidiaries is subject, (ii) result in any violation of the provisions of the charter or bylaws (or similar organizational documents) of any New Fortress Energy Party or its subsidiaries, or (iii) result in any violation of any statute or any judgment, order, decree, rule or regulation of any court or governmental agency or body having jurisdiction over any New Fortress Energy Party or its subsidiaries or any of their properties or assets, except, with respect to clauses (i) and (iii), conflicts or violations that would not reasonably be expected to have a Material Adverse Effect.</w:t>
      </w:r>
    </w:p>
    <w:p>
      <w:pPr>
        <w:spacing w:after="0" w:line="199" w:lineRule="exact"/>
        <w:rPr>
          <w:rFonts w:ascii="Arial" w:cs="Arial" w:eastAsia="Arial" w:hAnsi="Arial"/>
          <w:sz w:val="16"/>
          <w:szCs w:val="16"/>
          <w:color w:val="auto"/>
        </w:rPr>
      </w:pPr>
    </w:p>
    <w:p>
      <w:pPr>
        <w:jc w:val="both"/>
        <w:ind w:left="-280" w:firstLine="648"/>
        <w:spacing w:after="0" w:line="268" w:lineRule="auto"/>
        <w:tabs>
          <w:tab w:leader="none" w:pos="1145"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No consent, approval, authorization or order of, or filing, registration or qualification with, any court or governmental agency or body having jurisdiction over the New Fortress Energy Parties or their subsidiaries or any of their properties or assets is required for the execution, delivery and performance by the New Fortress Energy Parties of this Agreement or the Transaction Documents, the application of the proceeds from the sale of the Securities as described under “Use of Proceeds” in each of the Registration Statement, the General Disclosure Package and the Prospectus and the consummation by the New Fortress Energy Parties of the transactions contemplated hereby and thereby, except (A) such as have been already obtained or as may be required under the 1933 Act, the 1933 Ac Regulations, the rules of the Nasdaq Global Select Market, state securities or Blue Sky laws or the rules of the Financial Industry Regulatory Authority (“FINRA”), and (B) such consents, approvals, authorizations or orders that would not, in the aggregate, reasonably be expected to have a Material Adverse Effect.</w:t>
      </w:r>
    </w:p>
    <w:p>
      <w:pPr>
        <w:spacing w:after="0" w:line="208" w:lineRule="exact"/>
        <w:rPr>
          <w:rFonts w:ascii="Arial" w:cs="Arial" w:eastAsia="Arial" w:hAnsi="Arial"/>
          <w:sz w:val="17"/>
          <w:szCs w:val="17"/>
          <w:color w:val="auto"/>
        </w:rPr>
      </w:pPr>
    </w:p>
    <w:p>
      <w:pPr>
        <w:jc w:val="both"/>
        <w:ind w:left="-280" w:firstLine="648"/>
        <w:spacing w:after="0" w:line="261" w:lineRule="auto"/>
        <w:tabs>
          <w:tab w:leader="none" w:pos="120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236" w:lineRule="exact"/>
        <w:rPr>
          <w:rFonts w:ascii="Arial" w:cs="Arial" w:eastAsia="Arial" w:hAnsi="Arial"/>
          <w:sz w:val="18"/>
          <w:szCs w:val="18"/>
          <w:color w:val="auto"/>
        </w:rPr>
      </w:pPr>
    </w:p>
    <w:p>
      <w:pPr>
        <w:jc w:val="both"/>
        <w:ind w:left="-280" w:firstLine="648"/>
        <w:spacing w:after="0" w:line="284" w:lineRule="auto"/>
        <w:tabs>
          <w:tab w:leader="none" w:pos="1409"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Related-Party Transactions</w:t>
      </w:r>
      <w:r>
        <w:rPr>
          <w:rFonts w:ascii="Arial" w:cs="Arial" w:eastAsia="Arial" w:hAnsi="Arial"/>
          <w:sz w:val="17"/>
          <w:szCs w:val="17"/>
          <w:color w:val="auto"/>
        </w:rPr>
        <w:t>. There are no business relationships or related-party transactions involving any New Fortress Energy Party or any of its subsidiaries or any related person as defined under Item 404 of Regulation S-K required to be described in the Registration Statement, the General Disclosure Package or the Prospectus that have not been described as required.</w:t>
      </w:r>
    </w:p>
    <w:p>
      <w:pPr>
        <w:spacing w:after="0" w:line="191" w:lineRule="exact"/>
        <w:rPr>
          <w:rFonts w:ascii="Arial" w:cs="Arial" w:eastAsia="Arial" w:hAnsi="Arial"/>
          <w:sz w:val="17"/>
          <w:szCs w:val="17"/>
          <w:color w:val="auto"/>
        </w:rPr>
      </w:pPr>
    </w:p>
    <w:p>
      <w:pPr>
        <w:jc w:val="both"/>
        <w:ind w:left="-280" w:firstLine="648"/>
        <w:spacing w:after="0" w:line="285" w:lineRule="auto"/>
        <w:tabs>
          <w:tab w:leader="none" w:pos="1256"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Financial Statements; Non-GAAP Financial Measures</w:t>
      </w:r>
      <w:r>
        <w:rPr>
          <w:rFonts w:ascii="Arial" w:cs="Arial" w:eastAsia="Arial" w:hAnsi="Arial"/>
          <w:sz w:val="16"/>
          <w:szCs w:val="16"/>
          <w:color w:val="auto"/>
        </w:rPr>
        <w:t>. The historical financial statements (including the related notes and supporting schedules) included in the Registration Statement, the General Disclosure Package and the Prospectus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(“GAAP”) applied on a consistent basis throughout the periods involved except for any annual year-end adjustment, the adoption of new accounting principles, and excep as otherwise noted therein. The supporting schedules, if any, present fairly in accordance with GAAP the information required to be stated therein. The selected financial data and the summary financial information included in the Registration Statement, the General Disclosure Package and the Prospectus present fairly the information shown therein and have been compiled on a basis consistent with that of the audited financial statements included therein. All disclosures contained in the Registration Statement, the General Disclosure Package or the Prospectus, regarding “non-GAAP financial measures” (as such term is defined by the rules and regulations of the Commission) comply with Regulation G of the Securities Exchange Act of 1934, as amended (the “1934 Act”) and Item 10 of Regulation S-K of the 1933 Act, to the extent applicable.</w:t>
      </w:r>
    </w:p>
    <w:p>
      <w:pPr>
        <w:spacing w:after="0" w:line="37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48260</wp:posOffset>
            </wp:positionV>
            <wp:extent cx="708660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3">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40"/>
          </w:cols>
          <w:pgMar w:left="1440" w:top="0" w:right="560" w:bottom="1440" w:gutter="0" w:footer="0" w:header="0"/>
        </w:sectPr>
      </w:pPr>
    </w:p>
    <w:bookmarkStart w:id="195" w:name="page196"/>
    <w:bookmarkEnd w:id="195"/>
    <w:p>
      <w:pPr>
        <w:jc w:val="both"/>
        <w:ind w:left="-4" w:firstLine="648"/>
        <w:spacing w:after="0" w:line="255" w:lineRule="auto"/>
        <w:tabs>
          <w:tab w:leader="none" w:pos="1873"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Emerging Growth Company</w:t>
      </w:r>
      <w:r>
        <w:rPr>
          <w:rFonts w:ascii="Arial" w:cs="Arial" w:eastAsia="Arial" w:hAnsi="Arial"/>
          <w:sz w:val="18"/>
          <w:szCs w:val="18"/>
          <w:color w:val="auto"/>
        </w:rPr>
        <w:t>. 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1933 Act (an “Emerging Growth Company”). “Testing-the-Waters Communication” means any oral or written communication with potential investors undertaken in reliance on Section 5(d) of the 1933 Act.</w:t>
      </w:r>
    </w:p>
    <w:p>
      <w:pPr>
        <w:spacing w:after="0" w:line="241" w:lineRule="exact"/>
        <w:rPr>
          <w:rFonts w:ascii="Arial" w:cs="Arial" w:eastAsia="Arial" w:hAnsi="Arial"/>
          <w:sz w:val="18"/>
          <w:szCs w:val="18"/>
          <w:color w:val="auto"/>
        </w:rPr>
      </w:pPr>
    </w:p>
    <w:p>
      <w:pPr>
        <w:jc w:val="both"/>
        <w:ind w:left="-4" w:firstLine="648"/>
        <w:spacing w:after="0" w:line="286" w:lineRule="auto"/>
        <w:tabs>
          <w:tab w:leader="none" w:pos="1708"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Testing-the-Waters Communications</w:t>
      </w:r>
      <w:r>
        <w:rPr>
          <w:rFonts w:ascii="Arial" w:cs="Arial" w:eastAsia="Arial" w:hAnsi="Arial"/>
          <w:sz w:val="16"/>
          <w:szCs w:val="16"/>
          <w:color w:val="auto"/>
        </w:rPr>
        <w:t>. The Company (i) has not alone engaged in any Testing-the-Waters Communication other than Testing-the-Waters Communications with the consent of the Representatives with entities that are qualified institutional buyers within the meaning of Rule 144A under the 1933 Act or institutions that are accredited investors within the meaning of Rule 501 under the 1933 Act and</w:t>
      </w:r>
    </w:p>
    <w:p>
      <w:pPr>
        <w:jc w:val="both"/>
        <w:ind w:left="-4" w:firstLine="4"/>
        <w:spacing w:after="0" w:line="293" w:lineRule="auto"/>
        <w:tabs>
          <w:tab w:leader="none" w:pos="27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has not authorized anyone other than the Representatives to engage in Testing-the-Waters Communications. The Company reconfirms tha Morgan Stanley has been authorized to act on its behalf in undertaking Testing-the-Waters Communications. The Company has not distributed any Written Testing-the-Waters Communications other than those listed on Schedule C hereto. “Written Testing-the-Waters Communication” means any Testing-the-Waters Communication that is a written communication within the meaning of Rule 405 under the 1933 Act.</w:t>
      </w:r>
    </w:p>
    <w:p>
      <w:pPr>
        <w:spacing w:after="0" w:line="213" w:lineRule="exact"/>
        <w:rPr>
          <w:rFonts w:ascii="Arial" w:cs="Arial" w:eastAsia="Arial" w:hAnsi="Arial"/>
          <w:sz w:val="16"/>
          <w:szCs w:val="16"/>
          <w:color w:val="auto"/>
        </w:rPr>
      </w:pPr>
    </w:p>
    <w:p>
      <w:pPr>
        <w:jc w:val="both"/>
        <w:ind w:left="-4" w:firstLine="648"/>
        <w:spacing w:after="0" w:line="287" w:lineRule="auto"/>
        <w:tabs>
          <w:tab w:leader="none" w:pos="1718"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Distributions</w:t>
      </w:r>
      <w:r>
        <w:rPr>
          <w:rFonts w:ascii="Arial" w:cs="Arial" w:eastAsia="Arial" w:hAnsi="Arial"/>
          <w:sz w:val="16"/>
          <w:szCs w:val="16"/>
          <w:color w:val="auto"/>
        </w:rPr>
        <w:t>. At the Closing Date, and after giving effect to the Transactions, no subsidiary of any New Fortress Energy Party is prohibited or restricted, directly or indirectly, from paying distributions or dividends to any New Fortress Energy Party, or from making any other distribution with respect to such subsidiary’s equity securities or from repaying to any New Fortress Energy Party or any other subsidiary of the New Fortress Energy Parties any amounts that may from time to time become due under any loans or advances to such subsidiary from any New Fortress Energy Party or from transferring any property or assets to any New Fortress Energy Party or to any other subsidiary, except (i) as described in or contemplated by the Registration Statement, the General Disclosure Package and the Prospectus (including any amendment or supplement thereto), (ii) such prohibitions mandated by the laws of each such subsidiary’s jurisdiction of formation and the NFI LLC Agreement and the organizational documents of such subsidiaries, as applicable, (iii) for such prohibitions arising under the debt agreements of such subsidiaries and (iv) where such prohibition would not, individually or in the aggregate, have a Material Adverse Effect.</w:t>
      </w:r>
    </w:p>
    <w:p>
      <w:pPr>
        <w:spacing w:after="0" w:line="367" w:lineRule="exact"/>
        <w:rPr>
          <w:sz w:val="20"/>
          <w:szCs w:val="20"/>
          <w:color w:val="auto"/>
        </w:rPr>
      </w:pPr>
    </w:p>
    <w:p>
      <w:pPr>
        <w:ind w:left="4896"/>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48260</wp:posOffset>
            </wp:positionV>
            <wp:extent cx="708660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4">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516"/>
          </w:cols>
          <w:pgMar w:left="1164" w:top="12" w:right="560" w:bottom="1440" w:gutter="0" w:footer="0" w:header="0"/>
        </w:sectPr>
      </w:pPr>
    </w:p>
    <w:bookmarkStart w:id="196" w:name="page197"/>
    <w:bookmarkEnd w:id="196"/>
    <w:p>
      <w:pPr>
        <w:jc w:val="both"/>
        <w:ind w:left="-4" w:firstLine="648"/>
        <w:spacing w:after="0" w:line="251" w:lineRule="auto"/>
        <w:tabs>
          <w:tab w:leader="none" w:pos="1528"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Independent Auditors</w:t>
      </w:r>
      <w:r>
        <w:rPr>
          <w:rFonts w:ascii="Arial" w:cs="Arial" w:eastAsia="Arial" w:hAnsi="Arial"/>
          <w:sz w:val="18"/>
          <w:szCs w:val="18"/>
          <w:color w:val="auto"/>
        </w:rPr>
        <w:t>. Ernst &amp; Young LLP, which have audited certain financial statements of the Company, the reports of which appear in the Registration Statement, the General Disclosure Package and the Prospectus and which have delivered the initial letter referred to in Section 5(f) hereof, are independent auditors with respect to the Company under Rule 101 of the American Institute of Certified Public Accounts’ Code of Professional Conduct, and its related interpretation and ruling.</w:t>
      </w:r>
    </w:p>
    <w:p>
      <w:pPr>
        <w:spacing w:after="0" w:line="219" w:lineRule="exact"/>
        <w:rPr>
          <w:rFonts w:ascii="Arial" w:cs="Arial" w:eastAsia="Arial" w:hAnsi="Arial"/>
          <w:sz w:val="18"/>
          <w:szCs w:val="18"/>
          <w:color w:val="auto"/>
        </w:rPr>
      </w:pPr>
    </w:p>
    <w:p>
      <w:pPr>
        <w:jc w:val="both"/>
        <w:ind w:left="-4" w:firstLine="648"/>
        <w:spacing w:after="0" w:line="289" w:lineRule="auto"/>
        <w:tabs>
          <w:tab w:leader="none" w:pos="1425"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Accounting Controls</w:t>
      </w:r>
      <w:r>
        <w:rPr>
          <w:rFonts w:ascii="Arial" w:cs="Arial" w:eastAsia="Arial" w:hAnsi="Arial"/>
          <w:sz w:val="16"/>
          <w:szCs w:val="16"/>
          <w:color w:val="auto"/>
        </w:rPr>
        <w:t>. Each New Fortress Energy Party and its subsidiaries maintains a system of internal accounting controls sufficient to provide reasonable assurance that (A) transactions are executed in accordance with management’s general or specific authorizations;</w:t>
      </w:r>
    </w:p>
    <w:p>
      <w:pPr>
        <w:jc w:val="both"/>
        <w:ind w:left="-4" w:firstLine="4"/>
        <w:spacing w:after="0" w:line="286" w:lineRule="auto"/>
        <w:tabs>
          <w:tab w:leader="none" w:pos="32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any New Fortress Energy Party’s internal control over financial reporting (whether or not remediated) and (2) no change in the any New Fortress Energy Party’s internal control over financial reporting that has materially affected or is reasonably likely to materially affect, such New Fortress Energy Party’s internal control over financial reporting.</w:t>
      </w:r>
    </w:p>
    <w:p>
      <w:pPr>
        <w:spacing w:after="0" w:line="194" w:lineRule="exact"/>
        <w:rPr>
          <w:rFonts w:ascii="Arial" w:cs="Arial" w:eastAsia="Arial" w:hAnsi="Arial"/>
          <w:sz w:val="16"/>
          <w:szCs w:val="16"/>
          <w:color w:val="auto"/>
        </w:rPr>
      </w:pPr>
    </w:p>
    <w:p>
      <w:pPr>
        <w:jc w:val="both"/>
        <w:ind w:left="-4" w:firstLine="648"/>
        <w:spacing w:after="0" w:line="285" w:lineRule="auto"/>
        <w:tabs>
          <w:tab w:leader="none" w:pos="1569"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No Material Changes</w:t>
      </w:r>
      <w:r>
        <w:rPr>
          <w:rFonts w:ascii="Arial" w:cs="Arial" w:eastAsia="Arial" w:hAnsi="Arial"/>
          <w:sz w:val="16"/>
          <w:szCs w:val="16"/>
          <w:color w:val="auto"/>
        </w:rPr>
        <w:t>. Except as described in each of the Registration Statement, the General Disclosure Package and the Prospectus, since the date of the latest audited financial statements included in the Registration Statement, the General Disclosure Package and the Prospectus, no New Fortress Energy Party or its subsidiaries has (A) sustained any material loss or interference with its business from fire explosion, flood or other calamity, whether or not covered by insurance, or from any labor disturbance or dispute or court or governmental action order or decree, (B) issued or granted any equity securities, (C) incurred any material liability or obligation, direct or contingent, other than liabilities and obligations that were incurred in the ordinary course of business, (D) entered into any material transaction not in the ordinary course of business, (E) declared or paid any dividend on its limited liability company interests, capital stock or other equity interests, and (F) since such date, there has not been any change in the capital stock, limited partnership or membership interests, as applicable, or short- or long-term debt of any New Fortress Energy Party or its subsidiaries or any adverse change in or affecting the condition (financial or otherwise), results of operations, members’ or stockholders’ equity, properties, management or business of the New Fortress Energy Parties or their subsidiaries, taken as a whole, in each case except as could not, in the aggregate, reasonably be expected to have a Material Adverse Effect.</w:t>
      </w:r>
    </w:p>
    <w:p>
      <w:pPr>
        <w:spacing w:after="0" w:line="373" w:lineRule="exact"/>
        <w:rPr>
          <w:sz w:val="20"/>
          <w:szCs w:val="20"/>
          <w:color w:val="auto"/>
        </w:rPr>
      </w:pPr>
    </w:p>
    <w:p>
      <w:pPr>
        <w:ind w:left="489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48260</wp:posOffset>
            </wp:positionV>
            <wp:extent cx="708660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5">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516"/>
          </w:cols>
          <w:pgMar w:left="1164" w:top="0" w:right="560" w:bottom="1440" w:gutter="0" w:footer="0" w:header="0"/>
        </w:sectPr>
      </w:pPr>
    </w:p>
    <w:bookmarkStart w:id="197" w:name="page198"/>
    <w:bookmarkEnd w:id="197"/>
    <w:p>
      <w:pPr>
        <w:jc w:val="both"/>
        <w:ind w:left="-280" w:firstLine="648"/>
        <w:spacing w:after="0" w:line="250" w:lineRule="auto"/>
        <w:tabs>
          <w:tab w:leader="none" w:pos="1248"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Title to Property</w:t>
      </w:r>
      <w:r>
        <w:rPr>
          <w:rFonts w:ascii="Arial" w:cs="Arial" w:eastAsia="Arial" w:hAnsi="Arial"/>
          <w:sz w:val="18"/>
          <w:szCs w:val="18"/>
          <w:color w:val="auto"/>
        </w:rPr>
        <w:t>. Each New Fortress Energy Party and its subsidiaries have (i) good and marketable title in fee simple to al real property and (ii) good and marketable title to all personal property owned by them, in each case free and clear of all liens, encumbrances, equities and claims, except such liens, encumbrances, equities and claims as are described in the Registration Statement, the General Disclosure Package and the Prospectus or which would not reasonably be expected to have a Material Adverse Effect, and do not interfere with the use made and proposed to be made of any property by such New Fortress Energy Party or its subsidiaries; and any real property and buildings held under lease by any New Fortress Energy Party or any of its subsidiaries are held by them under valid, subsisting and enforceable leases with such exceptions as are not material and do not interfere with the use made and proposed to be made of such property and buildings by such New Fortress Energy Party or such subsidiary, in each case except as described in the Registration Statement, the General Disclosure Package and the Prospectus.</w:t>
      </w:r>
    </w:p>
    <w:p>
      <w:pPr>
        <w:spacing w:after="0" w:line="218" w:lineRule="exact"/>
        <w:rPr>
          <w:rFonts w:ascii="Arial" w:cs="Arial" w:eastAsia="Arial" w:hAnsi="Arial"/>
          <w:sz w:val="18"/>
          <w:szCs w:val="18"/>
          <w:color w:val="auto"/>
        </w:rPr>
      </w:pPr>
    </w:p>
    <w:p>
      <w:pPr>
        <w:jc w:val="both"/>
        <w:ind w:left="-280" w:firstLine="648"/>
        <w:spacing w:after="0" w:line="285" w:lineRule="auto"/>
        <w:tabs>
          <w:tab w:leader="none" w:pos="1486"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Rights-of-way</w:t>
      </w:r>
      <w:r>
        <w:rPr>
          <w:rFonts w:ascii="Arial" w:cs="Arial" w:eastAsia="Arial" w:hAnsi="Arial"/>
          <w:sz w:val="16"/>
          <w:szCs w:val="16"/>
          <w:color w:val="auto"/>
        </w:rPr>
        <w:t>. Each New Fortress Energy Party and its subsidiaries have such consents, easements, rights-of-way or licenses from any person (“rights-of-way”) as are necessary to conduct their businesses in the manner described in the Registration Statement, the General Disclosure Package and the Prospectus, subject to such qualifications as may be set forth in the Registration Statement, the General Disclosure Package and the Prospectus and except for such rights-of-way the failure of which to have obtained would not have, individually or in the aggregate, a Material Adverse Effect; each of the New Fortress Energy Parties and their respective subsidiaries have fulfilled and performed all their material obligations with respect to such rights-of-way and no event has occurred which allows, or after notice or lapse of time would allow revocation or termination thereof or would result in any impairment of the rights of the holder of any such rights-of-way, except for such revocations, termination and impairments that will not have a Material Adverse Effect, subject in each case to such qualification as may be set forth in the Registration Statement, the General Disclosure Package and the Prospectus; and, except as described in the Registration Statement, the General Disclosure Package and the Prospectus, none of such rights-of-way contains any restriction that is materially burdensome to the New Fortress Energy Parties and their subsidiaries, taken as a whole.</w:t>
      </w:r>
    </w:p>
    <w:p>
      <w:pPr>
        <w:spacing w:after="0" w:line="199" w:lineRule="exact"/>
        <w:rPr>
          <w:sz w:val="20"/>
          <w:szCs w:val="20"/>
          <w:color w:val="auto"/>
        </w:rPr>
      </w:pPr>
    </w:p>
    <w:p>
      <w:pPr>
        <w:jc w:val="both"/>
        <w:ind w:left="-280" w:firstLine="648"/>
        <w:spacing w:after="0" w:line="285" w:lineRule="auto"/>
        <w:tabs>
          <w:tab w:leader="none" w:pos="1292"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Each of the New Fortress Energy Parties and each of their respective subsidiaries has such permits, licenses, patents, franchises, certificates of need and other approvals or authorizations of governmental or regulatory authorities (“Permits”) as are necessary under applicable law to own their properties and conduct their businesses in the manner described in the Registration Statement, the General Disclosure Package and the Prospectus, except for any of the foregoing that could not, singly or in the aggregate, reasonably be expected to have a Material Adverse Effect. Each of the New Fortress Energy Parties and each of their respective subsidiaries has fulfilled and performed all of their obligations with respect to the Permits, and no event has occurred that allows, or after notice or lapse of time would allow, revocation or termination thereof or results in any other impairment of the rights of the holder or any such Permits, except for any of the foregoing that could not reasonably be expected to have a Material Adverse Effect or except as described in the Registration Statement, the General Disclosure Package and the Prospectus. Neither the New Fortress Energy Parties nor their respective subsidiaries has received notice of any revocation or modification of any such Permits or has reason to believe that any such Permits will not be renewed in the ordinary course, except for any of the foregoing that could not reasonably be expected to have a Material Adverse Effect.</w:t>
      </w:r>
    </w:p>
    <w:p>
      <w:pPr>
        <w:spacing w:after="0" w:line="199" w:lineRule="exact"/>
        <w:rPr>
          <w:rFonts w:ascii="Arial" w:cs="Arial" w:eastAsia="Arial" w:hAnsi="Arial"/>
          <w:sz w:val="16"/>
          <w:szCs w:val="16"/>
          <w:color w:val="auto"/>
        </w:rPr>
      </w:pPr>
    </w:p>
    <w:p>
      <w:pPr>
        <w:jc w:val="both"/>
        <w:ind w:left="-280" w:firstLine="648"/>
        <w:spacing w:after="0" w:line="217" w:lineRule="exact"/>
        <w:tabs>
          <w:tab w:leader="none" w:pos="1315"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Possession of Intellectual Property</w:t>
      </w:r>
      <w:r>
        <w:rPr>
          <w:rFonts w:ascii="Arial" w:cs="Arial" w:eastAsia="Arial" w:hAnsi="Arial"/>
          <w:sz w:val="16"/>
          <w:szCs w:val="16"/>
          <w:color w:val="auto"/>
        </w:rPr>
        <w:t>. Each New Fortress Energy Party and its subsidiaries own or possess, or can acquire on reasonable terms, all patents, patent rights, licenses, inventions, copyrights, know</w:t>
      </w:r>
      <w:r>
        <w:rPr>
          <w:rFonts w:ascii="MS PGothic" w:cs="MS PGothic" w:eastAsia="MS PGothic" w:hAnsi="MS PGothic"/>
          <w:sz w:val="16"/>
          <w:szCs w:val="16"/>
          <w:color w:val="auto"/>
        </w:rPr>
        <w:t>‑</w:t>
      </w:r>
      <w:r>
        <w:rPr>
          <w:rFonts w:ascii="Arial" w:cs="Arial" w:eastAsia="Arial" w:hAnsi="Arial"/>
          <w:sz w:val="16"/>
          <w:szCs w:val="16"/>
          <w:color w:val="auto"/>
        </w:rPr>
        <w:t>how (including trade secrets and other unpatented and/or unpatentable proprietary or confidential information, systems or procedures), trademarks, service marks and trade names currently employed by them in connection with the business now operated by them, and none of the New Fortress Energy Parties or any of their respective subsidiaries has received any notice of infringement of or conflict with asserted rights of others with respect to any of the foregoing which, singly or in the aggregate, if the subject of an unfavorable decision, ruling or finding, would have a Material Adverse Effect.</w:t>
      </w:r>
    </w:p>
    <w:p>
      <w:pPr>
        <w:spacing w:after="0" w:line="200" w:lineRule="exact"/>
        <w:rPr>
          <w:sz w:val="20"/>
          <w:szCs w:val="20"/>
          <w:color w:val="auto"/>
        </w:rPr>
      </w:pPr>
    </w:p>
    <w:p>
      <w:pPr>
        <w:spacing w:after="0" w:line="20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48260</wp:posOffset>
            </wp:positionV>
            <wp:extent cx="708660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6">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40"/>
          </w:cols>
          <w:pgMar w:left="1440" w:top="0" w:right="560" w:bottom="1440" w:gutter="0" w:footer="0" w:header="0"/>
        </w:sectPr>
      </w:pPr>
    </w:p>
    <w:bookmarkStart w:id="198" w:name="page199"/>
    <w:bookmarkEnd w:id="198"/>
    <w:p>
      <w:pPr>
        <w:jc w:val="both"/>
        <w:ind w:firstLine="648"/>
        <w:spacing w:after="0" w:line="250" w:lineRule="auto"/>
        <w:tabs>
          <w:tab w:leader="none" w:pos="1805"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Except as described in the Registration Statement, the General Disclosure Package and the Prospectus, there are no legal or governmental proceedings pending to which the New Fortress Energy Parties or any of their subsidiaries are a party or of which any property or assets of the New Fortress Energy Parties or their respective subsidiaries are the subject that could, singly or in the aggregate, reasonably be expected to have a Material Adverse Effect or could, singly or in the aggregate, reasonably be expected to have a material adverse effect on the performance by the New Fortress Energy Parties of their obligations under this Agreement or the consummation of any of the transactions contemplated hereby. To the knowledge of the New Fortress Energy Parties, no such proceedings are threatened by governmental authorities or others.</w:t>
      </w:r>
    </w:p>
    <w:p>
      <w:pPr>
        <w:spacing w:after="0" w:line="220" w:lineRule="exact"/>
        <w:rPr>
          <w:rFonts w:ascii="Arial" w:cs="Arial" w:eastAsia="Arial" w:hAnsi="Arial"/>
          <w:sz w:val="18"/>
          <w:szCs w:val="18"/>
          <w:color w:val="auto"/>
        </w:rPr>
      </w:pPr>
    </w:p>
    <w:p>
      <w:pPr>
        <w:jc w:val="both"/>
        <w:ind w:firstLine="648"/>
        <w:spacing w:after="0" w:line="271" w:lineRule="auto"/>
        <w:tabs>
          <w:tab w:leader="none" w:pos="1694"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Authorization of Descriptions of Proceedings</w:t>
      </w:r>
      <w:r>
        <w:rPr>
          <w:rFonts w:ascii="Arial" w:cs="Arial" w:eastAsia="Arial" w:hAnsi="Arial"/>
          <w:sz w:val="17"/>
          <w:szCs w:val="17"/>
          <w:color w:val="auto"/>
        </w:rPr>
        <w:t>. The statements made in the Registration Statement, the General Disclosure Package and the Prospectus under the captions “Risk Factors—Risks Related to Our Business,” “Risk Factors—Risks Inherent in an Investment in Us,” “Certain Relationships and Related Transactions,” “Business—Government Regulation,” “Business—Legal Proceedings” and “Description of Shares”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204" w:lineRule="exact"/>
        <w:rPr>
          <w:rFonts w:ascii="Arial" w:cs="Arial" w:eastAsia="Arial" w:hAnsi="Arial"/>
          <w:sz w:val="17"/>
          <w:szCs w:val="17"/>
          <w:color w:val="auto"/>
        </w:rPr>
      </w:pPr>
    </w:p>
    <w:p>
      <w:pPr>
        <w:jc w:val="both"/>
        <w:ind w:firstLine="648"/>
        <w:spacing w:after="0" w:line="291" w:lineRule="auto"/>
        <w:tabs>
          <w:tab w:leader="none" w:pos="1541"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Each New Fortress Energy Party and its subsidiaries are insured by insurers of recognized financial responsibility against such losses and risks and in such amounts as are prudent and customary in the businesses in which they are engaged; none of the New Fortress Energy Parties or any of their subsidiaries have been refused any insurance coverage sought or applied for; and none of the New Fortress Energy Parties or any of their subsidiaries have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described in the Registration Statement, the General Disclosure Package and the Prospectus.</w:t>
      </w:r>
    </w:p>
    <w:p>
      <w:pPr>
        <w:spacing w:after="0" w:line="183" w:lineRule="exact"/>
        <w:rPr>
          <w:rFonts w:ascii="Arial" w:cs="Arial" w:eastAsia="Arial" w:hAnsi="Arial"/>
          <w:sz w:val="16"/>
          <w:szCs w:val="16"/>
          <w:color w:val="auto"/>
        </w:rPr>
      </w:pPr>
    </w:p>
    <w:p>
      <w:pPr>
        <w:ind w:left="1580" w:hanging="932"/>
        <w:spacing w:after="0"/>
        <w:tabs>
          <w:tab w:leader="none" w:pos="1580" w:val="left"/>
        </w:tabs>
        <w:numPr>
          <w:ilvl w:val="0"/>
          <w:numId w:val="151"/>
        </w:numPr>
        <w:rPr>
          <w:rFonts w:ascii="Arial" w:cs="Arial" w:eastAsia="Arial" w:hAnsi="Arial"/>
          <w:sz w:val="17"/>
          <w:szCs w:val="17"/>
          <w:color w:val="auto"/>
        </w:rPr>
      </w:pPr>
      <w:r>
        <w:rPr>
          <w:rFonts w:ascii="Arial" w:cs="Arial" w:eastAsia="Arial" w:hAnsi="Arial"/>
          <w:sz w:val="20"/>
          <w:szCs w:val="20"/>
          <w:u w:val="single" w:color="auto"/>
          <w:color w:val="auto"/>
        </w:rPr>
        <w:t>Absence of Labor Dispute</w:t>
      </w:r>
      <w:r>
        <w:rPr>
          <w:rFonts w:ascii="Arial" w:cs="Arial" w:eastAsia="Arial" w:hAnsi="Arial"/>
          <w:sz w:val="20"/>
          <w:szCs w:val="20"/>
          <w:color w:val="auto"/>
        </w:rPr>
        <w:t>. No labor dispute with the employees of any New Fortress Energy Party or</w:t>
      </w:r>
    </w:p>
    <w:p>
      <w:pPr>
        <w:spacing w:after="0" w:line="2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any of its subsidiaries exists, or, to the knowledge of the New Fortress Energy Parties, is imminent that could have a Material Adverse Effect; and the New Fortress Energy Parties are not aware of any existing, threatened or imminent labor disturbance by the employees of any of their principal suppliers, manufacturers or contractors that could have a Material Adverse Effect.</w:t>
      </w:r>
    </w:p>
    <w:p>
      <w:pPr>
        <w:spacing w:after="0" w:line="207" w:lineRule="exact"/>
        <w:rPr>
          <w:sz w:val="20"/>
          <w:szCs w:val="20"/>
          <w:color w:val="auto"/>
        </w:rPr>
      </w:pPr>
    </w:p>
    <w:p>
      <w:pPr>
        <w:jc w:val="both"/>
        <w:ind w:firstLine="648"/>
        <w:spacing w:after="0" w:line="256" w:lineRule="auto"/>
        <w:tabs>
          <w:tab w:leader="none" w:pos="1541" w:val="left"/>
        </w:tabs>
        <w:numPr>
          <w:ilvl w:val="0"/>
          <w:numId w:val="152"/>
        </w:numPr>
        <w:rPr>
          <w:rFonts w:ascii="Arial" w:cs="Arial" w:eastAsia="Arial" w:hAnsi="Arial"/>
          <w:sz w:val="17"/>
          <w:szCs w:val="17"/>
          <w:color w:val="auto"/>
        </w:rPr>
      </w:pPr>
      <w:r>
        <w:rPr>
          <w:rFonts w:ascii="Arial" w:cs="Arial" w:eastAsia="Arial" w:hAnsi="Arial"/>
          <w:sz w:val="20"/>
          <w:szCs w:val="20"/>
          <w:u w:val="single" w:color="auto"/>
          <w:color w:val="auto"/>
        </w:rPr>
        <w:t>Absence of Violations, Defaults and Conflicts by the New Fortress Energy Parties and their Subsidiaries Generally</w:t>
      </w:r>
      <w:r>
        <w:rPr>
          <w:rFonts w:ascii="Arial" w:cs="Arial" w:eastAsia="Arial" w:hAnsi="Arial"/>
          <w:sz w:val="20"/>
          <w:szCs w:val="20"/>
          <w:color w:val="auto"/>
        </w:rPr>
        <w:t>. None of the New Fortress Energy Parties nor any of their respective subsidiaries (A) is in violation of its charter, certificate of formation, bylaws, limited partnership agreement or limited liability company agreement (or similar organizational documents), (B) is in default, and no event has occurred that, with notice or lapse of time or both, would constitute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(C)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(B) and (C), to the extent any such conflict, breach, violation or default could not, singly or in the aggregate, reasonably be expected to have a Material Adverse Effect.</w:t>
      </w:r>
    </w:p>
    <w:p>
      <w:pPr>
        <w:spacing w:after="0" w:line="195" w:lineRule="exact"/>
        <w:rPr>
          <w:rFonts w:ascii="Arial" w:cs="Arial" w:eastAsia="Arial" w:hAnsi="Arial"/>
          <w:sz w:val="17"/>
          <w:szCs w:val="17"/>
          <w:color w:val="auto"/>
        </w:rPr>
      </w:pPr>
    </w:p>
    <w:p>
      <w:pPr>
        <w:ind w:left="1580" w:hanging="932"/>
        <w:spacing w:after="0"/>
        <w:tabs>
          <w:tab w:leader="none" w:pos="1580" w:val="left"/>
        </w:tabs>
        <w:numPr>
          <w:ilvl w:val="0"/>
          <w:numId w:val="152"/>
        </w:numPr>
        <w:rPr>
          <w:rFonts w:ascii="Arial" w:cs="Arial" w:eastAsia="Arial" w:hAnsi="Arial"/>
          <w:sz w:val="18"/>
          <w:szCs w:val="18"/>
          <w:color w:val="auto"/>
        </w:rPr>
      </w:pPr>
      <w:r>
        <w:rPr>
          <w:rFonts w:ascii="Arial" w:cs="Arial" w:eastAsia="Arial" w:hAnsi="Arial"/>
          <w:sz w:val="21"/>
          <w:szCs w:val="21"/>
          <w:u w:val="single" w:color="auto"/>
          <w:color w:val="auto"/>
        </w:rPr>
        <w:t>Environmental Laws</w:t>
      </w:r>
      <w:r>
        <w:rPr>
          <w:rFonts w:ascii="Arial" w:cs="Arial" w:eastAsia="Arial" w:hAnsi="Arial"/>
          <w:sz w:val="21"/>
          <w:szCs w:val="21"/>
          <w:color w:val="auto"/>
        </w:rPr>
        <w:t>.</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described in the Registration Statement, the General Disclosure Package and the Prospectus:</w:t>
      </w:r>
    </w:p>
    <w:p>
      <w:pPr>
        <w:spacing w:after="0" w:line="249" w:lineRule="exact"/>
        <w:rPr>
          <w:sz w:val="20"/>
          <w:szCs w:val="20"/>
          <w:color w:val="auto"/>
        </w:rPr>
      </w:pPr>
    </w:p>
    <w:p>
      <w:pPr>
        <w:jc w:val="both"/>
        <w:ind w:firstLine="648"/>
        <w:spacing w:after="0" w:line="283" w:lineRule="auto"/>
        <w:tabs>
          <w:tab w:leader="none" w:pos="95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New Fortress Energy Parties and their subsidiaries (i) are in compliance with any and all applicable foreign, federal, state and local laws, rules, regulations, requirements, decisions, judgments, decrees, orders and the common law relating to the protection of the environment, natural resources, wildlife or human health or safety, including, without limitation, those relating to the Release (as defined below) or threat of Release of Hazardous Materials (as defined below) or to the manufacture, processing, distribution, use, treatment, storage, disposal, transport or handling of Hazardous Materials (collectively, “Environmental Laws”), (ii) have applied for or received and are in compliance with all permits, licenses, certificates or other authorizations or approvals required of them under applicable Environmental Laws to conduct their respective businesses, (iii) have not received written notice of any actual or potential liability under or relating to, or actual or potential violation of, any Environmental Laws, including for the investigation or remediation of any Release or threat of Release of Hazardous Materials, and have no knowledge of any event or condition that would reasonably be expected to result in any such notice, (iv) are not subject to any written or, to the knowledge of the New Fortress Energy Parties, threatened adverse claim by any governmental agency or government body or other person relating to Environmental Laws or Hazardous Materials and (v) to the knowledge of the New Fortress Energy Parties, does not have any liability in connection with the Release into the environment of any Hazardous Material, except where such failure to comply with Environmental Laws in clause (i) above, such failure to receive required permits in clause (ii) above, such failure to comply with the terms and conditions of such permits in clause (iii) above, and such claims in clause (iv) above would not have a Material Adverse Effect on the New Fortress Energy Parties and their subsidiaries, taken as a whole. “Hazardous Materials”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“Release” means any spilling, leaking, seepage, pumping, pouring, emitting, emptying, discharging injecting, escaping, leaching, dumping, disposing, depositing, dispersing, or migrating in, into or through the environment, or in, into, from or through any building or structure.</w:t>
      </w:r>
    </w:p>
    <w:p>
      <w:pPr>
        <w:sectPr>
          <w:pgSz w:w="12240" w:h="15840" w:orient="portrait"/>
          <w:cols w:equalWidth="0" w:num="1">
            <w:col w:w="10520"/>
          </w:cols>
          <w:pgMar w:left="1160" w:top="0" w:right="560" w:bottom="68" w:gutter="0" w:footer="0" w:header="0"/>
        </w:sectPr>
      </w:pPr>
    </w:p>
    <w:p>
      <w:pPr>
        <w:spacing w:after="0" w:line="370"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62865</wp:posOffset>
            </wp:positionV>
            <wp:extent cx="708660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7">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520"/>
          </w:cols>
          <w:pgMar w:left="1160" w:top="0" w:right="560" w:bottom="68" w:gutter="0" w:footer="0" w:header="0"/>
          <w:type w:val="continuous"/>
        </w:sectPr>
      </w:pPr>
    </w:p>
    <w:bookmarkStart w:id="199" w:name="page200"/>
    <w:bookmarkEnd w:id="199"/>
    <w:p>
      <w:pPr>
        <w:jc w:val="both"/>
        <w:ind w:left="-280" w:firstLine="648"/>
        <w:spacing w:after="0" w:line="255" w:lineRule="auto"/>
        <w:tabs>
          <w:tab w:leader="none" w:pos="65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there are no proceedings that are pending, or that are known to be contemplated, against any of the New Fortress Energy Parties or any of their subsidiaries under any Environmental Laws and the New Fortress Energy Parties and their subsidiaries are not aware of any facts or issues regarding compliance with Environmental Laws, or liabilities or other obligations under Environmental Laws, including the Release or threat of Release of Hazardous Materials, that could, singly or in the aggregate, have a Material Adverse Effect on the New Fortress Energy Parties and their subsidiaries, taken as a whole.</w:t>
      </w:r>
    </w:p>
    <w:p>
      <w:pPr>
        <w:spacing w:after="0" w:line="215" w:lineRule="exact"/>
        <w:rPr>
          <w:rFonts w:ascii="Arial" w:cs="Arial" w:eastAsia="Arial" w:hAnsi="Arial"/>
          <w:sz w:val="18"/>
          <w:szCs w:val="18"/>
          <w:color w:val="auto"/>
        </w:rPr>
      </w:pPr>
    </w:p>
    <w:p>
      <w:pPr>
        <w:jc w:val="both"/>
        <w:ind w:left="-280" w:firstLine="648"/>
        <w:spacing w:after="0" w:line="218" w:lineRule="exact"/>
        <w:tabs>
          <w:tab w:leader="none" w:pos="65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the knowledge of the New Fortress Energy Parties, there are no costs or liabilities associated with Environmental Laws (including, without limitation, any capital or operating expenditures required for clean</w:t>
      </w:r>
      <w:r>
        <w:rPr>
          <w:rFonts w:ascii="MS PGothic" w:cs="MS PGothic" w:eastAsia="MS PGothic" w:hAnsi="MS PGothic"/>
          <w:sz w:val="16"/>
          <w:szCs w:val="16"/>
          <w:color w:val="auto"/>
        </w:rPr>
        <w:t>‑</w:t>
      </w:r>
      <w:r>
        <w:rPr>
          <w:rFonts w:ascii="Arial" w:cs="Arial" w:eastAsia="Arial" w:hAnsi="Arial"/>
          <w:sz w:val="16"/>
          <w:szCs w:val="16"/>
          <w:color w:val="auto"/>
        </w:rPr>
        <w:t>up, closure of properties or compliance with Environmental Laws or any permit, license or approval, any related constraints on operating activities and any potential liabilities to third parties) which would, singly or in the aggregate, have a Material Adverse Effect on the New Fortress Energy Parties and their subsidiaries, taken as a whole.</w:t>
      </w:r>
    </w:p>
    <w:p>
      <w:pPr>
        <w:spacing w:after="0" w:line="222" w:lineRule="exact"/>
        <w:rPr>
          <w:sz w:val="20"/>
          <w:szCs w:val="20"/>
          <w:color w:val="auto"/>
        </w:rPr>
      </w:pPr>
    </w:p>
    <w:p>
      <w:pPr>
        <w:jc w:val="both"/>
        <w:ind w:left="-280" w:firstLine="648"/>
        <w:spacing w:after="0" w:line="271" w:lineRule="auto"/>
        <w:tabs>
          <w:tab w:leader="none" w:pos="1347" w:val="left"/>
        </w:tabs>
        <w:numPr>
          <w:ilvl w:val="0"/>
          <w:numId w:val="155"/>
        </w:numPr>
        <w:rPr>
          <w:rFonts w:ascii="Arial" w:cs="Arial" w:eastAsia="Arial" w:hAnsi="Arial"/>
          <w:sz w:val="16"/>
          <w:szCs w:val="16"/>
          <w:color w:val="auto"/>
        </w:rPr>
      </w:pPr>
      <w:r>
        <w:rPr>
          <w:rFonts w:ascii="Arial" w:cs="Arial" w:eastAsia="Arial" w:hAnsi="Arial"/>
          <w:sz w:val="19"/>
          <w:szCs w:val="19"/>
          <w:u w:val="single" w:color="auto"/>
          <w:color w:val="auto"/>
        </w:rPr>
        <w:t>Payment of Taxes</w:t>
      </w:r>
      <w:r>
        <w:rPr>
          <w:rFonts w:ascii="Arial" w:cs="Arial" w:eastAsia="Arial" w:hAnsi="Arial"/>
          <w:sz w:val="19"/>
          <w:szCs w:val="19"/>
          <w:color w:val="auto"/>
        </w:rPr>
        <w:t>. Each New Fortress Energy Party and each of their respective subsidiaries have filed all federal, state, local and foreign tax returns required to be filed through the date of this Agreement or have requested extensions thereof (except where the failure to file would not, individually or in the aggregate, have a Material Adverse Effect) and have paid all taxes required to be paid by them (except for cases in which the failure to file or pay would not have a Material Adverse Effect, or, except as currently being contested in good faith and for which reserves required by U.S. GAAP have been created in the financial statements of the New Fortress Energy Parties), and no tax deficiency has been determined adversely to the New Fortress Energy Parties or any of their subsidiaries which has had (nor do the New Fortress Energy Parties or any of their respective subsidiaries have any notice or knowledge of any tax deficiency which could reasonably be expected to be determined adversely to the New Fortress Energy Parties or their respective subsidiaries and which could reasonably be expected to have) a Material Adverse Effect.</w:t>
      </w:r>
    </w:p>
    <w:p>
      <w:pPr>
        <w:spacing w:after="0" w:line="3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48260</wp:posOffset>
            </wp:positionV>
            <wp:extent cx="708660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8">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40"/>
          </w:cols>
          <w:pgMar w:left="1440" w:top="226" w:right="560" w:bottom="1440" w:gutter="0" w:footer="0" w:header="0"/>
        </w:sectPr>
      </w:pPr>
    </w:p>
    <w:bookmarkStart w:id="200" w:name="page201"/>
    <w:bookmarkEnd w:id="200"/>
    <w:p>
      <w:pPr>
        <w:jc w:val="both"/>
        <w:ind w:left="-4" w:firstLine="648"/>
        <w:spacing w:after="0" w:line="265" w:lineRule="auto"/>
        <w:tabs>
          <w:tab w:leader="none" w:pos="1640" w:val="left"/>
        </w:tabs>
        <w:numPr>
          <w:ilvl w:val="1"/>
          <w:numId w:val="156"/>
        </w:numPr>
        <w:rPr>
          <w:rFonts w:ascii="Arial" w:cs="Arial" w:eastAsia="Arial" w:hAnsi="Arial"/>
          <w:sz w:val="16"/>
          <w:szCs w:val="16"/>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Except as would not reasonably be expected to result in a Material Adverse Effect on the New Fortress Energy Parties and their subsidiaries, taken as a whole, (i) each “employee benefit plan” (within the meaning of Section 3(3) of the Employee Retirement Security Act of 1974, as amended (“ERISA”)) for which the Company or any of its Subsidiaries would have, directly or indirectly (including as a result of being in a “controlled group” for purposes of Section 414 of the Internal Revenue Code of 1986, as amended (the “Code”) , any liability (each a “Plan”) has been maintained, and all required contributions to each Plan have been made, in compliance with its terms and with the requirements of applicable statutes, rules and regulations including ERISA and the Code; (ii) no prohibited transaction, within the meaning of Section 406 of ERISA or Section 4975 of the Code, or violation of fiduciary obligations,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failure to satisfy the minimum funding standard (within the meaning of Section 302 of ERISA or Sections 412 and 430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nor any of its Subsidiaries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w:t>
      </w:r>
    </w:p>
    <w:p>
      <w:pPr>
        <w:jc w:val="both"/>
        <w:ind w:left="-4" w:firstLine="4"/>
        <w:spacing w:after="0" w:line="246" w:lineRule="auto"/>
        <w:tabs>
          <w:tab w:leader="none" w:pos="3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of ERISA); and (iv) each Plan that is intended to be qualified under Section 401(a) of the Code is so qualified and nothing has occurred, whether by action or by failure to act, that could reasonably be expected to cause the loss of such qualification.</w:t>
      </w:r>
    </w:p>
    <w:p>
      <w:pPr>
        <w:spacing w:after="0" w:line="205" w:lineRule="exact"/>
        <w:rPr>
          <w:rFonts w:ascii="Arial" w:cs="Arial" w:eastAsia="Arial" w:hAnsi="Arial"/>
          <w:sz w:val="21"/>
          <w:szCs w:val="21"/>
          <w:color w:val="auto"/>
        </w:rPr>
      </w:pPr>
    </w:p>
    <w:p>
      <w:pPr>
        <w:jc w:val="both"/>
        <w:ind w:left="-4" w:firstLine="648"/>
        <w:spacing w:after="0" w:line="263" w:lineRule="auto"/>
        <w:tabs>
          <w:tab w:leader="none" w:pos="1577" w:val="left"/>
        </w:tabs>
        <w:numPr>
          <w:ilvl w:val="1"/>
          <w:numId w:val="157"/>
        </w:numPr>
        <w:rPr>
          <w:rFonts w:ascii="Arial" w:cs="Arial" w:eastAsia="Arial" w:hAnsi="Arial"/>
          <w:sz w:val="17"/>
          <w:szCs w:val="17"/>
          <w:color w:val="auto"/>
        </w:rPr>
      </w:pPr>
      <w:r>
        <w:rPr>
          <w:rFonts w:ascii="Arial" w:cs="Arial" w:eastAsia="Arial" w:hAnsi="Arial"/>
          <w:sz w:val="20"/>
          <w:szCs w:val="20"/>
          <w:u w:val="single" w:color="auto"/>
          <w:color w:val="auto"/>
        </w:rPr>
        <w:t>Statistical and Market-Related Data</w:t>
      </w:r>
      <w:r>
        <w:rPr>
          <w:rFonts w:ascii="Arial" w:cs="Arial" w:eastAsia="Arial" w:hAnsi="Arial"/>
          <w:sz w:val="20"/>
          <w:szCs w:val="20"/>
          <w:color w:val="auto"/>
        </w:rPr>
        <w:t>. The statistical and market-related data included in the Registration Statement, the General Disclosure Package and the Prospectus and the consolidated financial statements included in the Registration Statement, the General Disclosure Package and the Prospectus are based on or derived from sources that the New Fortress Energy Parties believe to be reliable in all material respects and, to the extent required, the Company has obtained the written consent to the use of such data from such sources.</w:t>
      </w:r>
    </w:p>
    <w:p>
      <w:pPr>
        <w:spacing w:after="0" w:line="188" w:lineRule="exact"/>
        <w:rPr>
          <w:rFonts w:ascii="Arial" w:cs="Arial" w:eastAsia="Arial" w:hAnsi="Arial"/>
          <w:sz w:val="17"/>
          <w:szCs w:val="17"/>
          <w:color w:val="auto"/>
        </w:rPr>
      </w:pPr>
    </w:p>
    <w:p>
      <w:pPr>
        <w:jc w:val="both"/>
        <w:ind w:left="-4" w:firstLine="648"/>
        <w:spacing w:after="0" w:line="263" w:lineRule="auto"/>
        <w:tabs>
          <w:tab w:leader="none" w:pos="1734" w:val="left"/>
        </w:tabs>
        <w:numPr>
          <w:ilvl w:val="1"/>
          <w:numId w:val="157"/>
        </w:numPr>
        <w:rPr>
          <w:rFonts w:ascii="Arial" w:cs="Arial" w:eastAsia="Arial" w:hAnsi="Arial"/>
          <w:sz w:val="17"/>
          <w:szCs w:val="17"/>
          <w:color w:val="auto"/>
        </w:rPr>
      </w:pPr>
      <w:r>
        <w:rPr>
          <w:rFonts w:ascii="Arial" w:cs="Arial" w:eastAsia="Arial" w:hAnsi="Arial"/>
          <w:sz w:val="20"/>
          <w:szCs w:val="20"/>
          <w:u w:val="single" w:color="auto"/>
          <w:color w:val="auto"/>
        </w:rPr>
        <w:t>Investment Company Act</w:t>
      </w:r>
      <w:r>
        <w:rPr>
          <w:rFonts w:ascii="Arial" w:cs="Arial" w:eastAsia="Arial" w:hAnsi="Arial"/>
          <w:sz w:val="20"/>
          <w:szCs w:val="20"/>
          <w:color w:val="auto"/>
        </w:rPr>
        <w:t>. The Company is not, and immediately after giving effect to the offer and sale of the Securities as herein contemplated and the application of the proceeds therefrom as described under “Use of Proceeds” in each of the Registration Statement, the General Disclosure Package and the Prospectus, will not be, an “investment company” or a company “controlled” by an “investment company” within the meaning of the Investment Company Act of 1940, as amended, and the rules and regulations of the Commission thereunder.</w:t>
      </w:r>
    </w:p>
    <w:p>
      <w:pPr>
        <w:spacing w:after="0" w:line="370" w:lineRule="exact"/>
        <w:rPr>
          <w:sz w:val="20"/>
          <w:szCs w:val="20"/>
          <w:color w:val="auto"/>
        </w:rPr>
      </w:pPr>
    </w:p>
    <w:p>
      <w:pPr>
        <w:ind w:left="4856"/>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48260</wp:posOffset>
            </wp:positionV>
            <wp:extent cx="708660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516"/>
          </w:cols>
          <w:pgMar w:left="1164" w:top="0" w:right="560" w:bottom="1440" w:gutter="0" w:footer="0" w:header="0"/>
        </w:sectPr>
      </w:pPr>
    </w:p>
    <w:bookmarkStart w:id="201" w:name="page202"/>
    <w:bookmarkEnd w:id="201"/>
    <w:p>
      <w:pPr>
        <w:jc w:val="both"/>
        <w:ind w:firstLine="648"/>
        <w:spacing w:after="0" w:line="243" w:lineRule="auto"/>
        <w:tabs>
          <w:tab w:leader="none" w:pos="1989" w:val="left"/>
        </w:tabs>
        <w:numPr>
          <w:ilvl w:val="0"/>
          <w:numId w:val="158"/>
        </w:numPr>
        <w:rPr>
          <w:rFonts w:ascii="Arial" w:cs="Arial" w:eastAsia="Arial" w:hAnsi="Arial"/>
          <w:sz w:val="18"/>
          <w:szCs w:val="18"/>
          <w:color w:val="auto"/>
        </w:rPr>
      </w:pPr>
      <w:r>
        <w:rPr>
          <w:rFonts w:ascii="Arial" w:cs="Arial" w:eastAsia="Arial" w:hAnsi="Arial"/>
          <w:sz w:val="21"/>
          <w:szCs w:val="21"/>
          <w:u w:val="single" w:color="auto"/>
          <w:color w:val="auto"/>
        </w:rPr>
        <w:t>Authorization of Description of Laws and Documents</w:t>
      </w:r>
      <w:r>
        <w:rPr>
          <w:rFonts w:ascii="Arial" w:cs="Arial" w:eastAsia="Arial" w:hAnsi="Arial"/>
          <w:sz w:val="21"/>
          <w:szCs w:val="21"/>
          <w:color w:val="auto"/>
        </w:rPr>
        <w:t>. The statements set forth in each of the Registration Statement, the General Disclosure Package and the Prospectus under the captions “Material U.S. Federal Income Tax Considerations for Non-U.S. Holders,” insofar as they purport to summarize provisions of the laws and documents referred to therein, are accurate summaries in all material respects.</w:t>
      </w:r>
    </w:p>
    <w:p>
      <w:pPr>
        <w:spacing w:after="0" w:line="207" w:lineRule="exact"/>
        <w:rPr>
          <w:rFonts w:ascii="Arial" w:cs="Arial" w:eastAsia="Arial" w:hAnsi="Arial"/>
          <w:sz w:val="18"/>
          <w:szCs w:val="18"/>
          <w:color w:val="auto"/>
        </w:rPr>
      </w:pPr>
    </w:p>
    <w:p>
      <w:pPr>
        <w:jc w:val="both"/>
        <w:ind w:firstLine="648"/>
        <w:spacing w:after="0" w:line="246" w:lineRule="auto"/>
        <w:tabs>
          <w:tab w:leader="none" w:pos="2012" w:val="left"/>
        </w:tabs>
        <w:numPr>
          <w:ilvl w:val="0"/>
          <w:numId w:val="158"/>
        </w:numPr>
        <w:rPr>
          <w:rFonts w:ascii="Arial" w:cs="Arial" w:eastAsia="Arial" w:hAnsi="Arial"/>
          <w:sz w:val="18"/>
          <w:szCs w:val="18"/>
          <w:color w:val="auto"/>
        </w:rPr>
      </w:pPr>
      <w:r>
        <w:rPr>
          <w:rFonts w:ascii="Arial" w:cs="Arial" w:eastAsia="Arial" w:hAnsi="Arial"/>
          <w:sz w:val="21"/>
          <w:szCs w:val="21"/>
          <w:u w:val="single" w:color="auto"/>
          <w:color w:val="auto"/>
        </w:rPr>
        <w:t>Registration Rights</w:t>
      </w:r>
      <w:r>
        <w:rPr>
          <w:rFonts w:ascii="Arial" w:cs="Arial" w:eastAsia="Arial" w:hAnsi="Arial"/>
          <w:sz w:val="21"/>
          <w:szCs w:val="21"/>
          <w:color w:val="auto"/>
        </w:rPr>
        <w:t>. Except as described in the Registration Statement, the General Disclosure Package and the Prospectus, there are no contracts, agreements or understandings between the New Fortress Energy Parties and any person granting such person the right to require any New Fortress Energy Party to file a registration statement under the 1933 Act with respect to any securities of the New Fortress Energy Parties owned or to be owned by such person or to require the Company to include such securities in the securities registered pursuant to the Registration Statement.</w:t>
      </w:r>
    </w:p>
    <w:p>
      <w:pPr>
        <w:spacing w:after="0" w:line="205" w:lineRule="exact"/>
        <w:rPr>
          <w:rFonts w:ascii="Arial" w:cs="Arial" w:eastAsia="Arial" w:hAnsi="Arial"/>
          <w:sz w:val="18"/>
          <w:szCs w:val="18"/>
          <w:color w:val="auto"/>
        </w:rPr>
      </w:pPr>
    </w:p>
    <w:p>
      <w:pPr>
        <w:jc w:val="both"/>
        <w:ind w:firstLine="648"/>
        <w:spacing w:after="0" w:line="250" w:lineRule="auto"/>
        <w:tabs>
          <w:tab w:leader="none" w:pos="1617" w:val="left"/>
        </w:tabs>
        <w:numPr>
          <w:ilvl w:val="0"/>
          <w:numId w:val="158"/>
        </w:numPr>
        <w:rPr>
          <w:rFonts w:ascii="Arial" w:cs="Arial" w:eastAsia="Arial" w:hAnsi="Arial"/>
          <w:sz w:val="18"/>
          <w:szCs w:val="18"/>
          <w:color w:val="auto"/>
        </w:rPr>
      </w:pPr>
      <w:r>
        <w:rPr>
          <w:rFonts w:ascii="Arial" w:cs="Arial" w:eastAsia="Arial" w:hAnsi="Arial"/>
          <w:sz w:val="21"/>
          <w:szCs w:val="21"/>
          <w:u w:val="single" w:color="auto"/>
          <w:color w:val="auto"/>
        </w:rPr>
        <w:t>No Broker</w:t>
      </w:r>
      <w:r>
        <w:rPr>
          <w:rFonts w:ascii="Arial" w:cs="Arial" w:eastAsia="Arial" w:hAnsi="Arial"/>
          <w:sz w:val="21"/>
          <w:szCs w:val="21"/>
          <w:color w:val="auto"/>
        </w:rPr>
        <w:t>. None of the New Fortress Energy Parties or any of their respective subsidiaries is a party to any contract, agreement or understanding with any person (other than this Agreement) that could give rise to a valid claim against any of them or the Underwriters for a brokerage commission, finder’s fee or like payment in connection with the offering and sale of the Securities.</w:t>
      </w:r>
    </w:p>
    <w:p>
      <w:pPr>
        <w:spacing w:after="0" w:line="201" w:lineRule="exact"/>
        <w:rPr>
          <w:sz w:val="20"/>
          <w:szCs w:val="20"/>
          <w:color w:val="auto"/>
        </w:rPr>
      </w:pPr>
    </w:p>
    <w:p>
      <w:pPr>
        <w:jc w:val="both"/>
        <w:ind w:firstLine="644"/>
        <w:spacing w:after="0" w:line="250" w:lineRule="auto"/>
        <w:rPr>
          <w:sz w:val="20"/>
          <w:szCs w:val="20"/>
          <w:color w:val="auto"/>
        </w:rPr>
      </w:pPr>
      <w:r>
        <w:rPr>
          <w:rFonts w:ascii="Arial" w:cs="Arial" w:eastAsia="Arial" w:hAnsi="Arial"/>
          <w:sz w:val="18"/>
          <w:szCs w:val="18"/>
          <w:color w:val="auto"/>
        </w:rPr>
        <w:t xml:space="preserve">(xl) </w:t>
      </w:r>
      <w:r>
        <w:rPr>
          <w:rFonts w:ascii="Arial" w:cs="Arial" w:eastAsia="Arial" w:hAnsi="Arial"/>
          <w:sz w:val="21"/>
          <w:szCs w:val="21"/>
          <w:u w:val="single" w:color="auto"/>
          <w:color w:val="auto"/>
        </w:rPr>
        <w:t>Absence of Manipulation</w:t>
      </w:r>
      <w:r>
        <w:rPr>
          <w:rFonts w:ascii="Arial" w:cs="Arial" w:eastAsia="Arial" w:hAnsi="Arial"/>
          <w:sz w:val="21"/>
          <w:szCs w:val="21"/>
          <w:color w:val="auto"/>
        </w:rPr>
        <w:t>. The New Fortress Energy Parties and their respective affiliates have not taken,</w:t>
      </w:r>
      <w:r>
        <w:rPr>
          <w:rFonts w:ascii="Arial" w:cs="Arial" w:eastAsia="Arial" w:hAnsi="Arial"/>
          <w:sz w:val="18"/>
          <w:szCs w:val="18"/>
          <w:color w:val="auto"/>
        </w:rPr>
        <w:t xml:space="preserve"> </w:t>
      </w:r>
      <w:r>
        <w:rPr>
          <w:rFonts w:ascii="Arial" w:cs="Arial" w:eastAsia="Arial" w:hAnsi="Arial"/>
          <w:sz w:val="21"/>
          <w:szCs w:val="21"/>
          <w:color w:val="auto"/>
        </w:rPr>
        <w:t>directly or indirectly, any action designed to or that has constituted or that could reasonably be expected to cause or result in the stabilization or manipulation of the price of any security of the Company in connection with the offering of the Securities.</w:t>
      </w:r>
    </w:p>
    <w:p>
      <w:pPr>
        <w:spacing w:after="0" w:line="201" w:lineRule="exact"/>
        <w:rPr>
          <w:sz w:val="20"/>
          <w:szCs w:val="20"/>
          <w:color w:val="auto"/>
        </w:rPr>
      </w:pPr>
    </w:p>
    <w:p>
      <w:pPr>
        <w:jc w:val="both"/>
        <w:ind w:firstLine="644"/>
        <w:spacing w:after="0" w:line="250"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21"/>
          <w:szCs w:val="21"/>
          <w:u w:val="single" w:color="auto"/>
          <w:color w:val="auto"/>
        </w:rPr>
        <w:t>Stabilization Safe Harbor</w:t>
      </w:r>
      <w:r>
        <w:rPr>
          <w:rFonts w:ascii="Arial" w:cs="Arial" w:eastAsia="Arial" w:hAnsi="Arial"/>
          <w:sz w:val="21"/>
          <w:szCs w:val="21"/>
          <w:color w:val="auto"/>
        </w:rPr>
        <w:t>. None of the New Fortress Energy Parties has taken any action or omitted to</w:t>
      </w:r>
      <w:r>
        <w:rPr>
          <w:rFonts w:ascii="Arial" w:cs="Arial" w:eastAsia="Arial" w:hAnsi="Arial"/>
          <w:sz w:val="18"/>
          <w:szCs w:val="18"/>
          <w:color w:val="auto"/>
        </w:rPr>
        <w:t xml:space="preserve"> </w:t>
      </w:r>
      <w:r>
        <w:rPr>
          <w:rFonts w:ascii="Arial" w:cs="Arial" w:eastAsia="Arial" w:hAnsi="Arial"/>
          <w:sz w:val="21"/>
          <w:szCs w:val="21"/>
          <w:color w:val="auto"/>
        </w:rPr>
        <w:t>take any action (such as issuing any press release relating to any Securities without an appropriate legend) which may result in the loss by the Underwriters of the ability to rely on any stabilization safe harbor provided by the Financial Services Authority under the Financial Services Markets Act of 2000.</w:t>
      </w:r>
    </w:p>
    <w:p>
      <w:pPr>
        <w:spacing w:after="0" w:line="201" w:lineRule="exact"/>
        <w:rPr>
          <w:sz w:val="20"/>
          <w:szCs w:val="20"/>
          <w:color w:val="auto"/>
        </w:rPr>
      </w:pPr>
    </w:p>
    <w:p>
      <w:pPr>
        <w:jc w:val="both"/>
        <w:ind w:firstLine="644"/>
        <w:spacing w:after="0" w:line="255" w:lineRule="auto"/>
        <w:rPr>
          <w:sz w:val="20"/>
          <w:szCs w:val="20"/>
          <w:color w:val="auto"/>
        </w:rPr>
      </w:pPr>
      <w:r>
        <w:rPr>
          <w:rFonts w:ascii="Arial" w:cs="Arial" w:eastAsia="Arial" w:hAnsi="Arial"/>
          <w:sz w:val="17"/>
          <w:szCs w:val="17"/>
          <w:color w:val="auto"/>
        </w:rPr>
        <w:t xml:space="preserve">(xlii) </w:t>
      </w:r>
      <w:r>
        <w:rPr>
          <w:rFonts w:ascii="Arial" w:cs="Arial" w:eastAsia="Arial" w:hAnsi="Arial"/>
          <w:sz w:val="20"/>
          <w:szCs w:val="20"/>
          <w:u w:val="single" w:color="auto"/>
          <w:color w:val="auto"/>
        </w:rPr>
        <w:t>Foreign Corrupt Practices Act</w:t>
      </w:r>
      <w:r>
        <w:rPr>
          <w:rFonts w:ascii="Arial" w:cs="Arial" w:eastAsia="Arial" w:hAnsi="Arial"/>
          <w:sz w:val="20"/>
          <w:szCs w:val="20"/>
          <w:color w:val="auto"/>
        </w:rPr>
        <w:t>. (A) None of the New Fortress Energy Parties nor any of their respective</w:t>
      </w:r>
      <w:r>
        <w:rPr>
          <w:rFonts w:ascii="Arial" w:cs="Arial" w:eastAsia="Arial" w:hAnsi="Arial"/>
          <w:sz w:val="17"/>
          <w:szCs w:val="17"/>
          <w:color w:val="auto"/>
        </w:rPr>
        <w:t xml:space="preserve"> </w:t>
      </w:r>
      <w:r>
        <w:rPr>
          <w:rFonts w:ascii="Arial" w:cs="Arial" w:eastAsia="Arial" w:hAnsi="Arial"/>
          <w:sz w:val="20"/>
          <w:szCs w:val="20"/>
          <w:color w:val="auto"/>
        </w:rPr>
        <w:t>subsidiaries, nor, to the knowledge of the New Fortress Energy Parties after reasonable inquiry, any director, officer, or employee, agent, or representative of the New Fortress Energy Parties or of any of their respective subsidiaries,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 Official”) in order to influence official action, or to any person in violation of any applicable anti-corruption laws; (B) the New Fortress Energy Parties and their respective subsidiaries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(C) none of the New Fortress Energy Parties or any of their respective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38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48260</wp:posOffset>
            </wp:positionV>
            <wp:extent cx="708660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520"/>
          </w:cols>
          <w:pgMar w:left="1160" w:top="0" w:right="560" w:bottom="1440" w:gutter="0" w:footer="0" w:header="0"/>
        </w:sectPr>
      </w:pPr>
    </w:p>
    <w:bookmarkStart w:id="202" w:name="page203"/>
    <w:bookmarkEnd w:id="202"/>
    <w:p>
      <w:pPr>
        <w:jc w:val="both"/>
        <w:ind w:left="640" w:firstLine="644"/>
        <w:spacing w:after="0" w:line="254" w:lineRule="auto"/>
        <w:rPr>
          <w:sz w:val="20"/>
          <w:szCs w:val="20"/>
          <w:color w:val="auto"/>
        </w:rPr>
      </w:pPr>
      <w:r>
        <w:rPr>
          <w:rFonts w:ascii="Arial" w:cs="Arial" w:eastAsia="Arial" w:hAnsi="Arial"/>
          <w:sz w:val="17"/>
          <w:szCs w:val="17"/>
          <w:color w:val="auto"/>
        </w:rPr>
        <w:t xml:space="preserve">(xliii) </w:t>
      </w:r>
      <w:r>
        <w:rPr>
          <w:rFonts w:ascii="Arial" w:cs="Arial" w:eastAsia="Arial" w:hAnsi="Arial"/>
          <w:sz w:val="20"/>
          <w:szCs w:val="20"/>
          <w:u w:val="single" w:color="auto"/>
          <w:color w:val="auto"/>
        </w:rPr>
        <w:t>Money Laundering Laws</w:t>
      </w:r>
      <w:r>
        <w:rPr>
          <w:rFonts w:ascii="Arial" w:cs="Arial" w:eastAsia="Arial" w:hAnsi="Arial"/>
          <w:sz w:val="20"/>
          <w:szCs w:val="20"/>
          <w:color w:val="auto"/>
        </w:rPr>
        <w:t>. The operations of each New Fortress Energy Party and each of their</w:t>
      </w:r>
      <w:r>
        <w:rPr>
          <w:rFonts w:ascii="Arial" w:cs="Arial" w:eastAsia="Arial" w:hAnsi="Arial"/>
          <w:sz w:val="17"/>
          <w:szCs w:val="17"/>
          <w:color w:val="auto"/>
        </w:rPr>
        <w:t xml:space="preserve"> </w:t>
      </w:r>
      <w:r>
        <w:rPr>
          <w:rFonts w:ascii="Arial" w:cs="Arial" w:eastAsia="Arial" w:hAnsi="Arial"/>
          <w:sz w:val="20"/>
          <w:szCs w:val="20"/>
          <w:color w:val="auto"/>
        </w:rPr>
        <w:t>subsidiaries are and have been conducted at all times in material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New Fortress Energy Parties and their subsidiaries conduct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New Fortress Energy Parties or any of their subsidiaries with respect to the Anti-Money Laundering Laws is pending or, to the knowledge of the New Fortress Energy Parties, threatened.</w:t>
      </w:r>
    </w:p>
    <w:p>
      <w:pPr>
        <w:spacing w:after="0" w:line="201" w:lineRule="exact"/>
        <w:rPr>
          <w:sz w:val="20"/>
          <w:szCs w:val="20"/>
          <w:color w:val="auto"/>
        </w:rPr>
      </w:pPr>
    </w:p>
    <w:p>
      <w:pPr>
        <w:jc w:val="both"/>
        <w:ind w:left="640" w:firstLine="644"/>
        <w:spacing w:after="0" w:line="254" w:lineRule="auto"/>
        <w:rPr>
          <w:sz w:val="20"/>
          <w:szCs w:val="20"/>
          <w:color w:val="auto"/>
        </w:rPr>
      </w:pPr>
      <w:r>
        <w:rPr>
          <w:rFonts w:ascii="Arial" w:cs="Arial" w:eastAsia="Arial" w:hAnsi="Arial"/>
          <w:sz w:val="17"/>
          <w:szCs w:val="17"/>
          <w:color w:val="auto"/>
        </w:rPr>
        <w:t xml:space="preserve">(xliv) </w:t>
      </w:r>
      <w:r>
        <w:rPr>
          <w:rFonts w:ascii="Arial" w:cs="Arial" w:eastAsia="Arial" w:hAnsi="Arial"/>
          <w:sz w:val="20"/>
          <w:szCs w:val="20"/>
          <w:u w:val="single" w:color="auto"/>
          <w:color w:val="auto"/>
        </w:rPr>
        <w:t>OFAC</w:t>
      </w:r>
      <w:r>
        <w:rPr>
          <w:rFonts w:ascii="Arial" w:cs="Arial" w:eastAsia="Arial" w:hAnsi="Arial"/>
          <w:sz w:val="20"/>
          <w:szCs w:val="20"/>
          <w:color w:val="auto"/>
        </w:rPr>
        <w:t>. (A) None of the New Fortress Energy Parties nor any of their respective subsidiaries, nor, to the</w:t>
      </w:r>
      <w:r>
        <w:rPr>
          <w:rFonts w:ascii="Arial" w:cs="Arial" w:eastAsia="Arial" w:hAnsi="Arial"/>
          <w:sz w:val="17"/>
          <w:szCs w:val="17"/>
          <w:color w:val="auto"/>
        </w:rPr>
        <w:t xml:space="preserve"> </w:t>
      </w:r>
      <w:r>
        <w:rPr>
          <w:rFonts w:ascii="Arial" w:cs="Arial" w:eastAsia="Arial" w:hAnsi="Arial"/>
          <w:sz w:val="20"/>
          <w:szCs w:val="20"/>
          <w:color w:val="auto"/>
        </w:rPr>
        <w:t>knowledge of the New Fortress Energy Parties after reasonable inquiry, any director, officer, employee or agent of the New Fortress Energy Parties or any of their respective subsidiaries, is an individual or entity (“Person”) that is, or is owned or controlled by one or more Persons that are: (1) the subject of any sanctions administered or enforced by the U.S. Department of Treasury’s Office of Foreign Assets Control (“OFAC”), the United Nations Security Council (“UNSC”), the European Union (“EU”), Her Majesty’s Treasury (“HMT”), or other relevant sanctions authority (collectively, “Sanctions”), or (2) located, organized or resident in a country or territory that is the subject of Sanctions (including, without limitation, Crimea, Cuba, Iran, North Korea and Syria); (B) None of the New Fortress Energy Parties will, directly or indirectly, use the proceeds of the offering, or lend, contribute or otherwise make available such proceeds to any subsidiary, joint venture partner or other Person: (1) to fund or facilitate any activities or business of or with any Person or in any country or territory that, at the time of such funding or facilitation, is the subject of Sanctions; or (2) in any other manner that will result in a violation of Sanctions by any Person (including any Person participating in the offering, whether as underwriter, advisor, investor or otherwise); and (C) For the past five years, the New Fortress Energy Parties and their respective subsidiaries have not knowingly engaged in, and are not now knowingly engaged in, any dealings or transactions with any Person, or in any country or territory, that at the time of the dealing or transaction is or was the subject of Sanctions.</w:t>
      </w:r>
    </w:p>
    <w:p>
      <w:pPr>
        <w:spacing w:after="0" w:line="218" w:lineRule="exact"/>
        <w:rPr>
          <w:sz w:val="20"/>
          <w:szCs w:val="20"/>
          <w:color w:val="auto"/>
        </w:rPr>
      </w:pPr>
    </w:p>
    <w:p>
      <w:pPr>
        <w:jc w:val="both"/>
        <w:ind w:firstLine="644"/>
        <w:spacing w:after="0" w:line="261" w:lineRule="auto"/>
        <w:tabs>
          <w:tab w:leader="none" w:pos="1353" w:val="left"/>
        </w:tabs>
        <w:numPr>
          <w:ilvl w:val="0"/>
          <w:numId w:val="159"/>
        </w:numPr>
        <w:rPr>
          <w:rFonts w:ascii="Arial" w:cs="Arial" w:eastAsia="Arial" w:hAnsi="Arial"/>
          <w:sz w:val="18"/>
          <w:szCs w:val="18"/>
          <w:i w:val="1"/>
          <w:iCs w:val="1"/>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any New Fortress Energy Party or any of its subsidiaries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or to counsel for the Underwriters shall be deemed a representation and warranty by the New Fortress Energy Parties to each Underwriter as to the matters covered thereby.</w:t>
      </w:r>
    </w:p>
    <w:p>
      <w:pPr>
        <w:spacing w:after="0" w:line="183"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to Underwriters; Closing</w:t>
      </w:r>
      <w:r>
        <w:rPr>
          <w:rFonts w:ascii="Arial" w:cs="Arial" w:eastAsia="Arial" w:hAnsi="Arial"/>
          <w:sz w:val="16"/>
          <w:szCs w:val="16"/>
          <w:color w:val="auto"/>
        </w:rPr>
        <w:t>.</w:t>
      </w:r>
    </w:p>
    <w:p>
      <w:pPr>
        <w:spacing w:after="0" w:line="249" w:lineRule="exact"/>
        <w:rPr>
          <w:sz w:val="20"/>
          <w:szCs w:val="20"/>
          <w:color w:val="auto"/>
        </w:rPr>
      </w:pPr>
    </w:p>
    <w:p>
      <w:pPr>
        <w:jc w:val="both"/>
        <w:ind w:firstLine="644"/>
        <w:spacing w:after="0" w:line="254" w:lineRule="auto"/>
        <w:tabs>
          <w:tab w:leader="none" w:pos="1353" w:val="left"/>
        </w:tabs>
        <w:numPr>
          <w:ilvl w:val="0"/>
          <w:numId w:val="160"/>
        </w:numPr>
        <w:rPr>
          <w:rFonts w:ascii="Arial" w:cs="Arial" w:eastAsia="Arial" w:hAnsi="Arial"/>
          <w:sz w:val="18"/>
          <w:szCs w:val="18"/>
          <w:i w:val="1"/>
          <w:iCs w:val="1"/>
          <w:color w:val="auto"/>
        </w:rPr>
      </w:pPr>
      <w:r>
        <w:rPr>
          <w:rFonts w:ascii="Arial" w:cs="Arial" w:eastAsia="Arial" w:hAnsi="Arial"/>
          <w:sz w:val="18"/>
          <w:szCs w:val="18"/>
          <w:i w:val="1"/>
          <w:iCs w:val="1"/>
          <w:color w:val="auto"/>
        </w:rPr>
        <w:t>Initial Securities</w:t>
      </w:r>
      <w:r>
        <w:rPr>
          <w:rFonts w:ascii="Arial" w:cs="Arial" w:eastAsia="Arial" w:hAnsi="Arial"/>
          <w:sz w:val="18"/>
          <w:szCs w:val="18"/>
          <w:color w:val="auto"/>
        </w:rPr>
        <w:t>. On the basis of the representations and warranties herein contained and subject to the terms and conditions herein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the Company agrees to sell to each Underwriter and each Underwriter, severally and not jointly, agrees to purchase from the Company, at the price per share set forth in Schedule A, the number of Initial Securities set forth in Schedule A opposite the name of such Underwriter, plus any additiona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 shares.</w:t>
      </w:r>
    </w:p>
    <w:p>
      <w:pPr>
        <w:spacing w:after="0" w:line="214" w:lineRule="exact"/>
        <w:rPr>
          <w:rFonts w:ascii="Arial" w:cs="Arial" w:eastAsia="Arial" w:hAnsi="Arial"/>
          <w:sz w:val="18"/>
          <w:szCs w:val="18"/>
          <w:i w:val="1"/>
          <w:iCs w:val="1"/>
          <w:color w:val="auto"/>
        </w:rPr>
      </w:pPr>
    </w:p>
    <w:p>
      <w:pPr>
        <w:ind w:left="1320" w:hanging="676"/>
        <w:spacing w:after="0"/>
        <w:tabs>
          <w:tab w:leader="none" w:pos="1320" w:val="left"/>
        </w:tabs>
        <w:numPr>
          <w:ilvl w:val="0"/>
          <w:numId w:val="160"/>
        </w:numPr>
        <w:rPr>
          <w:rFonts w:ascii="Arial" w:cs="Arial" w:eastAsia="Arial" w:hAnsi="Arial"/>
          <w:sz w:val="16"/>
          <w:szCs w:val="16"/>
          <w:i w:val="1"/>
          <w:iCs w:val="1"/>
          <w:color w:val="auto"/>
        </w:rPr>
      </w:pPr>
      <w:r>
        <w:rPr>
          <w:rFonts w:ascii="Arial" w:cs="Arial" w:eastAsia="Arial" w:hAnsi="Arial"/>
          <w:sz w:val="16"/>
          <w:szCs w:val="16"/>
          <w:i w:val="1"/>
          <w:iCs w:val="1"/>
          <w:color w:val="auto"/>
        </w:rPr>
        <w:t>Option Securities</w:t>
      </w:r>
      <w:r>
        <w:rPr>
          <w:rFonts w:ascii="Arial" w:cs="Arial" w:eastAsia="Arial" w:hAnsi="Arial"/>
          <w:sz w:val="16"/>
          <w:szCs w:val="16"/>
          <w:color w:val="auto"/>
        </w:rPr>
        <w:t>. In addition, on the basis of the representations and warranties herein contained and subject to the terms and conditions</w:t>
      </w:r>
    </w:p>
    <w:p>
      <w:pPr>
        <w:spacing w:after="0" w:line="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herein set forth, the Company hereby grants an option to the Underwriters, severally and not jointly, to purchase up to an additional Class A Shares,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earlier than two or later than seven full business days after the exercise of said option, nor in any event prior to the Closing Time. If the option is exercised as to all or any portion of the Option Securities each of the Underwriters, acting severally and not jointly, will purchase the number of Option Securities set forth in Schedule A opposite the name of such Underwriter, subject, in each case, to such adjustments as the Representatives in their sole discretion shall make to eliminate any sales or purchases of fractional shares.</w:t>
      </w:r>
    </w:p>
    <w:p>
      <w:pPr>
        <w:spacing w:after="0" w:line="207" w:lineRule="exact"/>
        <w:rPr>
          <w:sz w:val="20"/>
          <w:szCs w:val="20"/>
          <w:color w:val="auto"/>
        </w:rPr>
      </w:pPr>
    </w:p>
    <w:p>
      <w:pPr>
        <w:jc w:val="both"/>
        <w:ind w:firstLine="644"/>
        <w:spacing w:after="0" w:line="273" w:lineRule="auto"/>
        <w:tabs>
          <w:tab w:leader="none" w:pos="1302" w:val="left"/>
        </w:tabs>
        <w:numPr>
          <w:ilvl w:val="0"/>
          <w:numId w:val="161"/>
        </w:numPr>
        <w:rPr>
          <w:rFonts w:ascii="Arial" w:cs="Arial" w:eastAsia="Arial" w:hAnsi="Arial"/>
          <w:sz w:val="17"/>
          <w:szCs w:val="17"/>
          <w:i w:val="1"/>
          <w:iCs w:val="1"/>
          <w:color w:val="auto"/>
        </w:rPr>
      </w:pPr>
      <w:r>
        <w:rPr>
          <w:rFonts w:ascii="Arial" w:cs="Arial" w:eastAsia="Arial" w:hAnsi="Arial"/>
          <w:sz w:val="17"/>
          <w:szCs w:val="17"/>
          <w:i w:val="1"/>
          <w:iCs w:val="1"/>
          <w:color w:val="auto"/>
        </w:rPr>
        <w:t>Payment</w:t>
      </w:r>
      <w:r>
        <w:rPr>
          <w:rFonts w:ascii="Arial" w:cs="Arial" w:eastAsia="Arial" w:hAnsi="Arial"/>
          <w:sz w:val="17"/>
          <w:szCs w:val="17"/>
          <w:color w:val="auto"/>
        </w:rPr>
        <w:t>. Payment of the purchase price for, and delivery of certificates for, the Initial Securities shall be made at the offices of Skadden,</w:t>
      </w:r>
      <w:r>
        <w:rPr>
          <w:rFonts w:ascii="Arial" w:cs="Arial" w:eastAsia="Arial" w:hAnsi="Arial"/>
          <w:sz w:val="17"/>
          <w:szCs w:val="17"/>
          <w:i w:val="1"/>
          <w:iCs w:val="1"/>
          <w:color w:val="auto"/>
        </w:rPr>
        <w:t xml:space="preserve"> </w:t>
      </w:r>
      <w:r>
        <w:rPr>
          <w:rFonts w:ascii="Arial" w:cs="Arial" w:eastAsia="Arial" w:hAnsi="Arial"/>
          <w:sz w:val="17"/>
          <w:szCs w:val="17"/>
          <w:color w:val="auto"/>
        </w:rPr>
        <w:t>Arps, Slate, Meagher &amp; Flom LLP, or at such other place as shall be agreed upon by the Representatives and the Company, at 10:00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203"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In addition, in the event that any or all of the Option Securities are purchased by the Underwriters, payment of the purchase price for, and delivery of such Option Securities shall be made at the above mentioned offices, or at such other place as shall be agreed upon by the Representatives and the Company, on each Date of Delivery as specified in the notice from the Representatives to the Company.</w:t>
      </w:r>
    </w:p>
    <w:p>
      <w:pPr>
        <w:spacing w:after="0" w:line="210" w:lineRule="exact"/>
        <w:rPr>
          <w:sz w:val="20"/>
          <w:szCs w:val="20"/>
          <w:color w:val="auto"/>
        </w:rPr>
      </w:pPr>
    </w:p>
    <w:p>
      <w:pPr>
        <w:jc w:val="both"/>
        <w:ind w:firstLine="644"/>
        <w:spacing w:after="0" w:line="294" w:lineRule="auto"/>
        <w:rPr>
          <w:sz w:val="20"/>
          <w:szCs w:val="20"/>
          <w:color w:val="auto"/>
        </w:rPr>
      </w:pPr>
      <w:r>
        <w:rPr>
          <w:rFonts w:ascii="Arial" w:cs="Arial" w:eastAsia="Arial" w:hAnsi="Arial"/>
          <w:sz w:val="16"/>
          <w:szCs w:val="16"/>
          <w:color w:val="auto"/>
        </w:rPr>
        <w:t>Payment shall be made to the Company by wire transfer of immediately available funds to the bank account designated by the Company against delivery to the Representatives for the respective accounts of the Underwriters of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Each of the Representatives, individually (as agreed among the Representatives) and not as representative of the Underwriters, may (but shall not be obligated to) make payment of the purchase price for the Initia</w:t>
      </w:r>
    </w:p>
    <w:p>
      <w:pPr>
        <w:sectPr>
          <w:pgSz w:w="12240" w:h="15840" w:orient="portrait"/>
          <w:cols w:equalWidth="0" w:num="1">
            <w:col w:w="11160"/>
          </w:cols>
          <w:pgMar w:left="520" w:top="0" w:right="560" w:bottom="0" w:gutter="0" w:footer="0" w:header="0"/>
        </w:sectPr>
      </w:pPr>
    </w:p>
    <w:bookmarkStart w:id="203" w:name="page204"/>
    <w:bookmarkEnd w:id="203"/>
    <w:p>
      <w:pPr>
        <w:spacing w:after="0" w:line="257" w:lineRule="auto"/>
        <w:rPr>
          <w:sz w:val="20"/>
          <w:szCs w:val="20"/>
          <w:color w:val="auto"/>
        </w:rPr>
      </w:pPr>
      <w:r>
        <w:rPr>
          <w:rFonts w:ascii="Arial" w:cs="Arial" w:eastAsia="Arial" w:hAnsi="Arial"/>
          <w:sz w:val="18"/>
          <w:szCs w:val="18"/>
          <w:color w:val="auto"/>
        </w:rPr>
        <w:t>Securities or the Option Securities, if any, to be purchased by any Underwriter whose funds have not been received by the Closing Time or the relevan Date of Delivery, as the case may be, but such payment shall not relieve such Underwriter from its obligations hereunder.</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1">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40"/>
          </w:cols>
          <w:pgMar w:left="520" w:top="0" w:right="580" w:bottom="1440" w:gutter="0" w:footer="0" w:header="0"/>
        </w:sectPr>
      </w:pPr>
    </w:p>
    <w:bookmarkStart w:id="204" w:name="page205"/>
    <w:bookmarkEnd w:id="204"/>
    <w:p>
      <w:pPr>
        <w:ind w:left="640"/>
        <w:spacing w:after="0"/>
        <w:tabs>
          <w:tab w:leader="none" w:pos="21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Covenants of the New Fortress Energy Parties</w:t>
      </w:r>
      <w:r>
        <w:rPr>
          <w:rFonts w:ascii="Arial" w:cs="Arial" w:eastAsia="Arial" w:hAnsi="Arial"/>
          <w:sz w:val="16"/>
          <w:szCs w:val="16"/>
          <w:color w:val="auto"/>
        </w:rPr>
        <w:t>.  The New Fortress Energy Parties, jointly and severally, covenant with each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Underwriter as follows:</w:t>
      </w:r>
    </w:p>
    <w:p>
      <w:pPr>
        <w:spacing w:after="0" w:line="227" w:lineRule="exact"/>
        <w:rPr>
          <w:sz w:val="20"/>
          <w:szCs w:val="20"/>
          <w:color w:val="auto"/>
        </w:rPr>
      </w:pPr>
    </w:p>
    <w:p>
      <w:pPr>
        <w:jc w:val="both"/>
        <w:ind w:firstLine="644"/>
        <w:spacing w:after="0" w:line="257" w:lineRule="auto"/>
        <w:tabs>
          <w:tab w:leader="none" w:pos="1433" w:val="left"/>
        </w:tabs>
        <w:numPr>
          <w:ilvl w:val="0"/>
          <w:numId w:val="162"/>
        </w:numPr>
        <w:rPr>
          <w:rFonts w:ascii="Arial" w:cs="Arial" w:eastAsia="Arial" w:hAnsi="Arial"/>
          <w:sz w:val="18"/>
          <w:szCs w:val="18"/>
          <w:i w:val="1"/>
          <w:iCs w:val="1"/>
          <w:color w:val="auto"/>
        </w:rPr>
      </w:pPr>
      <w:r>
        <w:rPr>
          <w:rFonts w:ascii="Arial" w:cs="Arial" w:eastAsia="Arial" w:hAnsi="Arial"/>
          <w:sz w:val="18"/>
          <w:szCs w:val="18"/>
          <w:i w:val="1"/>
          <w:iCs w:val="1"/>
          <w:color w:val="auto"/>
        </w:rPr>
        <w:t>Compliance with Securities Regulations and Commission Requests</w:t>
      </w:r>
      <w:r>
        <w:rPr>
          <w:rFonts w:ascii="Arial" w:cs="Arial" w:eastAsia="Arial" w:hAnsi="Arial"/>
          <w:sz w:val="18"/>
          <w:szCs w:val="18"/>
          <w:color w:val="auto"/>
        </w:rPr>
        <w:t>. The Company, subject to Section 3(b),</w:t>
      </w:r>
      <w:r>
        <w:rPr>
          <w:rFonts w:ascii="Arial" w:cs="Arial" w:eastAsia="Arial" w:hAnsi="Arial"/>
          <w:sz w:val="18"/>
          <w:szCs w:val="18"/>
          <w:i w:val="1"/>
          <w:iCs w:val="1"/>
          <w:color w:val="auto"/>
        </w:rPr>
        <w:t xml:space="preserve"> </w:t>
      </w:r>
      <w:r>
        <w:rPr>
          <w:rFonts w:ascii="Arial" w:cs="Arial" w:eastAsia="Arial" w:hAnsi="Arial"/>
          <w:sz w:val="21"/>
          <w:szCs w:val="21"/>
          <w:color w:val="auto"/>
        </w:rPr>
        <w:t>will comply with the</w:t>
      </w:r>
      <w:r>
        <w:rPr>
          <w:rFonts w:ascii="Arial" w:cs="Arial" w:eastAsia="Arial" w:hAnsi="Arial"/>
          <w:sz w:val="18"/>
          <w:szCs w:val="18"/>
          <w:i w:val="1"/>
          <w:iCs w:val="1"/>
          <w:color w:val="auto"/>
        </w:rPr>
        <w:t xml:space="preserve"> </w:t>
      </w:r>
      <w:r>
        <w:rPr>
          <w:rFonts w:ascii="Arial" w:cs="Arial" w:eastAsia="Arial" w:hAnsi="Arial"/>
          <w:sz w:val="21"/>
          <w:szCs w:val="21"/>
          <w:color w:val="auto"/>
        </w:rPr>
        <w:t xml:space="preserve">requirements of Rule 430A, and </w:t>
      </w:r>
      <w:r>
        <w:rPr>
          <w:rFonts w:ascii="Arial" w:cs="Arial" w:eastAsia="Arial" w:hAnsi="Arial"/>
          <w:sz w:val="17"/>
          <w:szCs w:val="17"/>
          <w:color w:val="auto"/>
        </w:rPr>
        <w:t>will notify the Representatives as soon as practicable (i) when any post-effective amendment to the Registration</w:t>
      </w:r>
      <w:r>
        <w:rPr>
          <w:rFonts w:ascii="Arial" w:cs="Arial" w:eastAsia="Arial" w:hAnsi="Arial"/>
          <w:sz w:val="21"/>
          <w:szCs w:val="21"/>
          <w:color w:val="auto"/>
        </w:rPr>
        <w:t xml:space="preserve"> </w:t>
      </w:r>
      <w:r>
        <w:rPr>
          <w:rFonts w:ascii="Arial" w:cs="Arial" w:eastAsia="Arial" w:hAnsi="Arial"/>
          <w:sz w:val="17"/>
          <w:szCs w:val="17"/>
          <w:color w:val="auto"/>
        </w:rPr>
        <w:t>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The Company will make every commercially reasonable effort to prevent the issuance of any stop order, prevention or suspension and, if any such order is issued, to obtain the lifting thereof as soon as practicable.</w:t>
      </w:r>
    </w:p>
    <w:p>
      <w:pPr>
        <w:spacing w:after="0" w:line="218" w:lineRule="exact"/>
        <w:rPr>
          <w:rFonts w:ascii="Arial" w:cs="Arial" w:eastAsia="Arial" w:hAnsi="Arial"/>
          <w:sz w:val="18"/>
          <w:szCs w:val="18"/>
          <w:i w:val="1"/>
          <w:iCs w:val="1"/>
          <w:color w:val="auto"/>
        </w:rPr>
      </w:pPr>
    </w:p>
    <w:p>
      <w:pPr>
        <w:jc w:val="both"/>
        <w:ind w:firstLine="644"/>
        <w:spacing w:after="0" w:line="283" w:lineRule="auto"/>
        <w:tabs>
          <w:tab w:leader="none" w:pos="1313" w:val="left"/>
        </w:tabs>
        <w:numPr>
          <w:ilvl w:val="0"/>
          <w:numId w:val="162"/>
        </w:numPr>
        <w:rPr>
          <w:rFonts w:ascii="Arial" w:cs="Arial" w:eastAsia="Arial" w:hAnsi="Arial"/>
          <w:sz w:val="16"/>
          <w:szCs w:val="16"/>
          <w:i w:val="1"/>
          <w:iCs w:val="1"/>
          <w:color w:val="auto"/>
        </w:rPr>
      </w:pP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comply with the 1933 Act and the 1933 Act Regulations so as to permit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2">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205" w:name="page206"/>
    <w:bookmarkEnd w:id="205"/>
    <w:p>
      <w:pPr>
        <w:jc w:val="both"/>
        <w:ind w:left="-20" w:firstLine="644"/>
        <w:spacing w:after="0" w:line="267" w:lineRule="auto"/>
        <w:tabs>
          <w:tab w:leader="none" w:pos="1309" w:val="left"/>
        </w:tabs>
        <w:numPr>
          <w:ilvl w:val="0"/>
          <w:numId w:val="163"/>
        </w:numPr>
        <w:rPr>
          <w:rFonts w:ascii="Arial" w:cs="Arial" w:eastAsia="Arial" w:hAnsi="Arial"/>
          <w:sz w:val="17"/>
          <w:szCs w:val="17"/>
          <w:i w:val="1"/>
          <w:iCs w:val="1"/>
          <w:color w:val="auto"/>
        </w:rPr>
      </w:pPr>
      <w:r>
        <w:rPr>
          <w:rFonts w:ascii="Arial" w:cs="Arial" w:eastAsia="Arial" w:hAnsi="Arial"/>
          <w:sz w:val="17"/>
          <w:szCs w:val="17"/>
          <w:i w:val="1"/>
          <w:iCs w:val="1"/>
          <w:color w:val="auto"/>
        </w:rPr>
        <w:t>Delivery of Registration Statements</w:t>
      </w:r>
      <w:r>
        <w:rPr>
          <w:rFonts w:ascii="Arial" w:cs="Arial" w:eastAsia="Arial" w:hAnsi="Arial"/>
          <w:sz w:val="17"/>
          <w:szCs w:val="17"/>
          <w:color w:val="auto"/>
        </w:rPr>
        <w:t>. The Company has furnished or will deliver upon request to the Representatives and counsel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without charge, conformed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without charge, upon request,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207" w:lineRule="exact"/>
        <w:rPr>
          <w:rFonts w:ascii="Arial" w:cs="Arial" w:eastAsia="Arial" w:hAnsi="Arial"/>
          <w:sz w:val="17"/>
          <w:szCs w:val="17"/>
          <w:i w:val="1"/>
          <w:iCs w:val="1"/>
          <w:color w:val="auto"/>
        </w:rPr>
      </w:pPr>
    </w:p>
    <w:p>
      <w:pPr>
        <w:jc w:val="both"/>
        <w:ind w:left="-20" w:firstLine="644"/>
        <w:spacing w:after="0" w:line="291" w:lineRule="auto"/>
        <w:tabs>
          <w:tab w:leader="none" w:pos="1534" w:val="left"/>
        </w:tabs>
        <w:numPr>
          <w:ilvl w:val="0"/>
          <w:numId w:val="163"/>
        </w:numPr>
        <w:rPr>
          <w:rFonts w:ascii="Arial" w:cs="Arial" w:eastAsia="Arial" w:hAnsi="Arial"/>
          <w:sz w:val="16"/>
          <w:szCs w:val="16"/>
          <w:i w:val="1"/>
          <w:iCs w:val="1"/>
          <w:color w:val="auto"/>
        </w:rPr>
      </w:pPr>
      <w:r>
        <w:rPr>
          <w:rFonts w:ascii="Arial" w:cs="Arial" w:eastAsia="Arial" w:hAnsi="Arial"/>
          <w:sz w:val="16"/>
          <w:szCs w:val="16"/>
          <w:i w:val="1"/>
          <w:iCs w:val="1"/>
          <w:color w:val="auto"/>
        </w:rPr>
        <w:t>Delivery of Prospectuses</w:t>
      </w:r>
      <w:r>
        <w:rPr>
          <w:rFonts w:ascii="Arial" w:cs="Arial" w:eastAsia="Arial" w:hAnsi="Arial"/>
          <w:sz w:val="16"/>
          <w:szCs w:val="16"/>
          <w:color w:val="auto"/>
        </w:rPr>
        <w:t>. The Company has delivered to each Underwriter, without charge, as many copies of each preliminary</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90" w:lineRule="exact"/>
        <w:rPr>
          <w:rFonts w:ascii="Arial" w:cs="Arial" w:eastAsia="Arial" w:hAnsi="Arial"/>
          <w:sz w:val="16"/>
          <w:szCs w:val="16"/>
          <w:i w:val="1"/>
          <w:iCs w:val="1"/>
          <w:color w:val="auto"/>
        </w:rPr>
      </w:pPr>
    </w:p>
    <w:p>
      <w:pPr>
        <w:jc w:val="both"/>
        <w:ind w:left="-20" w:firstLine="644"/>
        <w:spacing w:after="0" w:line="294" w:lineRule="auto"/>
        <w:tabs>
          <w:tab w:leader="none" w:pos="1390" w:val="left"/>
        </w:tabs>
        <w:numPr>
          <w:ilvl w:val="0"/>
          <w:numId w:val="163"/>
        </w:numPr>
        <w:rPr>
          <w:rFonts w:ascii="Arial" w:cs="Arial" w:eastAsia="Arial" w:hAnsi="Arial"/>
          <w:sz w:val="16"/>
          <w:szCs w:val="16"/>
          <w:i w:val="1"/>
          <w:iCs w:val="1"/>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cooperate with the Underwriters, to qualify the Securities for offering and sale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securities laws of such states and other jurisdictions (domestic or foreign) as the Representatives may designate and to maintain such qualifications in effect so long as required to complete the distribution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file any general consent or otherwise subject itself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7" w:lineRule="exact"/>
        <w:rPr>
          <w:rFonts w:ascii="Arial" w:cs="Arial" w:eastAsia="Arial" w:hAnsi="Arial"/>
          <w:sz w:val="16"/>
          <w:szCs w:val="16"/>
          <w:i w:val="1"/>
          <w:iCs w:val="1"/>
          <w:color w:val="auto"/>
        </w:rPr>
      </w:pPr>
    </w:p>
    <w:p>
      <w:pPr>
        <w:jc w:val="both"/>
        <w:ind w:left="-20" w:firstLine="644"/>
        <w:spacing w:after="0" w:line="261" w:lineRule="auto"/>
        <w:tabs>
          <w:tab w:leader="none" w:pos="1253" w:val="left"/>
        </w:tabs>
        <w:numPr>
          <w:ilvl w:val="0"/>
          <w:numId w:val="163"/>
        </w:numPr>
        <w:rPr>
          <w:rFonts w:ascii="Arial" w:cs="Arial" w:eastAsia="Arial" w:hAnsi="Arial"/>
          <w:sz w:val="18"/>
          <w:szCs w:val="18"/>
          <w:i w:val="1"/>
          <w:iCs w:val="1"/>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1934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the Underwriters the benefits contemplated by, the last paragraph of Section 11(a) of the 1933 Act.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48260</wp:posOffset>
            </wp:positionV>
            <wp:extent cx="708660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3">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40"/>
          </w:cols>
          <w:pgMar w:left="540" w:top="0" w:right="560" w:bottom="1440" w:gutter="0" w:footer="0" w:header="0"/>
        </w:sectPr>
      </w:pPr>
    </w:p>
    <w:bookmarkStart w:id="206" w:name="page207"/>
    <w:bookmarkEnd w:id="206"/>
    <w:p>
      <w:pPr>
        <w:ind w:firstLine="644"/>
        <w:spacing w:after="0" w:line="257" w:lineRule="auto"/>
        <w:tabs>
          <w:tab w:leader="none" w:pos="1406" w:val="left"/>
        </w:tabs>
        <w:numPr>
          <w:ilvl w:val="1"/>
          <w:numId w:val="164"/>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General Disclosure Package and the Prospectus under “Use of Proceeds.”</w:t>
      </w:r>
    </w:p>
    <w:p>
      <w:pPr>
        <w:spacing w:after="0" w:line="212" w:lineRule="exact"/>
        <w:rPr>
          <w:rFonts w:ascii="Arial" w:cs="Arial" w:eastAsia="Arial" w:hAnsi="Arial"/>
          <w:sz w:val="18"/>
          <w:szCs w:val="18"/>
          <w:i w:val="1"/>
          <w:iCs w:val="1"/>
          <w:color w:val="auto"/>
        </w:rPr>
      </w:pPr>
    </w:p>
    <w:p>
      <w:pPr>
        <w:jc w:val="both"/>
        <w:ind w:firstLine="644"/>
        <w:spacing w:after="0" w:line="281" w:lineRule="auto"/>
        <w:tabs>
          <w:tab w:leader="none" w:pos="1313" w:val="left"/>
        </w:tabs>
        <w:numPr>
          <w:ilvl w:val="1"/>
          <w:numId w:val="164"/>
        </w:numPr>
        <w:rPr>
          <w:rFonts w:ascii="Arial" w:cs="Arial" w:eastAsia="Arial" w:hAnsi="Arial"/>
          <w:sz w:val="16"/>
          <w:szCs w:val="16"/>
          <w:i w:val="1"/>
          <w:iCs w:val="1"/>
          <w:color w:val="auto"/>
        </w:rPr>
      </w:pPr>
      <w:r>
        <w:rPr>
          <w:rFonts w:ascii="Arial" w:cs="Arial" w:eastAsia="Arial" w:hAnsi="Arial"/>
          <w:sz w:val="16"/>
          <w:szCs w:val="16"/>
          <w:i w:val="1"/>
          <w:iCs w:val="1"/>
          <w:color w:val="auto"/>
        </w:rPr>
        <w:t>Restriction on Sale of Securities</w:t>
      </w:r>
      <w:r>
        <w:rPr>
          <w:rFonts w:ascii="Arial" w:cs="Arial" w:eastAsia="Arial" w:hAnsi="Arial"/>
          <w:sz w:val="16"/>
          <w:szCs w:val="16"/>
          <w:color w:val="auto"/>
        </w:rPr>
        <w:t>. During a period of 180 days from the date of the Prospectus (the “Lock-Up Period”), the Company will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 without the prior written consent of Morgan Stanley, (i) directly or indirectly, offer, pledge, sell, contract to sell, sell any option or contract to purchase purchase any option or contract to sell, grant any option, right or warrant to purchase or otherwise transfer or dispose of any Class A Shares or Class B Shares or any securities convertible into or exercisable or exchangeable for Class A Shares or Class B Shares (including, without limitation, NFI LLC Units) or file any registration statement under the 1933 Act with respect to any of the foregoing or (ii) enter into any swap or any other agreement or any transaction that transfers, in whole or in part, directly or indirectly, the economic consequence of ownership of the Class A Shares or the Class B Shares or any securities convertible into or exercisable or exchangeable for Class A Shares or Class B Shares, whether any such swap or transaction described in clause (i) or (ii) above is to be settled by delivery of Class A Shares, Class B Shares or such other securities, in cash or otherwise. The foregoing sentence shall not apply to (A) the Securities to be sold hereunder, (B) any Class A Shares issued by the Company upon the exercise of an option or warrant or the conversion of a security outstanding on the date hereof or at the Closing Time after giving effect to the Transactions and referred to in the Registration Statement, the General Disclosure Package and the Prospectus, (C) any grants of Class A Shares, share options, restricted shares, notional units or other equity or equity-based securities to employees, directors, contractors, or other individuals eligible to receive awards pursuant to the terms of any plan in effect as of the Closing Time and described in the Registration Statement, General Disclosure Package and Prospectus, or the issuance of Class A Shares pursuant to the exercise, vesting, or settlement of any award granted pursuant to the Company’s equity incentive plans that are described in the Registration Statement, General Disclosure Package and Prospectus, (D) any Class A Shares issued pursuant to any non-employee director share plan or dividend reinvestment plan referred to in the Registration Statement, the General Disclosure Package and the Prospectus, and (E) any registration statement on Form S-8 under the 1933 Act with respect to the foregoing clauses (B), (C) and (D);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holders of Class A Shares issued pursuant to (B), (C) or</w:t>
      </w:r>
    </w:p>
    <w:p>
      <w:pPr>
        <w:spacing w:after="0" w:line="1" w:lineRule="exact"/>
        <w:rPr>
          <w:rFonts w:ascii="Arial" w:cs="Arial" w:eastAsia="Arial" w:hAnsi="Arial"/>
          <w:sz w:val="16"/>
          <w:szCs w:val="16"/>
          <w:i w:val="1"/>
          <w:iCs w:val="1"/>
          <w:color w:val="auto"/>
        </w:rPr>
      </w:pPr>
    </w:p>
    <w:p>
      <w:pPr>
        <w:spacing w:after="0" w:line="257" w:lineRule="auto"/>
        <w:tabs>
          <w:tab w:leader="none" w:pos="3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above agree to execute a lock-up letter described in Section 5(i) hereof (to the extent such holder has not previously signed a lock-up letter covering such Class A Shares) or such Class A Shares do not vest until after the expiry of the Lock-Up Period.</w:t>
      </w:r>
    </w:p>
    <w:p>
      <w:pPr>
        <w:spacing w:after="0" w:line="212" w:lineRule="exact"/>
        <w:rPr>
          <w:rFonts w:ascii="Arial" w:cs="Arial" w:eastAsia="Arial" w:hAnsi="Arial"/>
          <w:sz w:val="18"/>
          <w:szCs w:val="18"/>
          <w:color w:val="auto"/>
        </w:rPr>
      </w:pPr>
    </w:p>
    <w:p>
      <w:pPr>
        <w:jc w:val="both"/>
        <w:ind w:firstLine="644"/>
        <w:spacing w:after="0" w:line="299" w:lineRule="auto"/>
        <w:tabs>
          <w:tab w:leader="none" w:pos="1340" w:val="left"/>
        </w:tabs>
        <w:numPr>
          <w:ilvl w:val="1"/>
          <w:numId w:val="165"/>
        </w:numPr>
        <w:rPr>
          <w:rFonts w:ascii="Arial" w:cs="Arial" w:eastAsia="Arial" w:hAnsi="Arial"/>
          <w:sz w:val="16"/>
          <w:szCs w:val="16"/>
          <w:i w:val="1"/>
          <w:iCs w:val="1"/>
          <w:color w:val="auto"/>
        </w:rPr>
      </w:pPr>
      <w:r>
        <w:rPr>
          <w:rFonts w:ascii="Arial" w:cs="Arial" w:eastAsia="Arial" w:hAnsi="Arial"/>
          <w:sz w:val="16"/>
          <w:szCs w:val="16"/>
          <w:color w:val="auto"/>
        </w:rPr>
        <w:t>If Morgan Stanley in its sole discretion, agrees to release or waive the restrictions set forth in a lock-up agreement described in Section 5(k)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C hereto through a major news service at least two business days before the effective date of the release or waiver.</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4">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207" w:name="page208"/>
    <w:bookmarkEnd w:id="207"/>
    <w:p>
      <w:pPr>
        <w:jc w:val="both"/>
        <w:ind w:left="-20" w:firstLine="644"/>
        <w:spacing w:after="0" w:line="251" w:lineRule="auto"/>
        <w:tabs>
          <w:tab w:leader="none" w:pos="1280" w:val="left"/>
        </w:tabs>
        <w:numPr>
          <w:ilvl w:val="0"/>
          <w:numId w:val="166"/>
        </w:numPr>
        <w:rPr>
          <w:rFonts w:ascii="Arial" w:cs="Arial" w:eastAsia="Arial" w:hAnsi="Arial"/>
          <w:sz w:val="18"/>
          <w:szCs w:val="18"/>
          <w:i w:val="1"/>
          <w:iCs w:val="1"/>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the Prospectus is (or, but for the exception afforded by Rule 172, would</w:t>
      </w:r>
      <w:r>
        <w:rPr>
          <w:rFonts w:ascii="Arial" w:cs="Arial" w:eastAsia="Arial" w:hAnsi="Arial"/>
          <w:sz w:val="18"/>
          <w:szCs w:val="18"/>
          <w:i w:val="1"/>
          <w:iCs w:val="1"/>
          <w:color w:val="auto"/>
        </w:rPr>
        <w:t xml:space="preserve"> </w:t>
      </w:r>
      <w:r>
        <w:rPr>
          <w:rFonts w:ascii="Arial" w:cs="Arial" w:eastAsia="Arial" w:hAnsi="Arial"/>
          <w:sz w:val="18"/>
          <w:szCs w:val="18"/>
          <w:color w:val="auto"/>
        </w:rPr>
        <w:t>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219" w:lineRule="exact"/>
        <w:rPr>
          <w:rFonts w:ascii="Arial" w:cs="Arial" w:eastAsia="Arial" w:hAnsi="Arial"/>
          <w:sz w:val="18"/>
          <w:szCs w:val="18"/>
          <w:i w:val="1"/>
          <w:iCs w:val="1"/>
          <w:color w:val="auto"/>
        </w:rPr>
      </w:pPr>
    </w:p>
    <w:p>
      <w:pPr>
        <w:jc w:val="both"/>
        <w:ind w:left="-20" w:firstLine="644"/>
        <w:spacing w:after="0" w:line="284" w:lineRule="auto"/>
        <w:tabs>
          <w:tab w:leader="none" w:pos="1296" w:val="left"/>
        </w:tabs>
        <w:numPr>
          <w:ilvl w:val="0"/>
          <w:numId w:val="166"/>
        </w:numPr>
        <w:rPr>
          <w:rFonts w:ascii="Arial" w:cs="Arial" w:eastAsia="Arial" w:hAnsi="Arial"/>
          <w:sz w:val="16"/>
          <w:szCs w:val="16"/>
          <w:i w:val="1"/>
          <w:iCs w:val="1"/>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The Company agrees that, unless it obtains the prior written consent of the Representatives, it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make any offer relating to the Securities that would constitute an Issuer Free Writing Prospectus or that would otherwise constitute a “free writing prospectus,” or a portion thereof, required to be filed by the Company with the Commission or retained by the Company under Rule 433;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 time, not misleading, the Company will promptly notify the Representatives and will promptly amend or supplement, at its own expense, such Issuer Free Writing Prospectus to eliminate or correct such conflict, untrue statement or omission. Each Underwriter represents that it has not made, and agrees that, without the prior consent of the Company, it will not make any offer relating to the Securities that would constitute a “free writing prospectus” required to be filed by the Company with the Commission or retained by the Company under Rule 433.</w:t>
      </w:r>
    </w:p>
    <w:p>
      <w:pPr>
        <w:spacing w:after="0" w:line="195"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222" w:lineRule="exact"/>
        <w:rPr>
          <w:sz w:val="20"/>
          <w:szCs w:val="20"/>
          <w:color w:val="auto"/>
        </w:rPr>
      </w:pPr>
    </w:p>
    <w:p>
      <w:pPr>
        <w:jc w:val="both"/>
        <w:ind w:left="-20" w:firstLine="644"/>
        <w:spacing w:after="0" w:line="283" w:lineRule="auto"/>
        <w:tabs>
          <w:tab w:leader="none" w:pos="1279" w:val="left"/>
        </w:tabs>
        <w:numPr>
          <w:ilvl w:val="0"/>
          <w:numId w:val="167"/>
        </w:numPr>
        <w:rPr>
          <w:rFonts w:ascii="Arial" w:cs="Arial" w:eastAsia="Arial" w:hAnsi="Arial"/>
          <w:sz w:val="16"/>
          <w:szCs w:val="16"/>
          <w:i w:val="1"/>
          <w:iCs w:val="1"/>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New Fortress Energy Parties will, jointly and severally, pay or cause to be paid all expenses incident to the performance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their obligations under this Agreement other than to the extent described in Section 4(b) below, including (i) the preparation, printing and filing of the Registration Statement (including financial statements and exhibits) as originally filed and of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for the Securities to the Underwriters, if any, including any stock or other transfer taxes and any stamp or other duties payable upon the sale, issuance or delivery of the Securities to the Underwriters, (iv) the fees and disbursements of the counsel, accountants and other advisors of the New Fortress Energy Parties, (v) the qualification of the Securities under securities laws in accordance with the provisions of Section 3(e) hereof, including filing fees and the reasonable and documented fees and disbursements of counsel for the Underwriters in connection therewith and in connection with the preparation of the Blue Sky Survey and any supplement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such fees and disbursements of counsel shall not exceed $10,000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reasonable and documented fees and expenses of any consultants engaged with the consent of the Company in connection with the road show presentations, travel and lodging expenses of the representatives of the Company (which, for the avoidance of doubt, does not include the Underwriters for purposes of this Section 4(a)(vii)) and officers of the Company and any such consultants, as well as one half (50%) of the cost of aircraft and other transportation chartered in connection with the road show, (viii) the filing fees incident to, and the reasonable fees and disbursements of counsel to the Underwriters in connection with, the review by FINRA of the terms of the sale of the Securities (such counsel fees not to exceed $35,000) and (ix) the fees and expenses incurred in connection with the listing of the Securities on the Nasdaq Global Select Market. It is understood that, except as provided in clause (a) of this Section 4, the Underwriters will pay all of their own costs and expenses, including the fees of their counsel, stock transfer taxes on resale of any of the Securities by them, and any advertising expenses connected with any offers they may make.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48260</wp:posOffset>
            </wp:positionV>
            <wp:extent cx="708660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5">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40"/>
          </w:cols>
          <w:pgMar w:left="540" w:top="0" w:right="560" w:bottom="1440" w:gutter="0" w:footer="0" w:header="0"/>
        </w:sectPr>
      </w:pPr>
    </w:p>
    <w:bookmarkStart w:id="208" w:name="page209"/>
    <w:bookmarkEnd w:id="208"/>
    <w:p>
      <w:pPr>
        <w:jc w:val="both"/>
        <w:ind w:firstLine="644"/>
        <w:spacing w:after="0" w:line="275" w:lineRule="auto"/>
        <w:tabs>
          <w:tab w:leader="none" w:pos="1299" w:val="left"/>
        </w:tabs>
        <w:numPr>
          <w:ilvl w:val="0"/>
          <w:numId w:val="168"/>
        </w:numPr>
        <w:rPr>
          <w:rFonts w:ascii="Arial" w:cs="Arial" w:eastAsia="Arial" w:hAnsi="Arial"/>
          <w:sz w:val="17"/>
          <w:szCs w:val="17"/>
          <w:i w:val="1"/>
          <w:iCs w:val="1"/>
          <w:color w:val="auto"/>
        </w:rPr>
      </w:pPr>
      <w:r>
        <w:rPr>
          <w:rFonts w:ascii="Arial" w:cs="Arial" w:eastAsia="Arial" w:hAnsi="Arial"/>
          <w:sz w:val="17"/>
          <w:szCs w:val="17"/>
          <w:i w:val="1"/>
          <w:iCs w:val="1"/>
          <w:color w:val="auto"/>
        </w:rPr>
        <w:t>Termination of Agreement</w:t>
      </w:r>
      <w:r>
        <w:rPr>
          <w:rFonts w:ascii="Arial" w:cs="Arial" w:eastAsia="Arial" w:hAnsi="Arial"/>
          <w:sz w:val="17"/>
          <w:szCs w:val="17"/>
          <w:color w:val="auto"/>
        </w:rPr>
        <w:t>. If this Agreement is terminated by the Representatives in accordance with the provisions of Section 5, Section</w:t>
      </w:r>
      <w:r>
        <w:rPr>
          <w:rFonts w:ascii="Arial" w:cs="Arial" w:eastAsia="Arial" w:hAnsi="Arial"/>
          <w:sz w:val="17"/>
          <w:szCs w:val="17"/>
          <w:i w:val="1"/>
          <w:iCs w:val="1"/>
          <w:color w:val="auto"/>
        </w:rPr>
        <w:t xml:space="preserve"> </w:t>
      </w:r>
      <w:r>
        <w:rPr>
          <w:rFonts w:ascii="Arial" w:cs="Arial" w:eastAsia="Arial" w:hAnsi="Arial"/>
          <w:sz w:val="17"/>
          <w:szCs w:val="17"/>
          <w:color w:val="auto"/>
        </w:rPr>
        <w:t>9(a)(i) or (iii), or Section 11 hereof, the Company shall reimburse the Underwriters for all of their reasonable and documented out of pocket expenses that were actually incurred, including the reasonable fees and disbursements of counsel for the Underwriters.</w:t>
      </w:r>
    </w:p>
    <w:p>
      <w:pPr>
        <w:spacing w:after="0" w:line="199" w:lineRule="exact"/>
        <w:rPr>
          <w:sz w:val="20"/>
          <w:szCs w:val="20"/>
          <w:color w:val="auto"/>
        </w:rPr>
      </w:pPr>
    </w:p>
    <w:p>
      <w:pPr>
        <w:jc w:val="both"/>
        <w:ind w:firstLine="644"/>
        <w:spacing w:after="0" w:line="25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several Underwriters hereunder are subject to the accuracy of the representations and warranties of the New Fortress Energy Parties contained herein or in certificates of any officer of the New Fortress Energy Parties delivered pursuant to the provisions hereof, to the performance by the New Fortress Energy Parties of their respective covenants and other obligations hereunder, and to the following further conditions:</w:t>
      </w:r>
    </w:p>
    <w:p>
      <w:pPr>
        <w:spacing w:after="0" w:line="206" w:lineRule="exact"/>
        <w:rPr>
          <w:sz w:val="20"/>
          <w:szCs w:val="20"/>
          <w:color w:val="auto"/>
        </w:rPr>
      </w:pPr>
    </w:p>
    <w:p>
      <w:pPr>
        <w:jc w:val="both"/>
        <w:ind w:firstLine="644"/>
        <w:spacing w:after="0" w:line="277" w:lineRule="auto"/>
        <w:tabs>
          <w:tab w:leader="none" w:pos="1423"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Effectiveness of Registration Statement</w:t>
      </w:r>
      <w:r>
        <w:rPr>
          <w:rFonts w:ascii="Arial" w:cs="Arial" w:eastAsia="Arial" w:hAnsi="Arial"/>
          <w:sz w:val="19"/>
          <w:szCs w:val="19"/>
          <w:color w:val="auto"/>
        </w:rPr>
        <w:t>;</w:t>
      </w:r>
      <w:r>
        <w:rPr>
          <w:rFonts w:ascii="Arial" w:cs="Arial" w:eastAsia="Arial" w:hAnsi="Arial"/>
          <w:sz w:val="16"/>
          <w:szCs w:val="16"/>
          <w:i w:val="1"/>
          <w:iCs w:val="1"/>
          <w:color w:val="auto"/>
        </w:rPr>
        <w:t xml:space="preserve"> Rule 430A Information</w:t>
      </w:r>
      <w:r>
        <w:rPr>
          <w:rFonts w:ascii="Arial" w:cs="Arial" w:eastAsia="Arial" w:hAnsi="Arial"/>
          <w:sz w:val="16"/>
          <w:szCs w:val="16"/>
          <w:color w:val="auto"/>
        </w:rPr>
        <w:t>. The Registration Statement, including any Rule 462(b)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knowledge of the New Fortress Energy Parties, threatened by the Commission; and the Company has complied with each request (if any) from the Commission for additional information. </w:t>
      </w:r>
      <w:r>
        <w:rPr>
          <w:rFonts w:ascii="Arial" w:cs="Arial" w:eastAsia="Arial" w:hAnsi="Arial"/>
          <w:sz w:val="19"/>
          <w:szCs w:val="19"/>
          <w:color w:val="auto"/>
        </w:rPr>
        <w:t>A prospectus</w:t>
      </w:r>
    </w:p>
    <w:p>
      <w:pPr>
        <w:spacing w:after="0" w:line="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6">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209" w:name="page210"/>
    <w:bookmarkEnd w:id="209"/>
    <w:p>
      <w:pPr>
        <w:jc w:val="both"/>
        <w:ind w:left="-20" w:firstLine="644"/>
        <w:spacing w:after="0" w:line="255" w:lineRule="auto"/>
        <w:tabs>
          <w:tab w:leader="none" w:pos="1261" w:val="left"/>
        </w:tabs>
        <w:numPr>
          <w:ilvl w:val="0"/>
          <w:numId w:val="170"/>
        </w:numPr>
        <w:rPr>
          <w:rFonts w:ascii="Arial" w:cs="Arial" w:eastAsia="Arial" w:hAnsi="Arial"/>
          <w:sz w:val="17"/>
          <w:szCs w:val="17"/>
          <w:color w:val="auto"/>
        </w:rPr>
      </w:pPr>
      <w:r>
        <w:rPr>
          <w:rFonts w:ascii="Arial" w:cs="Arial" w:eastAsia="Arial" w:hAnsi="Arial"/>
          <w:sz w:val="20"/>
          <w:szCs w:val="20"/>
          <w:i w:val="1"/>
          <w:iCs w:val="1"/>
          <w:color w:val="auto"/>
        </w:rPr>
        <w:t>Opinion of Counsel for Company</w:t>
      </w:r>
      <w:r>
        <w:rPr>
          <w:rFonts w:ascii="Arial" w:cs="Arial" w:eastAsia="Arial" w:hAnsi="Arial"/>
          <w:sz w:val="20"/>
          <w:szCs w:val="20"/>
          <w:color w:val="auto"/>
        </w:rPr>
        <w:t>. At the Closing Time, the Representatives shall have received the opinion, dated</w:t>
      </w:r>
      <w:r>
        <w:rPr>
          <w:rFonts w:ascii="Arial" w:cs="Arial" w:eastAsia="Arial" w:hAnsi="Arial"/>
          <w:sz w:val="20"/>
          <w:szCs w:val="20"/>
          <w:i w:val="1"/>
          <w:iCs w:val="1"/>
          <w:color w:val="auto"/>
        </w:rPr>
        <w:t xml:space="preserve"> </w:t>
      </w:r>
      <w:r>
        <w:rPr>
          <w:rFonts w:ascii="Arial" w:cs="Arial" w:eastAsia="Arial" w:hAnsi="Arial"/>
          <w:sz w:val="20"/>
          <w:szCs w:val="20"/>
          <w:color w:val="auto"/>
        </w:rPr>
        <w:t>the Closing Time, of Vinson &amp; Elkins L.L.P., counsel for the Company, in form and substance satisfactory to counsel for the Underwriters, together with signed or reproduced copies of such letter for each of the other Underwriters to the effect set forth in Exhibit A hereto.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Representatives.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96" w:lineRule="exact"/>
        <w:rPr>
          <w:rFonts w:ascii="Arial" w:cs="Arial" w:eastAsia="Arial" w:hAnsi="Arial"/>
          <w:sz w:val="17"/>
          <w:szCs w:val="17"/>
          <w:color w:val="auto"/>
        </w:rPr>
      </w:pPr>
    </w:p>
    <w:p>
      <w:pPr>
        <w:jc w:val="both"/>
        <w:ind w:left="-20" w:firstLine="644"/>
        <w:spacing w:after="0" w:line="258" w:lineRule="auto"/>
        <w:tabs>
          <w:tab w:leader="none" w:pos="1350" w:val="left"/>
        </w:tabs>
        <w:numPr>
          <w:ilvl w:val="0"/>
          <w:numId w:val="170"/>
        </w:numPr>
        <w:rPr>
          <w:rFonts w:ascii="Arial" w:cs="Arial" w:eastAsia="Arial" w:hAnsi="Arial"/>
          <w:sz w:val="17"/>
          <w:szCs w:val="17"/>
          <w:color w:val="auto"/>
        </w:rPr>
      </w:pPr>
      <w:r>
        <w:rPr>
          <w:rFonts w:ascii="Arial" w:cs="Arial" w:eastAsia="Arial" w:hAnsi="Arial"/>
          <w:sz w:val="20"/>
          <w:szCs w:val="20"/>
          <w:i w:val="1"/>
          <w:iCs w:val="1"/>
          <w:color w:val="auto"/>
        </w:rPr>
        <w:t xml:space="preserve">Opinion of Counsel for Underwriters. </w:t>
      </w:r>
      <w:r>
        <w:rPr>
          <w:rFonts w:ascii="Arial" w:cs="Arial" w:eastAsia="Arial" w:hAnsi="Arial"/>
          <w:sz w:val="20"/>
          <w:szCs w:val="20"/>
          <w:color w:val="auto"/>
        </w:rPr>
        <w:t>At the Closing Time, the Representatives shall have received the opinion,</w:t>
      </w:r>
      <w:r>
        <w:rPr>
          <w:rFonts w:ascii="Arial" w:cs="Arial" w:eastAsia="Arial" w:hAnsi="Arial"/>
          <w:sz w:val="20"/>
          <w:szCs w:val="20"/>
          <w:i w:val="1"/>
          <w:iCs w:val="1"/>
          <w:color w:val="auto"/>
        </w:rPr>
        <w:t xml:space="preserve"> </w:t>
      </w:r>
      <w:r>
        <w:rPr>
          <w:rFonts w:ascii="Arial" w:cs="Arial" w:eastAsia="Arial" w:hAnsi="Arial"/>
          <w:sz w:val="20"/>
          <w:szCs w:val="20"/>
          <w:color w:val="auto"/>
        </w:rPr>
        <w:t>dated the Closing Time, of Skadden, Arps, Slate, Meagher &amp; Flom LLP, counsel for the Underwriters, together with signed or reproduced copies of such letter for each of the other Underwriters in form and substance satisfactory to the Underwriters.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Representatives.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95" w:lineRule="exact"/>
        <w:rPr>
          <w:rFonts w:ascii="Arial" w:cs="Arial" w:eastAsia="Arial" w:hAnsi="Arial"/>
          <w:sz w:val="17"/>
          <w:szCs w:val="17"/>
          <w:color w:val="auto"/>
        </w:rPr>
      </w:pPr>
    </w:p>
    <w:p>
      <w:pPr>
        <w:jc w:val="both"/>
        <w:ind w:left="-20" w:firstLine="644"/>
        <w:spacing w:after="0" w:line="255" w:lineRule="auto"/>
        <w:tabs>
          <w:tab w:leader="none" w:pos="1333" w:val="left"/>
        </w:tabs>
        <w:numPr>
          <w:ilvl w:val="0"/>
          <w:numId w:val="170"/>
        </w:numPr>
        <w:rPr>
          <w:rFonts w:ascii="Arial" w:cs="Arial" w:eastAsia="Arial" w:hAnsi="Arial"/>
          <w:sz w:val="17"/>
          <w:szCs w:val="17"/>
          <w:color w:val="auto"/>
        </w:rPr>
      </w:pPr>
      <w:r>
        <w:rPr>
          <w:rFonts w:ascii="Arial" w:cs="Arial" w:eastAsia="Arial" w:hAnsi="Arial"/>
          <w:sz w:val="20"/>
          <w:szCs w:val="20"/>
          <w:i w:val="1"/>
          <w:iCs w:val="1"/>
          <w:color w:val="auto"/>
        </w:rPr>
        <w:t xml:space="preserve">Officers’ Certificate. </w:t>
      </w:r>
      <w:r>
        <w:rPr>
          <w:rFonts w:ascii="Arial" w:cs="Arial" w:eastAsia="Arial" w:hAnsi="Arial"/>
          <w:sz w:val="20"/>
          <w:szCs w:val="20"/>
          <w:color w:val="auto"/>
        </w:rPr>
        <w:t>At the Closing Time, there shall not have been, since the date hereof or since the respective</w:t>
      </w:r>
      <w:r>
        <w:rPr>
          <w:rFonts w:ascii="Arial" w:cs="Arial" w:eastAsia="Arial" w:hAnsi="Arial"/>
          <w:sz w:val="20"/>
          <w:szCs w:val="20"/>
          <w:i w:val="1"/>
          <w:iCs w:val="1"/>
          <w:color w:val="auto"/>
        </w:rPr>
        <w:t xml:space="preserve"> </w:t>
      </w:r>
      <w:r>
        <w:rPr>
          <w:rFonts w:ascii="Arial" w:cs="Arial" w:eastAsia="Arial" w:hAnsi="Arial"/>
          <w:sz w:val="20"/>
          <w:szCs w:val="20"/>
          <w:color w:val="auto"/>
        </w:rPr>
        <w:t>dates as of which information is given in the Registration Statement, the General Disclosure Package or the Prospectus, any material adverse change in the condition, financial or otherwise, or in the earnings or business affairs or business prospects of the New Fortress Energy Parties and their subsidiaries considered as one enterprise, whether or not arising in the ordinary course of business, and the Representatives shall have received a certificate of the Chief Executive Officer of the Company, in his capacity as such officer only, and of the chief financial or chief accounting officer of the Company, in their respective capacities as such officers only, dated the Closing Time, to the effect that (i) there has been no such material adverse change, (ii) the representations and warranties of the New Fortress Energy Parties in this Agreement are true and correct, in the case of representations and warranties which are qualified as to materiality, and true and correct in all material respects, in the case of representations and warranties that are not so qualified, with the same force and effect as though expressly made at and as of the Closing Time, (iii) the New Fortress Energy Parties have complied with all agreements and satisfied all conditions on their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threatened by the Commission.</w:t>
      </w:r>
    </w:p>
    <w:p>
      <w:pPr>
        <w:spacing w:after="0" w:line="198" w:lineRule="exact"/>
        <w:rPr>
          <w:rFonts w:ascii="Arial" w:cs="Arial" w:eastAsia="Arial" w:hAnsi="Arial"/>
          <w:sz w:val="17"/>
          <w:szCs w:val="17"/>
          <w:color w:val="auto"/>
        </w:rPr>
      </w:pPr>
    </w:p>
    <w:p>
      <w:pPr>
        <w:jc w:val="both"/>
        <w:ind w:left="-20" w:firstLine="644"/>
        <w:spacing w:after="0" w:line="280" w:lineRule="auto"/>
        <w:tabs>
          <w:tab w:leader="none" w:pos="1452" w:val="left"/>
        </w:tabs>
        <w:numPr>
          <w:ilvl w:val="0"/>
          <w:numId w:val="170"/>
        </w:numPr>
        <w:rPr>
          <w:rFonts w:ascii="Arial" w:cs="Arial" w:eastAsia="Arial" w:hAnsi="Arial"/>
          <w:sz w:val="16"/>
          <w:szCs w:val="16"/>
          <w:color w:val="auto"/>
        </w:rPr>
      </w:pPr>
      <w:r>
        <w:rPr>
          <w:rFonts w:ascii="Arial" w:cs="Arial" w:eastAsia="Arial" w:hAnsi="Arial"/>
          <w:sz w:val="19"/>
          <w:szCs w:val="19"/>
          <w:i w:val="1"/>
          <w:iCs w:val="1"/>
          <w:color w:val="auto"/>
        </w:rPr>
        <w:t xml:space="preserve">Accountant’s Comfort Letter. </w:t>
      </w:r>
      <w:r>
        <w:rPr>
          <w:rFonts w:ascii="Arial" w:cs="Arial" w:eastAsia="Arial" w:hAnsi="Arial"/>
          <w:sz w:val="19"/>
          <w:szCs w:val="19"/>
          <w:color w:val="auto"/>
        </w:rPr>
        <w:t>At the time of the execution of this Agreement, the Representatives shall have</w:t>
      </w:r>
      <w:r>
        <w:rPr>
          <w:rFonts w:ascii="Arial" w:cs="Arial" w:eastAsia="Arial" w:hAnsi="Arial"/>
          <w:sz w:val="19"/>
          <w:szCs w:val="19"/>
          <w:i w:val="1"/>
          <w:iCs w:val="1"/>
          <w:color w:val="auto"/>
        </w:rPr>
        <w:t xml:space="preserve"> </w:t>
      </w:r>
      <w:r>
        <w:rPr>
          <w:rFonts w:ascii="Arial" w:cs="Arial" w:eastAsia="Arial" w:hAnsi="Arial"/>
          <w:sz w:val="19"/>
          <w:szCs w:val="19"/>
          <w:color w:val="auto"/>
        </w:rPr>
        <w:t>received from Ernst &amp; Young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74" w:lineRule="exact"/>
        <w:rPr>
          <w:rFonts w:ascii="Arial" w:cs="Arial" w:eastAsia="Arial" w:hAnsi="Arial"/>
          <w:sz w:val="16"/>
          <w:szCs w:val="16"/>
          <w:color w:val="auto"/>
        </w:rPr>
      </w:pPr>
    </w:p>
    <w:p>
      <w:pPr>
        <w:jc w:val="both"/>
        <w:ind w:left="-20" w:firstLine="644"/>
        <w:spacing w:after="0" w:line="250" w:lineRule="auto"/>
        <w:tabs>
          <w:tab w:leader="none" w:pos="1383" w:val="left"/>
        </w:tabs>
        <w:numPr>
          <w:ilvl w:val="0"/>
          <w:numId w:val="170"/>
        </w:numPr>
        <w:rPr>
          <w:rFonts w:ascii="Arial" w:cs="Arial" w:eastAsia="Arial" w:hAnsi="Arial"/>
          <w:sz w:val="18"/>
          <w:szCs w:val="18"/>
          <w:color w:val="auto"/>
        </w:rPr>
      </w:pPr>
      <w:r>
        <w:rPr>
          <w:rFonts w:ascii="Arial" w:cs="Arial" w:eastAsia="Arial" w:hAnsi="Arial"/>
          <w:sz w:val="21"/>
          <w:szCs w:val="21"/>
          <w:i w:val="1"/>
          <w:iCs w:val="1"/>
          <w:color w:val="auto"/>
        </w:rPr>
        <w:t xml:space="preserve">Bring-down Comfort Letter. </w:t>
      </w:r>
      <w:r>
        <w:rPr>
          <w:rFonts w:ascii="Arial" w:cs="Arial" w:eastAsia="Arial" w:hAnsi="Arial"/>
          <w:sz w:val="21"/>
          <w:szCs w:val="21"/>
          <w:color w:val="auto"/>
        </w:rPr>
        <w:t>At the Closing Time, the Representatives shall have received from Ernst &amp; Young</w:t>
      </w:r>
      <w:r>
        <w:rPr>
          <w:rFonts w:ascii="Arial" w:cs="Arial" w:eastAsia="Arial" w:hAnsi="Arial"/>
          <w:sz w:val="21"/>
          <w:szCs w:val="21"/>
          <w:i w:val="1"/>
          <w:iCs w:val="1"/>
          <w:color w:val="auto"/>
        </w:rPr>
        <w:t xml:space="preserve"> </w:t>
      </w:r>
      <w:r>
        <w:rPr>
          <w:rFonts w:ascii="Arial" w:cs="Arial" w:eastAsia="Arial" w:hAnsi="Arial"/>
          <w:sz w:val="21"/>
          <w:szCs w:val="21"/>
          <w:color w:val="auto"/>
        </w:rPr>
        <w:t>LLP a letter, dated as of the Closing Time, to the effect that they reaffirm the statements made in the letter furnished pursuant to subsection (g) of this Section, except that the specified date referred to shall be a date not more than three business days prior to the Closing Time.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48260</wp:posOffset>
            </wp:positionV>
            <wp:extent cx="708660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7">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40"/>
          </w:cols>
          <w:pgMar w:left="540" w:top="0" w:right="560" w:bottom="1440" w:gutter="0" w:footer="0" w:header="0"/>
        </w:sectPr>
      </w:pPr>
    </w:p>
    <w:bookmarkStart w:id="210" w:name="page211"/>
    <w:bookmarkEnd w:id="210"/>
    <w:p>
      <w:pPr>
        <w:jc w:val="both"/>
        <w:ind w:left="-20" w:firstLine="644"/>
        <w:spacing w:after="0" w:line="261" w:lineRule="auto"/>
        <w:tabs>
          <w:tab w:leader="none" w:pos="157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Chief Financial Officer’s Certificate. </w:t>
      </w:r>
      <w:r>
        <w:rPr>
          <w:rFonts w:ascii="Arial" w:cs="Arial" w:eastAsia="Arial" w:hAnsi="Arial"/>
          <w:sz w:val="18"/>
          <w:szCs w:val="18"/>
          <w:color w:val="auto"/>
        </w:rPr>
        <w:t>At each of the date hereof and the Closing Time, the Representatives shall have received a</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the Chief Financial Officer of the Company, in his capacity as such officer only, dated the date hereof or the Closing Time, respectively, to the effect set forth in Exhibit E.</w:t>
      </w:r>
    </w:p>
    <w:p>
      <w:pPr>
        <w:spacing w:after="0" w:line="210" w:lineRule="exact"/>
        <w:rPr>
          <w:rFonts w:ascii="Arial" w:cs="Arial" w:eastAsia="Arial" w:hAnsi="Arial"/>
          <w:sz w:val="18"/>
          <w:szCs w:val="18"/>
          <w:color w:val="auto"/>
        </w:rPr>
      </w:pPr>
    </w:p>
    <w:p>
      <w:pPr>
        <w:ind w:left="-20" w:right="20" w:firstLine="644"/>
        <w:spacing w:after="0" w:line="274" w:lineRule="auto"/>
        <w:tabs>
          <w:tab w:leader="none" w:pos="1279" w:val="left"/>
        </w:tabs>
        <w:numPr>
          <w:ilvl w:val="0"/>
          <w:numId w:val="171"/>
        </w:numPr>
        <w:rPr>
          <w:rFonts w:ascii="Arial" w:cs="Arial" w:eastAsia="Arial" w:hAnsi="Arial"/>
          <w:sz w:val="18"/>
          <w:szCs w:val="18"/>
          <w:i w:val="1"/>
          <w:iCs w:val="1"/>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 At the Closing Time, the Securities shall have been approved for listing on the Nasdaq Global Select Market, subjec</w:t>
      </w:r>
      <w:r>
        <w:rPr>
          <w:rFonts w:ascii="Arial" w:cs="Arial" w:eastAsia="Arial" w:hAnsi="Arial"/>
          <w:sz w:val="18"/>
          <w:szCs w:val="18"/>
          <w:i w:val="1"/>
          <w:iCs w:val="1"/>
          <w:color w:val="auto"/>
        </w:rPr>
        <w:t xml:space="preserve"> </w:t>
      </w:r>
      <w:r>
        <w:rPr>
          <w:rFonts w:ascii="Arial" w:cs="Arial" w:eastAsia="Arial" w:hAnsi="Arial"/>
          <w:sz w:val="18"/>
          <w:szCs w:val="18"/>
          <w:color w:val="auto"/>
        </w:rPr>
        <w:t>only to official notice of issuance.</w:t>
      </w:r>
    </w:p>
    <w:p>
      <w:pPr>
        <w:spacing w:after="0" w:line="198" w:lineRule="exact"/>
        <w:rPr>
          <w:rFonts w:ascii="Arial" w:cs="Arial" w:eastAsia="Arial" w:hAnsi="Arial"/>
          <w:sz w:val="18"/>
          <w:szCs w:val="18"/>
          <w:i w:val="1"/>
          <w:iCs w:val="1"/>
          <w:color w:val="auto"/>
        </w:rPr>
      </w:pPr>
    </w:p>
    <w:p>
      <w:pPr>
        <w:ind w:left="-20" w:firstLine="644"/>
        <w:spacing w:after="0" w:line="274" w:lineRule="auto"/>
        <w:tabs>
          <w:tab w:leader="none" w:pos="1521" w:val="left"/>
        </w:tabs>
        <w:numPr>
          <w:ilvl w:val="0"/>
          <w:numId w:val="171"/>
        </w:numPr>
        <w:rPr>
          <w:rFonts w:ascii="Arial" w:cs="Arial" w:eastAsia="Arial" w:hAnsi="Arial"/>
          <w:sz w:val="18"/>
          <w:szCs w:val="18"/>
          <w:i w:val="1"/>
          <w:iCs w:val="1"/>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terms and arrangements relating to the offering of the Securities.</w:t>
      </w:r>
    </w:p>
    <w:p>
      <w:pPr>
        <w:spacing w:after="0" w:line="198" w:lineRule="exact"/>
        <w:rPr>
          <w:rFonts w:ascii="Arial" w:cs="Arial" w:eastAsia="Arial" w:hAnsi="Arial"/>
          <w:sz w:val="18"/>
          <w:szCs w:val="18"/>
          <w:i w:val="1"/>
          <w:iCs w:val="1"/>
          <w:color w:val="auto"/>
        </w:rPr>
      </w:pPr>
    </w:p>
    <w:p>
      <w:pPr>
        <w:ind w:left="-20" w:firstLine="644"/>
        <w:spacing w:after="0" w:line="274" w:lineRule="auto"/>
        <w:tabs>
          <w:tab w:leader="none" w:pos="1347" w:val="left"/>
        </w:tabs>
        <w:numPr>
          <w:ilvl w:val="0"/>
          <w:numId w:val="171"/>
        </w:numPr>
        <w:rPr>
          <w:rFonts w:ascii="Arial" w:cs="Arial" w:eastAsia="Arial" w:hAnsi="Arial"/>
          <w:sz w:val="18"/>
          <w:szCs w:val="18"/>
          <w:i w:val="1"/>
          <w:iCs w:val="1"/>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Representatives shall have received an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Exhibit B hereto signed by the persons listed on Schedule D hereto.</w:t>
      </w:r>
    </w:p>
    <w:p>
      <w:pPr>
        <w:spacing w:after="0" w:line="224" w:lineRule="exact"/>
        <w:rPr>
          <w:rFonts w:ascii="Arial" w:cs="Arial" w:eastAsia="Arial" w:hAnsi="Arial"/>
          <w:sz w:val="18"/>
          <w:szCs w:val="18"/>
          <w:i w:val="1"/>
          <w:iCs w:val="1"/>
          <w:color w:val="auto"/>
        </w:rPr>
      </w:pPr>
    </w:p>
    <w:p>
      <w:pPr>
        <w:jc w:val="both"/>
        <w:ind w:left="-20" w:firstLine="644"/>
        <w:spacing w:after="0" w:line="257" w:lineRule="auto"/>
        <w:tabs>
          <w:tab w:leader="none" w:pos="157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FinCEN Certificate. On or prior to the date of this Agreement, the Representatives shall have received a certificate satisfying the beneficial ownership due diligence requirements of the Financial Crimes Enforcement Network (“FinCEN”) from the Company, in form and substance satisfactory to the Representatives, along with such additional supporting documentation as the Representatives have requested in connection with the verification of the foregoing certificate.</w:t>
      </w:r>
    </w:p>
    <w:p>
      <w:pPr>
        <w:spacing w:after="0" w:line="213" w:lineRule="exact"/>
        <w:rPr>
          <w:rFonts w:ascii="Arial" w:cs="Arial" w:eastAsia="Arial" w:hAnsi="Arial"/>
          <w:sz w:val="18"/>
          <w:szCs w:val="18"/>
          <w:color w:val="auto"/>
        </w:rPr>
      </w:pPr>
    </w:p>
    <w:p>
      <w:pPr>
        <w:jc w:val="both"/>
        <w:ind w:left="-20" w:firstLine="644"/>
        <w:spacing w:after="0" w:line="277" w:lineRule="auto"/>
        <w:tabs>
          <w:tab w:leader="none" w:pos="1320" w:val="left"/>
        </w:tabs>
        <w:numPr>
          <w:ilvl w:val="0"/>
          <w:numId w:val="171"/>
        </w:numPr>
        <w:rPr>
          <w:rFonts w:ascii="Arial" w:cs="Arial" w:eastAsia="Arial" w:hAnsi="Arial"/>
          <w:sz w:val="17"/>
          <w:szCs w:val="17"/>
          <w:i w:val="1"/>
          <w:iCs w:val="1"/>
          <w:color w:val="auto"/>
        </w:rPr>
      </w:pPr>
      <w:r>
        <w:rPr>
          <w:rFonts w:ascii="Arial" w:cs="Arial" w:eastAsia="Arial" w:hAnsi="Arial"/>
          <w:sz w:val="17"/>
          <w:szCs w:val="17"/>
          <w:i w:val="1"/>
          <w:iCs w:val="1"/>
          <w:color w:val="auto"/>
        </w:rPr>
        <w:t>Conditions to Purchase of Option Securities</w:t>
      </w:r>
      <w:r>
        <w:rPr>
          <w:rFonts w:ascii="Arial" w:cs="Arial" w:eastAsia="Arial" w:hAnsi="Arial"/>
          <w:sz w:val="17"/>
          <w:szCs w:val="17"/>
          <w:color w:val="auto"/>
        </w:rPr>
        <w:t>. In the event that the Underwriters exercise their option provided in Section 2(b) hereof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all or any portion of the Option Securities, the representations and warranties of the New Fortress Energy Parties contained herein and the statements in any certificates furnished by the New Fortress Energy Parties and any of their subsidiaries hereunder shall be true and correct as of each Date of Delivery and, at the relevant Date of Delivery, the Representatives shall have received:</w:t>
      </w:r>
    </w:p>
    <w:p>
      <w:pPr>
        <w:spacing w:after="0" w:line="198" w:lineRule="exact"/>
        <w:rPr>
          <w:sz w:val="20"/>
          <w:szCs w:val="20"/>
          <w:color w:val="auto"/>
        </w:rPr>
      </w:pPr>
    </w:p>
    <w:p>
      <w:pPr>
        <w:jc w:val="both"/>
        <w:ind w:left="620" w:firstLine="64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dated such Date of Delivery, of the Chief Executive Officer of the Company and of the chief financial or chief accounting officer of the Company confirming that the certificate delivered at the Closing Time pursuant to Section 5(d) hereof remains true and correct as of such Date of Delivery.</w:t>
      </w:r>
    </w:p>
    <w:p>
      <w:pPr>
        <w:spacing w:after="0" w:line="210" w:lineRule="exact"/>
        <w:rPr>
          <w:sz w:val="20"/>
          <w:szCs w:val="20"/>
          <w:color w:val="auto"/>
        </w:rPr>
      </w:pPr>
    </w:p>
    <w:p>
      <w:pPr>
        <w:jc w:val="both"/>
        <w:ind w:left="620" w:firstLine="648"/>
        <w:spacing w:after="0" w:line="284" w:lineRule="auto"/>
        <w:tabs>
          <w:tab w:leader="none" w:pos="1929"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Opinion of Counsel for Company</w:t>
      </w:r>
      <w:r>
        <w:rPr>
          <w:rFonts w:ascii="Arial" w:cs="Arial" w:eastAsia="Arial" w:hAnsi="Arial"/>
          <w:sz w:val="17"/>
          <w:szCs w:val="17"/>
          <w:color w:val="auto"/>
        </w:rPr>
        <w:t>. If requested by the Representatives, the favorable opinion of Vinson &amp; Elkins L.L.P., counsel for the Company, in form and substance satisfactory to counsel for the Underwriters, dated such Date of Delivery, relating to the Option Securities to be purchased on such Date of Delivery and otherwise to the same effect as the opinion required by Section 5(b) hereof.</w:t>
      </w:r>
    </w:p>
    <w:p>
      <w:pPr>
        <w:spacing w:after="0" w:line="191" w:lineRule="exact"/>
        <w:rPr>
          <w:rFonts w:ascii="Arial" w:cs="Arial" w:eastAsia="Arial" w:hAnsi="Arial"/>
          <w:sz w:val="17"/>
          <w:szCs w:val="17"/>
          <w:color w:val="auto"/>
        </w:rPr>
      </w:pPr>
    </w:p>
    <w:p>
      <w:pPr>
        <w:jc w:val="both"/>
        <w:ind w:left="620" w:firstLine="648"/>
        <w:spacing w:after="0" w:line="261" w:lineRule="auto"/>
        <w:tabs>
          <w:tab w:leader="none" w:pos="2153"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Opinion of Counsel for Underwriters</w:t>
      </w:r>
      <w:r>
        <w:rPr>
          <w:rFonts w:ascii="Arial" w:cs="Arial" w:eastAsia="Arial" w:hAnsi="Arial"/>
          <w:sz w:val="18"/>
          <w:szCs w:val="18"/>
          <w:color w:val="auto"/>
        </w:rPr>
        <w:t>. If requested by the Representatives, the favorable opinion of Skadden, Arps, Slate Meagher &amp; Flom LLP, counsel for the Underwriters, dated such Date of Delivery, relating to the Option Securities to be purchased on such Date of Delivery and otherwise to the same effect as the opinion required by Section 5(c) hereof.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48260</wp:posOffset>
            </wp:positionV>
            <wp:extent cx="708660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8">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40"/>
          </w:cols>
          <w:pgMar w:left="540" w:top="12" w:right="560" w:bottom="1440" w:gutter="0" w:footer="0" w:header="0"/>
        </w:sectPr>
      </w:pPr>
    </w:p>
    <w:bookmarkStart w:id="211" w:name="page212"/>
    <w:bookmarkEnd w:id="211"/>
    <w:p>
      <w:pPr>
        <w:jc w:val="both"/>
        <w:ind w:left="620" w:firstLine="648"/>
        <w:spacing w:after="0" w:line="251" w:lineRule="auto"/>
        <w:tabs>
          <w:tab w:leader="none" w:pos="2116"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If requested by the Representatives, a letter from Ernst &amp; Young LLP, in form and substance satisfactory to the Representatives and dated such Date of Delivery, substantially in the same form and substance as the letter furnished to the Representatives pursuant to Section 5(f) hereof, except that the “specified date” in the letter furnished pursuant to this paragraph shall be a date no more than three business days prior to such Date of Delivery.</w:t>
      </w:r>
    </w:p>
    <w:p>
      <w:pPr>
        <w:spacing w:after="0" w:line="246" w:lineRule="exact"/>
        <w:rPr>
          <w:rFonts w:ascii="Arial" w:cs="Arial" w:eastAsia="Arial" w:hAnsi="Arial"/>
          <w:sz w:val="18"/>
          <w:szCs w:val="18"/>
          <w:color w:val="auto"/>
        </w:rPr>
      </w:pPr>
    </w:p>
    <w:p>
      <w:pPr>
        <w:ind w:left="620" w:firstLine="648"/>
        <w:spacing w:after="0" w:line="274" w:lineRule="auto"/>
        <w:tabs>
          <w:tab w:leader="none" w:pos="2130"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Chief Financial Officer’s Certificate.</w:t>
      </w:r>
      <w:r>
        <w:rPr>
          <w:rFonts w:ascii="Arial" w:cs="Arial" w:eastAsia="Arial" w:hAnsi="Arial"/>
          <w:sz w:val="18"/>
          <w:szCs w:val="18"/>
          <w:color w:val="auto"/>
        </w:rPr>
        <w:t xml:space="preserve"> If requested by the Representatives, a certificate of the Chief Financial Officer of the Company, in his capacity as such officer only, dated such Date of Delivery, to the effect set forth in Exhibit E.</w:t>
      </w:r>
    </w:p>
    <w:p>
      <w:pPr>
        <w:spacing w:after="0" w:line="198" w:lineRule="exact"/>
        <w:rPr>
          <w:rFonts w:ascii="Arial" w:cs="Arial" w:eastAsia="Arial" w:hAnsi="Arial"/>
          <w:sz w:val="18"/>
          <w:szCs w:val="18"/>
          <w:color w:val="auto"/>
        </w:rPr>
      </w:pPr>
    </w:p>
    <w:p>
      <w:pPr>
        <w:jc w:val="both"/>
        <w:ind w:left="-20" w:firstLine="644"/>
        <w:spacing w:after="0" w:line="255" w:lineRule="auto"/>
        <w:tabs>
          <w:tab w:leader="none" w:pos="1319" w:val="left"/>
        </w:tabs>
        <w:numPr>
          <w:ilvl w:val="0"/>
          <w:numId w:val="174"/>
        </w:numPr>
        <w:rPr>
          <w:rFonts w:ascii="Arial" w:cs="Arial" w:eastAsia="Arial" w:hAnsi="Arial"/>
          <w:sz w:val="18"/>
          <w:szCs w:val="18"/>
          <w:i w:val="1"/>
          <w:iCs w:val="1"/>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and at each Date of Delivery (if any) counsel for the Underwriters shall have been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documents and opinions as they may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Representatives and counsel for the Underwriters.</w:t>
      </w:r>
    </w:p>
    <w:p>
      <w:pPr>
        <w:spacing w:after="0" w:line="215" w:lineRule="exact"/>
        <w:rPr>
          <w:rFonts w:ascii="Arial" w:cs="Arial" w:eastAsia="Arial" w:hAnsi="Arial"/>
          <w:sz w:val="18"/>
          <w:szCs w:val="18"/>
          <w:i w:val="1"/>
          <w:iCs w:val="1"/>
          <w:color w:val="auto"/>
        </w:rPr>
      </w:pPr>
    </w:p>
    <w:p>
      <w:pPr>
        <w:jc w:val="both"/>
        <w:ind w:left="-20" w:firstLine="644"/>
        <w:spacing w:after="0" w:line="294" w:lineRule="auto"/>
        <w:tabs>
          <w:tab w:leader="none" w:pos="1279" w:val="left"/>
        </w:tabs>
        <w:numPr>
          <w:ilvl w:val="0"/>
          <w:numId w:val="174"/>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any condition specified in this Section shall not have been fulfilled when and as required to be fulfilled,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15, 16 and 17 shall survive any such termination and remain in full force and effect.</w:t>
      </w:r>
    </w:p>
    <w:p>
      <w:pPr>
        <w:spacing w:after="0" w:line="181"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20"/>
          <w:szCs w:val="20"/>
          <w:color w:val="auto"/>
        </w:rPr>
        <w:t>.</w:t>
      </w:r>
    </w:p>
    <w:p>
      <w:pPr>
        <w:spacing w:after="0" w:line="260" w:lineRule="exact"/>
        <w:rPr>
          <w:sz w:val="20"/>
          <w:szCs w:val="20"/>
          <w:color w:val="auto"/>
        </w:rPr>
      </w:pPr>
    </w:p>
    <w:p>
      <w:pPr>
        <w:jc w:val="both"/>
        <w:ind w:left="-20" w:firstLine="644"/>
        <w:spacing w:after="0" w:line="309" w:lineRule="auto"/>
        <w:tabs>
          <w:tab w:leader="none" w:pos="1386" w:val="left"/>
        </w:tabs>
        <w:numPr>
          <w:ilvl w:val="0"/>
          <w:numId w:val="175"/>
        </w:numPr>
        <w:rPr>
          <w:rFonts w:ascii="Arial" w:cs="Arial" w:eastAsia="Arial" w:hAnsi="Arial"/>
          <w:sz w:val="16"/>
          <w:szCs w:val="16"/>
          <w:i w:val="1"/>
          <w:iCs w:val="1"/>
          <w:color w:val="auto"/>
        </w:rPr>
      </w:pPr>
      <w:r>
        <w:rPr>
          <w:rFonts w:ascii="Arial" w:cs="Arial" w:eastAsia="Arial" w:hAnsi="Arial"/>
          <w:sz w:val="16"/>
          <w:szCs w:val="16"/>
          <w:i w:val="1"/>
          <w:iCs w:val="1"/>
          <w:color w:val="auto"/>
        </w:rPr>
        <w:t>Indemnification of Underwriters</w:t>
      </w:r>
      <w:r>
        <w:rPr>
          <w:rFonts w:ascii="Arial" w:cs="Arial" w:eastAsia="Arial" w:hAnsi="Arial"/>
          <w:sz w:val="16"/>
          <w:szCs w:val="16"/>
          <w:color w:val="auto"/>
        </w:rPr>
        <w:t>. Each New Fortress Energy Party, jointly and severally, agrees to indemnify and hold harmless each</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its affiliates (as such term is defined in Rule 405 under the 1933 Act (each, an “Affiliate”)), its selling agents, officers, directors, employees and each person, if any, who controls any Underwriter within the meaning of Section 15 of the 1933 Act or Section 20 of the 1934 Act as follows:</w:t>
      </w:r>
    </w:p>
    <w:p>
      <w:pPr>
        <w:spacing w:after="0" w:line="174" w:lineRule="exact"/>
        <w:rPr>
          <w:rFonts w:ascii="Arial" w:cs="Arial" w:eastAsia="Arial" w:hAnsi="Arial"/>
          <w:sz w:val="16"/>
          <w:szCs w:val="16"/>
          <w:i w:val="1"/>
          <w:iCs w:val="1"/>
          <w:color w:val="auto"/>
        </w:rPr>
      </w:pPr>
    </w:p>
    <w:p>
      <w:pPr>
        <w:jc w:val="both"/>
        <w:ind w:left="620" w:firstLine="648"/>
        <w:spacing w:after="0" w:line="265" w:lineRule="auto"/>
        <w:tabs>
          <w:tab w:leader="none" w:pos="2103" w:val="left"/>
        </w:tabs>
        <w:numPr>
          <w:ilvl w:val="1"/>
          <w:numId w:val="175"/>
        </w:numPr>
        <w:rPr>
          <w:rFonts w:ascii="Arial" w:cs="Arial" w:eastAsia="Arial" w:hAnsi="Arial"/>
          <w:sz w:val="17"/>
          <w:szCs w:val="17"/>
          <w:color w:val="auto"/>
        </w:rPr>
      </w:pPr>
      <w:r>
        <w:rPr>
          <w:rFonts w:ascii="Arial" w:cs="Arial" w:eastAsia="Arial" w:hAnsi="Arial"/>
          <w:sz w:val="17"/>
          <w:szCs w:val="17"/>
          <w:color w:val="auto"/>
        </w:rPr>
        <w:t xml:space="preserve">against any and all loss, liability, claim, damage and expense whatsoever, as incurred arising out of any untrue statement or alleged untrue statement of a material fact contained in the Registration Statement (or any amendment thereto), </w:t>
      </w:r>
      <w:r>
        <w:rPr>
          <w:rFonts w:ascii="Arial" w:cs="Arial" w:eastAsia="Arial" w:hAnsi="Arial"/>
          <w:sz w:val="20"/>
          <w:szCs w:val="20"/>
          <w:color w:val="auto"/>
        </w:rPr>
        <w:t>including the Rule 430A</w:t>
      </w:r>
      <w:r>
        <w:rPr>
          <w:rFonts w:ascii="Arial" w:cs="Arial" w:eastAsia="Arial" w:hAnsi="Arial"/>
          <w:sz w:val="17"/>
          <w:szCs w:val="17"/>
          <w:color w:val="auto"/>
        </w:rPr>
        <w:t xml:space="preserve"> </w:t>
      </w:r>
      <w:r>
        <w:rPr>
          <w:rFonts w:ascii="Arial" w:cs="Arial" w:eastAsia="Arial" w:hAnsi="Arial"/>
          <w:sz w:val="20"/>
          <w:szCs w:val="20"/>
          <w:color w:val="auto"/>
        </w:rPr>
        <w:t xml:space="preserve">Information, </w:t>
      </w:r>
      <w:r>
        <w:rPr>
          <w:rFonts w:ascii="Arial" w:cs="Arial" w:eastAsia="Arial" w:hAnsi="Arial"/>
          <w:sz w:val="16"/>
          <w:szCs w:val="16"/>
          <w:color w:val="auto"/>
        </w:rPr>
        <w:t>or the omission or alleged omission therefrom of a material fact required to be stated therein or necessary to make the statements</w:t>
      </w:r>
      <w:r>
        <w:rPr>
          <w:rFonts w:ascii="Arial" w:cs="Arial" w:eastAsia="Arial" w:hAnsi="Arial"/>
          <w:sz w:val="20"/>
          <w:szCs w:val="20"/>
          <w:color w:val="auto"/>
        </w:rPr>
        <w:t xml:space="preserve"> </w:t>
      </w:r>
      <w:r>
        <w:rPr>
          <w:rFonts w:ascii="Arial" w:cs="Arial" w:eastAsia="Arial" w:hAnsi="Arial"/>
          <w:sz w:val="16"/>
          <w:szCs w:val="16"/>
          <w:color w:val="auto"/>
        </w:rPr>
        <w:t>therein not misleading or arising out of any untrue statement or alleged untrue statement of a material fact included in any preliminary prospectus, any Issuer Free Writing Prospectus, the General Disclosure Package, any road show as defined in Rule 433(h) under the Securities Act (a “road show”) or the Prospectus (or any amendment or supplement thereto), or the omission or alleged omission of a material fact necessary in order to make the statements therein, in the light of the circumstances under which they were made, not misleading;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48260</wp:posOffset>
            </wp:positionV>
            <wp:extent cx="708660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40"/>
          </w:cols>
          <w:pgMar w:left="540" w:top="0" w:right="560" w:bottom="1440" w:gutter="0" w:footer="0" w:header="0"/>
        </w:sectPr>
      </w:pPr>
    </w:p>
    <w:bookmarkStart w:id="212" w:name="page213"/>
    <w:bookmarkEnd w:id="212"/>
    <w:p>
      <w:pPr>
        <w:jc w:val="both"/>
        <w:ind w:left="620" w:firstLine="648"/>
        <w:spacing w:after="0" w:line="255" w:lineRule="auto"/>
        <w:tabs>
          <w:tab w:leader="none" w:pos="212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settlement is effected with the written consent of the New Fortress Energy Parties, which consent shall not be unreasonably withheld, conditioned or delayed;</w:t>
      </w:r>
    </w:p>
    <w:p>
      <w:pPr>
        <w:spacing w:after="0" w:line="241" w:lineRule="exact"/>
        <w:rPr>
          <w:rFonts w:ascii="Arial" w:cs="Arial" w:eastAsia="Arial" w:hAnsi="Arial"/>
          <w:sz w:val="18"/>
          <w:szCs w:val="18"/>
          <w:color w:val="auto"/>
        </w:rPr>
      </w:pPr>
    </w:p>
    <w:p>
      <w:pPr>
        <w:jc w:val="both"/>
        <w:ind w:left="620" w:firstLine="648"/>
        <w:spacing w:after="0" w:line="299" w:lineRule="auto"/>
        <w:tabs>
          <w:tab w:leader="none" w:pos="208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reasonable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3" w:lineRule="exact"/>
        <w:rPr>
          <w:sz w:val="20"/>
          <w:szCs w:val="20"/>
          <w:color w:val="auto"/>
        </w:rPr>
      </w:pPr>
    </w:p>
    <w:p>
      <w:pPr>
        <w:ind w:left="620" w:right="80"/>
        <w:spacing w:after="0" w:line="29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indemnity provision shall not apply to any loss, liability, claim, damage or expense to the extent arising out of any untrue statement or omission or alleged untrue statement or omission made in the Registration Statement (or any amendment thereto), </w:t>
      </w:r>
      <w:r>
        <w:rPr>
          <w:rFonts w:ascii="Arial" w:cs="Arial" w:eastAsia="Arial" w:hAnsi="Arial"/>
          <w:sz w:val="19"/>
          <w:szCs w:val="19"/>
          <w:color w:val="auto"/>
        </w:rPr>
        <w:t>including</w:t>
      </w:r>
      <w:r>
        <w:rPr>
          <w:rFonts w:ascii="Arial" w:cs="Arial" w:eastAsia="Arial" w:hAnsi="Arial"/>
          <w:sz w:val="16"/>
          <w:szCs w:val="16"/>
          <w:color w:val="auto"/>
        </w:rPr>
        <w:t xml:space="preserve"> </w:t>
      </w:r>
      <w:r>
        <w:rPr>
          <w:rFonts w:ascii="Arial" w:cs="Arial" w:eastAsia="Arial" w:hAnsi="Arial"/>
          <w:sz w:val="19"/>
          <w:szCs w:val="19"/>
          <w:color w:val="auto"/>
        </w:rPr>
        <w:t xml:space="preserve">the Rule 430A Information, </w:t>
      </w:r>
      <w:r>
        <w:rPr>
          <w:rFonts w:ascii="Arial" w:cs="Arial" w:eastAsia="Arial" w:hAnsi="Arial"/>
          <w:sz w:val="15"/>
          <w:szCs w:val="15"/>
          <w:color w:val="auto"/>
        </w:rPr>
        <w:t>any Issuer Free Writing Prospectus, any preliminary prospectus, the General Disclosure Package, roadshow or</w:t>
      </w:r>
      <w:r>
        <w:rPr>
          <w:rFonts w:ascii="Arial" w:cs="Arial" w:eastAsia="Arial" w:hAnsi="Arial"/>
          <w:sz w:val="19"/>
          <w:szCs w:val="19"/>
          <w:color w:val="auto"/>
        </w:rPr>
        <w:t xml:space="preserve"> </w:t>
      </w:r>
      <w:r>
        <w:rPr>
          <w:rFonts w:ascii="Arial" w:cs="Arial" w:eastAsia="Arial" w:hAnsi="Arial"/>
          <w:sz w:val="15"/>
          <w:szCs w:val="15"/>
          <w:color w:val="auto"/>
        </w:rPr>
        <w:t>the Prospectus (or any amendment or supplement thereto) in reliance upon and in conformity with the Underwriter Information.</w:t>
      </w:r>
    </w:p>
    <w:p>
      <w:pPr>
        <w:spacing w:after="0" w:line="178" w:lineRule="exact"/>
        <w:rPr>
          <w:sz w:val="20"/>
          <w:szCs w:val="20"/>
          <w:color w:val="auto"/>
        </w:rPr>
      </w:pPr>
    </w:p>
    <w:p>
      <w:pPr>
        <w:jc w:val="both"/>
        <w:ind w:left="-20" w:firstLine="644"/>
        <w:spacing w:after="0" w:line="266" w:lineRule="auto"/>
        <w:tabs>
          <w:tab w:leader="none" w:pos="1454" w:val="left"/>
        </w:tabs>
        <w:numPr>
          <w:ilvl w:val="0"/>
          <w:numId w:val="177"/>
        </w:numPr>
        <w:rPr>
          <w:rFonts w:ascii="Arial" w:cs="Arial" w:eastAsia="Arial" w:hAnsi="Arial"/>
          <w:sz w:val="17"/>
          <w:szCs w:val="17"/>
          <w:i w:val="1"/>
          <w:iCs w:val="1"/>
          <w:color w:val="auto"/>
        </w:rPr>
      </w:pPr>
      <w:r>
        <w:rPr>
          <w:rFonts w:ascii="Arial" w:cs="Arial" w:eastAsia="Arial" w:hAnsi="Arial"/>
          <w:sz w:val="17"/>
          <w:szCs w:val="17"/>
          <w:i w:val="1"/>
          <w:iCs w:val="1"/>
          <w:color w:val="auto"/>
        </w:rPr>
        <w:t>Indemnification of New Fortress Energy Parties and Directors and Officers of the Company</w:t>
      </w:r>
      <w:r>
        <w:rPr>
          <w:rFonts w:ascii="Arial" w:cs="Arial" w:eastAsia="Arial" w:hAnsi="Arial"/>
          <w:sz w:val="17"/>
          <w:szCs w:val="17"/>
          <w:color w:val="auto"/>
        </w:rPr>
        <w:t>. Each Underwriter severally agrees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indemnify and hold harmless the New Fortress Energy Parties, each director of the Company and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w:t>
      </w:r>
      <w:r>
        <w:rPr>
          <w:rFonts w:ascii="Arial" w:cs="Arial" w:eastAsia="Arial" w:hAnsi="Arial"/>
          <w:sz w:val="20"/>
          <w:szCs w:val="20"/>
          <w:color w:val="auto"/>
        </w:rPr>
        <w:t>including the Rule</w:t>
      </w:r>
      <w:r>
        <w:rPr>
          <w:rFonts w:ascii="Arial" w:cs="Arial" w:eastAsia="Arial" w:hAnsi="Arial"/>
          <w:sz w:val="17"/>
          <w:szCs w:val="17"/>
          <w:color w:val="auto"/>
        </w:rPr>
        <w:t xml:space="preserve"> </w:t>
      </w:r>
      <w:r>
        <w:rPr>
          <w:rFonts w:ascii="Arial" w:cs="Arial" w:eastAsia="Arial" w:hAnsi="Arial"/>
          <w:sz w:val="20"/>
          <w:szCs w:val="20"/>
          <w:color w:val="auto"/>
        </w:rPr>
        <w:t xml:space="preserve">430A Information, </w:t>
      </w:r>
      <w:r>
        <w:rPr>
          <w:rFonts w:ascii="Arial" w:cs="Arial" w:eastAsia="Arial" w:hAnsi="Arial"/>
          <w:sz w:val="16"/>
          <w:szCs w:val="16"/>
          <w:color w:val="auto"/>
        </w:rPr>
        <w:t>any preliminary prospectus, the General Disclosure Package or the Prospectus (or any amendment or supplement thereto) or any</w:t>
      </w:r>
      <w:r>
        <w:rPr>
          <w:rFonts w:ascii="Arial" w:cs="Arial" w:eastAsia="Arial" w:hAnsi="Arial"/>
          <w:sz w:val="20"/>
          <w:szCs w:val="20"/>
          <w:color w:val="auto"/>
        </w:rPr>
        <w:t xml:space="preserve"> </w:t>
      </w:r>
      <w:r>
        <w:rPr>
          <w:rFonts w:ascii="Arial" w:cs="Arial" w:eastAsia="Arial" w:hAnsi="Arial"/>
          <w:sz w:val="16"/>
          <w:szCs w:val="16"/>
          <w:color w:val="auto"/>
        </w:rPr>
        <w:t>Issuer Free Writing Prospectus or roadshow in reliance upon and in conformity with the Underwriter Information.</w:t>
      </w:r>
    </w:p>
    <w:p>
      <w:pPr>
        <w:spacing w:after="0" w:line="204" w:lineRule="exact"/>
        <w:rPr>
          <w:rFonts w:ascii="Arial" w:cs="Arial" w:eastAsia="Arial" w:hAnsi="Arial"/>
          <w:sz w:val="17"/>
          <w:szCs w:val="17"/>
          <w:i w:val="1"/>
          <w:iCs w:val="1"/>
          <w:color w:val="auto"/>
        </w:rPr>
      </w:pPr>
    </w:p>
    <w:p>
      <w:pPr>
        <w:jc w:val="both"/>
        <w:ind w:left="-20" w:firstLine="644"/>
        <w:spacing w:after="0" w:line="282" w:lineRule="auto"/>
        <w:tabs>
          <w:tab w:leader="none" w:pos="1336" w:val="left"/>
        </w:tabs>
        <w:numPr>
          <w:ilvl w:val="0"/>
          <w:numId w:val="177"/>
        </w:numPr>
        <w:rPr>
          <w:rFonts w:ascii="Arial" w:cs="Arial" w:eastAsia="Arial" w:hAnsi="Arial"/>
          <w:sz w:val="16"/>
          <w:szCs w:val="16"/>
          <w:i w:val="1"/>
          <w:iCs w:val="1"/>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in writing as promptly as reasonably practicable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 shall not relieve it from any liability which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expenses of more than one separate counsel (other than local counsel), reasonably approved by the indemnifying party (or by the Representatives in the case of Section 6(c)), representing the indemnified parties who are parties to such action) or (ii) the indemnifying party shall not have employed counse reasonably satisfactory to the indemnified party to represent the indemnified party within a reasonable time after notice of commencement of the action, in each of which cases the fees and expenses of counsel shall be at the expense of the indemnifying party.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48260</wp:posOffset>
            </wp:positionV>
            <wp:extent cx="708660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40"/>
          </w:cols>
          <w:pgMar w:left="540" w:top="12" w:right="560" w:bottom="1440" w:gutter="0" w:footer="0" w:header="0"/>
        </w:sectPr>
      </w:pPr>
    </w:p>
    <w:bookmarkStart w:id="213" w:name="page214"/>
    <w:bookmarkEnd w:id="213"/>
    <w:p>
      <w:pPr>
        <w:jc w:val="both"/>
        <w:ind w:firstLine="644"/>
        <w:spacing w:after="0" w:line="254"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20"/>
          <w:szCs w:val="20"/>
          <w:u w:val="single" w:color="auto"/>
          <w:color w:val="auto"/>
        </w:rPr>
        <w:t>Contribution</w:t>
      </w:r>
      <w:r>
        <w:rPr>
          <w:rFonts w:ascii="Arial" w:cs="Arial" w:eastAsia="Arial" w:hAnsi="Arial"/>
          <w:sz w:val="20"/>
          <w:szCs w:val="20"/>
          <w:color w:val="auto"/>
        </w:rPr>
        <w:t>. If the indemnification provided for in Section 6 hereof is for any reason unavailable to or</w:t>
      </w:r>
      <w:r>
        <w:rPr>
          <w:rFonts w:ascii="Arial" w:cs="Arial" w:eastAsia="Arial" w:hAnsi="Arial"/>
          <w:sz w:val="17"/>
          <w:szCs w:val="17"/>
          <w:color w:val="auto"/>
        </w:rPr>
        <w:t xml:space="preserve"> </w:t>
      </w:r>
      <w:r>
        <w:rPr>
          <w:rFonts w:ascii="Arial" w:cs="Arial" w:eastAsia="Arial" w:hAnsi="Arial"/>
          <w:sz w:val="20"/>
          <w:szCs w:val="20"/>
          <w:color w:val="auto"/>
        </w:rPr>
        <w:t>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New Fortress Energy Parties,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New Fortress Energy Parties, on the one hand, and of the Underwriters, on the other hand, in connection with the statements or omissions, or in connection with any violation of the nature referred to in Section 6(e) hereof, which resulted in such losses, liabilities, claims, damages or expenses, as well as any other relevant equitable considerations.</w:t>
      </w:r>
    </w:p>
    <w:p>
      <w:pPr>
        <w:spacing w:after="0" w:line="208" w:lineRule="exact"/>
        <w:rPr>
          <w:sz w:val="20"/>
          <w:szCs w:val="20"/>
          <w:color w:val="auto"/>
        </w:rPr>
      </w:pPr>
    </w:p>
    <w:p>
      <w:pPr>
        <w:jc w:val="both"/>
        <w:ind w:firstLine="644"/>
        <w:spacing w:after="0" w:line="273" w:lineRule="auto"/>
        <w:rPr>
          <w:sz w:val="20"/>
          <w:szCs w:val="20"/>
          <w:color w:val="auto"/>
        </w:rPr>
      </w:pPr>
      <w:r>
        <w:rPr>
          <w:rFonts w:ascii="Arial" w:cs="Arial" w:eastAsia="Arial" w:hAnsi="Arial"/>
          <w:sz w:val="17"/>
          <w:szCs w:val="17"/>
          <w:color w:val="auto"/>
        </w:rPr>
        <w:t>The relative benefits received by the New Fortress Energy Parties,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New Fortress Energy Parties, on the one hand, and the total underwriting discount received by the Underwriters, on the other hand, in each case as set forth on the cover of the Prospectus, bear to the aggregate initia public offering price of the Securities as set forth on the cover of the Prospectus.</w:t>
      </w:r>
    </w:p>
    <w:p>
      <w:pPr>
        <w:spacing w:after="0" w:line="203" w:lineRule="exact"/>
        <w:rPr>
          <w:sz w:val="20"/>
          <w:szCs w:val="20"/>
          <w:color w:val="auto"/>
        </w:rPr>
      </w:pPr>
    </w:p>
    <w:p>
      <w:pPr>
        <w:jc w:val="both"/>
        <w:ind w:firstLine="644"/>
        <w:spacing w:after="0" w:line="277" w:lineRule="auto"/>
        <w:rPr>
          <w:sz w:val="20"/>
          <w:szCs w:val="20"/>
          <w:color w:val="auto"/>
        </w:rPr>
      </w:pPr>
      <w:r>
        <w:rPr>
          <w:rFonts w:ascii="Arial" w:cs="Arial" w:eastAsia="Arial" w:hAnsi="Arial"/>
          <w:sz w:val="17"/>
          <w:szCs w:val="17"/>
          <w:color w:val="auto"/>
        </w:rPr>
        <w:t>The relative fault of the New Fortress Energy Parties,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or any violation of the nature referred to in Section 6(e) hereof.</w:t>
      </w:r>
    </w:p>
    <w:p>
      <w:pPr>
        <w:spacing w:after="0" w:line="198" w:lineRule="exact"/>
        <w:rPr>
          <w:sz w:val="20"/>
          <w:szCs w:val="20"/>
          <w:color w:val="auto"/>
        </w:rPr>
      </w:pPr>
    </w:p>
    <w:p>
      <w:pPr>
        <w:jc w:val="both"/>
        <w:ind w:firstLine="644"/>
        <w:spacing w:after="0" w:line="291" w:lineRule="auto"/>
        <w:rPr>
          <w:sz w:val="20"/>
          <w:szCs w:val="20"/>
          <w:color w:val="auto"/>
        </w:rPr>
      </w:pPr>
      <w:r>
        <w:rPr>
          <w:rFonts w:ascii="Arial" w:cs="Arial" w:eastAsia="Arial" w:hAnsi="Arial"/>
          <w:sz w:val="16"/>
          <w:szCs w:val="16"/>
          <w:color w:val="auto"/>
        </w:rPr>
        <w:t>The New Fortress Energy Parties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91" w:lineRule="exact"/>
        <w:rPr>
          <w:sz w:val="20"/>
          <w:szCs w:val="20"/>
          <w:color w:val="auto"/>
        </w:rPr>
      </w:pPr>
    </w:p>
    <w:p>
      <w:pPr>
        <w:jc w:val="both"/>
        <w:ind w:firstLine="644"/>
        <w:spacing w:after="0" w:line="274" w:lineRule="auto"/>
        <w:rPr>
          <w:sz w:val="20"/>
          <w:szCs w:val="20"/>
          <w:color w:val="auto"/>
        </w:rPr>
      </w:pPr>
      <w:r>
        <w:rPr>
          <w:rFonts w:ascii="Arial" w:cs="Arial" w:eastAsia="Arial" w:hAnsi="Arial"/>
          <w:sz w:val="18"/>
          <w:szCs w:val="18"/>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98" w:lineRule="exact"/>
        <w:rPr>
          <w:sz w:val="20"/>
          <w:szCs w:val="20"/>
          <w:color w:val="auto"/>
        </w:rPr>
      </w:pPr>
    </w:p>
    <w:p>
      <w:pPr>
        <w:jc w:val="both"/>
        <w:ind w:firstLine="644"/>
        <w:spacing w:after="0" w:line="274"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98"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7"/>
          <w:szCs w:val="17"/>
          <w:color w:val="auto"/>
        </w:rPr>
        <w:t>For purposes of this Section 7, each person, if any, who controls an Underwriter within the meaning of Section 15 of the 1933 Act or Section 20 of the 1934 Act and each Underwriter’s Affiliates, officers, directors, employees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New Fortress Energy Parties. The Underwriters’ respective obligations to contribute pursuant to this Section 7 are several in proportion to the number of Securities set forth opposite their respective names in Schedule A hereto and not joint.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1">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214" w:name="page215"/>
    <w:bookmarkEnd w:id="214"/>
    <w:p>
      <w:pPr>
        <w:jc w:val="both"/>
        <w:ind w:firstLine="644"/>
        <w:spacing w:after="0" w:line="242"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21"/>
          <w:szCs w:val="21"/>
          <w:u w:val="single" w:color="auto"/>
          <w:color w:val="auto"/>
        </w:rPr>
        <w:t>Representations, Warranties and Agreements to Survive</w:t>
      </w:r>
      <w:r>
        <w:rPr>
          <w:rFonts w:ascii="Arial" w:cs="Arial" w:eastAsia="Arial" w:hAnsi="Arial"/>
          <w:sz w:val="21"/>
          <w:szCs w:val="21"/>
          <w:color w:val="auto"/>
        </w:rPr>
        <w:t>. All representations, warranties and agreements</w:t>
      </w:r>
      <w:r>
        <w:rPr>
          <w:rFonts w:ascii="Arial" w:cs="Arial" w:eastAsia="Arial" w:hAnsi="Arial"/>
          <w:sz w:val="18"/>
          <w:szCs w:val="18"/>
          <w:color w:val="auto"/>
        </w:rPr>
        <w:t xml:space="preserve"> </w:t>
      </w:r>
      <w:r>
        <w:rPr>
          <w:rFonts w:ascii="Arial" w:cs="Arial" w:eastAsia="Arial" w:hAnsi="Arial"/>
          <w:sz w:val="21"/>
          <w:szCs w:val="21"/>
          <w:color w:val="auto"/>
        </w:rPr>
        <w:t>contained in this Agreement or in 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any person controlling the Company and (ii) delivery of and payment for the Securities.</w:t>
      </w:r>
    </w:p>
    <w:p>
      <w:pPr>
        <w:spacing w:after="0" w:line="21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9"/>
          <w:szCs w:val="19"/>
          <w:u w:val="single" w:color="auto"/>
          <w:color w:val="auto"/>
        </w:rPr>
        <w:t>Termination of Agreement</w:t>
      </w:r>
      <w:r>
        <w:rPr>
          <w:rFonts w:ascii="Arial" w:cs="Arial" w:eastAsia="Arial" w:hAnsi="Arial"/>
          <w:sz w:val="19"/>
          <w:szCs w:val="19"/>
          <w:color w:val="auto"/>
        </w:rPr>
        <w:t>.</w:t>
      </w:r>
    </w:p>
    <w:p>
      <w:pPr>
        <w:spacing w:after="0" w:line="264" w:lineRule="exact"/>
        <w:rPr>
          <w:sz w:val="20"/>
          <w:szCs w:val="20"/>
          <w:color w:val="auto"/>
        </w:rPr>
      </w:pPr>
    </w:p>
    <w:p>
      <w:pPr>
        <w:jc w:val="both"/>
        <w:ind w:firstLine="644"/>
        <w:spacing w:after="0" w:line="269" w:lineRule="auto"/>
        <w:tabs>
          <w:tab w:leader="none" w:pos="1353" w:val="left"/>
        </w:tabs>
        <w:numPr>
          <w:ilvl w:val="0"/>
          <w:numId w:val="178"/>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w:t>
      </w:r>
      <w:r>
        <w:rPr>
          <w:rFonts w:ascii="Arial" w:cs="Arial" w:eastAsia="Arial" w:hAnsi="Arial"/>
          <w:sz w:val="19"/>
          <w:szCs w:val="19"/>
          <w:color w:val="auto"/>
        </w:rPr>
        <w:t>. The Representatives may terminate this Agreement, by notice to the Company, at any time at or prior</w:t>
      </w:r>
      <w:r>
        <w:rPr>
          <w:rFonts w:ascii="Arial" w:cs="Arial" w:eastAsia="Arial" w:hAnsi="Arial"/>
          <w:sz w:val="16"/>
          <w:szCs w:val="16"/>
          <w:i w:val="1"/>
          <w:iCs w:val="1"/>
          <w:color w:val="auto"/>
        </w:rPr>
        <w:t xml:space="preserve"> </w:t>
      </w:r>
      <w:r>
        <w:rPr>
          <w:rFonts w:ascii="Arial" w:cs="Arial" w:eastAsia="Arial" w:hAnsi="Arial"/>
          <w:sz w:val="19"/>
          <w:szCs w:val="19"/>
          <w:color w:val="auto"/>
        </w:rPr>
        <w:t>to the Closing 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New Fortress Energy Parties and their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NYSE Amex Equities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(vi) if a banking moratorium has been declared by either Federal or New York authorities.</w:t>
      </w:r>
    </w:p>
    <w:p>
      <w:pPr>
        <w:spacing w:after="0" w:line="186" w:lineRule="exact"/>
        <w:rPr>
          <w:rFonts w:ascii="Arial" w:cs="Arial" w:eastAsia="Arial" w:hAnsi="Arial"/>
          <w:sz w:val="16"/>
          <w:szCs w:val="16"/>
          <w:i w:val="1"/>
          <w:iCs w:val="1"/>
          <w:color w:val="auto"/>
        </w:rPr>
      </w:pPr>
    </w:p>
    <w:p>
      <w:pPr>
        <w:jc w:val="both"/>
        <w:ind w:firstLine="644"/>
        <w:spacing w:after="0" w:line="255" w:lineRule="auto"/>
        <w:tabs>
          <w:tab w:leader="none" w:pos="1406" w:val="left"/>
        </w:tabs>
        <w:numPr>
          <w:ilvl w:val="0"/>
          <w:numId w:val="178"/>
        </w:numPr>
        <w:rPr>
          <w:rFonts w:ascii="Arial" w:cs="Arial" w:eastAsia="Arial" w:hAnsi="Arial"/>
          <w:sz w:val="18"/>
          <w:szCs w:val="18"/>
          <w:i w:val="1"/>
          <w:iCs w:val="1"/>
          <w:color w:val="auto"/>
        </w:rPr>
      </w:pPr>
      <w:r>
        <w:rPr>
          <w:rFonts w:ascii="Arial" w:cs="Arial" w:eastAsia="Arial" w:hAnsi="Arial"/>
          <w:sz w:val="18"/>
          <w:szCs w:val="18"/>
          <w:i w:val="1"/>
          <w:iCs w:val="1"/>
          <w:color w:val="auto"/>
        </w:rPr>
        <w:t>Liabilities</w:t>
      </w:r>
      <w:r>
        <w:rPr>
          <w:rFonts w:ascii="Arial" w:cs="Arial" w:eastAsia="Arial" w:hAnsi="Arial"/>
          <w:sz w:val="21"/>
          <w:szCs w:val="21"/>
          <w:color w:val="auto"/>
        </w:rPr>
        <w:t>. If this Agreement is terminated pursuant to this Section, such termination shall be without liability of</w:t>
      </w:r>
      <w:r>
        <w:rPr>
          <w:rFonts w:ascii="Arial" w:cs="Arial" w:eastAsia="Arial" w:hAnsi="Arial"/>
          <w:sz w:val="18"/>
          <w:szCs w:val="18"/>
          <w:i w:val="1"/>
          <w:iCs w:val="1"/>
          <w:color w:val="auto"/>
        </w:rPr>
        <w:t xml:space="preserve"> </w:t>
      </w:r>
      <w:r>
        <w:rPr>
          <w:rFonts w:ascii="Arial" w:cs="Arial" w:eastAsia="Arial" w:hAnsi="Arial"/>
          <w:sz w:val="21"/>
          <w:szCs w:val="21"/>
          <w:color w:val="auto"/>
        </w:rPr>
        <w:t xml:space="preserve">any party to any other party except as provided in Section 4 hereof, and </w:t>
      </w:r>
      <w:r>
        <w:rPr>
          <w:rFonts w:ascii="Arial" w:cs="Arial" w:eastAsia="Arial" w:hAnsi="Arial"/>
          <w:sz w:val="17"/>
          <w:szCs w:val="17"/>
          <w:u w:val="single" w:color="auto"/>
          <w:color w:val="auto"/>
        </w:rPr>
        <w:t>provided further</w:t>
      </w:r>
      <w:r>
        <w:rPr>
          <w:rFonts w:ascii="Arial" w:cs="Arial" w:eastAsia="Arial" w:hAnsi="Arial"/>
          <w:sz w:val="21"/>
          <w:szCs w:val="21"/>
          <w:color w:val="auto"/>
        </w:rPr>
        <w:t xml:space="preserve"> that Sections 1, 6, 7, 8, 15, 16 and 17 shall survive such termination and remain in full force and effect.</w:t>
      </w:r>
    </w:p>
    <w:p>
      <w:pPr>
        <w:spacing w:after="0" w:line="196"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21"/>
          <w:szCs w:val="21"/>
          <w:u w:val="single" w:color="auto"/>
          <w:color w:val="auto"/>
        </w:rPr>
        <w:t>Default by One or More of the Underwriters</w:t>
      </w:r>
      <w:r>
        <w:rPr>
          <w:rFonts w:ascii="Arial" w:cs="Arial" w:eastAsia="Arial" w:hAnsi="Arial"/>
          <w:sz w:val="21"/>
          <w:szCs w:val="21"/>
          <w:color w:val="auto"/>
        </w:rPr>
        <w:t>. If one or more of the Underwriters shall fail at the Closing</w:t>
      </w:r>
      <w:r>
        <w:rPr>
          <w:rFonts w:ascii="Arial" w:cs="Arial" w:eastAsia="Arial" w:hAnsi="Arial"/>
          <w:sz w:val="18"/>
          <w:szCs w:val="18"/>
          <w:color w:val="auto"/>
        </w:rPr>
        <w:t xml:space="preserve"> </w:t>
      </w:r>
      <w:r>
        <w:rPr>
          <w:rFonts w:ascii="Arial" w:cs="Arial" w:eastAsia="Arial" w:hAnsi="Arial"/>
          <w:sz w:val="21"/>
          <w:szCs w:val="21"/>
          <w:color w:val="auto"/>
        </w:rPr>
        <w:t>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 hour period, then:</w:t>
      </w:r>
    </w:p>
    <w:p>
      <w:pPr>
        <w:spacing w:after="0" w:line="239" w:lineRule="exact"/>
        <w:rPr>
          <w:sz w:val="20"/>
          <w:szCs w:val="20"/>
          <w:color w:val="auto"/>
        </w:rPr>
      </w:pPr>
    </w:p>
    <w:p>
      <w:pPr>
        <w:jc w:val="both"/>
        <w:ind w:left="640" w:firstLine="648"/>
        <w:spacing w:after="0" w:line="284" w:lineRule="auto"/>
        <w:tabs>
          <w:tab w:leader="none" w:pos="198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2">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215" w:name="page216"/>
    <w:bookmarkEnd w:id="215"/>
    <w:p>
      <w:pPr>
        <w:jc w:val="both"/>
        <w:ind w:left="640" w:firstLine="648"/>
        <w:spacing w:after="0" w:line="257" w:lineRule="auto"/>
        <w:tabs>
          <w:tab w:leader="none" w:pos="210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of the Company to sell, the Option Securities to be purchased and sold on such Date of Delivery shall terminate without liability on the part of any non-defaulting Underwriter.</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49" w:lineRule="exact"/>
        <w:rPr>
          <w:sz w:val="20"/>
          <w:szCs w:val="20"/>
          <w:color w:val="auto"/>
        </w:rPr>
      </w:pPr>
    </w:p>
    <w:p>
      <w:pPr>
        <w:jc w:val="both"/>
        <w:ind w:firstLine="644"/>
        <w:spacing w:after="0" w:line="254" w:lineRule="auto"/>
        <w:rPr>
          <w:sz w:val="20"/>
          <w:szCs w:val="20"/>
          <w:color w:val="auto"/>
        </w:rPr>
      </w:pPr>
      <w:r>
        <w:rPr>
          <w:rFonts w:ascii="Arial" w:cs="Arial" w:eastAsia="Arial" w:hAnsi="Arial"/>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20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21"/>
          <w:szCs w:val="21"/>
          <w:u w:val="single" w:color="auto"/>
          <w:color w:val="auto"/>
        </w:rPr>
        <w:t>Default by the Company</w:t>
      </w:r>
      <w:r>
        <w:rPr>
          <w:rFonts w:ascii="Arial" w:cs="Arial" w:eastAsia="Arial" w:hAnsi="Arial"/>
          <w:sz w:val="21"/>
          <w:szCs w:val="21"/>
          <w:color w:val="auto"/>
        </w:rPr>
        <w:t>. If the Company shall fail at the Closing Time or a Date of Delivery, as the case</w:t>
      </w:r>
      <w:r>
        <w:rPr>
          <w:rFonts w:ascii="Arial" w:cs="Arial" w:eastAsia="Arial" w:hAnsi="Arial"/>
          <w:sz w:val="18"/>
          <w:szCs w:val="18"/>
          <w:color w:val="auto"/>
        </w:rPr>
        <w:t xml:space="preserve"> </w:t>
      </w:r>
      <w:r>
        <w:rPr>
          <w:rFonts w:ascii="Arial" w:cs="Arial" w:eastAsia="Arial" w:hAnsi="Arial"/>
          <w:sz w:val="21"/>
          <w:szCs w:val="21"/>
          <w:color w:val="auto"/>
        </w:rPr>
        <w:t>may be, to sell the number of Securities that it is obligated to sell hereunder, then this Agreement shall terminate without any liability on the part of any non-defaulting party; provided, however, that the provisions of Sections 1, 4, 6, 7, 8, 15, 16 and 17 shall remain in full force and effect. No action taken pursuant to this Section shall relieve the Company from liability, if any, in respect of such default.</w:t>
      </w:r>
    </w:p>
    <w:p>
      <w:pPr>
        <w:spacing w:after="0" w:line="206"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hereunder shall be in writing and shall be deemed to have</w:t>
      </w:r>
      <w:r>
        <w:rPr>
          <w:rFonts w:ascii="Arial" w:cs="Arial" w:eastAsia="Arial" w:hAnsi="Arial"/>
          <w:sz w:val="18"/>
          <w:szCs w:val="18"/>
          <w:color w:val="auto"/>
        </w:rPr>
        <w:t xml:space="preserve"> </w:t>
      </w:r>
      <w:r>
        <w:rPr>
          <w:rFonts w:ascii="Arial" w:cs="Arial" w:eastAsia="Arial" w:hAnsi="Arial"/>
          <w:sz w:val="21"/>
          <w:szCs w:val="21"/>
          <w:color w:val="auto"/>
        </w:rPr>
        <w:t>been duly given if mailed or transmitted by any standard form of telecommunication.</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Notices to the Underwriters shall be directed to:</w:t>
      </w:r>
    </w:p>
    <w:p>
      <w:pPr>
        <w:spacing w:after="0" w:line="24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Morgan Stanley &amp; Co. LLC</w:t>
      </w:r>
    </w:p>
    <w:p>
      <w:pPr>
        <w:spacing w:after="0" w:line="2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1585 Broadway</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10036</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Equity Syndicate Desk, with a copy to the Legal Department</w:t>
      </w:r>
    </w:p>
    <w:p>
      <w:pPr>
        <w:spacing w:after="0" w:line="23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Barclays Capital Inc.</w:t>
      </w:r>
    </w:p>
    <w:p>
      <w:pPr>
        <w:spacing w:after="0" w:line="2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745 Seventh Avenue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10019</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Syndicate Registration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3">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12" w:right="560" w:bottom="1440" w:gutter="0" w:footer="0" w:header="0"/>
        </w:sectPr>
      </w:pPr>
    </w:p>
    <w:bookmarkStart w:id="216" w:name="page217"/>
    <w:bookmarkEnd w:id="216"/>
    <w:p>
      <w:pPr>
        <w:ind w:left="1940"/>
        <w:spacing w:after="0"/>
        <w:rPr>
          <w:sz w:val="20"/>
          <w:szCs w:val="20"/>
          <w:color w:val="auto"/>
        </w:rPr>
      </w:pPr>
      <w:r>
        <w:rPr>
          <w:rFonts w:ascii="Arial" w:cs="Arial" w:eastAsia="Arial" w:hAnsi="Arial"/>
          <w:sz w:val="18"/>
          <w:szCs w:val="18"/>
          <w:color w:val="auto"/>
        </w:rPr>
        <w:t>Citigroup Global Markets Inc.</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388 Greenwich Street</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10013</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General Counsel</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number: 1-646-291-1469</w:t>
      </w:r>
    </w:p>
    <w:p>
      <w:pPr>
        <w:spacing w:after="0" w:line="23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Credit Suisse Securities (USA) LLC</w:t>
      </w:r>
    </w:p>
    <w:p>
      <w:pPr>
        <w:spacing w:after="0" w:line="2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Eleven Madison Avenue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10010-3629</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Attenion: LCD-IBD</w:t>
      </w:r>
    </w:p>
    <w:p>
      <w:pPr>
        <w:spacing w:after="0" w:line="234" w:lineRule="exact"/>
        <w:rPr>
          <w:sz w:val="20"/>
          <w:szCs w:val="20"/>
          <w:color w:val="auto"/>
        </w:rPr>
      </w:pPr>
    </w:p>
    <w:p>
      <w:pPr>
        <w:jc w:val="center"/>
        <w:ind w:right="5400"/>
        <w:spacing w:after="0"/>
        <w:rPr>
          <w:sz w:val="20"/>
          <w:szCs w:val="20"/>
          <w:color w:val="auto"/>
        </w:rPr>
      </w:pPr>
      <w:r>
        <w:rPr>
          <w:rFonts w:ascii="Arial" w:cs="Arial" w:eastAsia="Arial" w:hAnsi="Arial"/>
          <w:sz w:val="18"/>
          <w:szCs w:val="18"/>
          <w:color w:val="auto"/>
        </w:rPr>
        <w:t>Notices to the Company shall be directed to:</w:t>
      </w:r>
    </w:p>
    <w:p>
      <w:pPr>
        <w:spacing w:after="0" w:line="24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Fortress Energy LLC</w:t>
      </w:r>
    </w:p>
    <w:p>
      <w:pPr>
        <w:spacing w:after="0" w:line="2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111 W. 19th Street, 8th Floor</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10011</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Cameron D. MacDougall, Esq.</w:t>
      </w:r>
    </w:p>
    <w:p>
      <w:pPr>
        <w:spacing w:after="0" w:line="23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4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Vinson &amp; Elkins L.L.P.</w:t>
      </w:r>
    </w:p>
    <w:p>
      <w:pPr>
        <w:spacing w:after="0" w:line="2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1001 Fannin Street, Suite 2500</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Houston, Texas 77002</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David P. Oelman; E. Ramey Layne</w:t>
      </w:r>
    </w:p>
    <w:p>
      <w:pPr>
        <w:spacing w:after="0" w:line="227" w:lineRule="exact"/>
        <w:rPr>
          <w:sz w:val="20"/>
          <w:szCs w:val="20"/>
          <w:color w:val="auto"/>
        </w:rPr>
      </w:pPr>
    </w:p>
    <w:p>
      <w:pPr>
        <w:jc w:val="both"/>
        <w:ind w:firstLine="644"/>
        <w:spacing w:after="0" w:line="254"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20"/>
          <w:szCs w:val="20"/>
          <w:u w:val="single" w:color="auto"/>
          <w:color w:val="auto"/>
        </w:rPr>
        <w:t>No Advisory or Fiduciary Relationship</w:t>
      </w:r>
      <w:r>
        <w:rPr>
          <w:rFonts w:ascii="Arial" w:cs="Arial" w:eastAsia="Arial" w:hAnsi="Arial"/>
          <w:sz w:val="20"/>
          <w:szCs w:val="20"/>
          <w:color w:val="auto"/>
        </w:rPr>
        <w:t>. The New Fortress Energy Parties, severally and jointly,</w:t>
      </w:r>
      <w:r>
        <w:rPr>
          <w:rFonts w:ascii="Arial" w:cs="Arial" w:eastAsia="Arial" w:hAnsi="Arial"/>
          <w:sz w:val="17"/>
          <w:szCs w:val="17"/>
          <w:color w:val="auto"/>
        </w:rPr>
        <w:t xml:space="preserve"> </w:t>
      </w:r>
      <w:r>
        <w:rPr>
          <w:rFonts w:ascii="Arial" w:cs="Arial" w:eastAsia="Arial" w:hAnsi="Arial"/>
          <w:sz w:val="20"/>
          <w:szCs w:val="20"/>
          <w:color w:val="auto"/>
        </w:rPr>
        <w:t>acknowledge and agree that (a) the purchase and sale of the Securities pursuant to this Agreement, including the determination of the initial public offering price of the Securities and any related discounts and commissions, is an arm’s-length commercial transaction between the New Fortress Energy Parties, on the one hand, and the several Underwriters, on the other hand, (b) in connection with the offering of the Securities and the process leading thereto, each Underwriter is and has been acting solely as a principal and is not the agent or fiduciary of the New Fortress Energy Parties, any of their subsidiaries, or their respective shareholders, creditors, employees or any other party, (c) no Underwriter has assumed or will assume an advisory or fiduciary responsibility in favor of the New Fortress Energy Parties with respect to the offering of the Securities or the process leading thereto (irrespective of whether such Underwriter has advised or is currently advising either of the New Fortress Energy Parties or any of their subsidiaries on other matters) and no Underwriter has any obligation to the New Fortress Energy Parties with respect to the offering of the Securities except the obligations expressly set forth in this Agreement, (d) the Underwriters and their respective affiliates may be engaged in a broad range of transactions that involve interests that differ from those of the New Fortress Energy Parties, and (e) the Underwriters have not provided any legal, accounting, regulatory or tax advice with respect to the offering of the Securities and the New Fortress Energy Parties have consulted their own respective legal, accounting, regulatory and tax advisors to the extent they deemed appropriate. The New Fortress Energy Parties hereby waive any claims that the New Fortress Energy Parties may have against the Underwriters with respect to any breach of fiduciary duty in connection with the Securities.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4">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217" w:name="page218"/>
    <w:bookmarkEnd w:id="217"/>
    <w:p>
      <w:pPr>
        <w:jc w:val="both"/>
        <w:ind w:firstLine="644"/>
        <w:spacing w:after="0" w:line="269"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9"/>
          <w:szCs w:val="19"/>
          <w:u w:val="single" w:color="auto"/>
          <w:color w:val="auto"/>
        </w:rPr>
        <w:t>Parties</w:t>
      </w:r>
      <w:r>
        <w:rPr>
          <w:rFonts w:ascii="Arial" w:cs="Arial" w:eastAsia="Arial" w:hAnsi="Arial"/>
          <w:sz w:val="19"/>
          <w:szCs w:val="19"/>
          <w:color w:val="auto"/>
        </w:rPr>
        <w:t>. This Agreement shall each inure to the benefit of and be binding upon the Underwriters and the</w:t>
      </w:r>
      <w:r>
        <w:rPr>
          <w:rFonts w:ascii="Arial" w:cs="Arial" w:eastAsia="Arial" w:hAnsi="Arial"/>
          <w:sz w:val="16"/>
          <w:szCs w:val="16"/>
          <w:color w:val="auto"/>
        </w:rPr>
        <w:t xml:space="preserve"> </w:t>
      </w:r>
      <w:r>
        <w:rPr>
          <w:rFonts w:ascii="Arial" w:cs="Arial" w:eastAsia="Arial" w:hAnsi="Arial"/>
          <w:sz w:val="19"/>
          <w:szCs w:val="19"/>
          <w:color w:val="auto"/>
        </w:rPr>
        <w:t>New Fortress Energy Parties and their respective successors. Nothing expressed or mentioned in this Agreement is intended or shall be construed to give any person, firm or corporation, other than the Underwriters and the New Fortress Energy Parties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New Fortress Energy Parties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89"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21"/>
          <w:szCs w:val="21"/>
          <w:u w:val="single" w:color="auto"/>
          <w:color w:val="auto"/>
        </w:rPr>
        <w:t>TRIAL BY JURY</w:t>
      </w:r>
      <w:r>
        <w:rPr>
          <w:rFonts w:ascii="Arial" w:cs="Arial" w:eastAsia="Arial" w:hAnsi="Arial"/>
          <w:sz w:val="21"/>
          <w:szCs w:val="21"/>
          <w:color w:val="auto"/>
        </w:rPr>
        <w:t>. THE COMPANY (ON ITS BEHALF AND, TO THE EXTENT PERMITTED BY</w:t>
      </w:r>
      <w:r>
        <w:rPr>
          <w:rFonts w:ascii="Arial" w:cs="Arial" w:eastAsia="Arial" w:hAnsi="Arial"/>
          <w:sz w:val="18"/>
          <w:szCs w:val="18"/>
          <w:color w:val="auto"/>
        </w:rPr>
        <w:t xml:space="preserve"> </w:t>
      </w:r>
      <w:r>
        <w:rPr>
          <w:rFonts w:ascii="Arial" w:cs="Arial" w:eastAsia="Arial" w:hAnsi="Arial"/>
          <w:sz w:val="21"/>
          <w:szCs w:val="21"/>
          <w:color w:val="auto"/>
        </w:rPr>
        <w:t>APPLICABLE LAW, ON BEHALF OF ITS SHAREHOLDERS AND AFFILIATES), NFI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06" w:lineRule="exact"/>
        <w:rPr>
          <w:sz w:val="20"/>
          <w:szCs w:val="20"/>
          <w:color w:val="auto"/>
        </w:rPr>
      </w:pPr>
    </w:p>
    <w:p>
      <w:pPr>
        <w:jc w:val="both"/>
        <w:ind w:firstLine="644"/>
        <w:spacing w:after="0" w:line="250"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ANY CLAIM, CONTROVERSY OR DISPUTE</w:t>
      </w:r>
      <w:r>
        <w:rPr>
          <w:rFonts w:ascii="Arial" w:cs="Arial" w:eastAsia="Arial" w:hAnsi="Arial"/>
          <w:sz w:val="18"/>
          <w:szCs w:val="18"/>
          <w:color w:val="auto"/>
        </w:rPr>
        <w:t xml:space="preserve"> </w:t>
      </w:r>
      <w:r>
        <w:rPr>
          <w:rFonts w:ascii="Arial" w:cs="Arial" w:eastAsia="Arial" w:hAnsi="Arial"/>
          <w:sz w:val="21"/>
          <w:szCs w:val="21"/>
          <w:color w:val="auto"/>
        </w:rPr>
        <w:t>ARISING UNDER OR RELATED TO THIS AGREEMENT SHALL BE GOVERNED BY, AND CONSTRUED IN ACCORDANCE WITH THE LAWS OF, THE STATE OF NEW YORK WITHOUT REGARD TO ITS CHOICE OF LAW PROVISIONS.</w:t>
      </w:r>
    </w:p>
    <w:p>
      <w:pPr>
        <w:spacing w:after="0" w:line="201" w:lineRule="exact"/>
        <w:rPr>
          <w:sz w:val="20"/>
          <w:szCs w:val="20"/>
          <w:color w:val="auto"/>
        </w:rPr>
      </w:pPr>
    </w:p>
    <w:p>
      <w:pPr>
        <w:jc w:val="both"/>
        <w:ind w:firstLine="644"/>
        <w:spacing w:after="0" w:line="256"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20"/>
          <w:szCs w:val="20"/>
          <w:u w:val="single" w:color="auto"/>
          <w:color w:val="auto"/>
        </w:rPr>
        <w:t>Consent to Jurisdiction; Waiver of Immunity</w:t>
      </w:r>
      <w:r>
        <w:rPr>
          <w:rFonts w:ascii="Arial" w:cs="Arial" w:eastAsia="Arial" w:hAnsi="Arial"/>
          <w:sz w:val="20"/>
          <w:szCs w:val="20"/>
          <w:color w:val="auto"/>
        </w:rPr>
        <w:t>. Any legal suit, action or proceeding arising out of or based</w:t>
      </w:r>
      <w:r>
        <w:rPr>
          <w:rFonts w:ascii="Arial" w:cs="Arial" w:eastAsia="Arial" w:hAnsi="Arial"/>
          <w:sz w:val="17"/>
          <w:szCs w:val="17"/>
          <w:color w:val="auto"/>
        </w:rPr>
        <w:t xml:space="preserve"> </w:t>
      </w:r>
      <w:r>
        <w:rPr>
          <w:rFonts w:ascii="Arial" w:cs="Arial" w:eastAsia="Arial" w:hAnsi="Arial"/>
          <w:sz w:val="20"/>
          <w:szCs w:val="20"/>
          <w:color w:val="auto"/>
        </w:rPr>
        <w:t>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99"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21"/>
          <w:szCs w:val="21"/>
          <w:u w:val="single" w:color="auto"/>
          <w:color w:val="auto"/>
        </w:rPr>
        <w:t>TIME</w:t>
      </w:r>
      <w:r>
        <w:rPr>
          <w:rFonts w:ascii="Arial" w:cs="Arial" w:eastAsia="Arial" w:hAnsi="Arial"/>
          <w:sz w:val="21"/>
          <w:szCs w:val="21"/>
          <w:color w:val="auto"/>
        </w:rPr>
        <w:t>. TIME SHALL BE OF THE ESSENCE OF THIS AGREEMENT. EXCEPT AS OTHERWISE</w:t>
      </w:r>
      <w:r>
        <w:rPr>
          <w:rFonts w:ascii="Arial" w:cs="Arial" w:eastAsia="Arial" w:hAnsi="Arial"/>
          <w:sz w:val="18"/>
          <w:szCs w:val="18"/>
          <w:color w:val="auto"/>
        </w:rPr>
        <w:t xml:space="preserve"> </w:t>
      </w:r>
      <w:r>
        <w:rPr>
          <w:rFonts w:ascii="Arial" w:cs="Arial" w:eastAsia="Arial" w:hAnsi="Arial"/>
          <w:sz w:val="21"/>
          <w:szCs w:val="21"/>
          <w:color w:val="auto"/>
        </w:rPr>
        <w:t>SET FORTH HEREIN, SPECIFIED TIMES OF DAY REFER TO NEW YORK CITY TIME.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5">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218" w:name="page219"/>
    <w:bookmarkEnd w:id="218"/>
    <w:p>
      <w:pPr>
        <w:ind w:firstLine="644"/>
        <w:spacing w:after="0" w:line="250"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any number of counterparts, each of which shall be</w:t>
      </w:r>
      <w:r>
        <w:rPr>
          <w:rFonts w:ascii="Arial" w:cs="Arial" w:eastAsia="Arial" w:hAnsi="Arial"/>
          <w:sz w:val="18"/>
          <w:szCs w:val="18"/>
          <w:color w:val="auto"/>
        </w:rPr>
        <w:t xml:space="preserve"> </w:t>
      </w:r>
      <w:r>
        <w:rPr>
          <w:rFonts w:ascii="Arial" w:cs="Arial" w:eastAsia="Arial" w:hAnsi="Arial"/>
          <w:sz w:val="21"/>
          <w:szCs w:val="21"/>
          <w:color w:val="auto"/>
        </w:rPr>
        <w:t>deemed to be an original, but all such counterparts shall together constitute one and the same Agreement.</w:t>
      </w:r>
    </w:p>
    <w:p>
      <w:pPr>
        <w:spacing w:after="0" w:line="200"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21"/>
          <w:szCs w:val="21"/>
          <w:u w:val="single" w:color="auto"/>
          <w:color w:val="auto"/>
        </w:rPr>
        <w:t>Effect of Headings</w:t>
      </w:r>
      <w:r>
        <w:rPr>
          <w:rFonts w:ascii="Arial" w:cs="Arial" w:eastAsia="Arial" w:hAnsi="Arial"/>
          <w:sz w:val="21"/>
          <w:szCs w:val="21"/>
          <w:color w:val="auto"/>
        </w:rPr>
        <w:t>. The Section headings herein are for convenience only and shall not affect the</w:t>
      </w:r>
      <w:r>
        <w:rPr>
          <w:rFonts w:ascii="Arial" w:cs="Arial" w:eastAsia="Arial" w:hAnsi="Arial"/>
          <w:sz w:val="18"/>
          <w:szCs w:val="18"/>
          <w:color w:val="auto"/>
        </w:rPr>
        <w:t xml:space="preserve"> </w:t>
      </w:r>
      <w:r>
        <w:rPr>
          <w:rFonts w:ascii="Arial" w:cs="Arial" w:eastAsia="Arial" w:hAnsi="Arial"/>
          <w:sz w:val="21"/>
          <w:szCs w:val="21"/>
          <w:color w:val="auto"/>
        </w:rPr>
        <w:t>construction hereof.</w:t>
      </w:r>
    </w:p>
    <w:p>
      <w:pPr>
        <w:spacing w:after="0" w:line="213"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Recognition of the U.S. Special Resolutions Regimes</w:t>
      </w:r>
      <w:r>
        <w:rPr>
          <w:rFonts w:ascii="Arial" w:cs="Arial" w:eastAsia="Arial" w:hAnsi="Arial"/>
          <w:sz w:val="16"/>
          <w:szCs w:val="16"/>
          <w:color w:val="auto"/>
        </w:rPr>
        <w:t>.</w:t>
      </w:r>
    </w:p>
    <w:p>
      <w:pPr>
        <w:spacing w:after="0" w:line="276" w:lineRule="exact"/>
        <w:rPr>
          <w:sz w:val="20"/>
          <w:szCs w:val="20"/>
          <w:color w:val="auto"/>
        </w:rPr>
      </w:pPr>
    </w:p>
    <w:p>
      <w:pPr>
        <w:jc w:val="both"/>
        <w:ind w:firstLine="644"/>
        <w:spacing w:after="0" w:line="294" w:lineRule="auto"/>
        <w:tabs>
          <w:tab w:leader="none" w:pos="151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 the event that any Underwriter that is a Covered Entity (as defined below) becomes subject to a proceeding under (i) the Federal Deposit Insurance Act and the regulations promulgated thereunder or (ii) Title II of the Dodd-Frank Wall Street Reform and Consumer Protection Act and the regulations promulgated thereunder (each, a “U.S. Special Resolution Regime”), the transfer from such Underwriter of this Agreement, and any interest and obligation in or under this Agreement, will be effective to the same extent as the transfer would be effective under the applicable U.S. Specia Resolution Regime if this Agreement, and any such interest and obligation, were governed by the laws of the United States or a state of the United States.</w:t>
      </w:r>
    </w:p>
    <w:p>
      <w:pPr>
        <w:spacing w:after="0" w:line="214" w:lineRule="exact"/>
        <w:rPr>
          <w:rFonts w:ascii="Arial" w:cs="Arial" w:eastAsia="Arial" w:hAnsi="Arial"/>
          <w:sz w:val="16"/>
          <w:szCs w:val="16"/>
          <w:color w:val="auto"/>
        </w:rPr>
      </w:pPr>
    </w:p>
    <w:p>
      <w:pPr>
        <w:jc w:val="both"/>
        <w:ind w:firstLine="644"/>
        <w:spacing w:after="0" w:line="257" w:lineRule="auto"/>
        <w:tabs>
          <w:tab w:leader="none" w:pos="153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 such Underwriter are permitted to be exercised to no greater extent than such Default Rights could be exercised under the U.S. Special Resolution Regime if this Agreement were governed by the laws of the United States or a state of the United States</w:t>
      </w:r>
      <w:r>
        <w:rPr>
          <w:rFonts w:ascii="Arial" w:cs="Arial" w:eastAsia="Arial" w:hAnsi="Arial"/>
          <w:sz w:val="18"/>
          <w:szCs w:val="18"/>
          <w:i w:val="1"/>
          <w:iCs w:val="1"/>
          <w:color w:val="auto"/>
        </w:rPr>
        <w:t>.</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this Section 21:</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“BHC Act Affiliate” of a party means an “affiliate” (as such term is defined under, and interpreted in accordance with, 12 U.S.C. 1841(k)) of such</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“Covered Entity” means any of the following:</w:t>
      </w:r>
    </w:p>
    <w:p>
      <w:pPr>
        <w:spacing w:after="0" w:line="249" w:lineRule="exact"/>
        <w:rPr>
          <w:sz w:val="20"/>
          <w:szCs w:val="20"/>
          <w:color w:val="auto"/>
        </w:rPr>
      </w:pPr>
    </w:p>
    <w:p>
      <w:pPr>
        <w:ind w:left="1440" w:hanging="635"/>
        <w:spacing w:after="0"/>
        <w:tabs>
          <w:tab w:leader="none" w:pos="14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49" w:lineRule="exact"/>
        <w:rPr>
          <w:rFonts w:ascii="Arial" w:cs="Arial" w:eastAsia="Arial" w:hAnsi="Arial"/>
          <w:sz w:val="18"/>
          <w:szCs w:val="18"/>
          <w:color w:val="auto"/>
        </w:rPr>
      </w:pPr>
    </w:p>
    <w:p>
      <w:pPr>
        <w:ind w:left="1440" w:hanging="635"/>
        <w:spacing w:after="0"/>
        <w:tabs>
          <w:tab w:leader="none" w:pos="14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49" w:lineRule="exact"/>
        <w:rPr>
          <w:rFonts w:ascii="Arial" w:cs="Arial" w:eastAsia="Arial" w:hAnsi="Arial"/>
          <w:sz w:val="18"/>
          <w:szCs w:val="18"/>
          <w:color w:val="auto"/>
        </w:rPr>
      </w:pPr>
    </w:p>
    <w:p>
      <w:pPr>
        <w:ind w:left="1440" w:hanging="635"/>
        <w:spacing w:after="0"/>
        <w:tabs>
          <w:tab w:leader="none" w:pos="14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49" w:lineRule="exact"/>
        <w:rPr>
          <w:sz w:val="20"/>
          <w:szCs w:val="20"/>
          <w:color w:val="auto"/>
        </w:rPr>
      </w:pPr>
    </w:p>
    <w:p>
      <w:pPr>
        <w:ind w:firstLine="644"/>
        <w:spacing w:after="0" w:line="274"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6">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219" w:name="page220"/>
    <w:bookmarkEnd w:id="219"/>
    <w:p>
      <w:pPr>
        <w:jc w:val="both"/>
        <w:ind w:firstLine="644"/>
        <w:spacing w:after="0" w:line="253"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 counterpart hereof, whereupon this instrument, along with all counterparts, will become a binding agreement among the Underwriters and the New Fortress Energy Parties in accordance with its terms.</w:t>
      </w: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Very truly yours,</w:t>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NEW FORTRESS ENERGY LLC</w:t>
      </w: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22225</wp:posOffset>
            </wp:positionV>
            <wp:extent cx="310007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7">
                      <a:extLst>
                        <a:ext uri="{28A0092B-C50C-407E-A947-70E740481C1C}"/>
                      </a:extLst>
                    </a:blip>
                    <a:srcRect/>
                    <a:stretch>
                      <a:fillRect/>
                    </a:stretch>
                  </pic:blipFill>
                  <pic:spPr bwMode="auto">
                    <a:xfrm>
                      <a:off x="0" y="0"/>
                      <a:ext cx="3100070" cy="17145"/>
                    </a:xfrm>
                    <a:prstGeom prst="rect">
                      <a:avLst/>
                    </a:prstGeom>
                    <a:noFill/>
                  </pic:spPr>
                </pic:pic>
              </a:graphicData>
            </a:graphic>
          </wp:anchor>
        </w:drawing>
      </w:r>
    </w:p>
    <w:p>
      <w:pPr>
        <w:spacing w:after="0" w:line="2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NEW FORTRESS INTERMEDIATE, LLC</w:t>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New Fortress Energy LLC, its sole member</w:t>
      </w: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22225</wp:posOffset>
            </wp:positionV>
            <wp:extent cx="310007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8">
                      <a:extLst>
                        <a:ext uri="{28A0092B-C50C-407E-A947-70E740481C1C}"/>
                      </a:extLst>
                    </a:blip>
                    <a:srcRect/>
                    <a:stretch>
                      <a:fillRect/>
                    </a:stretch>
                  </pic:blipFill>
                  <pic:spPr bwMode="auto">
                    <a:xfrm>
                      <a:off x="0" y="0"/>
                      <a:ext cx="3100070" cy="17145"/>
                    </a:xfrm>
                    <a:prstGeom prst="rect">
                      <a:avLst/>
                    </a:prstGeom>
                    <a:noFill/>
                  </pic:spPr>
                </pic:pic>
              </a:graphicData>
            </a:graphic>
          </wp:anchor>
        </w:drawing>
      </w:r>
    </w:p>
    <w:p>
      <w:pPr>
        <w:spacing w:after="0" w:line="2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08660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t>CONFIRMED AND ACCEPTED,</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the date first above written: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-130175</wp:posOffset>
            </wp:positionV>
            <wp:extent cx="170370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0">
                      <a:extLst>
                        <a:ext uri="{28A0092B-C50C-407E-A947-70E740481C1C}"/>
                      </a:extLst>
                    </a:blip>
                    <a:srcRect/>
                    <a:stretch>
                      <a:fillRect/>
                    </a:stretch>
                  </pic:blipFill>
                  <pic:spPr bwMode="auto">
                    <a:xfrm>
                      <a:off x="0" y="0"/>
                      <a:ext cx="1703705"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-130175</wp:posOffset>
            </wp:positionV>
            <wp:extent cx="170370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1">
                      <a:extLst>
                        <a:ext uri="{28A0092B-C50C-407E-A947-70E740481C1C}"/>
                      </a:extLst>
                    </a:blip>
                    <a:srcRect/>
                    <a:stretch>
                      <a:fillRect/>
                    </a:stretch>
                  </pic:blipFill>
                  <pic:spPr bwMode="auto">
                    <a:xfrm>
                      <a:off x="0" y="0"/>
                      <a:ext cx="1703705"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-130175</wp:posOffset>
            </wp:positionV>
            <wp:extent cx="170370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2">
                      <a:extLst>
                        <a:ext uri="{28A0092B-C50C-407E-A947-70E740481C1C}"/>
                      </a:extLst>
                    </a:blip>
                    <a:srcRect/>
                    <a:stretch>
                      <a:fillRect/>
                    </a:stretch>
                  </pic:blipFill>
                  <pic:spPr bwMode="auto">
                    <a:xfrm>
                      <a:off x="0" y="0"/>
                      <a:ext cx="1703705"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-130175</wp:posOffset>
            </wp:positionV>
            <wp:extent cx="170370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3">
                      <a:extLst>
                        <a:ext uri="{28A0092B-C50C-407E-A947-70E740481C1C}"/>
                      </a:extLst>
                    </a:blip>
                    <a:srcRect/>
                    <a:stretch>
                      <a:fillRect/>
                    </a:stretch>
                  </pic:blipFill>
                  <pic:spPr bwMode="auto">
                    <a:xfrm>
                      <a:off x="0" y="0"/>
                      <a:ext cx="1703705"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several other Underwriters named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 Schedule A hereto.</w:t>
      </w:r>
    </w:p>
    <w:p>
      <w:pPr>
        <w:spacing w:after="0" w:line="227" w:lineRule="exact"/>
        <w:rPr>
          <w:sz w:val="20"/>
          <w:szCs w:val="20"/>
          <w:color w:val="auto"/>
        </w:rPr>
      </w:pPr>
    </w:p>
    <w:p>
      <w:pPr>
        <w:jc w:val="right"/>
        <w:ind w:right="2820"/>
        <w:spacing w:after="0"/>
        <w:rPr>
          <w:sz w:val="20"/>
          <w:szCs w:val="20"/>
          <w:color w:val="auto"/>
        </w:rPr>
      </w:pPr>
      <w:r>
        <w:rPr>
          <w:rFonts w:ascii="Arial" w:cs="Arial" w:eastAsia="Arial" w:hAnsi="Arial"/>
          <w:sz w:val="21"/>
          <w:szCs w:val="21"/>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08660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4">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21" w:name="page222"/>
    <w:bookmarkEnd w:id="221"/>
    <w:p>
      <w:pPr>
        <w:jc w:val="center"/>
        <w:ind w:right="-39"/>
        <w:spacing w:after="0"/>
        <w:rPr>
          <w:sz w:val="20"/>
          <w:szCs w:val="20"/>
          <w:color w:val="auto"/>
        </w:rPr>
      </w:pPr>
      <w:r>
        <w:rPr>
          <w:rFonts w:ascii="Arial" w:cs="Arial" w:eastAsia="Arial" w:hAnsi="Arial"/>
          <w:sz w:val="17"/>
          <w:szCs w:val="17"/>
          <w:b w:val="1"/>
          <w:bCs w:val="1"/>
          <w:color w:val="auto"/>
        </w:rPr>
        <w:t>SCHEDULE A</w:t>
      </w:r>
    </w:p>
    <w:p>
      <w:pPr>
        <w:sectPr>
          <w:pgSz w:w="12240" w:h="15840" w:orient="portrait"/>
          <w:cols w:equalWidth="0" w:num="1">
            <w:col w:w="11160"/>
          </w:cols>
          <w:pgMar w:left="520" w:top="0" w:right="560" w:bottom="144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The initial public offering price per share for the Securities shall be $</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34" w:lineRule="exact"/>
        <w:rPr>
          <w:sz w:val="20"/>
          <w:szCs w:val="20"/>
          <w:color w:val="auto"/>
        </w:rPr>
      </w:pPr>
    </w:p>
    <w:p>
      <w:pPr>
        <w:sectPr>
          <w:pgSz w:w="12240" w:h="15840" w:orient="portrait"/>
          <w:cols w:equalWidth="0" w:num="2">
            <w:col w:w="4940" w:space="540"/>
            <w:col w:w="5680"/>
          </w:cols>
          <w:pgMar w:left="520" w:top="0" w:right="560" w:bottom="1440" w:gutter="0" w:footer="0" w:header="0"/>
          <w:type w:val="continuous"/>
        </w:sectPr>
      </w:pPr>
    </w:p>
    <w:p>
      <w:pPr>
        <w:spacing w:after="0" w:line="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purchase price per share for the Securities to be paid by the several Underwriters shall be $ , being an amount equal to the initial public offering price set forth above less $ per share, subject to adjustment in accordance with Section 2(b) for dividends or distributions declared by the Company and payable on the Initial Securities but not payable on the Option Securities.</w:t>
      </w:r>
    </w:p>
    <w:p>
      <w:pPr>
        <w:sectPr>
          <w:pgSz w:w="12240" w:h="15840" w:orient="portrait"/>
          <w:cols w:equalWidth="0" w:num="1">
            <w:col w:w="11160"/>
          </w:cols>
          <w:pgMar w:left="520" w:top="0" w:right="56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Name of Underwriter</w:t>
      </w:r>
    </w:p>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Arial" w:cs="Arial" w:eastAsia="Arial" w:hAnsi="Arial"/>
          <w:sz w:val="18"/>
          <w:szCs w:val="18"/>
          <w:color w:val="auto"/>
        </w:rPr>
        <w:t>Number of</w:t>
      </w:r>
    </w:p>
    <w:p>
      <w:pPr>
        <w:spacing w:after="0" w:line="8"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Initial Securities</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Arial" w:cs="Arial" w:eastAsia="Arial" w:hAnsi="Arial"/>
          <w:sz w:val="17"/>
          <w:szCs w:val="17"/>
          <w:color w:val="auto"/>
        </w:rPr>
        <w:t>Maximum Number of</w:t>
      </w:r>
    </w:p>
    <w:p>
      <w:pPr>
        <w:spacing w:after="0" w:line="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Option Securities</w:t>
      </w:r>
    </w:p>
    <w:p>
      <w:pPr>
        <w:spacing w:after="0" w:line="200" w:lineRule="exact"/>
        <w:rPr>
          <w:sz w:val="20"/>
          <w:szCs w:val="20"/>
          <w:color w:val="auto"/>
        </w:rPr>
      </w:pPr>
    </w:p>
    <w:p>
      <w:pPr>
        <w:sectPr>
          <w:pgSz w:w="12240" w:h="15840" w:orient="portrait"/>
          <w:cols w:equalWidth="0" w:num="3">
            <w:col w:w="5640" w:space="720"/>
            <w:col w:w="1980" w:space="720"/>
            <w:col w:w="2100"/>
          </w:cols>
          <w:pgMar w:left="520" w:top="0" w:right="56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Evercore Group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Allen &amp; Company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31115</wp:posOffset>
            </wp:positionV>
            <wp:extent cx="3526155"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5">
                      <a:extLst>
                        <a:ext uri="{28A0092B-C50C-407E-A947-70E740481C1C}"/>
                      </a:extLst>
                    </a:blip>
                    <a:srcRect/>
                    <a:stretch>
                      <a:fillRect/>
                    </a:stretch>
                  </pic:blipFill>
                  <pic:spPr bwMode="auto">
                    <a:xfrm>
                      <a:off x="0" y="0"/>
                      <a:ext cx="3526155" cy="3429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-130175</wp:posOffset>
            </wp:positionV>
            <wp:extent cx="352615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6">
                      <a:extLst>
                        <a:ext uri="{28A0092B-C50C-407E-A947-70E740481C1C}"/>
                      </a:extLst>
                    </a:blip>
                    <a:srcRect/>
                    <a:stretch>
                      <a:fillRect/>
                    </a:stretch>
                  </pic:blipFill>
                  <pic:spPr bwMode="auto">
                    <a:xfrm>
                      <a:off x="0" y="0"/>
                      <a:ext cx="3526155"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08660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7">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type w:val="continuous"/>
        </w:sectPr>
      </w:pPr>
    </w:p>
    <w:bookmarkStart w:id="222" w:name="page223"/>
    <w:bookmarkEnd w:id="222"/>
    <w:tbl>
      <w:tblPr>
        <w:tblLayout w:type="fixed"/>
        <w:tblInd w:w="0" w:type="dxa"/>
        <w:tblCellMar>
          <w:top w:w="0" w:type="dxa"/>
          <w:left w:w="0" w:type="dxa"/>
          <w:bottom w:w="0" w:type="dxa"/>
          <w:right w:w="0" w:type="dxa"/>
        </w:tblCellMar>
      </w:tblPr>
      <w:tr>
        <w:trPr>
          <w:trHeight w:val="233"/>
        </w:trPr>
        <w:tc>
          <w:tcPr>
            <w:tcW w:w="5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500" w:type="dxa"/>
            <w:vAlign w:val="bottom"/>
            <w:gridSpan w:val="3"/>
          </w:tcPr>
          <w:p>
            <w:pPr>
              <w:jc w:val="center"/>
              <w:ind w:left="2111"/>
              <w:spacing w:after="0"/>
              <w:rPr>
                <w:sz w:val="20"/>
                <w:szCs w:val="20"/>
                <w:color w:val="auto"/>
              </w:rPr>
            </w:pPr>
            <w:r>
              <w:rPr>
                <w:rFonts w:ascii="Arial" w:cs="Arial" w:eastAsia="Arial" w:hAnsi="Arial"/>
                <w:sz w:val="18"/>
                <w:szCs w:val="18"/>
                <w:b w:val="1"/>
                <w:bCs w:val="1"/>
                <w:color w:val="auto"/>
                <w:w w:val="97"/>
              </w:rPr>
              <w:t>SCHEDULE B-1</w:t>
            </w:r>
          </w:p>
        </w:tc>
        <w:tc>
          <w:tcPr>
            <w:tcW w:w="106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397"/>
        </w:trPr>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500" w:type="dxa"/>
            <w:vAlign w:val="bottom"/>
            <w:gridSpan w:val="3"/>
          </w:tcPr>
          <w:p>
            <w:pPr>
              <w:jc w:val="center"/>
              <w:ind w:left="2131"/>
              <w:spacing w:after="0"/>
              <w:rPr>
                <w:sz w:val="20"/>
                <w:szCs w:val="20"/>
                <w:color w:val="auto"/>
              </w:rPr>
            </w:pPr>
            <w:r>
              <w:rPr>
                <w:rFonts w:ascii="Arial" w:cs="Arial" w:eastAsia="Arial" w:hAnsi="Arial"/>
                <w:sz w:val="18"/>
                <w:szCs w:val="18"/>
                <w:color w:val="auto"/>
                <w:w w:val="90"/>
              </w:rPr>
              <w:t>Pricing Terms</w:t>
            </w:r>
          </w:p>
        </w:tc>
        <w:tc>
          <w:tcPr>
            <w:tcW w:w="10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77"/>
        </w:trPr>
        <w:tc>
          <w:tcPr>
            <w:tcW w:w="54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2200" w:type="dxa"/>
            <w:vAlign w:val="bottom"/>
          </w:tcPr>
          <w:p>
            <w:pPr>
              <w:ind w:left="220"/>
              <w:spacing w:after="0"/>
              <w:rPr>
                <w:sz w:val="20"/>
                <w:szCs w:val="20"/>
                <w:color w:val="auto"/>
              </w:rPr>
            </w:pPr>
            <w:r>
              <w:rPr>
                <w:rFonts w:ascii="Arial" w:cs="Arial" w:eastAsia="Arial" w:hAnsi="Arial"/>
                <w:sz w:val="18"/>
                <w:szCs w:val="18"/>
                <w:color w:val="auto"/>
              </w:rPr>
              <w:t>The Company is selling</w:t>
            </w:r>
          </w:p>
        </w:tc>
        <w:tc>
          <w:tcPr>
            <w:tcW w:w="2360" w:type="dxa"/>
            <w:vAlign w:val="bottom"/>
          </w:tcPr>
          <w:p>
            <w:pPr>
              <w:ind w:left="260"/>
              <w:spacing w:after="0"/>
              <w:rPr>
                <w:sz w:val="20"/>
                <w:szCs w:val="20"/>
                <w:color w:val="auto"/>
              </w:rPr>
            </w:pPr>
            <w:r>
              <w:rPr>
                <w:rFonts w:ascii="Arial" w:cs="Arial" w:eastAsia="Arial" w:hAnsi="Arial"/>
                <w:sz w:val="18"/>
                <w:szCs w:val="18"/>
                <w:color w:val="auto"/>
              </w:rPr>
              <w:t>Class A Shares.</w:t>
            </w: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56"/>
        </w:trPr>
        <w:tc>
          <w:tcPr>
            <w:tcW w:w="54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6760" w:type="dxa"/>
            <w:vAlign w:val="bottom"/>
            <w:gridSpan w:val="5"/>
          </w:tcPr>
          <w:p>
            <w:pPr>
              <w:ind w:left="220"/>
              <w:spacing w:after="0"/>
              <w:rPr>
                <w:sz w:val="20"/>
                <w:szCs w:val="20"/>
                <w:color w:val="auto"/>
              </w:rPr>
            </w:pPr>
            <w:r>
              <w:rPr>
                <w:rFonts w:ascii="Arial" w:cs="Arial" w:eastAsia="Arial" w:hAnsi="Arial"/>
                <w:sz w:val="18"/>
                <w:szCs w:val="18"/>
                <w:color w:val="auto"/>
                <w:w w:val="93"/>
              </w:rPr>
              <w:t>The Company has granted an option to the Underwriters to purchase up to an additional</w:t>
            </w:r>
          </w:p>
        </w:tc>
        <w:tc>
          <w:tcPr>
            <w:tcW w:w="3860" w:type="dxa"/>
            <w:vAlign w:val="bottom"/>
          </w:tcPr>
          <w:p>
            <w:pPr>
              <w:ind w:left="280"/>
              <w:spacing w:after="0"/>
              <w:rPr>
                <w:sz w:val="20"/>
                <w:szCs w:val="20"/>
                <w:color w:val="auto"/>
              </w:rPr>
            </w:pPr>
            <w:r>
              <w:rPr>
                <w:rFonts w:ascii="Arial" w:cs="Arial" w:eastAsia="Arial" w:hAnsi="Arial"/>
                <w:sz w:val="18"/>
                <w:szCs w:val="18"/>
                <w:color w:val="auto"/>
              </w:rPr>
              <w:t>Class A Shares.</w:t>
            </w:r>
          </w:p>
        </w:tc>
      </w:tr>
      <w:tr>
        <w:trPr>
          <w:trHeight w:val="456"/>
        </w:trPr>
        <w:tc>
          <w:tcPr>
            <w:tcW w:w="540" w:type="dxa"/>
            <w:vAlign w:val="bottom"/>
          </w:tcPr>
          <w:p>
            <w:pPr>
              <w:jc w:val="right"/>
              <w:ind w:right="131"/>
              <w:spacing w:after="0"/>
              <w:rPr>
                <w:sz w:val="20"/>
                <w:szCs w:val="20"/>
                <w:color w:val="auto"/>
              </w:rPr>
            </w:pPr>
            <w:r>
              <w:rPr>
                <w:rFonts w:ascii="Arial" w:cs="Arial" w:eastAsia="Arial" w:hAnsi="Arial"/>
                <w:sz w:val="18"/>
                <w:szCs w:val="18"/>
                <w:color w:val="auto"/>
              </w:rPr>
              <w:t>3.</w:t>
            </w:r>
          </w:p>
        </w:tc>
        <w:tc>
          <w:tcPr>
            <w:tcW w:w="5700" w:type="dxa"/>
            <w:vAlign w:val="bottom"/>
            <w:gridSpan w:val="4"/>
          </w:tcPr>
          <w:p>
            <w:pPr>
              <w:ind w:left="220"/>
              <w:spacing w:after="0"/>
              <w:rPr>
                <w:sz w:val="20"/>
                <w:szCs w:val="20"/>
                <w:color w:val="auto"/>
              </w:rPr>
            </w:pPr>
            <w:r>
              <w:rPr>
                <w:rFonts w:ascii="Arial" w:cs="Arial" w:eastAsia="Arial" w:hAnsi="Arial"/>
                <w:sz w:val="18"/>
                <w:szCs w:val="18"/>
                <w:color w:val="auto"/>
              </w:rPr>
              <w:t>The initial public offering price per share for the Securities shall be $</w:t>
            </w:r>
          </w:p>
        </w:tc>
        <w:tc>
          <w:tcPr>
            <w:tcW w:w="1060" w:type="dxa"/>
            <w:vAlign w:val="bottom"/>
          </w:tcPr>
          <w:p>
            <w:pPr>
              <w:jc w:val="right"/>
              <w:ind w:right="970"/>
              <w:spacing w:after="0"/>
              <w:rPr>
                <w:sz w:val="20"/>
                <w:szCs w:val="20"/>
                <w:color w:val="auto"/>
              </w:rPr>
            </w:pPr>
            <w:r>
              <w:rPr>
                <w:rFonts w:ascii="Arial" w:cs="Arial" w:eastAsia="Arial" w:hAnsi="Arial"/>
                <w:sz w:val="10"/>
                <w:szCs w:val="10"/>
                <w:color w:val="auto"/>
                <w:w w:val="70"/>
              </w:rPr>
              <w:t>.</w:t>
            </w:r>
          </w:p>
        </w:tc>
        <w:tc>
          <w:tcPr>
            <w:tcW w:w="3860" w:type="dxa"/>
            <w:vAlign w:val="bottom"/>
          </w:tcPr>
          <w:p>
            <w:pPr>
              <w:spacing w:after="0"/>
              <w:rPr>
                <w:sz w:val="24"/>
                <w:szCs w:val="24"/>
                <w:color w:val="auto"/>
              </w:rPr>
            </w:pPr>
          </w:p>
        </w:tc>
      </w:tr>
      <w:tr>
        <w:trPr>
          <w:trHeight w:val="630"/>
        </w:trPr>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Sch. B-1-1</w:t>
            </w:r>
          </w:p>
        </w:tc>
        <w:tc>
          <w:tcPr>
            <w:tcW w:w="10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60"/>
        </w:trPr>
        <w:tc>
          <w:tcPr>
            <w:tcW w:w="54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r>
    </w:tbl>
    <w:p>
      <w:pPr>
        <w:sectPr>
          <w:pgSz w:w="12240" w:h="15840" w:orient="portrait"/>
          <w:cols w:equalWidth="0" w:num="1">
            <w:col w:w="11160"/>
          </w:cols>
          <w:pgMar w:left="520" w:top="0" w:right="560" w:bottom="1440" w:gutter="0" w:footer="0" w:header="0"/>
        </w:sectPr>
      </w:pPr>
    </w:p>
    <w:bookmarkStart w:id="223" w:name="page224"/>
    <w:bookmarkEnd w:id="223"/>
    <w:p>
      <w:pPr>
        <w:jc w:val="center"/>
        <w:ind w:right="-919"/>
        <w:spacing w:after="0"/>
        <w:rPr>
          <w:sz w:val="20"/>
          <w:szCs w:val="20"/>
          <w:color w:val="auto"/>
        </w:rPr>
      </w:pPr>
      <w:r>
        <w:rPr>
          <w:rFonts w:ascii="Arial" w:cs="Arial" w:eastAsia="Arial" w:hAnsi="Arial"/>
          <w:sz w:val="18"/>
          <w:szCs w:val="18"/>
          <w:b w:val="1"/>
          <w:bCs w:val="1"/>
          <w:color w:val="auto"/>
        </w:rPr>
        <w:t>SCHEDULE B-2</w:t>
      </w:r>
    </w:p>
    <w:p>
      <w:pPr>
        <w:spacing w:after="0" w:line="235" w:lineRule="exact"/>
        <w:rPr>
          <w:sz w:val="20"/>
          <w:szCs w:val="20"/>
          <w:color w:val="auto"/>
        </w:rPr>
      </w:pPr>
    </w:p>
    <w:p>
      <w:pPr>
        <w:jc w:val="right"/>
        <w:ind w:right="3740"/>
        <w:spacing w:after="0"/>
        <w:rPr>
          <w:sz w:val="20"/>
          <w:szCs w:val="20"/>
          <w:color w:val="auto"/>
        </w:rPr>
      </w:pPr>
      <w:r>
        <w:rPr>
          <w:rFonts w:ascii="Arial" w:cs="Arial" w:eastAsia="Arial" w:hAnsi="Arial"/>
          <w:sz w:val="18"/>
          <w:szCs w:val="18"/>
          <w:u w:val="single" w:color="auto"/>
          <w:color w:val="auto"/>
        </w:rPr>
        <w:t>Free Writing Prospectuses</w:t>
      </w:r>
    </w:p>
    <w:p>
      <w:pPr>
        <w:spacing w:after="0" w:line="242" w:lineRule="exact"/>
        <w:rPr>
          <w:sz w:val="20"/>
          <w:szCs w:val="20"/>
          <w:color w:val="auto"/>
        </w:rPr>
      </w:pPr>
    </w:p>
    <w:p>
      <w:pPr>
        <w:ind w:left="680" w:hanging="680"/>
        <w:spacing w:after="0"/>
        <w:tabs>
          <w:tab w:leader="none" w:pos="680" w:val="left"/>
        </w:tabs>
        <w:numPr>
          <w:ilvl w:val="0"/>
          <w:numId w:val="183"/>
        </w:numPr>
        <w:rPr>
          <w:rFonts w:ascii="Arial" w:cs="Arial" w:eastAsia="Arial" w:hAnsi="Arial"/>
          <w:sz w:val="18"/>
          <w:szCs w:val="18"/>
          <w:color w:val="auto"/>
        </w:rPr>
      </w:pPr>
      <w:r>
        <w:rPr>
          <w:rFonts w:ascii="Arial" w:cs="Arial" w:eastAsia="Arial" w:hAnsi="Arial"/>
          <w:sz w:val="21"/>
          <w:szCs w:val="21"/>
          <w:color w:val="auto"/>
        </w:rPr>
        <w:t>Free Writing Prospectus filed on January 25, 2019.</w:t>
      </w: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Sch. 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8">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24" w:name="page225"/>
    <w:bookmarkEnd w:id="224"/>
    <w:p>
      <w:pPr>
        <w:jc w:val="center"/>
        <w:ind w:right="-599"/>
        <w:spacing w:after="0"/>
        <w:rPr>
          <w:sz w:val="20"/>
          <w:szCs w:val="20"/>
          <w:color w:val="auto"/>
        </w:rPr>
      </w:pPr>
      <w:r>
        <w:rPr>
          <w:rFonts w:ascii="Arial" w:cs="Arial" w:eastAsia="Arial" w:hAnsi="Arial"/>
          <w:sz w:val="18"/>
          <w:szCs w:val="18"/>
          <w:b w:val="1"/>
          <w:bCs w:val="1"/>
          <w:color w:val="auto"/>
        </w:rPr>
        <w:t>SCHEDULE C</w:t>
      </w:r>
    </w:p>
    <w:p>
      <w:pPr>
        <w:spacing w:after="0" w:line="235" w:lineRule="exact"/>
        <w:rPr>
          <w:sz w:val="20"/>
          <w:szCs w:val="20"/>
          <w:color w:val="auto"/>
        </w:rPr>
      </w:pPr>
    </w:p>
    <w:p>
      <w:pPr>
        <w:jc w:val="right"/>
        <w:ind w:right="2400"/>
        <w:spacing w:after="0"/>
        <w:rPr>
          <w:sz w:val="20"/>
          <w:szCs w:val="20"/>
          <w:color w:val="auto"/>
        </w:rPr>
      </w:pPr>
      <w:r>
        <w:rPr>
          <w:rFonts w:ascii="Arial" w:cs="Arial" w:eastAsia="Arial" w:hAnsi="Arial"/>
          <w:sz w:val="18"/>
          <w:szCs w:val="18"/>
          <w:u w:val="single" w:color="auto"/>
          <w:color w:val="auto"/>
        </w:rPr>
        <w:t>List of Distributed Written Testing-The-Water Communications</w:t>
      </w:r>
    </w:p>
    <w:p>
      <w:pPr>
        <w:spacing w:after="0" w:line="249" w:lineRule="exact"/>
        <w:rPr>
          <w:sz w:val="20"/>
          <w:szCs w:val="20"/>
          <w:color w:val="auto"/>
        </w:rPr>
      </w:pPr>
    </w:p>
    <w:p>
      <w:pPr>
        <w:ind w:left="4960" w:right="4380" w:hanging="4958"/>
        <w:spacing w:after="0" w:line="956" w:lineRule="auto"/>
        <w:tabs>
          <w:tab w:leader="none" w:pos="323"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Testing the Water Presentation delivered November 8, 9 and 12, 2018. Sch.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-292100</wp:posOffset>
            </wp:positionV>
            <wp:extent cx="708660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9960"/>
          </w:cols>
          <w:pgMar w:left="840" w:top="0" w:right="1440" w:bottom="1440" w:gutter="0" w:footer="0" w:header="0"/>
        </w:sectPr>
      </w:pPr>
    </w:p>
    <w:bookmarkStart w:id="225" w:name="page226"/>
    <w:bookmarkEnd w:id="225"/>
    <w:p>
      <w:pPr>
        <w:jc w:val="center"/>
        <w:ind w:right="-899"/>
        <w:spacing w:after="0"/>
        <w:rPr>
          <w:sz w:val="20"/>
          <w:szCs w:val="20"/>
          <w:color w:val="auto"/>
        </w:rPr>
      </w:pPr>
      <w:r>
        <w:rPr>
          <w:rFonts w:ascii="Arial" w:cs="Arial" w:eastAsia="Arial" w:hAnsi="Arial"/>
          <w:sz w:val="18"/>
          <w:szCs w:val="18"/>
          <w:b w:val="1"/>
          <w:bCs w:val="1"/>
          <w:color w:val="auto"/>
        </w:rPr>
        <w:t>SCHEDULE D</w:t>
      </w:r>
    </w:p>
    <w:p>
      <w:pPr>
        <w:spacing w:after="0" w:line="235" w:lineRule="exact"/>
        <w:rPr>
          <w:sz w:val="20"/>
          <w:szCs w:val="20"/>
          <w:color w:val="auto"/>
        </w:rPr>
      </w:pPr>
    </w:p>
    <w:p>
      <w:pPr>
        <w:jc w:val="right"/>
        <w:ind w:right="3000"/>
        <w:spacing w:after="0"/>
        <w:rPr>
          <w:sz w:val="20"/>
          <w:szCs w:val="20"/>
          <w:color w:val="auto"/>
        </w:rPr>
      </w:pPr>
      <w:r>
        <w:rPr>
          <w:rFonts w:ascii="Arial" w:cs="Arial" w:eastAsia="Arial" w:hAnsi="Arial"/>
          <w:sz w:val="18"/>
          <w:szCs w:val="18"/>
          <w:u w:val="single" w:color="auto"/>
          <w:color w:val="auto"/>
        </w:rPr>
        <w:t>List of Persons and Entities Subject to Lock-up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Wesley R. Edens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Randal A. Nardone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Michael J. Utsler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Christopher S. Guinta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 William Griffin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John J. Mack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Matthew Wilkinson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David J. Grain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Desmond Iain Catterall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Katherine Wanner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Fortress Equity Partners (A) LP</w:t>
      </w:r>
    </w:p>
    <w:p>
      <w:pPr>
        <w:spacing w:after="0" w:line="200" w:lineRule="exact"/>
        <w:rPr>
          <w:sz w:val="20"/>
          <w:szCs w:val="20"/>
          <w:color w:val="auto"/>
        </w:rPr>
      </w:pPr>
    </w:p>
    <w:p>
      <w:pPr>
        <w:spacing w:after="0" w:line="20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Sch.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61" w:lineRule="exact"/>
        <w:rPr>
          <w:sz w:val="20"/>
          <w:szCs w:val="20"/>
          <w:color w:val="auto"/>
        </w:rPr>
      </w:pPr>
    </w:p>
    <w:p>
      <w:pPr>
        <w:ind w:right="220" w:firstLine="567"/>
        <w:spacing w:after="0" w:line="255" w:lineRule="auto"/>
        <w:tabs>
          <w:tab w:leader="none" w:pos="123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of the New Fortress Energy Parties has been duly formed and is validly existing as a limited liability company and is in good standing under the laws of the State of Delaware with full limited liability company, power and authority necessary to own or lease its properties and to conduct its business, in each case, in all material respects as described in the Registration Statement, the General Disclosure Package and the Prospectus. Each of the New Fortress Energy Parties is duly registered or qualified to transact business as a foreign limited liability company under the laws of each jurisdiction set forth opposite its name on Annex I.</w:t>
      </w:r>
    </w:p>
    <w:p>
      <w:pPr>
        <w:spacing w:after="0" w:line="241" w:lineRule="exact"/>
        <w:rPr>
          <w:rFonts w:ascii="Arial" w:cs="Arial" w:eastAsia="Arial" w:hAnsi="Arial"/>
          <w:sz w:val="18"/>
          <w:szCs w:val="18"/>
          <w:color w:val="auto"/>
        </w:rPr>
      </w:pPr>
    </w:p>
    <w:p>
      <w:pPr>
        <w:ind w:right="80" w:firstLine="567"/>
        <w:spacing w:after="0" w:line="299" w:lineRule="auto"/>
        <w:tabs>
          <w:tab w:leader="none" w:pos="123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Each Material Subsidiary listed on Annex I is validly existing as a limited liability company and is in good standing under the laws of its respective jurisdiction of formation with full limited liability company power and authority necessary to own or lease its properties and to conduct its business, in each case, as described in the Registration Statement, the General Disclosure Package and the Prospectus. Each Material Subsidiary is duly registered or qualified to transact business as a foreign limited liability company under the laws of each jurisdiction set forth opposite its name on Annex I.</w:t>
      </w:r>
    </w:p>
    <w:p>
      <w:pPr>
        <w:spacing w:after="0" w:line="209" w:lineRule="exact"/>
        <w:rPr>
          <w:rFonts w:ascii="Arial" w:cs="Arial" w:eastAsia="Arial" w:hAnsi="Arial"/>
          <w:sz w:val="16"/>
          <w:szCs w:val="16"/>
          <w:color w:val="auto"/>
        </w:rPr>
      </w:pPr>
    </w:p>
    <w:p>
      <w:pPr>
        <w:ind w:right="20" w:firstLine="567"/>
        <w:spacing w:after="0" w:line="283" w:lineRule="auto"/>
        <w:tabs>
          <w:tab w:leader="none" w:pos="123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After giving effect to the Transactions, the Company owns such equity interests in NFI as are described in the Registration Statement, the General Disclosure Package and the Prospectus; such equity interests (a) have been duly authorized and validly issued in accordance with the NFI LLC Agreement and are fully paid and non-assessable (except as such non-assessability may be limited by Sections 18-607 and 18-804 of the DLLCA)) and (b) are owned by the Company free and clear of all Liens (other than Liens arising under or in connection with the Credit Agreement) in respect of which a financing statement under the Uniform Commercial Code of the State of Delaware naming the Company as debtor is on file in the office of the Secretary of</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0" w:type="dxa"/>
            <w:vAlign w:val="bottom"/>
          </w:tcPr>
          <w:p>
            <w:pPr>
              <w:spacing w:after="0"/>
              <w:rPr>
                <w:sz w:val="20"/>
                <w:szCs w:val="20"/>
                <w:color w:val="auto"/>
              </w:rPr>
            </w:pPr>
            <w:r>
              <w:rPr>
                <w:rFonts w:ascii="Arial" w:cs="Arial" w:eastAsia="Arial" w:hAnsi="Arial"/>
                <w:sz w:val="18"/>
                <w:szCs w:val="18"/>
                <w:color w:val="auto"/>
                <w:w w:val="97"/>
              </w:rPr>
              <w:t>State of the State of Delaware as of</w:t>
            </w:r>
          </w:p>
        </w:tc>
        <w:tc>
          <w:tcPr>
            <w:tcW w:w="76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239" w:lineRule="exact"/>
        <w:rPr>
          <w:sz w:val="20"/>
          <w:szCs w:val="20"/>
          <w:color w:val="auto"/>
        </w:rPr>
      </w:pPr>
    </w:p>
    <w:p>
      <w:pPr>
        <w:ind w:right="60" w:firstLine="567"/>
        <w:spacing w:after="0" w:line="255" w:lineRule="auto"/>
        <w:tabs>
          <w:tab w:leader="none" w:pos="123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Securities to be issued and sold by the Company to the Underwriters under the Agreement have been duly authorized in accordance with the Company Organizational Documents and, when issued and delivered by the Company to the Underwriters upon payment therefor in accordance with the Agreement, will be validly issued in accordance with the Company Organizational Documents, fully paid and non-assessable and will not be subject to any preemptive or similar rights arising under the DLLCA, the Company’s Organizational Documents or any agreement filed as an exhibit to the Registration Statement.</w:t>
      </w:r>
    </w:p>
    <w:p>
      <w:pPr>
        <w:spacing w:after="0" w:line="241" w:lineRule="exact"/>
        <w:rPr>
          <w:rFonts w:ascii="Arial" w:cs="Arial" w:eastAsia="Arial" w:hAnsi="Arial"/>
          <w:sz w:val="18"/>
          <w:szCs w:val="18"/>
          <w:color w:val="auto"/>
        </w:rPr>
      </w:pPr>
    </w:p>
    <w:p>
      <w:pPr>
        <w:ind w:right="60" w:firstLine="567"/>
        <w:spacing w:after="0" w:line="274" w:lineRule="auto"/>
        <w:tabs>
          <w:tab w:leader="none" w:pos="123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Class B Shares have been duly authorized and validly issued in accordance with the Company Organizational Documents and will be fully paid and nonassessable.</w:t>
      </w:r>
    </w:p>
    <w:p>
      <w:pPr>
        <w:spacing w:after="0" w:line="224" w:lineRule="exact"/>
        <w:rPr>
          <w:rFonts w:ascii="Arial" w:cs="Arial" w:eastAsia="Arial" w:hAnsi="Arial"/>
          <w:sz w:val="18"/>
          <w:szCs w:val="18"/>
          <w:color w:val="auto"/>
        </w:rPr>
      </w:pPr>
    </w:p>
    <w:p>
      <w:pPr>
        <w:ind w:firstLine="567"/>
        <w:spacing w:after="0" w:line="291" w:lineRule="auto"/>
        <w:tabs>
          <w:tab w:leader="none" w:pos="123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General Disclosure Package and the Prospectus, there are no persons with registration rights or other similar rights created pursuant to the Company Organizational Documents or any agreement filed as an exhibit to the Registration Statement to have any securities registered pursuant to the Registration Statement or registered by the Company under the Securities Act or otherwise; and, except as set forth in the Registration Statement, the General Disclosure Package and the Prospectus, there are no outstanding options, warrants or other rights to purchase or agreements or other obligations to issue, or convert any obligations into or exchange any securities for, shares of or ownership interests in the Company created pursuant to the Company Organizational Documents or any agreement filed as an exhibit to the Registration Statement.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1">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227" w:name="page228"/>
    <w:bookmarkEnd w:id="227"/>
    <w:p>
      <w:pPr>
        <w:ind w:right="40" w:firstLine="567"/>
        <w:spacing w:after="0" w:line="284" w:lineRule="auto"/>
        <w:tabs>
          <w:tab w:leader="none" w:pos="1237"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execution and delivery of the Agreement and the Transaction Documents (as defined below) by the New Fortress Energy Parties does not, and the performance by the New Fortress Energy Parties of their obligations under the Agreement and the Transaction Documents, the offering, issuance and sale of the Securities by the Company pursuant to the terms of the Agreement, the issuance of the Class B Shares to New Fortress Energy Holdings LLC and the application of the proceeds from the sale of the Securities as described under the heading “Use of Proceeds” in the Registration Statement, the General Disclosure Package and the Prospectus will not, (i) result in a breach or default (or an event that, with notice or lapse of time or both, would constitute such a default) under any agreement that is filed as an exhibit to the Registration Statement; (ii) violate the provisions of the Company Organizational Documents, the NFI LLC Agreement or the organizational documents of the Material Subsidiaries listed on Annex I; (iii) violate any federal or New York statute, rule or regulation applicable to the New Fortress Energy Parties or the DLLCA or result in a breach of, or constitute a default under, any judgment, decree or order of any state or federal court or other governmental state or federal court or other governmental authority known by us to be binding on the New Fortress Energy Parties or the Material Subsidiaries as of the date hereof, or (iv) result in the creation of any additional Lien upon any property or assets of the New Fortress Energy Parties or their subsidiaries under the Credit Agreement except, with respect to clauses (i), (iii) and (iv), as would not, individually or in the aggregate, reasonably be expected to have a Material Adverse Effect; it being understood that we express no opinion in clause (iii) of this paragraph (7) with respect to any federal or state securities laws and other anti-fraud laws, rules or regulations.</w:t>
      </w:r>
    </w:p>
    <w:p>
      <w:pPr>
        <w:spacing w:after="0" w:line="228" w:lineRule="exact"/>
        <w:rPr>
          <w:rFonts w:ascii="Arial" w:cs="Arial" w:eastAsia="Arial" w:hAnsi="Arial"/>
          <w:sz w:val="16"/>
          <w:szCs w:val="16"/>
          <w:color w:val="auto"/>
        </w:rPr>
      </w:pPr>
    </w:p>
    <w:p>
      <w:pPr>
        <w:ind w:left="1240" w:hanging="673"/>
        <w:spacing w:after="0"/>
        <w:tabs>
          <w:tab w:leader="none" w:pos="12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Agreement has been duly authorized, executed and delivered by the New Fortress Energy Parties.</w:t>
      </w:r>
    </w:p>
    <w:p>
      <w:pPr>
        <w:spacing w:after="0" w:line="275" w:lineRule="exact"/>
        <w:rPr>
          <w:rFonts w:ascii="Arial" w:cs="Arial" w:eastAsia="Arial" w:hAnsi="Arial"/>
          <w:sz w:val="18"/>
          <w:szCs w:val="18"/>
          <w:color w:val="auto"/>
        </w:rPr>
      </w:pPr>
    </w:p>
    <w:p>
      <w:pPr>
        <w:ind w:left="1240" w:hanging="673"/>
        <w:spacing w:after="0"/>
        <w:tabs>
          <w:tab w:leader="none" w:pos="12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Transactions have been duly authorized by the New Fortress Energy Parties.</w:t>
      </w:r>
    </w:p>
    <w:p>
      <w:pPr>
        <w:spacing w:after="0" w:line="275" w:lineRule="exact"/>
        <w:rPr>
          <w:rFonts w:ascii="Arial" w:cs="Arial" w:eastAsia="Arial" w:hAnsi="Arial"/>
          <w:sz w:val="18"/>
          <w:szCs w:val="18"/>
          <w:color w:val="auto"/>
        </w:rPr>
      </w:pPr>
    </w:p>
    <w:p>
      <w:pPr>
        <w:ind w:right="60" w:firstLine="567"/>
        <w:spacing w:after="0" w:line="283" w:lineRule="auto"/>
        <w:tabs>
          <w:tab w:leader="none" w:pos="1327" w:val="left"/>
        </w:tabs>
        <w:numPr>
          <w:ilvl w:val="1"/>
          <w:numId w:val="187"/>
        </w:numPr>
        <w:rPr>
          <w:rFonts w:ascii="Arial" w:cs="Arial" w:eastAsia="Arial" w:hAnsi="Arial"/>
          <w:sz w:val="16"/>
          <w:szCs w:val="16"/>
          <w:color w:val="auto"/>
        </w:rPr>
      </w:pPr>
      <w:r>
        <w:rPr>
          <w:rFonts w:ascii="Arial" w:cs="Arial" w:eastAsia="Arial" w:hAnsi="Arial"/>
          <w:sz w:val="16"/>
          <w:szCs w:val="16"/>
          <w:color w:val="auto"/>
        </w:rPr>
        <w:t>Each of the Company Organizational Documents, the NFI LLC Agreement, the Contribution Agreement and the Shareholders’ Agreement (each a “Transaction Document” and, collectively, the “Transaction Documents”) has been duly authorized, executed and delivered by the New Fortress Energy Parties and, assuming the due authorization, execution and delivery by other parties thereto, constitutes a valid and legally binding agreement of each New Fortress Energy Party, enforceable against each such New Fortress Energy Party in accordance with its terms, except as enforceability may be limited by (i) applicable bankruptcy, insolvency, fraudulent transfer, reorganization, moratorium or similar laws affecting the enforcement of creditors’ rights generally or by equitable principles (whether considered in a proceeding at law or in equity) relating to enforceability and</w:t>
      </w:r>
    </w:p>
    <w:p>
      <w:pPr>
        <w:ind w:left="260" w:hanging="260"/>
        <w:spacing w:after="0"/>
        <w:tabs>
          <w:tab w:leader="none" w:pos="2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public policy, applicable law relating to fiduciary duties and indemnification and an implied covenant of good faith and fair dealing.</w:t>
      </w:r>
    </w:p>
    <w:p>
      <w:pPr>
        <w:spacing w:after="0" w:line="261" w:lineRule="exact"/>
        <w:rPr>
          <w:rFonts w:ascii="Arial" w:cs="Arial" w:eastAsia="Arial" w:hAnsi="Arial"/>
          <w:sz w:val="18"/>
          <w:szCs w:val="18"/>
          <w:color w:val="auto"/>
        </w:rPr>
      </w:pPr>
    </w:p>
    <w:p>
      <w:pPr>
        <w:ind w:firstLine="567"/>
        <w:spacing w:after="0" w:line="268" w:lineRule="auto"/>
        <w:tabs>
          <w:tab w:leader="none" w:pos="132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No consent, approval, authorization or order of, registration or qualification with any federal or New York court or governmental agency or any Delaware court or governmental agency acting pursuant to the DLLCA is required to be obtained or made by the New Fortress Energy Parties for the execution, delivery and performance by the New Fortress Energy Parties of the Agreement and the Transaction Documents, the compliance by the New Fortress Energy Parties with the terms thereof, the consummation of the transactions contemplated by the Agreement and the Transaction Documents, the issuance and sale of Securities by the Company being delivered on the date hereof pursuant to the Agreement and the issuance of the Class B Shares to New Fortress Energy Holdings LLC, except (i) as have been obtained or made, (ii) for the registration of the offering and sale of the Securities under the Securities Act, (iii) for such consents, approvals, authorizations, orders, registrations or qualifications as may be required under applicable federal or state securities laws and the approval by FINRA of the underwriting terms and arrangements in connection with the purchase and distribution of the Securities by the Underwriters or (iv) for such consents that, if not obtained, have not or would not, in the aggregate, reasonably be expected to have a Material Adverse Effect.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2">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12" w:right="560" w:bottom="1440" w:gutter="0" w:footer="0" w:header="0"/>
        </w:sectPr>
      </w:pPr>
    </w:p>
    <w:bookmarkStart w:id="228" w:name="page229"/>
    <w:bookmarkEnd w:id="228"/>
    <w:p>
      <w:pPr>
        <w:ind w:firstLine="567"/>
        <w:spacing w:after="0" w:line="243" w:lineRule="auto"/>
        <w:tabs>
          <w:tab w:leader="none" w:pos="1327" w:val="left"/>
        </w:tabs>
        <w:numPr>
          <w:ilvl w:val="0"/>
          <w:numId w:val="189"/>
        </w:numPr>
        <w:rPr>
          <w:rFonts w:ascii="Arial" w:cs="Arial" w:eastAsia="Arial" w:hAnsi="Arial"/>
          <w:sz w:val="18"/>
          <w:szCs w:val="18"/>
          <w:color w:val="auto"/>
        </w:rPr>
      </w:pPr>
      <w:r>
        <w:rPr>
          <w:rFonts w:ascii="Arial" w:cs="Arial" w:eastAsia="Arial" w:hAnsi="Arial"/>
          <w:sz w:val="21"/>
          <w:szCs w:val="21"/>
          <w:color w:val="auto"/>
        </w:rPr>
        <w:t>The Registration Statement has been declared effective under the Act; to our knowledge, no stop order suspending the effectiveness of the Registration Statement has been issued and no proceedings for that purpose have been instituted or threatened by the Commission; and any required filing of the Prospectus pursuant to Rule 424(b) under the Securities Act has been made in the manner and within the time period required by such rule.</w:t>
      </w:r>
    </w:p>
    <w:p>
      <w:pPr>
        <w:spacing w:after="0" w:line="241" w:lineRule="exact"/>
        <w:rPr>
          <w:rFonts w:ascii="Arial" w:cs="Arial" w:eastAsia="Arial" w:hAnsi="Arial"/>
          <w:sz w:val="18"/>
          <w:szCs w:val="18"/>
          <w:color w:val="auto"/>
        </w:rPr>
      </w:pPr>
    </w:p>
    <w:p>
      <w:pPr>
        <w:ind w:left="1320" w:hanging="753"/>
        <w:spacing w:after="0"/>
        <w:tabs>
          <w:tab w:leader="none" w:pos="13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statements set forth in the Registration Statement, the General Disclosure Package and the Prospectus under the headings “Business</w:t>
      </w:r>
    </w:p>
    <w:p>
      <w:pPr>
        <w:spacing w:after="0" w:line="4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—Government Regulation,” “Description of Shares,” “Certain Relationships and Related Party Transactions” and “Material U.S. Federal Income Tax Considerations For Non-U.S. Holders,” and in the Registration Statement in Item 14, to the extent that they constitute descriptions or summaries of the terms of the Class A Shares or the documents referred to therein, or refer to statements of federal law, the laws of the State of Delaware or legal conclusions or summarize the material U.S. Federal Income Tax consequences to non-U.S. holders (as defined therein), are accurate in all material respects.</w:t>
      </w:r>
    </w:p>
    <w:p>
      <w:pPr>
        <w:spacing w:after="0" w:line="214" w:lineRule="exact"/>
        <w:rPr>
          <w:sz w:val="20"/>
          <w:szCs w:val="20"/>
          <w:color w:val="auto"/>
        </w:rPr>
      </w:pPr>
    </w:p>
    <w:p>
      <w:pPr>
        <w:ind w:right="120" w:firstLine="567"/>
        <w:spacing w:after="0" w:line="257" w:lineRule="auto"/>
        <w:tabs>
          <w:tab w:leader="none" w:pos="132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pursuant to the terms of the Agreement and application of the net proceeds therefrom as described in the Registration Statement, the General Disclosure Package and the Prospectus under the caption “Use of Proceeds,” will not be, required to register as an “investment company,” as such term is defined in the Investment Company Act and the rules and regulations of the Commission thereunder.</w:t>
      </w:r>
    </w:p>
    <w:p>
      <w:pPr>
        <w:spacing w:after="0" w:line="240" w:lineRule="exact"/>
        <w:rPr>
          <w:rFonts w:ascii="Arial" w:cs="Arial" w:eastAsia="Arial" w:hAnsi="Arial"/>
          <w:sz w:val="18"/>
          <w:szCs w:val="18"/>
          <w:color w:val="auto"/>
        </w:rPr>
      </w:pPr>
    </w:p>
    <w:p>
      <w:pPr>
        <w:ind w:right="20" w:firstLine="567"/>
        <w:spacing w:after="0" w:line="255" w:lineRule="auto"/>
        <w:tabs>
          <w:tab w:leader="none" w:pos="132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of the Registration Statement, as of the Effective Date and the Prospectus, when filed with the Commission pursuant to Rule 424(b) and at the Closing Date (in each case other than (i) the financial statements and related schedules, including the notes and schedules thereto and the auditor’s report thereon, (ii) the other financial data derived therefrom and (iii) other financial data, in each case included in or omitted from the Registration Statement and the Prospectus, as to which we express no opinion), appeared on its face to comply as to form in all material respects with the requirements of the Securities Act.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3">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color w:val="auto"/>
        </w:rPr>
        <w:t>Exhibit B</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lock-up from directors, officers or other shareholders pursuant to Section 5(k)]</w:t>
      </w:r>
    </w:p>
    <w:p>
      <w:pPr>
        <w:spacing w:after="0" w:line="25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 2019</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Pr>
          <w:p>
            <w:pPr>
              <w:spacing w:after="0"/>
              <w:rPr>
                <w:sz w:val="18"/>
                <w:szCs w:val="18"/>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As Representatives of the</w:t>
            </w:r>
          </w:p>
        </w:tc>
      </w:tr>
      <w:tr>
        <w:trPr>
          <w:trHeight w:val="215"/>
        </w:trPr>
        <w:tc>
          <w:tcPr>
            <w:tcW w:w="440" w:type="dxa"/>
            <w:vAlign w:val="bottom"/>
          </w:tcPr>
          <w:p>
            <w:pPr>
              <w:spacing w:after="0"/>
              <w:rPr>
                <w:sz w:val="18"/>
                <w:szCs w:val="18"/>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several Underwriters listed</w:t>
            </w:r>
          </w:p>
        </w:tc>
      </w:tr>
      <w:tr>
        <w:trPr>
          <w:trHeight w:val="229"/>
        </w:trPr>
        <w:tc>
          <w:tcPr>
            <w:tcW w:w="440" w:type="dxa"/>
            <w:vAlign w:val="bottom"/>
          </w:tcPr>
          <w:p>
            <w:pPr>
              <w:spacing w:after="0"/>
              <w:rPr>
                <w:sz w:val="19"/>
                <w:szCs w:val="19"/>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in Schedule A hereto</w:t>
            </w:r>
          </w:p>
        </w:tc>
      </w:tr>
      <w:tr>
        <w:trPr>
          <w:trHeight w:val="441"/>
        </w:trPr>
        <w:tc>
          <w:tcPr>
            <w:tcW w:w="440" w:type="dxa"/>
            <w:vAlign w:val="bottom"/>
          </w:tcPr>
          <w:p>
            <w:pPr>
              <w:spacing w:after="0"/>
              <w:rPr>
                <w:sz w:val="20"/>
                <w:szCs w:val="20"/>
                <w:color w:val="auto"/>
              </w:rPr>
            </w:pPr>
            <w:r>
              <w:rPr>
                <w:rFonts w:ascii="Arial" w:cs="Arial" w:eastAsia="Arial" w:hAnsi="Arial"/>
                <w:sz w:val="18"/>
                <w:szCs w:val="18"/>
                <w:color w:val="auto"/>
              </w:rPr>
              <w:t>c/o</w:t>
            </w: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Morgan Stanley &amp; Co. LLC</w:t>
            </w:r>
          </w:p>
        </w:tc>
      </w:tr>
      <w:tr>
        <w:trPr>
          <w:trHeight w:val="215"/>
        </w:trPr>
        <w:tc>
          <w:tcPr>
            <w:tcW w:w="440" w:type="dxa"/>
            <w:vAlign w:val="bottom"/>
          </w:tcPr>
          <w:p>
            <w:pPr>
              <w:spacing w:after="0"/>
              <w:rPr>
                <w:sz w:val="18"/>
                <w:szCs w:val="18"/>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1585 Broadway</w:t>
            </w:r>
          </w:p>
        </w:tc>
      </w:tr>
      <w:tr>
        <w:trPr>
          <w:trHeight w:val="229"/>
        </w:trPr>
        <w:tc>
          <w:tcPr>
            <w:tcW w:w="440" w:type="dxa"/>
            <w:vAlign w:val="bottom"/>
          </w:tcPr>
          <w:p>
            <w:pPr>
              <w:spacing w:after="0"/>
              <w:rPr>
                <w:sz w:val="19"/>
                <w:szCs w:val="19"/>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New York, New York 10036</w:t>
            </w:r>
          </w:p>
        </w:tc>
      </w:tr>
      <w:tr>
        <w:trPr>
          <w:trHeight w:val="441"/>
        </w:trPr>
        <w:tc>
          <w:tcPr>
            <w:tcW w:w="440" w:type="dxa"/>
            <w:vAlign w:val="bottom"/>
          </w:tcPr>
          <w:p>
            <w:pPr>
              <w:spacing w:after="0"/>
              <w:rPr>
                <w:sz w:val="20"/>
                <w:szCs w:val="20"/>
                <w:color w:val="auto"/>
              </w:rPr>
            </w:pPr>
            <w:r>
              <w:rPr>
                <w:rFonts w:ascii="Arial" w:cs="Arial" w:eastAsia="Arial" w:hAnsi="Arial"/>
                <w:sz w:val="18"/>
                <w:szCs w:val="18"/>
                <w:color w:val="auto"/>
              </w:rPr>
              <w:t>c/o</w:t>
            </w: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Barclays Capital Inc.</w:t>
            </w:r>
          </w:p>
        </w:tc>
      </w:tr>
      <w:tr>
        <w:trPr>
          <w:trHeight w:val="215"/>
        </w:trPr>
        <w:tc>
          <w:tcPr>
            <w:tcW w:w="440" w:type="dxa"/>
            <w:vAlign w:val="bottom"/>
          </w:tcPr>
          <w:p>
            <w:pPr>
              <w:spacing w:after="0"/>
              <w:rPr>
                <w:sz w:val="18"/>
                <w:szCs w:val="18"/>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745 Seventh Avenue</w:t>
            </w:r>
          </w:p>
        </w:tc>
      </w:tr>
      <w:tr>
        <w:trPr>
          <w:trHeight w:val="229"/>
        </w:trPr>
        <w:tc>
          <w:tcPr>
            <w:tcW w:w="440" w:type="dxa"/>
            <w:vAlign w:val="bottom"/>
          </w:tcPr>
          <w:p>
            <w:pPr>
              <w:spacing w:after="0"/>
              <w:rPr>
                <w:sz w:val="19"/>
                <w:szCs w:val="19"/>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New York, NY 10019</w:t>
            </w:r>
          </w:p>
        </w:tc>
      </w:tr>
      <w:tr>
        <w:trPr>
          <w:trHeight w:val="468"/>
        </w:trPr>
        <w:tc>
          <w:tcPr>
            <w:tcW w:w="440" w:type="dxa"/>
            <w:vAlign w:val="bottom"/>
          </w:tcPr>
          <w:p>
            <w:pPr>
              <w:spacing w:after="0"/>
              <w:rPr>
                <w:sz w:val="20"/>
                <w:szCs w:val="20"/>
                <w:color w:val="auto"/>
              </w:rPr>
            </w:pPr>
            <w:r>
              <w:rPr>
                <w:rFonts w:ascii="Arial" w:cs="Arial" w:eastAsia="Arial" w:hAnsi="Arial"/>
                <w:sz w:val="18"/>
                <w:szCs w:val="18"/>
                <w:color w:val="auto"/>
              </w:rPr>
              <w:t>c/o</w:t>
            </w:r>
          </w:p>
        </w:tc>
        <w:tc>
          <w:tcPr>
            <w:tcW w:w="4980" w:type="dxa"/>
            <w:vAlign w:val="bottom"/>
            <w:gridSpan w:val="2"/>
          </w:tcPr>
          <w:p>
            <w:pPr>
              <w:ind w:left="320"/>
              <w:spacing w:after="0"/>
              <w:rPr>
                <w:sz w:val="20"/>
                <w:szCs w:val="20"/>
                <w:color w:val="auto"/>
              </w:rPr>
            </w:pPr>
            <w:r>
              <w:rPr>
                <w:rFonts w:ascii="Arial" w:cs="Arial" w:eastAsia="Arial" w:hAnsi="Arial"/>
                <w:sz w:val="18"/>
                <w:szCs w:val="18"/>
                <w:color w:val="auto"/>
              </w:rPr>
              <w:t>Citigroup Global Markets Inc.</w:t>
            </w:r>
          </w:p>
        </w:tc>
      </w:tr>
      <w:tr>
        <w:trPr>
          <w:trHeight w:val="215"/>
        </w:trPr>
        <w:tc>
          <w:tcPr>
            <w:tcW w:w="440" w:type="dxa"/>
            <w:vAlign w:val="bottom"/>
          </w:tcPr>
          <w:p>
            <w:pPr>
              <w:spacing w:after="0"/>
              <w:rPr>
                <w:sz w:val="18"/>
                <w:szCs w:val="18"/>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388 Greenwich Street</w:t>
            </w:r>
          </w:p>
        </w:tc>
      </w:tr>
      <w:tr>
        <w:trPr>
          <w:trHeight w:val="229"/>
        </w:trPr>
        <w:tc>
          <w:tcPr>
            <w:tcW w:w="440" w:type="dxa"/>
            <w:vAlign w:val="bottom"/>
          </w:tcPr>
          <w:p>
            <w:pPr>
              <w:spacing w:after="0"/>
              <w:rPr>
                <w:sz w:val="19"/>
                <w:szCs w:val="19"/>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New York, New York 10013</w:t>
            </w:r>
          </w:p>
        </w:tc>
      </w:tr>
      <w:tr>
        <w:trPr>
          <w:trHeight w:val="468"/>
        </w:trPr>
        <w:tc>
          <w:tcPr>
            <w:tcW w:w="440" w:type="dxa"/>
            <w:vAlign w:val="bottom"/>
          </w:tcPr>
          <w:p>
            <w:pPr>
              <w:spacing w:after="0"/>
              <w:rPr>
                <w:sz w:val="20"/>
                <w:szCs w:val="20"/>
                <w:color w:val="auto"/>
              </w:rPr>
            </w:pPr>
            <w:r>
              <w:rPr>
                <w:rFonts w:ascii="Arial" w:cs="Arial" w:eastAsia="Arial" w:hAnsi="Arial"/>
                <w:sz w:val="18"/>
                <w:szCs w:val="18"/>
                <w:color w:val="auto"/>
              </w:rPr>
              <w:t>c/o</w:t>
            </w:r>
          </w:p>
        </w:tc>
        <w:tc>
          <w:tcPr>
            <w:tcW w:w="4980" w:type="dxa"/>
            <w:vAlign w:val="bottom"/>
            <w:gridSpan w:val="2"/>
          </w:tcPr>
          <w:p>
            <w:pPr>
              <w:ind w:left="320"/>
              <w:spacing w:after="0"/>
              <w:rPr>
                <w:sz w:val="20"/>
                <w:szCs w:val="20"/>
                <w:color w:val="auto"/>
              </w:rPr>
            </w:pPr>
            <w:r>
              <w:rPr>
                <w:rFonts w:ascii="Arial" w:cs="Arial" w:eastAsia="Arial" w:hAnsi="Arial"/>
                <w:sz w:val="18"/>
                <w:szCs w:val="18"/>
                <w:color w:val="auto"/>
              </w:rPr>
              <w:t>Credit Suisse Securities (USA) LLC</w:t>
            </w:r>
          </w:p>
        </w:tc>
      </w:tr>
      <w:tr>
        <w:trPr>
          <w:trHeight w:val="215"/>
        </w:trPr>
        <w:tc>
          <w:tcPr>
            <w:tcW w:w="440" w:type="dxa"/>
            <w:vAlign w:val="bottom"/>
          </w:tcPr>
          <w:p>
            <w:pPr>
              <w:spacing w:after="0"/>
              <w:rPr>
                <w:sz w:val="18"/>
                <w:szCs w:val="18"/>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Eleven Madison Avenue</w:t>
            </w:r>
          </w:p>
        </w:tc>
      </w:tr>
      <w:tr>
        <w:trPr>
          <w:trHeight w:val="229"/>
        </w:trPr>
        <w:tc>
          <w:tcPr>
            <w:tcW w:w="440" w:type="dxa"/>
            <w:vAlign w:val="bottom"/>
          </w:tcPr>
          <w:p>
            <w:pPr>
              <w:spacing w:after="0"/>
              <w:rPr>
                <w:sz w:val="19"/>
                <w:szCs w:val="19"/>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New York, NY 10010-3629</w:t>
            </w:r>
          </w:p>
        </w:tc>
      </w:tr>
      <w:tr>
        <w:trPr>
          <w:trHeight w:val="442"/>
        </w:trPr>
        <w:tc>
          <w:tcPr>
            <w:tcW w:w="44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18"/>
                <w:szCs w:val="18"/>
                <w:color w:val="auto"/>
              </w:rPr>
              <w:t>Re:</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Proposed Public Offering by New Fortress Energy LLC</w:t>
            </w:r>
          </w:p>
        </w:tc>
      </w:tr>
    </w:tbl>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Dear Sirs or Madames:</w:t>
      </w:r>
    </w:p>
    <w:p>
      <w:pPr>
        <w:spacing w:after="0" w:line="249" w:lineRule="exact"/>
        <w:rPr>
          <w:sz w:val="20"/>
          <w:szCs w:val="20"/>
          <w:color w:val="auto"/>
        </w:rPr>
      </w:pPr>
    </w:p>
    <w:p>
      <w:pPr>
        <w:jc w:val="both"/>
        <w:ind w:firstLine="644"/>
        <w:spacing w:after="0" w:line="265" w:lineRule="auto"/>
        <w:rPr>
          <w:sz w:val="20"/>
          <w:szCs w:val="20"/>
          <w:color w:val="auto"/>
        </w:rPr>
      </w:pPr>
      <w:r>
        <w:rPr>
          <w:rFonts w:ascii="Arial" w:cs="Arial" w:eastAsia="Arial" w:hAnsi="Arial"/>
          <w:sz w:val="17"/>
          <w:szCs w:val="17"/>
          <w:color w:val="auto"/>
        </w:rPr>
        <w:t>The undersigned, a shareholder and/or an officer and/or director of New Fortress Energy LLC, a Delaware limited liability company (the “Company”), understands that Morgan Stanley &amp; Co. LLC (“Morgan Stanley”), Barclays Capital Inc., Citigroup Global Markets Inc. and Credit Suisse Securities (USA) LLC (collectively, the “Representatives”) propose to enter into an Underwriting Agreement (the “Underwriting Agreement”) with the Company and New Fortress Intermediate LLC, a Delaware limited liability company (“NFI” and together with the Company, the “New Fortress Energy Parties”) providing for the public offering of Class A shares (the “Securities”) representing limited liability company interests of the Company (the “Class A Shares”). In recognition of the benefit that such an offering will confer upon the undersigned as a shareholder and/or an officer and/or director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180 days from the date of the Underwriting Agreement (subject to extensions as discussed below), the undersigned will not, without the prior written consent of Morgan Stanley, directly or indirectly, (i) offer, pledge, sell, contract to sell, sell any option or contract to purchase, purchase any option or contract to sell, grant any option, right or warrant for the sale of, or otherwise dispose of or transfer any Class A Shares, Class B shares representing limited liability company interests of the Company (“Class B Shares”) or any securities convertible into or exchangeable or exercisable for Class A Shares or Class B Shares (including without limitation, shares or limited liability company interests in New Fortress Intermediate LLC),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Class A Shares, Class B Shares or other Lock-Up Securities, in cash or otherwise. If the undersigned is an officer or director of the Company, the undersigned further agrees that the foregoing provisions shall be equally applicable to any issuer-directed Class A Shares the undersigned may purchase in the offering.</w:t>
      </w:r>
    </w:p>
    <w:p>
      <w:pPr>
        <w:sectPr>
          <w:pgSz w:w="12240" w:h="15840" w:orient="portrait"/>
          <w:cols w:equalWidth="0" w:num="1">
            <w:col w:w="11160"/>
          </w:cols>
          <w:pgMar w:left="520" w:top="0" w:right="56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08660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4">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type w:val="continuous"/>
        </w:sectPr>
      </w:pPr>
    </w:p>
    <w:bookmarkStart w:id="230" w:name="page231"/>
    <w:bookmarkEnd w:id="230"/>
    <w:p>
      <w:pPr>
        <w:jc w:val="both"/>
        <w:ind w:firstLine="644"/>
        <w:spacing w:after="0" w:line="289" w:lineRule="auto"/>
        <w:rPr>
          <w:sz w:val="20"/>
          <w:szCs w:val="20"/>
          <w:color w:val="auto"/>
        </w:rPr>
      </w:pPr>
      <w:r>
        <w:rPr>
          <w:rFonts w:ascii="Arial" w:cs="Arial" w:eastAsia="Arial" w:hAnsi="Arial"/>
          <w:sz w:val="16"/>
          <w:szCs w:val="16"/>
          <w:color w:val="auto"/>
        </w:rPr>
        <w:t>If the undersigned is an officer or director of the Company, (1) Morgan Stanley agrees that, at least three business days before the effective date of any release or waiver of the foregoing restrictions in connection with a transfer of Lock-Up Securities, Morgan Stanley will notify the Company of the impending release or waiver, and (2) the Company has agreed in the Underwriting Agreement to announce the impending release or waiver by press release through a major news service at least two business days before the effective date of the release or waiver. Any release or waiver granted by Morgan Stanley hereunder to any such officer or director shall only be effective two business days after the publication date of such press release. The provisions of this paragraph will not apply if (i) the release or waiver is effected solely to permit a transfer not for consideration and (ii) the transferee has agreed in writing to be bound by the same terms described in this letter to the extent and for the duration that such terms remain in effect at the time of the transfer.</w:t>
      </w:r>
    </w:p>
    <w:p>
      <w:pPr>
        <w:spacing w:after="0" w:line="193" w:lineRule="exact"/>
        <w:rPr>
          <w:sz w:val="20"/>
          <w:szCs w:val="20"/>
          <w:color w:val="auto"/>
        </w:rPr>
      </w:pPr>
    </w:p>
    <w:p>
      <w:pPr>
        <w:jc w:val="both"/>
        <w:ind w:firstLine="644"/>
        <w:spacing w:after="0" w:line="267" w:lineRule="auto"/>
        <w:rPr>
          <w:sz w:val="20"/>
          <w:szCs w:val="20"/>
          <w:color w:val="auto"/>
        </w:rPr>
      </w:pPr>
      <w:r>
        <w:rPr>
          <w:rFonts w:ascii="Arial" w:cs="Arial" w:eastAsia="Arial" w:hAnsi="Arial"/>
          <w:sz w:val="17"/>
          <w:szCs w:val="17"/>
          <w:color w:val="auto"/>
        </w:rPr>
        <w:t>Notwithstanding the foregoing, and subject to the conditions below, the undersigned may transfer the Lock-Up Securities without the prior written consent of Morgan Stanley, provided that, (1) with respect to (i), (ii), (iii) and (iv) (irrespective of whether such transfer involves a disposition of value, to the extent permitted by this Agreement), Morgan Stanley receives a signed lock-up agreement for the balance of the lockup period from each donee, trustee, distributee, or transferee, as the case may be, (2) any transfer described under (i), (ii) or (iii) below shall not involve a disposition for value, (3) the transfers described in (i), (ii), (iii) and (iv) (irrespective of whether such transfer involves a disposition of value, to the extent permitted by this Agreement) are not required to be reported with the Securities and Exchange Commission on Form 4 in accordance with Section 16 of the Securities Exchange Act of 1934, as amended (the “Exchange Act”), (4) in the case of (i), (ii), (iii) and (iv), the undersigned does not otherwise voluntarily effect any public filing or report regarding such transfers (other than a filing on Form 5 made after the expiration of the 180-day period referred to above) and (5) in the case of a transfer described in (v), (a) any securities received upon such exercise shall be subject to this agreement, (b) no filing under Section 16 of the Exchange Act, or other public announcement, shall be voluntarily made during the Lock-Up Period and (c) any filing required to be made pursuant to Section 16 of the Exchange Act shall clearly indicate that the filing relates to the circumstances described in clause (v), irrespective of whether such transfer involves a disposition of value, to the extent permitted by this Agreement:</w:t>
      </w:r>
    </w:p>
    <w:p>
      <w:pPr>
        <w:spacing w:after="0" w:line="207" w:lineRule="exact"/>
        <w:rPr>
          <w:sz w:val="20"/>
          <w:szCs w:val="20"/>
          <w:color w:val="auto"/>
        </w:rPr>
      </w:pPr>
    </w:p>
    <w:p>
      <w:pPr>
        <w:ind w:left="1280" w:hanging="636"/>
        <w:spacing w:after="0"/>
        <w:tabs>
          <w:tab w:leader="none" w:pos="12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as a bona fide gift or gifts;</w:t>
      </w:r>
    </w:p>
    <w:p>
      <w:pPr>
        <w:spacing w:after="0" w:line="249" w:lineRule="exact"/>
        <w:rPr>
          <w:rFonts w:ascii="Arial" w:cs="Arial" w:eastAsia="Arial" w:hAnsi="Arial"/>
          <w:sz w:val="18"/>
          <w:szCs w:val="18"/>
          <w:color w:val="auto"/>
        </w:rPr>
      </w:pPr>
    </w:p>
    <w:p>
      <w:pPr>
        <w:ind w:left="1280" w:hanging="636"/>
        <w:spacing w:after="0" w:line="305" w:lineRule="auto"/>
        <w:tabs>
          <w:tab w:leader="none" w:pos="12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to any trust for the direct or indirect benefit of the undersigned or the immediate family of the undersigned (for purposes of this agreement, “immediate family” shall mean any relationship by blood, marriage or adoption, not more remote than first cousin);</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5">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226" w:right="560" w:bottom="1440" w:gutter="0" w:footer="0" w:header="0"/>
        </w:sectPr>
      </w:pPr>
    </w:p>
    <w:bookmarkStart w:id="231" w:name="page232"/>
    <w:bookmarkEnd w:id="231"/>
    <w:p>
      <w:pPr>
        <w:ind w:left="1280" w:hanging="636"/>
        <w:spacing w:after="0"/>
        <w:tabs>
          <w:tab w:leader="none" w:pos="1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as a distribution to limited partners, members or stockholders of the undersigned;</w:t>
      </w:r>
    </w:p>
    <w:p>
      <w:pPr>
        <w:spacing w:after="0" w:line="249" w:lineRule="exact"/>
        <w:rPr>
          <w:rFonts w:ascii="Arial" w:cs="Arial" w:eastAsia="Arial" w:hAnsi="Arial"/>
          <w:sz w:val="18"/>
          <w:szCs w:val="18"/>
          <w:color w:val="auto"/>
        </w:rPr>
      </w:pPr>
    </w:p>
    <w:p>
      <w:pPr>
        <w:ind w:left="1280" w:hanging="636"/>
        <w:spacing w:after="0"/>
        <w:tabs>
          <w:tab w:leader="none" w:pos="1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the undersigned’s affiliates or to any investment fund or other entity controlled or managed by the undersigned; or</w:t>
      </w:r>
    </w:p>
    <w:p>
      <w:pPr>
        <w:spacing w:after="0" w:line="249" w:lineRule="exact"/>
        <w:rPr>
          <w:rFonts w:ascii="Arial" w:cs="Arial" w:eastAsia="Arial" w:hAnsi="Arial"/>
          <w:sz w:val="18"/>
          <w:szCs w:val="18"/>
          <w:color w:val="auto"/>
        </w:rPr>
      </w:pPr>
    </w:p>
    <w:p>
      <w:pPr>
        <w:ind w:left="1280" w:hanging="636"/>
        <w:spacing w:after="0" w:line="274" w:lineRule="auto"/>
        <w:tabs>
          <w:tab w:leader="none" w:pos="1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the Company in connection with the net exercise or net settlement of an award granted under a compensatory plan of the Company adopted prior to the Public Offering.</w:t>
      </w:r>
    </w:p>
    <w:p>
      <w:pPr>
        <w:spacing w:after="0" w:line="198" w:lineRule="exact"/>
        <w:rPr>
          <w:sz w:val="20"/>
          <w:szCs w:val="20"/>
          <w:color w:val="auto"/>
        </w:rPr>
      </w:pPr>
    </w:p>
    <w:p>
      <w:pPr>
        <w:jc w:val="both"/>
        <w:ind w:firstLine="644"/>
        <w:spacing w:after="0" w:line="299" w:lineRule="auto"/>
        <w:rPr>
          <w:sz w:val="20"/>
          <w:szCs w:val="20"/>
          <w:color w:val="auto"/>
        </w:rPr>
      </w:pPr>
      <w:r>
        <w:rPr>
          <w:rFonts w:ascii="Arial" w:cs="Arial" w:eastAsia="Arial" w:hAnsi="Arial"/>
          <w:sz w:val="16"/>
          <w:szCs w:val="16"/>
          <w:color w:val="auto"/>
        </w:rPr>
        <w:t>In addition, the undersigned may establish a trading plan pursuant to Rule 10b5-1 under the Exchange Act for the transfer of Class A Shares during the Lock-Up Period, provided that (i) such plan does not provide for the transfer of Class A Shares during the Lock-Up Period and (ii) to the extent a public announcement or filing under the Exchange Act, if any, is required of or voluntarily made by the Company regarding the establishment of such plan, such announcement or filing shall include a statement to the effect that no transfer of Class A Shares may be made under such plan during the Lock-Up Period.</w:t>
      </w:r>
    </w:p>
    <w:p>
      <w:pPr>
        <w:spacing w:after="0" w:line="183" w:lineRule="exact"/>
        <w:rPr>
          <w:sz w:val="20"/>
          <w:szCs w:val="20"/>
          <w:color w:val="auto"/>
        </w:rPr>
      </w:pPr>
    </w:p>
    <w:p>
      <w:pPr>
        <w:jc w:val="both"/>
        <w:ind w:firstLine="644"/>
        <w:spacing w:after="0" w:line="284" w:lineRule="auto"/>
        <w:rPr>
          <w:sz w:val="20"/>
          <w:szCs w:val="20"/>
          <w:color w:val="auto"/>
        </w:rPr>
      </w:pPr>
      <w:r>
        <w:rPr>
          <w:rFonts w:ascii="Arial" w:cs="Arial" w:eastAsia="Arial" w:hAnsi="Arial"/>
          <w:sz w:val="17"/>
          <w:szCs w:val="17"/>
          <w:color w:val="auto"/>
        </w:rPr>
        <w:t>Furthermore, the undersigned may sell Class A Shares of the Company purchased by the undersigned on the open market following the Public Offering if and only if (i) such sales are not required to be reported in any public report or filing with the Securities and Exchange Commission, or otherwise and (ii) the undersigned does not otherwise voluntarily effect any public filing or report regarding such sales.</w:t>
      </w:r>
    </w:p>
    <w:p>
      <w:pPr>
        <w:spacing w:after="0" w:line="191" w:lineRule="exact"/>
        <w:rPr>
          <w:sz w:val="20"/>
          <w:szCs w:val="20"/>
          <w:color w:val="auto"/>
        </w:rPr>
      </w:pPr>
    </w:p>
    <w:p>
      <w:pPr>
        <w:jc w:val="both"/>
        <w:ind w:firstLine="644"/>
        <w:spacing w:after="0" w:line="274"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98" w:lineRule="exact"/>
        <w:rPr>
          <w:sz w:val="20"/>
          <w:szCs w:val="20"/>
          <w:color w:val="auto"/>
        </w:rPr>
      </w:pPr>
    </w:p>
    <w:p>
      <w:pPr>
        <w:jc w:val="both"/>
        <w:ind w:firstLine="644"/>
        <w:spacing w:after="0" w:line="286" w:lineRule="auto"/>
        <w:rPr>
          <w:sz w:val="20"/>
          <w:szCs w:val="20"/>
          <w:color w:val="auto"/>
        </w:rPr>
      </w:pPr>
      <w:r>
        <w:rPr>
          <w:rFonts w:ascii="Arial" w:cs="Arial" w:eastAsia="Arial" w:hAnsi="Arial"/>
          <w:sz w:val="16"/>
          <w:szCs w:val="16"/>
          <w:color w:val="auto"/>
        </w:rPr>
        <w:t>This agreement shall lapse and become null and void if (i) prior to entering the Underwriting Agreement, the Company notifies Morgan Stanley in writing that the Company does not intend to proceed with the offering of the Class A Shares through Morgan Stanley and files an application to withdraw the registration statement related to the offering, (ii) the Company and the Representatives have not entered into the Underwriting Agreement on 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before</w:t>
            </w:r>
          </w:p>
        </w:tc>
        <w:tc>
          <w:tcPr>
            <w:tcW w:w="10440" w:type="dxa"/>
            <w:vAlign w:val="bottom"/>
          </w:tcPr>
          <w:p>
            <w:pPr>
              <w:ind w:left="280"/>
              <w:spacing w:after="0"/>
              <w:rPr>
                <w:sz w:val="20"/>
                <w:szCs w:val="20"/>
                <w:color w:val="auto"/>
              </w:rPr>
            </w:pPr>
            <w:r>
              <w:rPr>
                <w:rFonts w:ascii="Arial" w:cs="Arial" w:eastAsia="Arial" w:hAnsi="Arial"/>
                <w:sz w:val="18"/>
                <w:szCs w:val="18"/>
                <w:color w:val="auto"/>
              </w:rPr>
              <w:t>, 2019, or (iii) for any reason the Underwriting Agreement is terminated prior to the Closing Time (as defined therein).</w:t>
            </w:r>
          </w:p>
        </w:tc>
      </w:tr>
      <w:tr>
        <w:trPr>
          <w:trHeight w:val="441"/>
        </w:trPr>
        <w:tc>
          <w:tcPr>
            <w:tcW w:w="720" w:type="dxa"/>
            <w:vAlign w:val="bottom"/>
          </w:tcPr>
          <w:p>
            <w:pPr>
              <w:spacing w:after="0"/>
              <w:rPr>
                <w:sz w:val="24"/>
                <w:szCs w:val="24"/>
                <w:color w:val="auto"/>
              </w:rPr>
            </w:pPr>
          </w:p>
        </w:tc>
        <w:tc>
          <w:tcPr>
            <w:tcW w:w="10440" w:type="dxa"/>
            <w:vAlign w:val="bottom"/>
          </w:tcPr>
          <w:p>
            <w:pPr>
              <w:jc w:val="center"/>
              <w:ind w:right="611"/>
              <w:spacing w:after="0"/>
              <w:rPr>
                <w:sz w:val="20"/>
                <w:szCs w:val="20"/>
                <w:color w:val="auto"/>
              </w:rPr>
            </w:pPr>
            <w:r>
              <w:rPr>
                <w:rFonts w:ascii="Arial" w:cs="Arial" w:eastAsia="Arial" w:hAnsi="Arial"/>
                <w:sz w:val="18"/>
                <w:szCs w:val="18"/>
                <w:color w:val="auto"/>
                <w:w w:val="97"/>
              </w:rPr>
              <w:t>[REMAINDER OF THIS PAGE LEFT INTENTIONALLY BLANK]</w:t>
            </w:r>
          </w:p>
        </w:tc>
      </w:tr>
      <w:tr>
        <w:trPr>
          <w:trHeight w:val="630"/>
        </w:trPr>
        <w:tc>
          <w:tcPr>
            <w:tcW w:w="720" w:type="dxa"/>
            <w:vAlign w:val="bottom"/>
          </w:tcPr>
          <w:p>
            <w:pPr>
              <w:spacing w:after="0"/>
              <w:rPr>
                <w:sz w:val="24"/>
                <w:szCs w:val="24"/>
                <w:color w:val="auto"/>
              </w:rPr>
            </w:pPr>
          </w:p>
        </w:tc>
        <w:tc>
          <w:tcPr>
            <w:tcW w:w="10440" w:type="dxa"/>
            <w:vAlign w:val="bottom"/>
          </w:tcPr>
          <w:p>
            <w:pPr>
              <w:jc w:val="center"/>
              <w:ind w:right="591"/>
              <w:spacing w:after="0"/>
              <w:rPr>
                <w:sz w:val="20"/>
                <w:szCs w:val="20"/>
                <w:color w:val="auto"/>
              </w:rPr>
            </w:pPr>
            <w:r>
              <w:rPr>
                <w:rFonts w:ascii="Arial" w:cs="Arial" w:eastAsia="Arial" w:hAnsi="Arial"/>
                <w:sz w:val="18"/>
                <w:szCs w:val="18"/>
                <w:color w:val="auto"/>
                <w:w w:val="94"/>
              </w:rPr>
              <w:t>Ex. B-3</w:t>
            </w:r>
          </w:p>
        </w:tc>
      </w:tr>
      <w:tr>
        <w:trPr>
          <w:trHeight w:val="60"/>
        </w:trPr>
        <w:tc>
          <w:tcPr>
            <w:tcW w:w="720" w:type="dxa"/>
            <w:vAlign w:val="bottom"/>
            <w:tcBorders>
              <w:bottom w:val="single" w:sz="8" w:color="auto"/>
            </w:tcBorders>
          </w:tcPr>
          <w:p>
            <w:pPr>
              <w:spacing w:after="0"/>
              <w:rPr>
                <w:sz w:val="5"/>
                <w:szCs w:val="5"/>
                <w:color w:val="auto"/>
              </w:rPr>
            </w:pPr>
          </w:p>
        </w:tc>
        <w:tc>
          <w:tcPr>
            <w:tcW w:w="10440" w:type="dxa"/>
            <w:vAlign w:val="bottom"/>
            <w:tcBorders>
              <w:bottom w:val="single" w:sz="8" w:color="auto"/>
            </w:tcBorders>
          </w:tcPr>
          <w:p>
            <w:pPr>
              <w:spacing w:after="0"/>
              <w:rPr>
                <w:sz w:val="5"/>
                <w:szCs w:val="5"/>
                <w:color w:val="auto"/>
              </w:rPr>
            </w:pPr>
          </w:p>
        </w:tc>
      </w:tr>
    </w:tbl>
    <w:p>
      <w:pPr>
        <w:sectPr>
          <w:pgSz w:w="12240" w:h="15840" w:orient="portrait"/>
          <w:cols w:equalWidth="0" w:num="1">
            <w:col w:w="11160"/>
          </w:cols>
          <w:pgMar w:left="520" w:top="227" w:right="560" w:bottom="1440" w:gutter="0" w:footer="0" w:header="0"/>
        </w:sectPr>
      </w:pPr>
    </w:p>
    <w:bookmarkStart w:id="232" w:name="page233"/>
    <w:bookmarkEnd w:id="232"/>
    <w:p>
      <w:pPr>
        <w:ind w:left="5800"/>
        <w:spacing w:after="0"/>
        <w:rPr>
          <w:sz w:val="20"/>
          <w:szCs w:val="20"/>
          <w:color w:val="auto"/>
        </w:rPr>
      </w:pPr>
      <w:r>
        <w:rPr>
          <w:rFonts w:ascii="Arial" w:cs="Arial" w:eastAsia="Arial" w:hAnsi="Arial"/>
          <w:sz w:val="16"/>
          <w:szCs w:val="16"/>
          <w:color w:val="auto"/>
        </w:rPr>
        <w:t>Very truly yours,</w:t>
      </w:r>
    </w:p>
    <w:p>
      <w:pPr>
        <w:spacing w:after="0" w:line="24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4390390</wp:posOffset>
            </wp:positionH>
            <wp:positionV relativeFrom="paragraph">
              <wp:posOffset>22225</wp:posOffset>
            </wp:positionV>
            <wp:extent cx="211201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6">
                      <a:extLst>
                        <a:ext uri="{28A0092B-C50C-407E-A947-70E740481C1C}"/>
                      </a:extLst>
                    </a:blip>
                    <a:srcRect/>
                    <a:stretch>
                      <a:fillRect/>
                    </a:stretch>
                  </pic:blipFill>
                  <pic:spPr bwMode="auto">
                    <a:xfrm>
                      <a:off x="0" y="0"/>
                      <a:ext cx="2112010" cy="17145"/>
                    </a:xfrm>
                    <a:prstGeom prst="rect">
                      <a:avLst/>
                    </a:prstGeom>
                    <a:noFill/>
                  </pic:spPr>
                </pic:pic>
              </a:graphicData>
            </a:graphic>
          </wp:anchor>
        </w:drawing>
      </w:r>
    </w:p>
    <w:p>
      <w:pPr>
        <w:spacing w:after="0" w:line="24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4390390</wp:posOffset>
            </wp:positionH>
            <wp:positionV relativeFrom="paragraph">
              <wp:posOffset>22225</wp:posOffset>
            </wp:positionV>
            <wp:extent cx="211201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7">
                      <a:extLst>
                        <a:ext uri="{28A0092B-C50C-407E-A947-70E740481C1C}"/>
                      </a:extLst>
                    </a:blip>
                    <a:srcRect/>
                    <a:stretch>
                      <a:fillRect/>
                    </a:stretch>
                  </pic:blipFill>
                  <pic:spPr bwMode="auto">
                    <a:xfrm>
                      <a:off x="0" y="0"/>
                      <a:ext cx="211201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55245</wp:posOffset>
            </wp:positionV>
            <wp:extent cx="708660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8">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9360"/>
          </w:cols>
          <w:pgMar w:left="1440" w:top="226" w:right="1440"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color w:val="auto"/>
        </w:rPr>
        <w:t>Exhibit C</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PRESS RELEASE</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ISSUED PURSUANT TO SECTION 3(i)</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LLC</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New Fortress Energy LLC (the “Company”) announced today that Morgan Stanley, the lead book-running manager in the Company’s recent public sale</w:t>
      </w:r>
    </w:p>
    <w:p>
      <w:pPr>
        <w:spacing w:after="0" w:line="4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of Class A shares, is [waiving] [releasing] a lock-up restriction with respect to Class A shares of the Company held by [certain officers or directors] [an officer or director] of the Company. The [waiver] [release] will take effect on , 20 , and the shares may be sold on or after such date.</w:t>
      </w:r>
    </w:p>
    <w:p>
      <w:pPr>
        <w:spacing w:after="0" w:line="21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08660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234" w:name="page235"/>
    <w:bookmarkEnd w:id="234"/>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0">
                      <a:extLst>
                        <a:ext uri="{28A0092B-C50C-407E-A947-70E740481C1C}"/>
                      </a:extLst>
                    </a:blip>
                    <a:srcRect/>
                    <a:stretch>
                      <a:fillRect/>
                    </a:stretch>
                  </pic:blipFill>
                  <pic:spPr bwMode="auto">
                    <a:xfrm>
                      <a:off x="0" y="0"/>
                      <a:ext cx="7086600" cy="34290"/>
                    </a:xfrm>
                    <a:prstGeom prst="rect">
                      <a:avLst/>
                    </a:prstGeom>
                    <a:noFill/>
                  </pic:spPr>
                </pic:pic>
              </a:graphicData>
            </a:graphic>
          </wp:anchor>
        </w:drawing>
        <w:t>Exhibit 23.1</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August 16, 2018, with respect to the consolidated financial statements of New Fortress Energy Holdings LLC included in Amendment No. 4 to the Registration Statement (Form S-1 No. 333-228339) and related Prospectus of New Fortress Energy LLC dated January 29, 2019.</w:t>
      </w:r>
    </w:p>
    <w:p>
      <w:pPr>
        <w:spacing w:after="0" w:line="210"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/s/ Ernst &amp; Young LLP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January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08660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1">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sectPr>
      <w:pgSz w:w="12240" w:h="15840" w:orient="portrait"/>
      <w:cols w:equalWidth="0" w:num="1">
        <w:col w:w="11160"/>
      </w:cols>
      <w:pgMar w:left="520" w:top="133"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370B"/>
    <w:multiLevelType w:val="hybridMultilevel"/>
    <w:lvl w:ilvl="0">
      <w:lvlJc w:val="left"/>
      <w:lvlText w:val="•"/>
      <w:numFmt w:val="bullet"/>
      <w:start w:val="1"/>
    </w:lvl>
  </w:abstractNum>
  <w:abstractNum w:abstractNumId="1">
    <w:nsid w:val="50801EE1"/>
    <w:multiLevelType w:val="hybridMultilevel"/>
    <w:lvl w:ilvl="0">
      <w:lvlJc w:val="left"/>
      <w:lvlText w:val="(%1)"/>
      <w:numFmt w:val="decimal"/>
      <w:start w:val="1"/>
    </w:lvl>
  </w:abstractNum>
  <w:abstractNum w:abstractNumId="2">
    <w:nsid w:val="488AC1A"/>
    <w:multiLevelType w:val="hybridMultilevel"/>
    <w:lvl w:ilvl="0">
      <w:lvlJc w:val="left"/>
      <w:lvlText w:val="•"/>
      <w:numFmt w:val="bullet"/>
      <w:start w:val="1"/>
    </w:lvl>
  </w:abstractNum>
  <w:abstractNum w:abstractNumId="3">
    <w:nsid w:val="5FB8011C"/>
    <w:multiLevelType w:val="hybridMultilevel"/>
    <w:lvl w:ilvl="0">
      <w:lvlJc w:val="left"/>
      <w:lvlText w:val="(%1)"/>
      <w:numFmt w:val="decimal"/>
      <w:start w:val="1"/>
    </w:lvl>
  </w:abstractNum>
  <w:abstractNum w:abstractNumId="4">
    <w:nsid w:val="6AA78F7F"/>
    <w:multiLevelType w:val="hybridMultilevel"/>
    <w:lvl w:ilvl="0">
      <w:lvlJc w:val="left"/>
      <w:lvlText w:val="•"/>
      <w:numFmt w:val="bullet"/>
      <w:start w:val="1"/>
    </w:lvl>
  </w:abstractNum>
  <w:abstractNum w:abstractNumId="5">
    <w:nsid w:val="7672BD23"/>
    <w:multiLevelType w:val="hybridMultilevel"/>
    <w:lvl w:ilvl="0">
      <w:lvlJc w:val="left"/>
      <w:lvlText w:val="•"/>
      <w:numFmt w:val="bullet"/>
      <w:start w:val="1"/>
    </w:lvl>
  </w:abstractNum>
  <w:abstractNum w:abstractNumId="6">
    <w:nsid w:val="6FC75AF8"/>
    <w:multiLevelType w:val="hybridMultilevel"/>
    <w:lvl w:ilvl="0">
      <w:lvlJc w:val="left"/>
      <w:lvlText w:val="•"/>
      <w:numFmt w:val="bullet"/>
      <w:start w:val="1"/>
    </w:lvl>
  </w:abstractNum>
  <w:abstractNum w:abstractNumId="7">
    <w:nsid w:val="6A5F7029"/>
    <w:multiLevelType w:val="hybridMultilevel"/>
    <w:lvl w:ilvl="0">
      <w:lvlJc w:val="left"/>
      <w:lvlText w:val="•"/>
      <w:numFmt w:val="bullet"/>
      <w:start w:val="1"/>
    </w:lvl>
  </w:abstractNum>
  <w:abstractNum w:abstractNumId="8">
    <w:nsid w:val="7D5E18F8"/>
    <w:multiLevelType w:val="hybridMultilevel"/>
    <w:lvl w:ilvl="0">
      <w:lvlJc w:val="left"/>
      <w:lvlText w:val="•"/>
      <w:numFmt w:val="bullet"/>
      <w:start w:val="1"/>
    </w:lvl>
  </w:abstractNum>
  <w:abstractNum w:abstractNumId="9">
    <w:nsid w:val="5F3534A4"/>
    <w:multiLevelType w:val="hybridMultilevel"/>
    <w:lvl w:ilvl="0">
      <w:lvlJc w:val="left"/>
      <w:lvlText w:val="•"/>
      <w:numFmt w:val="bullet"/>
      <w:start w:val="1"/>
    </w:lvl>
  </w:abstractNum>
  <w:abstractNum w:abstractNumId="10">
    <w:nsid w:val="73A1821B"/>
    <w:multiLevelType w:val="hybridMultilevel"/>
    <w:lvl w:ilvl="0">
      <w:lvlJc w:val="left"/>
      <w:lvlText w:val="•"/>
      <w:numFmt w:val="bullet"/>
      <w:start w:val="1"/>
    </w:lvl>
  </w:abstractNum>
  <w:abstractNum w:abstractNumId="11">
    <w:nsid w:val="7DE67713"/>
    <w:multiLevelType w:val="hybridMultilevel"/>
    <w:lvl w:ilvl="0">
      <w:lvlJc w:val="left"/>
      <w:lvlText w:val="•"/>
      <w:numFmt w:val="bullet"/>
      <w:start w:val="1"/>
    </w:lvl>
  </w:abstractNum>
  <w:abstractNum w:abstractNumId="12">
    <w:nsid w:val="555C55B5"/>
    <w:multiLevelType w:val="hybridMultilevel"/>
    <w:lvl w:ilvl="0">
      <w:lvlJc w:val="left"/>
      <w:lvlText w:val="(%1)"/>
      <w:numFmt w:val="decimal"/>
      <w:start w:val="1"/>
    </w:lvl>
  </w:abstractNum>
  <w:abstractNum w:abstractNumId="13">
    <w:nsid w:val="3FA62ACA"/>
    <w:multiLevelType w:val="hybridMultilevel"/>
    <w:lvl w:ilvl="0">
      <w:lvlJc w:val="left"/>
      <w:lvlText w:val="(%1)"/>
      <w:numFmt w:val="decimal"/>
      <w:start w:val="1"/>
    </w:lvl>
  </w:abstractNum>
  <w:abstractNum w:abstractNumId="14">
    <w:nsid w:val="14FCE74E"/>
    <w:multiLevelType w:val="hybridMultilevel"/>
    <w:lvl w:ilvl="0">
      <w:lvlJc w:val="left"/>
      <w:lvlText w:val="•"/>
      <w:numFmt w:val="bullet"/>
      <w:start w:val="1"/>
    </w:lvl>
  </w:abstractNum>
  <w:abstractNum w:abstractNumId="15">
    <w:nsid w:val="6A3DD3E8"/>
    <w:multiLevelType w:val="hybridMultilevel"/>
    <w:lvl w:ilvl="0">
      <w:lvlJc w:val="left"/>
      <w:lvlText w:val="•"/>
      <w:numFmt w:val="bullet"/>
      <w:start w:val="1"/>
    </w:lvl>
  </w:abstractNum>
  <w:abstractNum w:abstractNumId="16">
    <w:nsid w:val="71C91298"/>
    <w:multiLevelType w:val="hybridMultilevel"/>
    <w:lvl w:ilvl="0">
      <w:lvlJc w:val="left"/>
      <w:lvlText w:val="•"/>
      <w:numFmt w:val="bullet"/>
      <w:start w:val="1"/>
    </w:lvl>
  </w:abstractNum>
  <w:abstractNum w:abstractNumId="17">
    <w:nsid w:val="9DAF632"/>
    <w:multiLevelType w:val="hybridMultilevel"/>
    <w:lvl w:ilvl="0">
      <w:lvlJc w:val="left"/>
      <w:lvlText w:val="•"/>
      <w:numFmt w:val="bullet"/>
      <w:start w:val="1"/>
    </w:lvl>
  </w:abstractNum>
  <w:abstractNum w:abstractNumId="18">
    <w:nsid w:val="53299938"/>
    <w:multiLevelType w:val="hybridMultilevel"/>
    <w:lvl w:ilvl="0">
      <w:lvlJc w:val="left"/>
      <w:lvlText w:val="•"/>
      <w:numFmt w:val="bullet"/>
      <w:start w:val="1"/>
    </w:lvl>
  </w:abstractNum>
  <w:abstractNum w:abstractNumId="19">
    <w:nsid w:val="1FBFE8E0"/>
    <w:multiLevelType w:val="hybridMultilevel"/>
    <w:lvl w:ilvl="0">
      <w:lvlJc w:val="left"/>
      <w:lvlText w:val="•"/>
      <w:numFmt w:val="bullet"/>
      <w:start w:val="1"/>
    </w:lvl>
  </w:abstractNum>
  <w:abstractNum w:abstractNumId="20">
    <w:nsid w:val="5092CA79"/>
    <w:multiLevelType w:val="hybridMultilevel"/>
    <w:lvl w:ilvl="0">
      <w:lvlJc w:val="left"/>
      <w:lvlText w:val="•"/>
      <w:numFmt w:val="bullet"/>
      <w:start w:val="1"/>
    </w:lvl>
  </w:abstractNum>
  <w:abstractNum w:abstractNumId="21">
    <w:nsid w:val="1D545C4D"/>
    <w:multiLevelType w:val="hybridMultilevel"/>
    <w:lvl w:ilvl="0">
      <w:lvlJc w:val="left"/>
      <w:lvlText w:val="•"/>
      <w:numFmt w:val="bullet"/>
      <w:start w:val="1"/>
    </w:lvl>
  </w:abstractNum>
  <w:abstractNum w:abstractNumId="22">
    <w:nsid w:val="59ADEA3D"/>
    <w:multiLevelType w:val="hybridMultilevel"/>
    <w:lvl w:ilvl="0">
      <w:lvlJc w:val="left"/>
      <w:lvlText w:val="•"/>
      <w:numFmt w:val="bullet"/>
      <w:start w:val="1"/>
    </w:lvl>
  </w:abstractNum>
  <w:abstractNum w:abstractNumId="23">
    <w:nsid w:val="288F1A34"/>
    <w:multiLevelType w:val="hybridMultilevel"/>
    <w:lvl w:ilvl="0">
      <w:lvlJc w:val="left"/>
      <w:lvlText w:val="•"/>
      <w:numFmt w:val="bullet"/>
      <w:start w:val="1"/>
    </w:lvl>
  </w:abstractNum>
  <w:abstractNum w:abstractNumId="24">
    <w:nsid w:val="2A155DBC"/>
    <w:multiLevelType w:val="hybridMultilevel"/>
    <w:lvl w:ilvl="0">
      <w:lvlJc w:val="left"/>
      <w:lvlText w:val="•"/>
      <w:numFmt w:val="bullet"/>
      <w:start w:val="1"/>
    </w:lvl>
  </w:abstractNum>
  <w:abstractNum w:abstractNumId="25">
    <w:nsid w:val="1D9F6E5F"/>
    <w:multiLevelType w:val="hybridMultilevel"/>
    <w:lvl w:ilvl="0">
      <w:lvlJc w:val="left"/>
      <w:lvlText w:val="•"/>
      <w:numFmt w:val="bullet"/>
      <w:start w:val="1"/>
    </w:lvl>
  </w:abstractNum>
  <w:abstractNum w:abstractNumId="26">
    <w:nsid w:val="97E1B4E"/>
    <w:multiLevelType w:val="hybridMultilevel"/>
    <w:lvl w:ilvl="0">
      <w:lvlJc w:val="left"/>
      <w:lvlText w:val="•"/>
      <w:numFmt w:val="bullet"/>
      <w:start w:val="1"/>
    </w:lvl>
  </w:abstractNum>
  <w:abstractNum w:abstractNumId="27">
    <w:nsid w:val="51088277"/>
    <w:multiLevelType w:val="hybridMultilevel"/>
    <w:lvl w:ilvl="0">
      <w:lvlJc w:val="left"/>
      <w:lvlText w:val="•"/>
      <w:numFmt w:val="bullet"/>
      <w:start w:val="1"/>
    </w:lvl>
  </w:abstractNum>
  <w:abstractNum w:abstractNumId="28">
    <w:nsid w:val="1CA0C5FA"/>
    <w:multiLevelType w:val="hybridMultilevel"/>
    <w:lvl w:ilvl="0">
      <w:lvlJc w:val="left"/>
      <w:lvlText w:val="%1"/>
      <w:numFmt w:val="upperLetter"/>
      <w:start w:val="61"/>
    </w:lvl>
  </w:abstractNum>
  <w:abstractNum w:abstractNumId="29">
    <w:nsid w:val="53584BCB"/>
    <w:multiLevelType w:val="hybridMultilevel"/>
    <w:lvl w:ilvl="0">
      <w:lvlJc w:val="left"/>
      <w:lvlText w:val="•"/>
      <w:numFmt w:val="bullet"/>
      <w:start w:val="1"/>
    </w:lvl>
  </w:abstractNum>
  <w:abstractNum w:abstractNumId="30">
    <w:nsid w:val="415E286C"/>
    <w:multiLevelType w:val="hybridMultilevel"/>
    <w:lvl w:ilvl="0">
      <w:lvlJc w:val="left"/>
      <w:lvlText w:val="•"/>
      <w:numFmt w:val="bullet"/>
      <w:start w:val="1"/>
    </w:lvl>
  </w:abstractNum>
  <w:abstractNum w:abstractNumId="31">
    <w:nsid w:val="7C58FD05"/>
    <w:multiLevelType w:val="hybridMultilevel"/>
    <w:lvl w:ilvl="0">
      <w:lvlJc w:val="left"/>
      <w:lvlText w:val="•"/>
      <w:numFmt w:val="bullet"/>
      <w:start w:val="1"/>
    </w:lvl>
  </w:abstractNum>
  <w:abstractNum w:abstractNumId="32">
    <w:nsid w:val="23D86AAC"/>
    <w:multiLevelType w:val="hybridMultilevel"/>
    <w:lvl w:ilvl="0">
      <w:lvlJc w:val="left"/>
      <w:lvlText w:val="•"/>
      <w:numFmt w:val="bullet"/>
      <w:start w:val="1"/>
    </w:lvl>
  </w:abstractNum>
  <w:abstractNum w:abstractNumId="33">
    <w:nsid w:val="45E6D486"/>
    <w:multiLevelType w:val="hybridMultilevel"/>
    <w:lvl w:ilvl="0">
      <w:lvlJc w:val="left"/>
      <w:lvlText w:val="•"/>
      <w:numFmt w:val="bullet"/>
      <w:start w:val="1"/>
    </w:lvl>
  </w:abstractNum>
  <w:abstractNum w:abstractNumId="34">
    <w:nsid w:val="5C10FE21"/>
    <w:multiLevelType w:val="hybridMultilevel"/>
    <w:lvl w:ilvl="0">
      <w:lvlJc w:val="left"/>
      <w:lvlText w:val="•"/>
      <w:numFmt w:val="bullet"/>
      <w:start w:val="1"/>
    </w:lvl>
  </w:abstractNum>
  <w:abstractNum w:abstractNumId="35">
    <w:nsid w:val="E7FFA2B"/>
    <w:multiLevelType w:val="hybridMultilevel"/>
    <w:lvl w:ilvl="0">
      <w:lvlJc w:val="left"/>
      <w:lvlText w:val="(%1)"/>
      <w:numFmt w:val="lowerRoman"/>
      <w:start w:val="4"/>
    </w:lvl>
  </w:abstractNum>
  <w:abstractNum w:abstractNumId="36">
    <w:nsid w:val="3C5991AA"/>
    <w:multiLevelType w:val="hybridMultilevel"/>
    <w:lvl w:ilvl="0">
      <w:lvlJc w:val="left"/>
      <w:lvlText w:val="(%1)"/>
      <w:numFmt w:val="lowerRoman"/>
      <w:start w:val="1"/>
    </w:lvl>
  </w:abstractNum>
  <w:abstractNum w:abstractNumId="37">
    <w:nsid w:val="4BD8591A"/>
    <w:multiLevelType w:val="hybridMultilevel"/>
    <w:lvl w:ilvl="0">
      <w:lvlJc w:val="left"/>
      <w:lvlText w:val="•"/>
      <w:numFmt w:val="bullet"/>
      <w:start w:val="1"/>
    </w:lvl>
  </w:abstractNum>
  <w:abstractNum w:abstractNumId="38">
    <w:nsid w:val="78DF6A55"/>
    <w:multiLevelType w:val="hybridMultilevel"/>
    <w:lvl w:ilvl="0">
      <w:lvlJc w:val="left"/>
      <w:lvlText w:val="(%1)"/>
      <w:numFmt w:val="decimal"/>
      <w:start w:val="1"/>
    </w:lvl>
  </w:abstractNum>
  <w:abstractNum w:abstractNumId="39">
    <w:nsid w:val="39B7AAA2"/>
    <w:multiLevelType w:val="hybridMultilevel"/>
    <w:lvl w:ilvl="0">
      <w:lvlJc w:val="left"/>
      <w:lvlText w:val="(%1)"/>
      <w:numFmt w:val="decimal"/>
      <w:start w:val="1"/>
    </w:lvl>
  </w:abstractNum>
  <w:abstractNum w:abstractNumId="40">
    <w:nsid w:val="2B0D8DBE"/>
    <w:multiLevelType w:val="hybridMultilevel"/>
    <w:lvl w:ilvl="0">
      <w:lvlJc w:val="left"/>
      <w:lvlText w:val="(%1)"/>
      <w:numFmt w:val="decimal"/>
      <w:start w:val="1"/>
    </w:lvl>
  </w:abstractNum>
  <w:abstractNum w:abstractNumId="41">
    <w:nsid w:val="6C80EC70"/>
    <w:multiLevelType w:val="hybridMultilevel"/>
    <w:lvl w:ilvl="0">
      <w:lvlJc w:val="left"/>
      <w:lvlText w:val="(%1)"/>
      <w:numFmt w:val="decimal"/>
      <w:start w:val="1"/>
    </w:lvl>
  </w:abstractNum>
  <w:abstractNum w:abstractNumId="42">
    <w:nsid w:val="379E21B5"/>
    <w:multiLevelType w:val="hybridMultilevel"/>
    <w:lvl w:ilvl="0">
      <w:lvlJc w:val="left"/>
      <w:lvlText w:val="•"/>
      <w:numFmt w:val="bullet"/>
      <w:start w:val="1"/>
    </w:lvl>
  </w:abstractNum>
  <w:abstractNum w:abstractNumId="43">
    <w:nsid w:val="69E373"/>
    <w:multiLevelType w:val="hybridMultilevel"/>
    <w:lvl w:ilvl="0">
      <w:lvlJc w:val="left"/>
      <w:lvlText w:val="(%1)"/>
      <w:numFmt w:val="lowerLetter"/>
      <w:start w:val="1"/>
    </w:lvl>
  </w:abstractNum>
  <w:abstractNum w:abstractNumId="44">
    <w:nsid w:val="2C27173B"/>
    <w:multiLevelType w:val="hybridMultilevel"/>
    <w:lvl w:ilvl="0">
      <w:lvlJc w:val="left"/>
      <w:lvlText w:val="(%1)"/>
      <w:numFmt w:val="decimal"/>
      <w:start w:val="1"/>
    </w:lvl>
  </w:abstractNum>
  <w:abstractNum w:abstractNumId="45">
    <w:nsid w:val="4C9B0904"/>
    <w:multiLevelType w:val="hybridMultilevel"/>
    <w:lvl w:ilvl="0">
      <w:lvlJc w:val="left"/>
      <w:lvlText w:val="•"/>
      <w:numFmt w:val="bullet"/>
      <w:start w:val="1"/>
    </w:lvl>
  </w:abstractNum>
  <w:abstractNum w:abstractNumId="46">
    <w:nsid w:val="6AA7B75C"/>
    <w:multiLevelType w:val="hybridMultilevel"/>
    <w:lvl w:ilvl="0">
      <w:lvlJc w:val="left"/>
      <w:lvlText w:val="•"/>
      <w:numFmt w:val="bullet"/>
      <w:start w:val="1"/>
    </w:lvl>
  </w:abstractNum>
  <w:abstractNum w:abstractNumId="47">
    <w:nsid w:val="1DF029D3"/>
    <w:multiLevelType w:val="hybridMultilevel"/>
    <w:lvl w:ilvl="0">
      <w:lvlJc w:val="left"/>
      <w:lvlText w:val="•"/>
      <w:numFmt w:val="bullet"/>
      <w:start w:val="1"/>
    </w:lvl>
  </w:abstractNum>
  <w:abstractNum w:abstractNumId="48">
    <w:nsid w:val="5675FF36"/>
    <w:multiLevelType w:val="hybridMultilevel"/>
    <w:lvl w:ilvl="0">
      <w:lvlJc w:val="left"/>
      <w:lvlText w:val="(%1)"/>
      <w:numFmt w:val="lowerRoman"/>
      <w:start w:val="2"/>
    </w:lvl>
  </w:abstractNum>
  <w:abstractNum w:abstractNumId="49">
    <w:nsid w:val="3DD15094"/>
    <w:multiLevelType w:val="hybridMultilevel"/>
    <w:lvl w:ilvl="0">
      <w:lvlJc w:val="left"/>
      <w:lvlText w:val="%1."/>
      <w:numFmt w:val="decimal"/>
      <w:start w:val="1"/>
    </w:lvl>
  </w:abstractNum>
  <w:abstractNum w:abstractNumId="50">
    <w:nsid w:val="3DB012B3"/>
    <w:multiLevelType w:val="hybridMultilevel"/>
    <w:lvl w:ilvl="0">
      <w:lvlJc w:val="left"/>
      <w:lvlText w:val="%1."/>
      <w:numFmt w:val="decimal"/>
      <w:start w:val="7"/>
    </w:lvl>
  </w:abstractNum>
  <w:abstractNum w:abstractNumId="51">
    <w:nsid w:val="2708C9AF"/>
    <w:multiLevelType w:val="hybridMultilevel"/>
    <w:lvl w:ilvl="0">
      <w:lvlJc w:val="left"/>
      <w:lvlText w:val="•"/>
      <w:numFmt w:val="bullet"/>
      <w:start w:val="1"/>
    </w:lvl>
  </w:abstractNum>
  <w:abstractNum w:abstractNumId="52">
    <w:nsid w:val="5B25ACE2"/>
    <w:multiLevelType w:val="hybridMultilevel"/>
    <w:lvl w:ilvl="0">
      <w:lvlJc w:val="left"/>
      <w:lvlText w:val="(%1)"/>
      <w:numFmt w:val="decimal"/>
      <w:start w:val="1"/>
    </w:lvl>
  </w:abstractNum>
  <w:abstractNum w:abstractNumId="53">
    <w:nsid w:val="175DFCF0"/>
    <w:multiLevelType w:val="hybridMultilevel"/>
    <w:lvl w:ilvl="0">
      <w:lvlJc w:val="left"/>
      <w:lvlText w:val="•"/>
      <w:numFmt w:val="bullet"/>
      <w:start w:val="1"/>
    </w:lvl>
  </w:abstractNum>
  <w:abstractNum w:abstractNumId="54">
    <w:nsid w:val="4F97E3E4"/>
    <w:multiLevelType w:val="hybridMultilevel"/>
    <w:lvl w:ilvl="0">
      <w:lvlJc w:val="left"/>
      <w:lvlText w:val="•"/>
      <w:numFmt w:val="bullet"/>
      <w:start w:val="1"/>
    </w:lvl>
  </w:abstractNum>
  <w:abstractNum w:abstractNumId="55">
    <w:nsid w:val="53B0A9E"/>
    <w:multiLevelType w:val="hybridMultilevel"/>
    <w:lvl w:ilvl="0">
      <w:lvlJc w:val="left"/>
      <w:lvlText w:val="•"/>
      <w:numFmt w:val="bullet"/>
      <w:start w:val="1"/>
    </w:lvl>
  </w:abstractNum>
  <w:abstractNum w:abstractNumId="56">
    <w:nsid w:val="34FD6B4F"/>
    <w:multiLevelType w:val="hybridMultilevel"/>
    <w:lvl w:ilvl="0">
      <w:lvlJc w:val="left"/>
      <w:lvlText w:val="(%1)"/>
      <w:numFmt w:val="lowerRoman"/>
      <w:start w:val="10"/>
    </w:lvl>
  </w:abstractNum>
  <w:abstractNum w:abstractNumId="57">
    <w:nsid w:val="5915FF32"/>
    <w:multiLevelType w:val="hybridMultilevel"/>
    <w:lvl w:ilvl="0">
      <w:lvlJc w:val="left"/>
      <w:lvlText w:val="•"/>
      <w:numFmt w:val="bullet"/>
      <w:start w:val="1"/>
    </w:lvl>
  </w:abstractNum>
  <w:abstractNum w:abstractNumId="58">
    <w:nsid w:val="56438D15"/>
    <w:multiLevelType w:val="hybridMultilevel"/>
    <w:lvl w:ilvl="0">
      <w:lvlJc w:val="left"/>
      <w:lvlText w:val="•"/>
      <w:numFmt w:val="bullet"/>
      <w:start w:val="1"/>
    </w:lvl>
  </w:abstractNum>
  <w:abstractNum w:abstractNumId="59">
    <w:nsid w:val="519E3149"/>
    <w:multiLevelType w:val="hybridMultilevel"/>
    <w:lvl w:ilvl="0">
      <w:lvlJc w:val="left"/>
      <w:lvlText w:val="•"/>
      <w:numFmt w:val="bullet"/>
      <w:start w:val="1"/>
    </w:lvl>
  </w:abstractNum>
  <w:abstractNum w:abstractNumId="60">
    <w:nsid w:val="2C6E4AFD"/>
    <w:multiLevelType w:val="hybridMultilevel"/>
    <w:lvl w:ilvl="0">
      <w:lvlJc w:val="left"/>
      <w:lvlText w:val="•"/>
      <w:numFmt w:val="bullet"/>
      <w:start w:val="1"/>
    </w:lvl>
  </w:abstractNum>
  <w:abstractNum w:abstractNumId="61">
    <w:nsid w:val="17A1B582"/>
    <w:multiLevelType w:val="hybridMultilevel"/>
    <w:lvl w:ilvl="0">
      <w:lvlJc w:val="left"/>
      <w:lvlText w:val="•"/>
      <w:numFmt w:val="bullet"/>
      <w:start w:val="1"/>
    </w:lvl>
  </w:abstractNum>
  <w:abstractNum w:abstractNumId="62">
    <w:nsid w:val="4DF72E4E"/>
    <w:multiLevelType w:val="hybridMultilevel"/>
    <w:lvl w:ilvl="0">
      <w:lvlJc w:val="left"/>
      <w:lvlText w:val="•"/>
      <w:numFmt w:val="bullet"/>
      <w:start w:val="1"/>
    </w:lvl>
  </w:abstractNum>
  <w:abstractNum w:abstractNumId="63">
    <w:nsid w:val="5046B5A9"/>
    <w:multiLevelType w:val="hybridMultilevel"/>
    <w:lvl w:ilvl="0">
      <w:lvlJc w:val="left"/>
      <w:lvlText w:val="•"/>
      <w:numFmt w:val="bullet"/>
      <w:start w:val="1"/>
    </w:lvl>
  </w:abstractNum>
  <w:abstractNum w:abstractNumId="64">
    <w:nsid w:val="5D888A08"/>
    <w:multiLevelType w:val="hybridMultilevel"/>
    <w:lvl w:ilvl="0">
      <w:lvlJc w:val="left"/>
      <w:lvlText w:val="(%1)"/>
      <w:numFmt w:val="decimal"/>
      <w:start w:val="3"/>
    </w:lvl>
  </w:abstractNum>
  <w:abstractNum w:abstractNumId="65">
    <w:nsid w:val="2A082C70"/>
    <w:multiLevelType w:val="hybridMultilevel"/>
    <w:lvl w:ilvl="0">
      <w:lvlJc w:val="left"/>
      <w:lvlText w:val="(%1)"/>
      <w:numFmt w:val="lowerRoman"/>
      <w:start w:val="1"/>
    </w:lvl>
  </w:abstractNum>
  <w:abstractNum w:abstractNumId="66">
    <w:nsid w:val="5EC6AFD4"/>
    <w:multiLevelType w:val="hybridMultilevel"/>
    <w:lvl w:ilvl="0">
      <w:lvlJc w:val="left"/>
      <w:lvlText w:val="•"/>
      <w:numFmt w:val="bullet"/>
      <w:start w:val="1"/>
    </w:lvl>
  </w:abstractNum>
  <w:abstractNum w:abstractNumId="67">
    <w:nsid w:val="19E21BB2"/>
    <w:multiLevelType w:val="hybridMultilevel"/>
    <w:lvl w:ilvl="0">
      <w:lvlJc w:val="left"/>
      <w:lvlText w:val="•"/>
      <w:numFmt w:val="bullet"/>
      <w:start w:val="1"/>
    </w:lvl>
  </w:abstractNum>
  <w:abstractNum w:abstractNumId="68">
    <w:nsid w:val="75E0858A"/>
    <w:multiLevelType w:val="hybridMultilevel"/>
    <w:lvl w:ilvl="0">
      <w:lvlJc w:val="left"/>
      <w:lvlText w:val="•"/>
      <w:numFmt w:val="bullet"/>
      <w:start w:val="1"/>
    </w:lvl>
  </w:abstractNum>
  <w:abstractNum w:abstractNumId="69">
    <w:nsid w:val="57A61A29"/>
    <w:multiLevelType w:val="hybridMultilevel"/>
    <w:lvl w:ilvl="0">
      <w:lvlJc w:val="left"/>
      <w:lvlText w:val="•"/>
      <w:numFmt w:val="bullet"/>
      <w:start w:val="1"/>
    </w:lvl>
  </w:abstractNum>
  <w:abstractNum w:abstractNumId="70">
    <w:nsid w:val="5399C654"/>
    <w:multiLevelType w:val="hybridMultilevel"/>
    <w:lvl w:ilvl="0">
      <w:lvlJc w:val="left"/>
      <w:lvlText w:val="•"/>
      <w:numFmt w:val="bullet"/>
      <w:start w:val="1"/>
    </w:lvl>
  </w:abstractNum>
  <w:abstractNum w:abstractNumId="71">
    <w:nsid w:val="20EE1348"/>
    <w:multiLevelType w:val="hybridMultilevel"/>
    <w:lvl w:ilvl="0">
      <w:lvlJc w:val="left"/>
      <w:lvlText w:val="•"/>
      <w:numFmt w:val="bullet"/>
      <w:start w:val="1"/>
    </w:lvl>
  </w:abstractNum>
  <w:abstractNum w:abstractNumId="72">
    <w:nsid w:val="4427069A"/>
    <w:multiLevelType w:val="hybridMultilevel"/>
    <w:lvl w:ilvl="0">
      <w:lvlJc w:val="left"/>
      <w:lvlText w:val="•"/>
      <w:numFmt w:val="bullet"/>
      <w:start w:val="1"/>
    </w:lvl>
  </w:abstractNum>
  <w:abstractNum w:abstractNumId="73">
    <w:nsid w:val="B37E80A"/>
    <w:multiLevelType w:val="hybridMultilevel"/>
    <w:lvl w:ilvl="0">
      <w:lvlJc w:val="left"/>
      <w:lvlText w:val="•"/>
      <w:numFmt w:val="bullet"/>
      <w:start w:val="1"/>
    </w:lvl>
  </w:abstractNum>
  <w:abstractNum w:abstractNumId="74">
    <w:nsid w:val="2157F6BC"/>
    <w:multiLevelType w:val="hybridMultilevel"/>
    <w:lvl w:ilvl="0">
      <w:lvlJc w:val="left"/>
      <w:lvlText w:val="•"/>
      <w:numFmt w:val="bullet"/>
      <w:start w:val="1"/>
    </w:lvl>
  </w:abstractNum>
  <w:abstractNum w:abstractNumId="75">
    <w:nsid w:val="704E1DD5"/>
    <w:multiLevelType w:val="hybridMultilevel"/>
    <w:lvl w:ilvl="0">
      <w:lvlJc w:val="left"/>
      <w:lvlText w:val="•"/>
      <w:numFmt w:val="bullet"/>
      <w:start w:val="1"/>
    </w:lvl>
  </w:abstractNum>
  <w:abstractNum w:abstractNumId="76">
    <w:nsid w:val="57D2F10E"/>
    <w:multiLevelType w:val="hybridMultilevel"/>
    <w:lvl w:ilvl="0">
      <w:lvlJc w:val="left"/>
      <w:lvlText w:val="(%1)"/>
      <w:numFmt w:val="lowerLetter"/>
      <w:start w:val="1"/>
    </w:lvl>
  </w:abstractNum>
  <w:abstractNum w:abstractNumId="77">
    <w:nsid w:val="BFFAE18"/>
    <w:multiLevelType w:val="hybridMultilevel"/>
    <w:lvl w:ilvl="0">
      <w:lvlJc w:val="left"/>
      <w:lvlText w:val="•"/>
      <w:numFmt w:val="bullet"/>
      <w:start w:val="1"/>
    </w:lvl>
  </w:abstractNum>
  <w:abstractNum w:abstractNumId="78">
    <w:nsid w:val="E3E47A8"/>
    <w:multiLevelType w:val="hybridMultilevel"/>
    <w:lvl w:ilvl="0">
      <w:lvlJc w:val="left"/>
      <w:lvlText w:val="(%1)"/>
      <w:numFmt w:val="lowerLetter"/>
      <w:start w:val="1"/>
    </w:lvl>
  </w:abstractNum>
  <w:abstractNum w:abstractNumId="79">
    <w:nsid w:val="2E48F044"/>
    <w:multiLevelType w:val="hybridMultilevel"/>
    <w:lvl w:ilvl="0">
      <w:lvlJc w:val="left"/>
      <w:lvlText w:val="(%1)"/>
      <w:numFmt w:val="lowerLetter"/>
      <w:start w:val="1"/>
    </w:lvl>
  </w:abstractNum>
  <w:abstractNum w:abstractNumId="80">
    <w:nsid w:val="49D0FEAC"/>
    <w:multiLevelType w:val="hybridMultilevel"/>
    <w:lvl w:ilvl="0">
      <w:lvlJc w:val="left"/>
      <w:lvlText w:val="(%1)"/>
      <w:numFmt w:val="lowerLetter"/>
      <w:start w:val="1"/>
    </w:lvl>
  </w:abstractNum>
  <w:abstractNum w:abstractNumId="81">
    <w:nsid w:val="4BEE5A5B"/>
    <w:multiLevelType w:val="hybridMultilevel"/>
    <w:lvl w:ilvl="0">
      <w:lvlJc w:val="left"/>
      <w:lvlText w:val="(%1)"/>
      <w:numFmt w:val="lowerLetter"/>
      <w:start w:val="3"/>
    </w:lvl>
  </w:abstractNum>
  <w:abstractNum w:abstractNumId="82">
    <w:nsid w:val="5551B9F3"/>
    <w:multiLevelType w:val="hybridMultilevel"/>
    <w:lvl w:ilvl="0">
      <w:lvlJc w:val="left"/>
      <w:lvlText w:val="(%1)"/>
      <w:numFmt w:val="lowerRoman"/>
      <w:start w:val="3"/>
    </w:lvl>
  </w:abstractNum>
  <w:abstractNum w:abstractNumId="83">
    <w:nsid w:val="24F6AB8E"/>
    <w:multiLevelType w:val="hybridMultilevel"/>
    <w:lvl w:ilvl="0">
      <w:lvlJc w:val="left"/>
      <w:lvlText w:val="(%1)"/>
      <w:numFmt w:val="lowerLetter"/>
      <w:start w:val="1"/>
    </w:lvl>
  </w:abstractNum>
  <w:abstractNum w:abstractNumId="84">
    <w:nsid w:val="634C574C"/>
    <w:multiLevelType w:val="hybridMultilevel"/>
    <w:lvl w:ilvl="0">
      <w:lvlJc w:val="left"/>
      <w:lvlText w:val="(%1)"/>
      <w:numFmt w:val="lowerLetter"/>
      <w:start w:val="1"/>
    </w:lvl>
  </w:abstractNum>
  <w:abstractNum w:abstractNumId="85">
    <w:nsid w:val="24E99DD7"/>
    <w:multiLevelType w:val="hybridMultilevel"/>
    <w:lvl w:ilvl="0">
      <w:lvlJc w:val="left"/>
      <w:lvlText w:val="%1."/>
      <w:numFmt w:val="decimal"/>
      <w:start w:val="1"/>
    </w:lvl>
    <w:lvl w:ilvl="1">
      <w:lvlJc w:val="left"/>
      <w:lvlText w:val="(%2)"/>
      <w:numFmt w:val="lowerLetter"/>
      <w:start w:val="1"/>
    </w:lvl>
  </w:abstractNum>
  <w:abstractNum w:abstractNumId="86">
    <w:nsid w:val="2A31B62D"/>
    <w:multiLevelType w:val="hybridMultilevel"/>
    <w:lvl w:ilvl="0">
      <w:lvlJc w:val="left"/>
      <w:lvlText w:val="(%1)"/>
      <w:numFmt w:val="lowerLetter"/>
      <w:start w:val="5"/>
    </w:lvl>
  </w:abstractNum>
  <w:abstractNum w:abstractNumId="87">
    <w:nsid w:val="1849C29B"/>
    <w:multiLevelType w:val="hybridMultilevel"/>
    <w:lvl w:ilvl="0">
      <w:lvlJc w:val="left"/>
      <w:lvlText w:val="(%1)"/>
      <w:numFmt w:val="lowerLetter"/>
      <w:start w:val="10"/>
    </w:lvl>
  </w:abstractNum>
  <w:abstractNum w:abstractNumId="88">
    <w:nsid w:val="7DFF9D09"/>
    <w:multiLevelType w:val="hybridMultilevel"/>
    <w:lvl w:ilvl="0">
      <w:lvlJc w:val="left"/>
      <w:lvlText w:val="(%1)"/>
      <w:numFmt w:val="lowerLetter"/>
      <w:start w:val="13"/>
    </w:lvl>
  </w:abstractNum>
  <w:abstractNum w:abstractNumId="89">
    <w:nsid w:val="754342"/>
    <w:multiLevelType w:val="hybridMultilevel"/>
    <w:lvl w:ilvl="0">
      <w:lvlJc w:val="left"/>
      <w:lvlText w:val="(%1)"/>
      <w:numFmt w:val="lowerLetter"/>
      <w:start w:val="17"/>
    </w:lvl>
  </w:abstractNum>
  <w:abstractNum w:abstractNumId="90">
    <w:nsid w:val="69E7F3E5"/>
    <w:multiLevelType w:val="hybridMultilevel"/>
    <w:lvl w:ilvl="0">
      <w:lvlJc w:val="left"/>
      <w:lvlText w:val="%1."/>
      <w:numFmt w:val="decimal"/>
      <w:start w:val="3"/>
    </w:lvl>
    <w:lvl w:ilvl="1">
      <w:lvlJc w:val="left"/>
      <w:lvlText w:val="(%2)"/>
      <w:numFmt w:val="lowerLetter"/>
      <w:start w:val="1"/>
    </w:lvl>
  </w:abstractNum>
  <w:abstractNum w:abstractNumId="91">
    <w:nsid w:val="2A6DE806"/>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92">
    <w:nsid w:val="1816F8C4"/>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93">
    <w:nsid w:val="37DF2233"/>
    <w:multiLevelType w:val="hybridMultilevel"/>
    <w:lvl w:ilvl="0">
      <w:lvlJc w:val="left"/>
      <w:lvlText w:val="•"/>
      <w:numFmt w:val="bullet"/>
      <w:start w:val="1"/>
    </w:lvl>
  </w:abstractNum>
  <w:abstractNum w:abstractNumId="94">
    <w:nsid w:val="7AB49DAF"/>
    <w:multiLevelType w:val="hybridMultilevel"/>
    <w:lvl w:ilvl="0">
      <w:lvlJc w:val="left"/>
      <w:lvlText w:val="%1."/>
      <w:numFmt w:val="decimal"/>
      <w:start w:val="5"/>
    </w:lvl>
  </w:abstractNum>
  <w:abstractNum w:abstractNumId="95">
    <w:nsid w:val="759F82CD"/>
    <w:multiLevelType w:val="hybridMultilevel"/>
    <w:lvl w:ilvl="0">
      <w:lvlJc w:val="left"/>
      <w:lvlText w:val="%1."/>
      <w:numFmt w:val="decimal"/>
      <w:start w:val="6"/>
    </w:lvl>
  </w:abstractNum>
  <w:abstractNum w:abstractNumId="96">
    <w:nsid w:val="61E74EA3"/>
    <w:multiLevelType w:val="hybridMultilevel"/>
    <w:lvl w:ilvl="0">
      <w:lvlJc w:val="left"/>
      <w:lvlText w:val="%1."/>
      <w:numFmt w:val="decimal"/>
      <w:start w:val="7"/>
    </w:lvl>
  </w:abstractNum>
  <w:abstractNum w:abstractNumId="97">
    <w:nsid w:val="597B4D84"/>
    <w:multiLevelType w:val="hybridMultilevel"/>
    <w:lvl w:ilvl="0">
      <w:lvlJc w:val="left"/>
      <w:lvlText w:val="%1."/>
      <w:numFmt w:val="decimal"/>
      <w:start w:val="8"/>
    </w:lvl>
  </w:abstractNum>
  <w:abstractNum w:abstractNumId="98">
    <w:nsid w:val="F819E7F"/>
    <w:multiLevelType w:val="hybridMultilevel"/>
    <w:lvl w:ilvl="0">
      <w:lvlJc w:val="left"/>
      <w:lvlText w:val="%1."/>
      <w:numFmt w:val="decimal"/>
      <w:start w:val="9"/>
    </w:lvl>
  </w:abstractNum>
  <w:abstractNum w:abstractNumId="99">
    <w:nsid w:val="57C7D42D"/>
    <w:multiLevelType w:val="hybridMultilevel"/>
    <w:lvl w:ilvl="0">
      <w:lvlJc w:val="left"/>
      <w:lvlText w:val="%1."/>
      <w:numFmt w:val="decimal"/>
      <w:start w:val="10"/>
    </w:lvl>
  </w:abstractNum>
  <w:abstractNum w:abstractNumId="100">
    <w:nsid w:val="312167AD"/>
    <w:multiLevelType w:val="hybridMultilevel"/>
    <w:lvl w:ilvl="0">
      <w:lvlJc w:val="left"/>
      <w:lvlText w:val="%1."/>
      <w:numFmt w:val="decimal"/>
      <w:start w:val="11"/>
    </w:lvl>
  </w:abstractNum>
  <w:abstractNum w:abstractNumId="101">
    <w:nsid w:val="631B64D4"/>
    <w:multiLevelType w:val="hybridMultilevel"/>
    <w:lvl w:ilvl="0">
      <w:lvlJc w:val="left"/>
      <w:lvlText w:val="%1."/>
      <w:numFmt w:val="decimal"/>
      <w:start w:val="12"/>
    </w:lvl>
  </w:abstractNum>
  <w:abstractNum w:abstractNumId="102">
    <w:nsid w:val="78B5E776"/>
    <w:multiLevelType w:val="hybridMultilevel"/>
    <w:lvl w:ilvl="0">
      <w:lvlJc w:val="left"/>
      <w:lvlText w:val="%1."/>
      <w:numFmt w:val="decimal"/>
      <w:start w:val="13"/>
    </w:lvl>
  </w:abstractNum>
  <w:abstractNum w:abstractNumId="103">
    <w:nsid w:val="75486E47"/>
    <w:multiLevelType w:val="hybridMultilevel"/>
    <w:lvl w:ilvl="0">
      <w:lvlJc w:val="left"/>
      <w:lvlText w:val="%1."/>
      <w:numFmt w:val="decimal"/>
      <w:start w:val="14"/>
    </w:lvl>
  </w:abstractNum>
  <w:abstractNum w:abstractNumId="104">
    <w:nsid w:val="6E534CDE"/>
    <w:multiLevelType w:val="hybridMultilevel"/>
    <w:lvl w:ilvl="0">
      <w:lvlJc w:val="left"/>
      <w:lvlText w:val="%1."/>
      <w:numFmt w:val="decimal"/>
      <w:start w:val="15"/>
    </w:lvl>
  </w:abstractNum>
  <w:abstractNum w:abstractNumId="105">
    <w:nsid w:val="1A0DDE32"/>
    <w:multiLevelType w:val="hybridMultilevel"/>
    <w:lvl w:ilvl="0">
      <w:lvlJc w:val="left"/>
      <w:lvlText w:val="%1."/>
      <w:numFmt w:val="decimal"/>
      <w:start w:val="16"/>
    </w:lvl>
  </w:abstractNum>
  <w:abstractNum w:abstractNumId="106">
    <w:nsid w:val="65968C1C"/>
    <w:multiLevelType w:val="hybridMultilevel"/>
    <w:lvl w:ilvl="0">
      <w:lvlJc w:val="left"/>
      <w:lvlText w:val="%1."/>
      <w:numFmt w:val="decimal"/>
      <w:start w:val="17"/>
    </w:lvl>
  </w:abstractNum>
  <w:abstractNum w:abstractNumId="107">
    <w:nsid w:val="46263DEC"/>
    <w:multiLevelType w:val="hybridMultilevel"/>
    <w:lvl w:ilvl="0">
      <w:lvlJc w:val="left"/>
      <w:lvlText w:val="%1."/>
      <w:numFmt w:val="decimal"/>
      <w:start w:val="20"/>
    </w:lvl>
  </w:abstractNum>
  <w:abstractNum w:abstractNumId="108">
    <w:nsid w:val="260D8C4A"/>
    <w:multiLevelType w:val="hybridMultilevel"/>
    <w:lvl w:ilvl="0">
      <w:lvlJc w:val="left"/>
      <w:lvlText w:val="%1."/>
      <w:numFmt w:val="decimal"/>
      <w:start w:val="1"/>
    </w:lvl>
    <w:lvl w:ilvl="1">
      <w:lvlJc w:val="left"/>
      <w:lvlText w:val="(%2)"/>
      <w:numFmt w:val="lowerLetter"/>
      <w:start w:val="1"/>
    </w:lvl>
  </w:abstractNum>
  <w:abstractNum w:abstractNumId="109">
    <w:nsid w:val="73D4D3C4"/>
    <w:multiLevelType w:val="hybridMultilevel"/>
    <w:lvl w:ilvl="0">
      <w:lvlJc w:val="left"/>
      <w:lvlText w:val="(%1)"/>
      <w:numFmt w:val="lowerLetter"/>
      <w:start w:val="6"/>
    </w:lvl>
  </w:abstractNum>
  <w:abstractNum w:abstractNumId="110">
    <w:nsid w:val="746F2E30"/>
    <w:multiLevelType w:val="hybridMultilevel"/>
    <w:lvl w:ilvl="0">
      <w:lvlJc w:val="left"/>
      <w:lvlText w:val="(%1)"/>
      <w:numFmt w:val="lowerLetter"/>
      <w:start w:val="10"/>
    </w:lvl>
  </w:abstractNum>
  <w:abstractNum w:abstractNumId="111">
    <w:nsid w:val="6FDE8AF6"/>
    <w:multiLevelType w:val="hybridMultilevel"/>
    <w:lvl w:ilvl="0">
      <w:lvlJc w:val="left"/>
      <w:lvlText w:val="(%1)"/>
      <w:numFmt w:val="lowerLetter"/>
      <w:start w:val="15"/>
    </w:lvl>
  </w:abstractNum>
  <w:abstractNum w:abstractNumId="112">
    <w:nsid w:val="3FC32E20"/>
    <w:multiLevelType w:val="hybridMultilevel"/>
    <w:lvl w:ilvl="0">
      <w:lvlJc w:val="left"/>
      <w:lvlText w:val="%1"/>
      <w:numFmt w:val="decimal"/>
      <w:start w:val="1"/>
    </w:lvl>
    <w:lvl w:ilvl="1">
      <w:lvlJc w:val="left"/>
      <w:lvlText w:val="(%2)"/>
      <w:numFmt w:val="lowerLetter"/>
      <w:start w:val="18"/>
    </w:lvl>
  </w:abstractNum>
  <w:abstractNum w:abstractNumId="113">
    <w:nsid w:val="49C0E823"/>
    <w:multiLevelType w:val="hybridMultilevel"/>
    <w:lvl w:ilvl="0">
      <w:lvlJc w:val="left"/>
      <w:lvlText w:val="%1."/>
      <w:numFmt w:val="decimal"/>
      <w:start w:val="3"/>
    </w:lvl>
    <w:lvl w:ilvl="1">
      <w:lvlJc w:val="left"/>
      <w:lvlText w:val="%2"/>
      <w:numFmt w:val="lowerLetter"/>
      <w:start w:val="1"/>
    </w:lvl>
  </w:abstractNum>
  <w:abstractNum w:abstractNumId="114">
    <w:nsid w:val="14D53685"/>
    <w:multiLevelType w:val="hybridMultilevel"/>
    <w:lvl w:ilvl="0">
      <w:lvlJc w:val="left"/>
      <w:lvlText w:val="(%1)"/>
      <w:numFmt w:val="lowerLetter"/>
      <w:start w:val="1"/>
    </w:lvl>
  </w:abstractNum>
  <w:abstractNum w:abstractNumId="115">
    <w:nsid w:val="230F856C"/>
    <w:multiLevelType w:val="hybridMultilevel"/>
    <w:lvl w:ilvl="0">
      <w:lvlJc w:val="left"/>
      <w:lvlText w:val="(%1)"/>
      <w:numFmt w:val="lowerLetter"/>
      <w:start w:val="2"/>
    </w:lvl>
  </w:abstractNum>
  <w:abstractNum w:abstractNumId="116">
    <w:nsid w:val="6EAA85FB"/>
    <w:multiLevelType w:val="hybridMultilevel"/>
    <w:lvl w:ilvl="0">
      <w:lvlJc w:val="left"/>
      <w:lvlText w:val="%1."/>
      <w:numFmt w:val="decimal"/>
      <w:start w:val="4"/>
    </w:lvl>
    <w:lvl w:ilvl="1">
      <w:lvlJc w:val="left"/>
      <w:lvlText w:val="•"/>
      <w:numFmt w:val="bullet"/>
      <w:start w:val="1"/>
    </w:lvl>
  </w:abstractNum>
  <w:abstractNum w:abstractNumId="117">
    <w:nsid w:val="3F06ECB2"/>
    <w:multiLevelType w:val="hybridMultilevel"/>
    <w:lvl w:ilvl="0">
      <w:lvlJc w:val="left"/>
      <w:lvlText w:val="•"/>
      <w:numFmt w:val="bullet"/>
      <w:start w:val="1"/>
    </w:lvl>
  </w:abstractNum>
  <w:abstractNum w:abstractNumId="118">
    <w:nsid w:val="3B594807"/>
    <w:multiLevelType w:val="hybridMultilevel"/>
    <w:lvl w:ilvl="0">
      <w:lvlJc w:val="left"/>
      <w:lvlText w:val="%1."/>
      <w:numFmt w:val="decimal"/>
      <w:start w:val="6"/>
    </w:lvl>
  </w:abstractNum>
  <w:abstractNum w:abstractNumId="119">
    <w:nsid w:val="6CAA2304"/>
    <w:multiLevelType w:val="hybridMultilevel"/>
    <w:lvl w:ilvl="0">
      <w:lvlJc w:val="left"/>
      <w:lvlText w:val="%1."/>
      <w:numFmt w:val="decimal"/>
      <w:start w:val="7"/>
    </w:lvl>
  </w:abstractNum>
  <w:abstractNum w:abstractNumId="120">
    <w:nsid w:val="3F7C2FF4"/>
    <w:multiLevelType w:val="hybridMultilevel"/>
    <w:lvl w:ilvl="0">
      <w:lvlJc w:val="left"/>
      <w:lvlText w:val="%1."/>
      <w:numFmt w:val="decimal"/>
      <w:start w:val="8"/>
    </w:lvl>
  </w:abstractNum>
  <w:abstractNum w:abstractNumId="121">
    <w:nsid w:val="25413BEC"/>
    <w:multiLevelType w:val="hybridMultilevel"/>
    <w:lvl w:ilvl="0">
      <w:lvlJc w:val="left"/>
      <w:lvlText w:val="%1."/>
      <w:numFmt w:val="decimal"/>
      <w:start w:val="9"/>
    </w:lvl>
  </w:abstractNum>
  <w:abstractNum w:abstractNumId="122">
    <w:nsid w:val="17180B0B"/>
    <w:multiLevelType w:val="hybridMultilevel"/>
    <w:lvl w:ilvl="0">
      <w:lvlJc w:val="left"/>
      <w:lvlText w:val="%1."/>
      <w:numFmt w:val="decimal"/>
      <w:start w:val="10"/>
    </w:lvl>
  </w:abstractNum>
  <w:abstractNum w:abstractNumId="123">
    <w:nsid w:val="579328B9"/>
    <w:multiLevelType w:val="hybridMultilevel"/>
    <w:lvl w:ilvl="0">
      <w:lvlJc w:val="left"/>
      <w:lvlText w:val="%1."/>
      <w:numFmt w:val="decimal"/>
      <w:start w:val="11"/>
    </w:lvl>
  </w:abstractNum>
  <w:abstractNum w:abstractNumId="124">
    <w:nsid w:val="5D205E20"/>
    <w:multiLevelType w:val="hybridMultilevel"/>
    <w:lvl w:ilvl="0">
      <w:lvlJc w:val="left"/>
      <w:lvlText w:val="%1."/>
      <w:numFmt w:val="decimal"/>
      <w:start w:val="12"/>
    </w:lvl>
  </w:abstractNum>
  <w:abstractNum w:abstractNumId="125">
    <w:nsid w:val="11CCA8BA"/>
    <w:multiLevelType w:val="hybridMultilevel"/>
    <w:lvl w:ilvl="0">
      <w:lvlJc w:val="left"/>
      <w:lvlText w:val="%1."/>
      <w:numFmt w:val="decimal"/>
      <w:start w:val="13"/>
    </w:lvl>
  </w:abstractNum>
  <w:abstractNum w:abstractNumId="126">
    <w:nsid w:val="4D32AB86"/>
    <w:multiLevelType w:val="hybridMultilevel"/>
    <w:lvl w:ilvl="0">
      <w:lvlJc w:val="left"/>
      <w:lvlText w:val="%1."/>
      <w:numFmt w:val="decimal"/>
      <w:start w:val="14"/>
    </w:lvl>
  </w:abstractNum>
  <w:abstractNum w:abstractNumId="127">
    <w:nsid w:val="3F07ACC3"/>
    <w:multiLevelType w:val="hybridMultilevel"/>
    <w:lvl w:ilvl="0">
      <w:lvlJc w:val="left"/>
      <w:lvlText w:val="%1."/>
      <w:numFmt w:val="decimal"/>
      <w:start w:val="15"/>
    </w:lvl>
  </w:abstractNum>
  <w:abstractNum w:abstractNumId="128">
    <w:nsid w:val="6B47F63E"/>
    <w:multiLevelType w:val="hybridMultilevel"/>
    <w:lvl w:ilvl="0">
      <w:lvlJc w:val="left"/>
      <w:lvlText w:val="%1."/>
      <w:numFmt w:val="decimal"/>
      <w:start w:val="16"/>
    </w:lvl>
  </w:abstractNum>
  <w:abstractNum w:abstractNumId="129">
    <w:nsid w:val="5CB44A05"/>
    <w:multiLevelType w:val="hybridMultilevel"/>
    <w:lvl w:ilvl="0">
      <w:lvlJc w:val="left"/>
      <w:lvlText w:val="%1."/>
      <w:numFmt w:val="decimal"/>
      <w:start w:val="17"/>
    </w:lvl>
  </w:abstractNum>
  <w:abstractNum w:abstractNumId="130">
    <w:nsid w:val="16CF80F1"/>
    <w:multiLevelType w:val="hybridMultilevel"/>
    <w:lvl w:ilvl="0">
      <w:lvlJc w:val="left"/>
      <w:lvlText w:val="%1."/>
      <w:numFmt w:val="decimal"/>
      <w:start w:val="18"/>
    </w:lvl>
  </w:abstractNum>
  <w:abstractNum w:abstractNumId="131">
    <w:nsid w:val="1C695DEC"/>
    <w:multiLevelType w:val="hybridMultilevel"/>
    <w:lvl w:ilvl="0">
      <w:lvlJc w:val="left"/>
      <w:lvlText w:val="%1."/>
      <w:numFmt w:val="decimal"/>
      <w:start w:val="20"/>
    </w:lvl>
  </w:abstractNum>
  <w:abstractNum w:abstractNumId="132">
    <w:nsid w:val="3FCFAED9"/>
    <w:multiLevelType w:val="hybridMultilevel"/>
    <w:lvl w:ilvl="0">
      <w:lvlJc w:val="left"/>
      <w:lvlText w:val="%1."/>
      <w:numFmt w:val="decimal"/>
      <w:start w:val="21"/>
    </w:lvl>
  </w:abstractNum>
  <w:abstractNum w:abstractNumId="133">
    <w:nsid w:val="F856867"/>
    <w:multiLevelType w:val="hybridMultilevel"/>
    <w:lvl w:ilvl="0">
      <w:lvlJc w:val="left"/>
      <w:lvlText w:val="*"/>
      <w:numFmt w:val="bullet"/>
      <w:start w:val="1"/>
    </w:lvl>
  </w:abstractNum>
  <w:abstractNum w:abstractNumId="134">
    <w:nsid w:val="11B1CC33"/>
    <w:multiLevelType w:val="hybridMultilevel"/>
    <w:lvl w:ilvl="0">
      <w:lvlJc w:val="left"/>
      <w:lvlText w:val="**"/>
      <w:numFmt w:val="bullet"/>
      <w:start w:val="1"/>
    </w:lvl>
  </w:abstractNum>
  <w:abstractNum w:abstractNumId="135">
    <w:nsid w:val="2E22FBB7"/>
    <w:multiLevelType w:val="hybridMultilevel"/>
    <w:lvl w:ilvl="0">
      <w:lvlJc w:val="left"/>
      <w:lvlText w:val="***"/>
      <w:numFmt w:val="bullet"/>
      <w:start w:val="1"/>
    </w:lvl>
  </w:abstractNum>
  <w:abstractNum w:abstractNumId="136">
    <w:nsid w:val="29934699"/>
    <w:multiLevelType w:val="hybridMultilevel"/>
    <w:lvl w:ilvl="0">
      <w:lvlJc w:val="left"/>
      <w:lvlText w:val="‡"/>
      <w:numFmt w:val="bullet"/>
      <w:start w:val="1"/>
    </w:lvl>
  </w:abstractNum>
  <w:abstractNum w:abstractNumId="137">
    <w:nsid w:val="77485850"/>
    <w:multiLevelType w:val="hybridMultilevel"/>
    <w:lvl w:ilvl="0">
      <w:lvlJc w:val="left"/>
      <w:lvlText w:val="(%1)"/>
      <w:numFmt w:val="decimal"/>
      <w:start w:val="1"/>
    </w:lvl>
  </w:abstractNum>
  <w:abstractNum w:abstractNumId="138">
    <w:nsid w:val="744939A3"/>
    <w:multiLevelType w:val="hybridMultilevel"/>
    <w:lvl w:ilvl="0">
      <w:lvlJc w:val="left"/>
      <w:lvlText w:val="(%1)"/>
      <w:numFmt w:val="lowerLetter"/>
      <w:start w:val="1"/>
    </w:lvl>
  </w:abstractNum>
  <w:abstractNum w:abstractNumId="139">
    <w:nsid w:val="4FA0D2E3"/>
    <w:multiLevelType w:val="hybridMultilevel"/>
    <w:lvl w:ilvl="0">
      <w:lvlJc w:val="left"/>
      <w:lvlText w:val="(%1)"/>
      <w:numFmt w:val="lowerLetter"/>
      <w:start w:val="1"/>
    </w:lvl>
    <w:lvl w:ilvl="1">
      <w:lvlJc w:val="left"/>
      <w:lvlText w:val="(%2)"/>
      <w:numFmt w:val="lowerLetter"/>
      <w:start w:val="9"/>
    </w:lvl>
  </w:abstractNum>
  <w:abstractNum w:abstractNumId="140">
    <w:nsid w:val="6B1D2C14"/>
    <w:multiLevelType w:val="hybridMultilevel"/>
    <w:lvl w:ilvl="0">
      <w:lvlJc w:val="left"/>
      <w:lvlText w:val="(%1)"/>
      <w:numFmt w:val="lowerRoman"/>
      <w:start w:val="2"/>
    </w:lvl>
  </w:abstractNum>
  <w:abstractNum w:abstractNumId="141">
    <w:nsid w:val="68B867D3"/>
    <w:multiLevelType w:val="hybridMultilevel"/>
    <w:lvl w:ilvl="0">
      <w:lvlJc w:val="left"/>
      <w:lvlText w:val="(%1)"/>
      <w:numFmt w:val="lowerRoman"/>
      <w:start w:val="3"/>
    </w:lvl>
  </w:abstractNum>
  <w:abstractNum w:abstractNumId="142">
    <w:nsid w:val="3F7F5DD9"/>
    <w:multiLevelType w:val="hybridMultilevel"/>
    <w:lvl w:ilvl="0">
      <w:lvlJc w:val="left"/>
      <w:lvlText w:val="(%1)"/>
      <w:numFmt w:val="lowerRoman"/>
      <w:start w:val="6"/>
    </w:lvl>
  </w:abstractNum>
  <w:abstractNum w:abstractNumId="143">
    <w:nsid w:val="2AE05A34"/>
    <w:multiLevelType w:val="hybridMultilevel"/>
    <w:lvl w:ilvl="0">
      <w:lvlJc w:val="left"/>
      <w:lvlText w:val="(%1)"/>
      <w:numFmt w:val="lowerRoman"/>
      <w:start w:val="11"/>
    </w:lvl>
  </w:abstractNum>
  <w:abstractNum w:abstractNumId="144">
    <w:nsid w:val="32794FF7"/>
    <w:multiLevelType w:val="hybridMultilevel"/>
    <w:lvl w:ilvl="0">
      <w:lvlJc w:val="left"/>
      <w:lvlText w:val="%1"/>
      <w:numFmt w:val="lowerRoman"/>
      <w:start w:val="1"/>
    </w:lvl>
    <w:lvl w:ilvl="1">
      <w:lvlJc w:val="left"/>
      <w:lvlText w:val="(%2)"/>
      <w:numFmt w:val="lowerRoman"/>
      <w:start w:val="16"/>
    </w:lvl>
  </w:abstractNum>
  <w:abstractNum w:abstractNumId="145">
    <w:nsid w:val="5454945E"/>
    <w:multiLevelType w:val="hybridMultilevel"/>
    <w:lvl w:ilvl="0">
      <w:lvlJc w:val="left"/>
      <w:lvlText w:val="(%1)"/>
      <w:numFmt w:val="lowerRoman"/>
      <w:start w:val="2"/>
    </w:lvl>
    <w:lvl w:ilvl="1">
      <w:lvlJc w:val="left"/>
      <w:lvlText w:val="(%2)"/>
      <w:numFmt w:val="lowerRoman"/>
      <w:start w:val="18"/>
    </w:lvl>
  </w:abstractNum>
  <w:abstractNum w:abstractNumId="146">
    <w:nsid w:val="4DEFDFA0"/>
    <w:multiLevelType w:val="hybridMultilevel"/>
    <w:lvl w:ilvl="0">
      <w:lvlJc w:val="left"/>
      <w:lvlText w:val="%1"/>
      <w:numFmt w:val="upperLetter"/>
      <w:start w:val="1"/>
    </w:lvl>
    <w:lvl w:ilvl="1">
      <w:lvlJc w:val="left"/>
      <w:lvlText w:val="(%2)"/>
      <w:numFmt w:val="lowerRoman"/>
      <w:start w:val="19"/>
    </w:lvl>
  </w:abstractNum>
  <w:abstractNum w:abstractNumId="147">
    <w:nsid w:val="2123D5F2"/>
    <w:multiLevelType w:val="hybridMultilevel"/>
    <w:lvl w:ilvl="0">
      <w:lvlJc w:val="left"/>
      <w:lvlText w:val="(%1)"/>
      <w:numFmt w:val="upperLetter"/>
      <w:start w:val="2"/>
    </w:lvl>
    <w:lvl w:ilvl="1">
      <w:lvlJc w:val="left"/>
      <w:lvlText w:val="(%2)"/>
      <w:numFmt w:val="lowerRoman"/>
      <w:start w:val="21"/>
    </w:lvl>
  </w:abstractNum>
  <w:abstractNum w:abstractNumId="148">
    <w:nsid w:val="135B8110"/>
    <w:multiLevelType w:val="hybridMultilevel"/>
    <w:lvl w:ilvl="0">
      <w:lvlJc w:val="left"/>
      <w:lvlText w:val="(%1)"/>
      <w:numFmt w:val="lowerRoman"/>
      <w:start w:val="22"/>
    </w:lvl>
  </w:abstractNum>
  <w:abstractNum w:abstractNumId="149">
    <w:nsid w:val="94927A8"/>
    <w:multiLevelType w:val="hybridMultilevel"/>
    <w:lvl w:ilvl="0">
      <w:lvlJc w:val="left"/>
      <w:lvlText w:val="(%1)"/>
      <w:numFmt w:val="lowerRoman"/>
      <w:start w:val="25"/>
    </w:lvl>
  </w:abstractNum>
  <w:abstractNum w:abstractNumId="150">
    <w:nsid w:val="DCDF8F6"/>
    <w:multiLevelType w:val="hybridMultilevel"/>
    <w:lvl w:ilvl="0">
      <w:lvlJc w:val="left"/>
      <w:lvlText w:val="(%1)"/>
      <w:numFmt w:val="lowerRoman"/>
      <w:start w:val="27"/>
    </w:lvl>
  </w:abstractNum>
  <w:abstractNum w:abstractNumId="151">
    <w:nsid w:val="52D7B105"/>
    <w:multiLevelType w:val="hybridMultilevel"/>
    <w:lvl w:ilvl="0">
      <w:lvlJc w:val="left"/>
      <w:lvlText w:val="(%1)"/>
      <w:numFmt w:val="lowerRoman"/>
      <w:start w:val="31"/>
    </w:lvl>
  </w:abstractNum>
  <w:abstractNum w:abstractNumId="152">
    <w:nsid w:val="2E8A6394"/>
    <w:multiLevelType w:val="hybridMultilevel"/>
    <w:lvl w:ilvl="0">
      <w:lvlJc w:val="left"/>
      <w:lvlText w:val="(%1)"/>
      <w:numFmt w:val="upperLetter"/>
      <w:start w:val="1"/>
    </w:lvl>
  </w:abstractNum>
  <w:abstractNum w:abstractNumId="153">
    <w:nsid w:val="24E60401"/>
    <w:multiLevelType w:val="hybridMultilevel"/>
    <w:lvl w:ilvl="0">
      <w:lvlJc w:val="left"/>
      <w:lvlText w:val="(%1)"/>
      <w:numFmt w:val="upperLetter"/>
      <w:start w:val="2"/>
    </w:lvl>
  </w:abstractNum>
  <w:abstractNum w:abstractNumId="154">
    <w:nsid w:val="2A6AD9BE"/>
    <w:multiLevelType w:val="hybridMultilevel"/>
    <w:lvl w:ilvl="0">
      <w:lvlJc w:val="left"/>
      <w:lvlText w:val="(%1)"/>
      <w:numFmt w:val="lowerRoman"/>
      <w:start w:val="33"/>
    </w:lvl>
  </w:abstractNum>
  <w:abstractNum w:abstractNumId="155">
    <w:nsid w:val="BAAC1B4"/>
    <w:multiLevelType w:val="hybridMultilevel"/>
    <w:lvl w:ilvl="0">
      <w:lvlJc w:val="left"/>
      <w:lvlText w:val="%1"/>
      <w:numFmt w:val="decimal"/>
      <w:start w:val="1"/>
    </w:lvl>
    <w:lvl w:ilvl="1">
      <w:lvlJc w:val="left"/>
      <w:lvlText w:val="(%2)"/>
      <w:numFmt w:val="lowerRoman"/>
      <w:start w:val="34"/>
    </w:lvl>
  </w:abstractNum>
  <w:abstractNum w:abstractNumId="156">
    <w:nsid w:val="36B2ACBC"/>
    <w:multiLevelType w:val="hybridMultilevel"/>
    <w:lvl w:ilvl="0">
      <w:lvlJc w:val="left"/>
      <w:lvlText w:val="(%1)"/>
      <w:numFmt w:val="decimal"/>
      <w:start w:val="3"/>
    </w:lvl>
    <w:lvl w:ilvl="1">
      <w:lvlJc w:val="left"/>
      <w:lvlText w:val="(%2)"/>
      <w:numFmt w:val="lowerRoman"/>
      <w:start w:val="35"/>
    </w:lvl>
  </w:abstractNum>
  <w:abstractNum w:abstractNumId="157">
    <w:nsid w:val="779D8544"/>
    <w:multiLevelType w:val="hybridMultilevel"/>
    <w:lvl w:ilvl="0">
      <w:lvlJc w:val="left"/>
      <w:lvlText w:val="(%1)"/>
      <w:numFmt w:val="lowerRoman"/>
      <w:start w:val="37"/>
    </w:lvl>
  </w:abstractNum>
  <w:abstractNum w:abstractNumId="158">
    <w:nsid w:val="4AB26E78"/>
    <w:multiLevelType w:val="hybridMultilevel"/>
    <w:lvl w:ilvl="0">
      <w:lvlJc w:val="left"/>
      <w:lvlText w:val="(%1)"/>
      <w:numFmt w:val="lowerLetter"/>
      <w:start w:val="2"/>
    </w:lvl>
  </w:abstractNum>
  <w:abstractNum w:abstractNumId="159">
    <w:nsid w:val="21FAA2FA"/>
    <w:multiLevelType w:val="hybridMultilevel"/>
    <w:lvl w:ilvl="0">
      <w:lvlJc w:val="left"/>
      <w:lvlText w:val="(%1)"/>
      <w:numFmt w:val="lowerLetter"/>
      <w:start w:val="1"/>
    </w:lvl>
  </w:abstractNum>
  <w:abstractNum w:abstractNumId="160">
    <w:nsid w:val="5451CF49"/>
    <w:multiLevelType w:val="hybridMultilevel"/>
    <w:lvl w:ilvl="0">
      <w:lvlJc w:val="left"/>
      <w:lvlText w:val="(%1)"/>
      <w:numFmt w:val="lowerLetter"/>
      <w:start w:val="3"/>
    </w:lvl>
  </w:abstractNum>
  <w:abstractNum w:abstractNumId="161">
    <w:nsid w:val="6181EF69"/>
    <w:multiLevelType w:val="hybridMultilevel"/>
    <w:lvl w:ilvl="0">
      <w:lvlJc w:val="left"/>
      <w:lvlText w:val="(%1)"/>
      <w:numFmt w:val="lowerLetter"/>
      <w:start w:val="1"/>
    </w:lvl>
  </w:abstractNum>
  <w:abstractNum w:abstractNumId="162">
    <w:nsid w:val="3E6400E6"/>
    <w:multiLevelType w:val="hybridMultilevel"/>
    <w:lvl w:ilvl="0">
      <w:lvlJc w:val="left"/>
      <w:lvlText w:val="(%1)"/>
      <w:numFmt w:val="lowerLetter"/>
      <w:start w:val="3"/>
    </w:lvl>
  </w:abstractNum>
  <w:abstractNum w:abstractNumId="163">
    <w:nsid w:val="14217E23"/>
    <w:multiLevelType w:val="hybridMultilevel"/>
    <w:lvl w:ilvl="0">
      <w:lvlJc w:val="left"/>
      <w:lvlText w:val="%1"/>
      <w:numFmt w:val="upperLetter"/>
      <w:start w:val="1"/>
    </w:lvl>
    <w:lvl w:ilvl="1">
      <w:lvlJc w:val="left"/>
      <w:lvlText w:val="(%2)"/>
      <w:numFmt w:val="lowerLetter"/>
      <w:start w:val="7"/>
    </w:lvl>
  </w:abstractNum>
  <w:abstractNum w:abstractNumId="164">
    <w:nsid w:val="710757D0"/>
    <w:multiLevelType w:val="hybridMultilevel"/>
    <w:lvl w:ilvl="0">
      <w:lvlJc w:val="left"/>
      <w:lvlText w:val="(%1)"/>
      <w:numFmt w:val="upperLetter"/>
      <w:start w:val="4"/>
    </w:lvl>
    <w:lvl w:ilvl="1">
      <w:lvlJc w:val="left"/>
      <w:lvlText w:val="(%2)"/>
      <w:numFmt w:val="lowerLetter"/>
      <w:start w:val="9"/>
    </w:lvl>
  </w:abstractNum>
  <w:abstractNum w:abstractNumId="165">
    <w:nsid w:val="5015CD1A"/>
    <w:multiLevelType w:val="hybridMultilevel"/>
    <w:lvl w:ilvl="0">
      <w:lvlJc w:val="left"/>
      <w:lvlText w:val="(%1)"/>
      <w:numFmt w:val="lowerLetter"/>
      <w:start w:val="10"/>
    </w:lvl>
  </w:abstractNum>
  <w:abstractNum w:abstractNumId="166">
    <w:nsid w:val="424479DA"/>
    <w:multiLevelType w:val="hybridMultilevel"/>
    <w:lvl w:ilvl="0">
      <w:lvlJc w:val="left"/>
      <w:lvlText w:val="(%1)"/>
      <w:numFmt w:val="lowerLetter"/>
      <w:start w:val="1"/>
    </w:lvl>
  </w:abstractNum>
  <w:abstractNum w:abstractNumId="167">
    <w:nsid w:val="1A9A9E69"/>
    <w:multiLevelType w:val="hybridMultilevel"/>
    <w:lvl w:ilvl="0">
      <w:lvlJc w:val="left"/>
      <w:lvlText w:val="(%1)"/>
      <w:numFmt w:val="lowerLetter"/>
      <w:start w:val="2"/>
    </w:lvl>
  </w:abstractNum>
  <w:abstractNum w:abstractNumId="168">
    <w:nsid w:val="475E256A"/>
    <w:multiLevelType w:val="hybridMultilevel"/>
    <w:lvl w:ilvl="0">
      <w:lvlJc w:val="left"/>
      <w:lvlText w:val="(%1)"/>
      <w:numFmt w:val="lowerLetter"/>
      <w:start w:val="1"/>
    </w:lvl>
  </w:abstractNum>
  <w:abstractNum w:abstractNumId="169">
    <w:nsid w:val="368DB37E"/>
    <w:multiLevelType w:val="hybridMultilevel"/>
    <w:lvl w:ilvl="0">
      <w:lvlJc w:val="left"/>
      <w:lvlText w:val="(%1)"/>
      <w:numFmt w:val="lowerLetter"/>
      <w:start w:val="2"/>
    </w:lvl>
  </w:abstractNum>
  <w:abstractNum w:abstractNumId="170">
    <w:nsid w:val="6A3B714C"/>
    <w:multiLevelType w:val="hybridMultilevel"/>
    <w:lvl w:ilvl="0">
      <w:lvlJc w:val="left"/>
      <w:lvlText w:val="(%1)"/>
      <w:numFmt w:val="lowerLetter"/>
      <w:start w:val="7"/>
    </w:lvl>
  </w:abstractNum>
  <w:abstractNum w:abstractNumId="171">
    <w:nsid w:val="327B517E"/>
    <w:multiLevelType w:val="hybridMultilevel"/>
    <w:lvl w:ilvl="0">
      <w:lvlJc w:val="left"/>
      <w:lvlText w:val="(%1)"/>
      <w:numFmt w:val="lowerRoman"/>
      <w:start w:val="2"/>
    </w:lvl>
  </w:abstractNum>
  <w:abstractNum w:abstractNumId="172">
    <w:nsid w:val="1F461B51"/>
    <w:multiLevelType w:val="hybridMultilevel"/>
    <w:lvl w:ilvl="0">
      <w:lvlJc w:val="left"/>
      <w:lvlText w:val="%1"/>
      <w:numFmt w:val="lowerLetter"/>
      <w:start w:val="1"/>
    </w:lvl>
    <w:lvl w:ilvl="1">
      <w:lvlJc w:val="left"/>
      <w:lvlText w:val="(%2)"/>
      <w:numFmt w:val="lowerRoman"/>
      <w:start w:val="4"/>
    </w:lvl>
  </w:abstractNum>
  <w:abstractNum w:abstractNumId="173">
    <w:nsid w:val="29BACF25"/>
    <w:multiLevelType w:val="hybridMultilevel"/>
    <w:lvl w:ilvl="0">
      <w:lvlJc w:val="left"/>
      <w:lvlText w:val="(%1)"/>
      <w:numFmt w:val="lowerLetter"/>
      <w:start w:val="13"/>
    </w:lvl>
    <w:lvl w:ilvl="1">
      <w:lvlJc w:val="left"/>
      <w:lvlText w:val="%2"/>
      <w:numFmt w:val="lowerRoman"/>
      <w:start w:val="1"/>
    </w:lvl>
  </w:abstractNum>
  <w:abstractNum w:abstractNumId="174">
    <w:nsid w:val="5D5BABB3"/>
    <w:multiLevelType w:val="hybridMultilevel"/>
    <w:lvl w:ilvl="0">
      <w:lvlJc w:val="left"/>
      <w:lvlText w:val="(%1)"/>
      <w:numFmt w:val="lowerLetter"/>
      <w:start w:val="1"/>
    </w:lvl>
    <w:lvl w:ilvl="1">
      <w:lvlJc w:val="left"/>
      <w:lvlText w:val="(%2)"/>
      <w:numFmt w:val="lowerLetter"/>
      <w:start w:val="9"/>
    </w:lvl>
  </w:abstractNum>
  <w:abstractNum w:abstractNumId="175">
    <w:nsid w:val="51BF6B48"/>
    <w:multiLevelType w:val="hybridMultilevel"/>
    <w:lvl w:ilvl="0">
      <w:lvlJc w:val="left"/>
      <w:lvlText w:val="(%1)"/>
      <w:numFmt w:val="lowerRoman"/>
      <w:start w:val="2"/>
    </w:lvl>
  </w:abstractNum>
  <w:abstractNum w:abstractNumId="176">
    <w:nsid w:val="7E0F6384"/>
    <w:multiLevelType w:val="hybridMultilevel"/>
    <w:lvl w:ilvl="0">
      <w:lvlJc w:val="left"/>
      <w:lvlText w:val="(%1)"/>
      <w:numFmt w:val="lowerLetter"/>
      <w:start w:val="2"/>
    </w:lvl>
  </w:abstractNum>
  <w:abstractNum w:abstractNumId="177">
    <w:nsid w:val="2B4B8B53"/>
    <w:multiLevelType w:val="hybridMultilevel"/>
    <w:lvl w:ilvl="0">
      <w:lvlJc w:val="left"/>
      <w:lvlText w:val="(%1)"/>
      <w:numFmt w:val="lowerLetter"/>
      <w:start w:val="1"/>
    </w:lvl>
  </w:abstractNum>
  <w:abstractNum w:abstractNumId="178">
    <w:nsid w:val="72E3413A"/>
    <w:multiLevelType w:val="hybridMultilevel"/>
    <w:lvl w:ilvl="0">
      <w:lvlJc w:val="left"/>
      <w:lvlText w:val="(%1)"/>
      <w:numFmt w:val="lowerRoman"/>
      <w:start w:val="1"/>
    </w:lvl>
  </w:abstractNum>
  <w:abstractNum w:abstractNumId="179">
    <w:nsid w:val="116AE494"/>
    <w:multiLevelType w:val="hybridMultilevel"/>
    <w:lvl w:ilvl="0">
      <w:lvlJc w:val="left"/>
      <w:lvlText w:val="(%1)"/>
      <w:numFmt w:val="lowerRoman"/>
      <w:start w:val="2"/>
    </w:lvl>
  </w:abstractNum>
  <w:abstractNum w:abstractNumId="180">
    <w:nsid w:val="3494B2FB"/>
    <w:multiLevelType w:val="hybridMultilevel"/>
    <w:lvl w:ilvl="0">
      <w:lvlJc w:val="left"/>
      <w:lvlText w:val="(%1)"/>
      <w:numFmt w:val="lowerLetter"/>
      <w:start w:val="1"/>
    </w:lvl>
  </w:abstractNum>
  <w:abstractNum w:abstractNumId="181">
    <w:nsid w:val="B13A31"/>
    <w:multiLevelType w:val="hybridMultilevel"/>
    <w:lvl w:ilvl="0">
      <w:lvlJc w:val="left"/>
      <w:lvlText w:val="(%1)"/>
      <w:numFmt w:val="lowerRoman"/>
      <w:start w:val="1"/>
    </w:lvl>
  </w:abstractNum>
  <w:abstractNum w:abstractNumId="182">
    <w:nsid w:val="64429599"/>
    <w:multiLevelType w:val="hybridMultilevel"/>
    <w:lvl w:ilvl="0">
      <w:lvlJc w:val="left"/>
      <w:lvlText w:val="%1."/>
      <w:numFmt w:val="decimal"/>
      <w:start w:val="1"/>
    </w:lvl>
  </w:abstractNum>
  <w:abstractNum w:abstractNumId="183">
    <w:nsid w:val="631F1690"/>
    <w:multiLevelType w:val="hybridMultilevel"/>
    <w:lvl w:ilvl="0">
      <w:lvlJc w:val="left"/>
      <w:lvlText w:val="%1."/>
      <w:numFmt w:val="decimal"/>
      <w:start w:val="1"/>
    </w:lvl>
  </w:abstractNum>
  <w:abstractNum w:abstractNumId="184">
    <w:nsid w:val="25973E32"/>
    <w:multiLevelType w:val="hybridMultilevel"/>
    <w:lvl w:ilvl="0">
      <w:lvlJc w:val="left"/>
      <w:lvlText w:val="%1."/>
      <w:numFmt w:val="decimal"/>
      <w:start w:val="1"/>
    </w:lvl>
  </w:abstractNum>
  <w:abstractNum w:abstractNumId="185">
    <w:nsid w:val="EAD6F57"/>
    <w:multiLevelType w:val="hybridMultilevel"/>
    <w:lvl w:ilvl="0">
      <w:lvlJc w:val="left"/>
      <w:lvlText w:val="%1."/>
      <w:numFmt w:val="decimal"/>
      <w:start w:val="4"/>
    </w:lvl>
  </w:abstractNum>
  <w:abstractNum w:abstractNumId="186">
    <w:nsid w:val="6EC9D844"/>
    <w:multiLevelType w:val="hybridMultilevel"/>
    <w:lvl w:ilvl="0">
      <w:lvlJc w:val="left"/>
      <w:lvlText w:val="%1"/>
      <w:numFmt w:val="lowerRoman"/>
      <w:start w:val="1"/>
    </w:lvl>
    <w:lvl w:ilvl="1">
      <w:lvlJc w:val="left"/>
      <w:lvlText w:val="%2."/>
      <w:numFmt w:val="decimal"/>
      <w:start w:val="7"/>
    </w:lvl>
  </w:abstractNum>
  <w:abstractNum w:abstractNumId="187">
    <w:nsid w:val="5C49EAEE"/>
    <w:multiLevelType w:val="hybridMultilevel"/>
    <w:lvl w:ilvl="0">
      <w:lvlJc w:val="left"/>
      <w:lvlText w:val="(%1)"/>
      <w:numFmt w:val="lowerRoman"/>
      <w:start w:val="2"/>
    </w:lvl>
    <w:lvl w:ilvl="1">
      <w:lvlJc w:val="left"/>
      <w:lvlText w:val="%2."/>
      <w:numFmt w:val="decimal"/>
      <w:start w:val="11"/>
    </w:lvl>
  </w:abstractNum>
  <w:abstractNum w:abstractNumId="188">
    <w:nsid w:val="64AF49B"/>
    <w:multiLevelType w:val="hybridMultilevel"/>
    <w:lvl w:ilvl="0">
      <w:lvlJc w:val="left"/>
      <w:lvlText w:val="%1."/>
      <w:numFmt w:val="decimal"/>
      <w:start w:val="12"/>
    </w:lvl>
  </w:abstractNum>
  <w:abstractNum w:abstractNumId="189">
    <w:nsid w:val="397C46BC"/>
    <w:multiLevelType w:val="hybridMultilevel"/>
    <w:lvl w:ilvl="0">
      <w:lvlJc w:val="left"/>
      <w:lvlText w:val="%1."/>
      <w:numFmt w:val="decimal"/>
      <w:start w:val="14"/>
    </w:lvl>
  </w:abstractNum>
  <w:abstractNum w:abstractNumId="190">
    <w:nsid w:val="7E448DE9"/>
    <w:multiLevelType w:val="hybridMultilevel"/>
    <w:lvl w:ilvl="0">
      <w:lvlJc w:val="left"/>
      <w:lvlText w:val="(%1)"/>
      <w:numFmt w:val="lowerRoman"/>
      <w:start w:val="1"/>
    </w:lvl>
  </w:abstractNum>
  <w:abstractNum w:abstractNumId="191">
    <w:nsid w:val="5A9CC3E5"/>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71" Type="http://schemas.openxmlformats.org/officeDocument/2006/relationships/image" Target="media/image243.png"/><Relationship Id="rId281" Type="http://schemas.openxmlformats.org/officeDocument/2006/relationships/image" Target="media/image244.png"/><Relationship Id="rId282" Type="http://schemas.openxmlformats.org/officeDocument/2006/relationships/image" Target="media/image245.png"/><Relationship Id="rId283" Type="http://schemas.openxmlformats.org/officeDocument/2006/relationships/image" Target="media/image246.png"/><Relationship Id="rId284" Type="http://schemas.openxmlformats.org/officeDocument/2006/relationships/image" Target="media/image247.png"/><Relationship Id="rId285" Type="http://schemas.openxmlformats.org/officeDocument/2006/relationships/image" Target="media/image248.png"/><Relationship Id="rId286" Type="http://schemas.openxmlformats.org/officeDocument/2006/relationships/image" Target="media/image249.png"/><Relationship Id="rId287" Type="http://schemas.openxmlformats.org/officeDocument/2006/relationships/image" Target="media/image250.png"/><Relationship Id="rId288" Type="http://schemas.openxmlformats.org/officeDocument/2006/relationships/image" Target="media/image251.png"/><Relationship Id="rId289" Type="http://schemas.openxmlformats.org/officeDocument/2006/relationships/image" Target="media/image252.png"/><Relationship Id="rId290" Type="http://schemas.openxmlformats.org/officeDocument/2006/relationships/image" Target="media/image253.png"/><Relationship Id="rId291" Type="http://schemas.openxmlformats.org/officeDocument/2006/relationships/image" Target="media/image254.png"/><Relationship Id="rId292" Type="http://schemas.openxmlformats.org/officeDocument/2006/relationships/image" Target="media/image255.png"/><Relationship Id="rId293" Type="http://schemas.openxmlformats.org/officeDocument/2006/relationships/image" Target="media/image256.png"/><Relationship Id="rId294" Type="http://schemas.openxmlformats.org/officeDocument/2006/relationships/image" Target="media/image257.png"/><Relationship Id="rId295" Type="http://schemas.openxmlformats.org/officeDocument/2006/relationships/image" Target="media/image258.png"/><Relationship Id="rId296" Type="http://schemas.openxmlformats.org/officeDocument/2006/relationships/image" Target="media/image259.png"/><Relationship Id="rId297" Type="http://schemas.openxmlformats.org/officeDocument/2006/relationships/image" Target="media/image260.png"/><Relationship Id="rId298" Type="http://schemas.openxmlformats.org/officeDocument/2006/relationships/image" Target="media/image261.png"/><Relationship Id="rId299" Type="http://schemas.openxmlformats.org/officeDocument/2006/relationships/image" Target="media/image262.png"/><Relationship Id="rId300" Type="http://schemas.openxmlformats.org/officeDocument/2006/relationships/image" Target="media/image263.png"/><Relationship Id="rId301" Type="http://schemas.openxmlformats.org/officeDocument/2006/relationships/image" Target="media/image264.png"/><Relationship Id="rId302" Type="http://schemas.openxmlformats.org/officeDocument/2006/relationships/image" Target="media/image265.png"/><Relationship Id="rId303" Type="http://schemas.openxmlformats.org/officeDocument/2006/relationships/image" Target="media/image266.png"/><Relationship Id="rId304" Type="http://schemas.openxmlformats.org/officeDocument/2006/relationships/image" Target="media/image267.png"/><Relationship Id="rId305" Type="http://schemas.openxmlformats.org/officeDocument/2006/relationships/image" Target="media/image268.png"/><Relationship Id="rId306" Type="http://schemas.openxmlformats.org/officeDocument/2006/relationships/image" Target="media/image269.png"/><Relationship Id="rId307" Type="http://schemas.openxmlformats.org/officeDocument/2006/relationships/image" Target="media/image270.png"/><Relationship Id="rId308" Type="http://schemas.openxmlformats.org/officeDocument/2006/relationships/image" Target="media/image271.png"/><Relationship Id="rId309" Type="http://schemas.openxmlformats.org/officeDocument/2006/relationships/image" Target="media/image272.png"/><Relationship Id="rId310" Type="http://schemas.openxmlformats.org/officeDocument/2006/relationships/image" Target="media/image273.png"/><Relationship Id="rId311" Type="http://schemas.openxmlformats.org/officeDocument/2006/relationships/image" Target="media/image274.png"/><Relationship Id="rId312" Type="http://schemas.openxmlformats.org/officeDocument/2006/relationships/image" Target="media/image275.png"/><Relationship Id="rId313" Type="http://schemas.openxmlformats.org/officeDocument/2006/relationships/image" Target="media/image276.png"/><Relationship Id="rId314" Type="http://schemas.openxmlformats.org/officeDocument/2006/relationships/image" Target="media/image277.png"/><Relationship Id="rId315" Type="http://schemas.openxmlformats.org/officeDocument/2006/relationships/image" Target="media/image278.png"/><Relationship Id="rId316" Type="http://schemas.openxmlformats.org/officeDocument/2006/relationships/image" Target="media/image279.png"/><Relationship Id="rId317" Type="http://schemas.openxmlformats.org/officeDocument/2006/relationships/image" Target="media/image280.png"/><Relationship Id="rId318" Type="http://schemas.openxmlformats.org/officeDocument/2006/relationships/image" Target="media/image281.png"/><Relationship Id="rId319" Type="http://schemas.openxmlformats.org/officeDocument/2006/relationships/image" Target="media/image282.png"/><Relationship Id="rId320" Type="http://schemas.openxmlformats.org/officeDocument/2006/relationships/image" Target="media/image283.png"/><Relationship Id="rId321" Type="http://schemas.openxmlformats.org/officeDocument/2006/relationships/image" Target="media/image284.png"/><Relationship Id="rId322" Type="http://schemas.openxmlformats.org/officeDocument/2006/relationships/image" Target="media/image285.png"/><Relationship Id="rId323" Type="http://schemas.openxmlformats.org/officeDocument/2006/relationships/image" Target="media/image286.png"/><Relationship Id="rId324" Type="http://schemas.openxmlformats.org/officeDocument/2006/relationships/image" Target="media/image287.png"/><Relationship Id="rId325" Type="http://schemas.openxmlformats.org/officeDocument/2006/relationships/image" Target="media/image288.png"/><Relationship Id="rId326" Type="http://schemas.openxmlformats.org/officeDocument/2006/relationships/image" Target="media/image289.png"/><Relationship Id="rId327" Type="http://schemas.openxmlformats.org/officeDocument/2006/relationships/image" Target="media/image290.png"/><Relationship Id="rId328" Type="http://schemas.openxmlformats.org/officeDocument/2006/relationships/image" Target="media/image291.png"/><Relationship Id="rId329" Type="http://schemas.openxmlformats.org/officeDocument/2006/relationships/image" Target="media/image292.png"/><Relationship Id="rId330" Type="http://schemas.openxmlformats.org/officeDocument/2006/relationships/image" Target="media/image293.png"/><Relationship Id="rId331" Type="http://schemas.openxmlformats.org/officeDocument/2006/relationships/image" Target="media/image294.png"/><Relationship Id="rId332" Type="http://schemas.openxmlformats.org/officeDocument/2006/relationships/image" Target="media/image295.png"/><Relationship Id="rId333" Type="http://schemas.openxmlformats.org/officeDocument/2006/relationships/image" Target="media/image296.png"/><Relationship Id="rId334" Type="http://schemas.openxmlformats.org/officeDocument/2006/relationships/image" Target="media/image297.png"/><Relationship Id="rId335" Type="http://schemas.openxmlformats.org/officeDocument/2006/relationships/image" Target="media/image298.png"/><Relationship Id="rId336" Type="http://schemas.openxmlformats.org/officeDocument/2006/relationships/image" Target="media/image299.png"/><Relationship Id="rId337" Type="http://schemas.openxmlformats.org/officeDocument/2006/relationships/image" Target="media/image300.png"/><Relationship Id="rId338" Type="http://schemas.openxmlformats.org/officeDocument/2006/relationships/image" Target="media/image301.png"/><Relationship Id="rId339" Type="http://schemas.openxmlformats.org/officeDocument/2006/relationships/image" Target="media/image302.png"/><Relationship Id="rId340" Type="http://schemas.openxmlformats.org/officeDocument/2006/relationships/image" Target="media/image303.png"/><Relationship Id="rId341" Type="http://schemas.openxmlformats.org/officeDocument/2006/relationships/image" Target="media/image304.png"/><Relationship Id="rId250" Type="http://schemas.openxmlformats.org/officeDocument/2006/relationships/hyperlink" Target="http://www.sec.gov/Archives/edgar/data/1749723/000114036118042889/s002392x7_ex3-1.htm" TargetMode="External"/><Relationship Id="rId251" Type="http://schemas.openxmlformats.org/officeDocument/2006/relationships/hyperlink" Target="http://www.sec.gov/Archives/edgar/data/1749723/000114036118042889/s002392x7_ex3-2.htm" TargetMode="External"/><Relationship Id="rId252" Type="http://schemas.openxmlformats.org/officeDocument/2006/relationships/hyperlink" Target="http://www.sec.gov/Archives/edgar/data/1749723/000114036119000862/s002392x10_ex3-3.htm" TargetMode="External"/><Relationship Id="rId253" Type="http://schemas.openxmlformats.org/officeDocument/2006/relationships/hyperlink" Target="http://www.sec.gov/Archives/edgar/data/1749723/000114036119001592/s002392x11_ex5-1.htm" TargetMode="External"/><Relationship Id="rId254" Type="http://schemas.openxmlformats.org/officeDocument/2006/relationships/hyperlink" Target="http://www.sec.gov/Archives/edgar/data/1749723/000114036119000862/s002392x10_ex10-1.htm" TargetMode="External"/><Relationship Id="rId255" Type="http://schemas.openxmlformats.org/officeDocument/2006/relationships/hyperlink" Target="http://www.sec.gov/Archives/edgar/data/1749723/000114036119000862/s002392x10_ex10-2.htm" TargetMode="External"/><Relationship Id="rId256" Type="http://schemas.openxmlformats.org/officeDocument/2006/relationships/hyperlink" Target="http://www.sec.gov/Archives/edgar/data/1749723/000114036119000862/s002392x10_ex10-3.htm" TargetMode="External"/><Relationship Id="rId257" Type="http://schemas.openxmlformats.org/officeDocument/2006/relationships/hyperlink" Target="http://www.sec.gov/Archives/edgar/data/1749723/000114036118045661/s002392x8_ex10-4.htm" TargetMode="External"/><Relationship Id="rId258" Type="http://schemas.openxmlformats.org/officeDocument/2006/relationships/hyperlink" Target="http://www.sec.gov/Archives/edgar/data/1749723/000114036119000862/s002392x10_ex10-5.htm" TargetMode="External"/><Relationship Id="rId259" Type="http://schemas.openxmlformats.org/officeDocument/2006/relationships/hyperlink" Target="http://www.sec.gov/Archives/edgar/data/1749723/000114036119000862/s002392x10_ex10-6.htm" TargetMode="External"/><Relationship Id="rId260" Type="http://schemas.openxmlformats.org/officeDocument/2006/relationships/hyperlink" Target="http://www.sec.gov/Archives/edgar/data/1749723/000114036118045661/s002392x8_ex10-7.htm" TargetMode="External"/><Relationship Id="rId261" Type="http://schemas.openxmlformats.org/officeDocument/2006/relationships/hyperlink" Target="http://www.sec.gov/Archives/edgar/data/1749723/000114036118045661/s002392x8_ex10-8.htm" TargetMode="External"/><Relationship Id="rId262" Type="http://schemas.openxmlformats.org/officeDocument/2006/relationships/hyperlink" Target="http://www.sec.gov/Archives/edgar/data/1749723/000114036118042889/s002392x7_ex10-9.htm" TargetMode="External"/><Relationship Id="rId263" Type="http://schemas.openxmlformats.org/officeDocument/2006/relationships/hyperlink" Target="http://www.sec.gov/Archives/edgar/data/1749723/000114036118042889/s002392x7_ex10-10.htm" TargetMode="External"/><Relationship Id="rId264" Type="http://schemas.openxmlformats.org/officeDocument/2006/relationships/hyperlink" Target="http://www.sec.gov/Archives/edgar/data/1749723/000114036118042889/s002392x7_ex10-11.htm" TargetMode="External"/><Relationship Id="rId265" Type="http://schemas.openxmlformats.org/officeDocument/2006/relationships/hyperlink" Target="http://www.sec.gov/Archives/edgar/data/1749723/000114036118042889/s002392x7_ex10-12.htm" TargetMode="External"/><Relationship Id="rId266" Type="http://schemas.openxmlformats.org/officeDocument/2006/relationships/hyperlink" Target="http://www.sec.gov/Archives/edgar/data/1749723/000114036118042889/s002392x7_ex10-13.htm" TargetMode="External"/><Relationship Id="rId267" Type="http://schemas.openxmlformats.org/officeDocument/2006/relationships/hyperlink" Target="http://www.sec.gov/Archives/edgar/data/1749723/000114036118045661/s002392x8_ex10-14.htm" TargetMode="External"/><Relationship Id="rId268" Type="http://schemas.openxmlformats.org/officeDocument/2006/relationships/hyperlink" Target="http://www.sec.gov/Archives/edgar/data/1749723/000114036119000862/s002392x10_ex10-15.htm" TargetMode="External"/><Relationship Id="rId269" Type="http://schemas.openxmlformats.org/officeDocument/2006/relationships/hyperlink" Target="http://www.sec.gov/Archives/edgar/data/1749723/000114036119000862/s002392x10_ex10-16.htm" TargetMode="External"/><Relationship Id="rId270" Type="http://schemas.openxmlformats.org/officeDocument/2006/relationships/hyperlink" Target="http://www.sec.gov/Archives/edgar/data/1749723/000114036119001592/s002392x11_ex10-17.htm" TargetMode="External"/><Relationship Id="rId272" Type="http://schemas.openxmlformats.org/officeDocument/2006/relationships/hyperlink" Target="http://www.sec.gov/Archives/edgar/data/1749723/000114036118042889/s002392x7_ex21-1.htm" TargetMode="External"/><Relationship Id="rId273" Type="http://schemas.openxmlformats.org/officeDocument/2006/relationships/hyperlink" Target="http://www.sec.gov/Archives/edgar/data/1749723/000114036119000862/s002392x10_ex5-1.htm" TargetMode="External"/><Relationship Id="rId274" Type="http://schemas.openxmlformats.org/officeDocument/2006/relationships/hyperlink" Target="http://www.sec.gov/Archives/edgar/data/1749723/000114036118042889/s002392x7_s1.htm#tSIG" TargetMode="External"/><Relationship Id="rId275" Type="http://schemas.openxmlformats.org/officeDocument/2006/relationships/hyperlink" Target="http://www.sec.gov/Archives/edgar/data/1749723/000114036118042889/s002392x7_ex99-1.htm" TargetMode="External"/><Relationship Id="rId276" Type="http://schemas.openxmlformats.org/officeDocument/2006/relationships/hyperlink" Target="http://www.sec.gov/Archives/edgar/data/1749723/000114036118042889/s002392x7_ex99-2.htm" TargetMode="External"/><Relationship Id="rId277" Type="http://schemas.openxmlformats.org/officeDocument/2006/relationships/hyperlink" Target="http://www.sec.gov/Archives/edgar/data/1749723/000114036118042889/s002392x7_ex99-3.htm" TargetMode="External"/><Relationship Id="rId278" Type="http://schemas.openxmlformats.org/officeDocument/2006/relationships/hyperlink" Target="http://www.sec.gov/Archives/edgar/data/1749723/000114036118042889/s002392x7_ex99-4.htm" TargetMode="External"/><Relationship Id="rId279" Type="http://schemas.openxmlformats.org/officeDocument/2006/relationships/hyperlink" Target="http://www.sec.gov/Archives/edgar/data/1749723/000114036118045661/s002392x8_ex99-5.htm" TargetMode="External"/><Relationship Id="rId280" Type="http://schemas.openxmlformats.org/officeDocument/2006/relationships/hyperlink" Target="http://www.sec.gov/Archives/edgar/data/1749723/000114036119000862/s002392x10_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2019-12-15T19:00:16Z</dcterms:created>
  <dcterms:modified xsi:type="dcterms:W3CDTF">2019-12-15T19:00:16Z</dcterms:modified>
</cp:coreProperties>
</file>