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64135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92710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237490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64770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80" w:space="720"/>
            <w:col w:w="2900"/>
          </w:cols>
          <w:pgMar w:left="320" w:top="535" w:right="499" w:bottom="1440" w:gutter="0" w:footer="0" w:header="0"/>
          <w:type w:val="continuous"/>
        </w:sectPr>
      </w:pPr>
    </w:p>
    <w:p>
      <w:pPr>
        <w:spacing w:after="0" w:line="18" w:lineRule="exact"/>
        <w:rPr>
          <w:sz w:val="24"/>
          <w:szCs w:val="24"/>
          <w:color w:val="auto"/>
        </w:rPr>
      </w:pPr>
    </w:p>
    <w:p>
      <w:pPr>
        <w:ind w:left="1660"/>
        <w:spacing w:after="0"/>
        <w:tabs>
          <w:tab w:leader="none" w:pos="8260" w:val="left"/>
        </w:tabs>
        <w:rPr>
          <w:sz w:val="20"/>
          <w:szCs w:val="20"/>
          <w:color w:val="auto"/>
        </w:rPr>
      </w:pPr>
      <w:r>
        <w:rPr>
          <w:rFonts w:ascii="Arial" w:cs="Arial" w:eastAsia="Arial" w:hAnsi="Arial"/>
          <w:sz w:val="18"/>
          <w:szCs w:val="18"/>
          <w:b w:val="1"/>
          <w:bCs w:val="1"/>
          <w:color w:val="auto"/>
        </w:rPr>
        <w:t>111 W. 19th Street, 8th Floor</w:t>
      </w:r>
      <w:r>
        <w:rPr>
          <w:sz w:val="20"/>
          <w:szCs w:val="20"/>
          <w:color w:val="auto"/>
        </w:rPr>
        <w:tab/>
      </w:r>
      <w:r>
        <w:rPr>
          <w:rFonts w:ascii="Arial" w:cs="Arial" w:eastAsia="Arial" w:hAnsi="Arial"/>
          <w:sz w:val="15"/>
          <w:szCs w:val="15"/>
          <w:b w:val="1"/>
          <w:bCs w:val="1"/>
          <w:color w:val="auto"/>
        </w:rPr>
        <w:t>10011</w:t>
      </w:r>
    </w:p>
    <w:p>
      <w:pPr>
        <w:spacing w:after="0" w:line="27"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ind w:left="1300"/>
        <w:spacing w:after="0"/>
        <w:tabs>
          <w:tab w:leader="none" w:pos="8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080"/>
          </w:cols>
          <w:pgMar w:left="320" w:top="535" w:right="499" w:bottom="1440" w:gutter="0" w:footer="0" w:header="0"/>
          <w:type w:val="continuous"/>
        </w:sectPr>
      </w:pP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228600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222885</wp:posOffset>
            </wp:positionV>
            <wp:extent cx="10629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40" w:type="dxa"/>
            <w:vAlign w:val="bottom"/>
          </w:tcPr>
          <w:p>
            <w:pPr>
              <w:spacing w:after="0"/>
              <w:rPr>
                <w:sz w:val="18"/>
                <w:szCs w:val="18"/>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Trading Symbol(s)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96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7"/>
              </w:rPr>
              <w:t>Class A common stock</w:t>
            </w: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“NFE”</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02" w:lineRule="exact"/>
        <w:rPr>
          <w:sz w:val="24"/>
          <w:szCs w:val="24"/>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On February 28, 2022, New Fortress Energy Inc. (“NFE” or the “Company”) issued a press release announcing the Company’s financial and operating results for its fiscal quarter and year ended December 31, 2021. A copy of the Company’s press release is attached to this Current Report on Form 8-K (the “Current Report”) as Exhibit 99.1 and is incorporated herein solely for purposes of this Item 2.02 disclosure.</w:t>
      </w:r>
    </w:p>
    <w:p>
      <w:pPr>
        <w:spacing w:after="0" w:line="16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9880" w:type="dxa"/>
            <w:vAlign w:val="bottom"/>
          </w:tcPr>
          <w:p>
            <w:pPr>
              <w:spacing w:after="0"/>
              <w:rPr>
                <w:sz w:val="18"/>
                <w:szCs w:val="18"/>
                <w:color w:val="auto"/>
              </w:rPr>
            </w:pPr>
          </w:p>
        </w:tc>
      </w:tr>
      <w:tr>
        <w:trPr>
          <w:trHeight w:val="241"/>
        </w:trPr>
        <w:tc>
          <w:tcPr>
            <w:tcW w:w="420" w:type="dxa"/>
            <w:vAlign w:val="bottom"/>
          </w:tcPr>
          <w:p>
            <w:pPr>
              <w:spacing w:after="0"/>
              <w:rPr>
                <w:sz w:val="20"/>
                <w:szCs w:val="20"/>
                <w:color w:val="auto"/>
              </w:rPr>
            </w:pPr>
          </w:p>
        </w:tc>
        <w:tc>
          <w:tcPr>
            <w:tcW w:w="9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gridSpan w:val="3"/>
          </w:tcPr>
          <w:p>
            <w:pPr>
              <w:jc w:val="center"/>
              <w:ind w:right="3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98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Press Release, dated February 28, 2022, issued by New Fortress Energy Inc.</w:t>
            </w:r>
          </w:p>
        </w:tc>
      </w:tr>
      <w:tr>
        <w:trPr>
          <w:trHeight w:val="237"/>
        </w:trPr>
        <w:tc>
          <w:tcPr>
            <w:tcW w:w="42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39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00" w:type="dxa"/>
            <w:vAlign w:val="bottom"/>
            <w:gridSpan w:val="2"/>
          </w:tcPr>
          <w:p>
            <w:pPr>
              <w:ind w:left="228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340" w:type="dxa"/>
            <w:vAlign w:val="bottom"/>
          </w:tcPr>
          <w:p>
            <w:pPr>
              <w:spacing w:after="0"/>
              <w:rPr>
                <w:sz w:val="20"/>
                <w:szCs w:val="20"/>
                <w:color w:val="auto"/>
              </w:rPr>
            </w:pPr>
            <w:r>
              <w:rPr>
                <w:rFonts w:ascii="Arial" w:cs="Arial" w:eastAsia="Arial" w:hAnsi="Arial"/>
                <w:sz w:val="18"/>
                <w:szCs w:val="18"/>
                <w:color w:val="auto"/>
              </w:rPr>
              <w:t>March 1, 2022</w:t>
            </w:r>
          </w:p>
        </w:tc>
        <w:tc>
          <w:tcPr>
            <w:tcW w:w="2840" w:type="dxa"/>
            <w:vAlign w:val="bottom"/>
          </w:tcPr>
          <w:p>
            <w:pPr>
              <w:ind w:left="22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40" w:type="dxa"/>
            <w:vAlign w:val="bottom"/>
          </w:tcPr>
          <w:p>
            <w:pPr>
              <w:spacing w:after="0"/>
              <w:rPr>
                <w:sz w:val="17"/>
                <w:szCs w:val="17"/>
                <w:color w:val="auto"/>
              </w:rPr>
            </w:pPr>
          </w:p>
        </w:tc>
        <w:tc>
          <w:tcPr>
            <w:tcW w:w="284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34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33"/>
        </w:trPr>
        <w:tc>
          <w:tcPr>
            <w:tcW w:w="3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-137795</wp:posOffset>
            </wp:positionV>
            <wp:extent cx="154305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New York, NY 10011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Fourth Quarter 2021 Results and Declares Dividend of $0.10 per Class A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New Fortress Energy Inc. (NASDAQ: NFE) (“NFE” or the “Company”) today reported its financial results for the fourth quarter and full year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NFE is pleased to report our highest quarterly and annual net income and EPS in our history</w:t>
      </w:r>
    </w:p>
    <w:p>
      <w:pPr>
        <w:spacing w:after="0" w:line="9"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income of over $151 million and EPS of $0.72 per share on a fully diluted basis for Q4 2021</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income of over $92 million and EPS of $0.47 per share on a fully diluted basis for the year ended December 31,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NFE is adopting Adjusted EBITDA as our new financial performance measure</w:t>
      </w:r>
    </w:p>
    <w:p>
      <w:pPr>
        <w:spacing w:after="0" w:line="9" w:lineRule="exact"/>
        <w:rPr>
          <w:rFonts w:ascii="Arial" w:cs="Arial" w:eastAsia="Arial" w:hAnsi="Arial"/>
          <w:sz w:val="18"/>
          <w:szCs w:val="18"/>
          <w:color w:val="auto"/>
        </w:rPr>
      </w:pPr>
    </w:p>
    <w:p>
      <w:pPr>
        <w:ind w:left="1300" w:right="20" w:hanging="320"/>
        <w:spacing w:after="0" w:line="19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increased almost 100% over the previous quarter to approximately $334 million in Q4 2021 from $170 million in Q3 2021</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was over $604 million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update</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LNG sales and power revenues produced record revenues in Q4 and FY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Signed 10 new commercial contracts in 2021 including:</w:t>
      </w:r>
    </w:p>
    <w:p>
      <w:pPr>
        <w:spacing w:after="0" w:line="9" w:lineRule="exact"/>
        <w:rPr>
          <w:sz w:val="20"/>
          <w:szCs w:val="20"/>
          <w:color w:val="auto"/>
        </w:rPr>
      </w:pPr>
    </w:p>
    <w:p>
      <w:pPr>
        <w:ind w:left="1300" w:right="24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~30 TBtu, 15-year supply agreement replacing oil-based fuel at Norsk Hydro’s Alunorte alumina refinery with gas to be supplied from our Barcarena Terminal in Brazil</w:t>
      </w:r>
    </w:p>
    <w:p>
      <w:pPr>
        <w:ind w:left="1300" w:right="58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Gas supply agreement with CFEnergia supplied from our La Paz, Mexico terminal for the fuel supply of two power plants in Baja California Sur, Mexico</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Elevated and volatile commodity market environment creates significant tailwinds for NFE’s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projects in Nicaragua and Brazil are advancing on schedule</w:t>
      </w:r>
    </w:p>
    <w:p>
      <w:pPr>
        <w:spacing w:after="0" w:line="9" w:lineRule="exact"/>
        <w:rPr>
          <w:rFonts w:ascii="Arial" w:cs="Arial" w:eastAsia="Arial" w:hAnsi="Arial"/>
          <w:sz w:val="18"/>
          <w:szCs w:val="18"/>
          <w:color w:val="auto"/>
        </w:rPr>
      </w:pPr>
    </w:p>
    <w:p>
      <w:pPr>
        <w:ind w:left="1300" w:hanging="320"/>
        <w:spacing w:after="0" w:line="1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Nicaragua power plant is fully complete and awaiting First Gas</w:t>
      </w:r>
      <w:r>
        <w:rPr>
          <w:rFonts w:ascii="Arial" w:cs="Arial" w:eastAsia="Arial" w:hAnsi="Arial"/>
          <w:sz w:val="25"/>
          <w:szCs w:val="25"/>
          <w:color w:val="auto"/>
          <w:vertAlign w:val="superscript"/>
        </w:rPr>
        <w:t>(2)</w:t>
      </w:r>
    </w:p>
    <w:p>
      <w:pPr>
        <w:ind w:left="1300" w:hanging="320"/>
        <w:spacing w:after="0" w:line="249"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Construction of the Barcarena offshore terminal, its associated pipeline and citygate are significantly advanced and the marine terminal at near physical completion</w:t>
      </w:r>
    </w:p>
    <w:p>
      <w:pPr>
        <w:ind w:left="130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Construction at our Santa Catarina Terminal is significantly advanced, with onshore and offshore pipeline laying already commenced, the FSRU approaching drydocking and the terminal projected to be ready for FSRU mooring in early Q2 2022</w:t>
      </w:r>
    </w:p>
    <w:p>
      <w:pPr>
        <w:ind w:left="660" w:hanging="328"/>
        <w:spacing w:after="0" w:line="19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NFE has signed a term sheet</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with Transnet Port Terminals, a division of Transnet SOC Limited, for use of a marine berth for a large ship in Richards Bay, 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Fast LNG update</w:t>
      </w:r>
    </w:p>
    <w:p>
      <w:pPr>
        <w:ind w:left="660" w:hanging="328"/>
        <w:spacing w:after="0" w:line="18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Executed HOA for deployment of our first Fast LNG asset scheduled for Q2 2023 with Eni S.p.A.’s fully owned subsidiary, Eni Congo (“Eni”)</w:t>
      </w:r>
      <w:r>
        <w:rPr>
          <w:rFonts w:ascii="Arial" w:cs="Arial" w:eastAsia="Arial" w:hAnsi="Arial"/>
          <w:sz w:val="24"/>
          <w:szCs w:val="24"/>
          <w:color w:val="auto"/>
          <w:vertAlign w:val="superscript"/>
        </w:rPr>
        <w:t>(6)</w:t>
      </w:r>
    </w:p>
    <w:p>
      <w:pPr>
        <w:spacing w:after="0" w:line="3" w:lineRule="exact"/>
        <w:rPr>
          <w:sz w:val="20"/>
          <w:szCs w:val="20"/>
          <w:color w:val="auto"/>
        </w:rPr>
      </w:pPr>
    </w:p>
    <w:p>
      <w:pPr>
        <w:ind w:left="1300" w:hanging="320"/>
        <w:spacing w:after="0" w:line="184" w:lineRule="auto"/>
        <w:tabs>
          <w:tab w:leader="none" w:pos="1300" w:val="left"/>
        </w:tabs>
        <w:numPr>
          <w:ilvl w:val="1"/>
          <w:numId w:val="8"/>
        </w:numPr>
        <w:rPr>
          <w:rFonts w:ascii="Courier New" w:cs="Courier New" w:eastAsia="Courier New" w:hAnsi="Courier New"/>
          <w:sz w:val="26"/>
          <w:szCs w:val="26"/>
          <w:color w:val="auto"/>
          <w:vertAlign w:val="superscript"/>
        </w:rPr>
      </w:pPr>
      <w:r>
        <w:rPr>
          <w:rFonts w:ascii="Arial" w:cs="Arial" w:eastAsia="Arial" w:hAnsi="Arial"/>
          <w:sz w:val="16"/>
          <w:szCs w:val="16"/>
          <w:color w:val="auto"/>
        </w:rPr>
        <w:t>FLNG 1 will be deployed on Eni’s Marine 12 project offshore of The Republic of Congo; NFE will receive a combination of a tolling fee for the next 20 years plus the right to purchase 50% of the LNG created</w:t>
      </w:r>
      <w:r>
        <w:rPr>
          <w:rFonts w:ascii="Arial" w:cs="Arial" w:eastAsia="Arial" w:hAnsi="Arial"/>
          <w:sz w:val="25"/>
          <w:szCs w:val="25"/>
          <w:color w:val="auto"/>
          <w:vertAlign w:val="superscript"/>
        </w:rPr>
        <w:t>(6)</w:t>
      </w:r>
    </w:p>
    <w:p>
      <w:pPr>
        <w:spacing w:after="0" w:line="1" w:lineRule="exact"/>
        <w:rPr>
          <w:rFonts w:ascii="Courier New" w:cs="Courier New" w:eastAsia="Courier New" w:hAnsi="Courier New"/>
          <w:sz w:val="26"/>
          <w:szCs w:val="26"/>
          <w:color w:val="auto"/>
          <w:vertAlign w:val="superscript"/>
        </w:rPr>
      </w:pPr>
    </w:p>
    <w:p>
      <w:pPr>
        <w:ind w:left="660" w:hanging="328"/>
        <w:spacing w:after="0" w:line="18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taken FID</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on our second Fast LNG unit, which is expected to be placed into service in Q3 2023</w:t>
      </w: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This asset will utilize the same modularized liquefaction technology as our FLNG 1 asset and have a nameplate capacity of 1.4 mtpa</w:t>
      </w:r>
    </w:p>
    <w:p>
      <w:pPr>
        <w:spacing w:after="0" w:line="30"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NFE has also purchased two marine assets that can be used as the operational base for FLNG 2 and future FLNG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3" w:lineRule="exact"/>
        <w:rPr>
          <w:sz w:val="20"/>
          <w:szCs w:val="20"/>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2021, NFE purchased over 0.75 mtpa of additional annual supply taking us to over 2.4 mtpa, which fully covers estimated downstream demand through 2026</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addition, we are actively looking to add long-term volumes from US producers to best match long-term demand in high-growth markets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transition</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making significant progress in the development of our clean hydrogen business, NFE Zero Parks</w:t>
      </w:r>
    </w:p>
    <w:p>
      <w:pPr>
        <w:spacing w:after="0" w:line="9" w:lineRule="exact"/>
        <w:rPr>
          <w:rFonts w:ascii="Arial" w:cs="Arial" w:eastAsia="Arial" w:hAnsi="Arial"/>
          <w:sz w:val="18"/>
          <w:szCs w:val="18"/>
          <w:color w:val="auto"/>
        </w:rPr>
      </w:pPr>
    </w:p>
    <w:p>
      <w:pPr>
        <w:ind w:left="660" w:right="20" w:hanging="328"/>
        <w:spacing w:after="0" w:line="19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nearing FID</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on our first NFE Zero Parks facility, a 100MW green hydrogen facility expected to be one of the largest of its kind in the United States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to capitalize NFE Zero Parks to fund development of a portfolio of clean hydrogen projects, our next step in building the world’s leading energy transition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update</w:t>
      </w:r>
    </w:p>
    <w:p>
      <w:pPr>
        <w:spacing w:after="0" w:line="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access to capital to fund our developments</w:t>
      </w:r>
    </w:p>
    <w:p>
      <w:pPr>
        <w:spacing w:after="0" w:line="9" w:lineRule="exact"/>
        <w:rPr>
          <w:sz w:val="20"/>
          <w:szCs w:val="20"/>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Issuing up to $285 million of bonds in Jamaica, $160 million funded to date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Expanding revolver capacity by up to $200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Achieved a credit rating upgrade to BB-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Exploring financing alternatives, including assets sales that will allow us to redeploy capital at significantly higher yields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Board of Directors approved a dividend of $0.10 per share, with a record date of March 18, 2022 and a payment date of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34"/>
        </w:trPr>
        <w:tc>
          <w:tcPr>
            <w:tcW w:w="158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1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7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7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92.7</w:t>
            </w:r>
          </w:p>
        </w:tc>
      </w:tr>
      <w:tr>
        <w:trPr>
          <w:trHeight w:val="216"/>
        </w:trPr>
        <w:tc>
          <w:tcPr>
            <w:tcW w:w="58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Terminals and Infrastructure Segment Operating Margin</w:t>
            </w:r>
            <w:r>
              <w:rPr>
                <w:rFonts w:ascii="Arial" w:cs="Arial" w:eastAsia="Arial" w:hAnsi="Arial"/>
                <w:sz w:val="25"/>
                <w:szCs w:val="25"/>
                <w:color w:val="auto"/>
                <w:vertAlign w:val="superscript"/>
              </w:rPr>
              <w:t>(1)</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r>
      <w:tr>
        <w:trPr>
          <w:trHeight w:val="216"/>
        </w:trPr>
        <w:tc>
          <w:tcPr>
            <w:tcW w:w="586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Ships Segment Operating Margin</w:t>
            </w:r>
            <w:r>
              <w:rPr>
                <w:rFonts w:ascii="Arial" w:cs="Arial" w:eastAsia="Arial" w:hAnsi="Arial"/>
                <w:sz w:val="25"/>
                <w:szCs w:val="25"/>
                <w:color w:val="auto"/>
                <w:vertAlign w:val="superscript"/>
              </w:rPr>
              <w:t>(1)</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94.8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265.2</w:t>
            </w: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Total Segment Operating Margin</w:t>
            </w:r>
            <w:r>
              <w:rPr>
                <w:rFonts w:ascii="Arial" w:cs="Arial" w:eastAsia="Arial" w:hAnsi="Arial"/>
                <w:sz w:val="25"/>
                <w:szCs w:val="25"/>
                <w:color w:val="auto"/>
                <w:vertAlign w:val="superscript"/>
              </w:rPr>
              <w:t>(1)</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746.4</w:t>
            </w:r>
          </w:p>
        </w:tc>
      </w:tr>
      <w:tr>
        <w:trPr>
          <w:trHeight w:val="216"/>
        </w:trPr>
        <w:tc>
          <w:tcPr>
            <w:tcW w:w="586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5"/>
                <w:szCs w:val="25"/>
                <w:b w:val="1"/>
                <w:bCs w:val="1"/>
                <w:color w:val="auto"/>
                <w:vertAlign w:val="superscript"/>
              </w:rPr>
              <w:t>(4)</w:t>
            </w: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169.9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334.0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604.6</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Volumes (k GPD)</w:t>
            </w: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w:t>
            </w:r>
          </w:p>
        </w:tc>
      </w:tr>
    </w:tbl>
    <w:p>
      <w:pPr>
        <w:spacing w:after="0" w:line="202"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 quarterly revenue of over $648mm, increasing approximately $344mm from the third quarter; revenue for the year ended December 31, 2021 was over $1.3 billion</w:t>
      </w:r>
    </w:p>
    <w:p>
      <w:pPr>
        <w:spacing w:after="0" w:line="1" w:lineRule="exact"/>
        <w:rPr>
          <w:rFonts w:ascii="Arial" w:cs="Arial" w:eastAsia="Arial" w:hAnsi="Arial"/>
          <w:sz w:val="18"/>
          <w:szCs w:val="18"/>
          <w:color w:val="auto"/>
        </w:rPr>
      </w:pPr>
    </w:p>
    <w:p>
      <w:pPr>
        <w:ind w:left="660" w:right="20" w:hanging="328"/>
        <w:spacing w:after="0" w:line="19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of approximately $334 million in Q4. Record quarterly Total Segment Operating Margin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approximately $373 million, resulting from:</w:t>
      </w:r>
    </w:p>
    <w:p>
      <w:pPr>
        <w:spacing w:after="0" w:line="1" w:lineRule="exact"/>
        <w:rPr>
          <w:rFonts w:ascii="Arial" w:cs="Arial" w:eastAsia="Arial" w:hAnsi="Arial"/>
          <w:sz w:val="18"/>
          <w:szCs w:val="18"/>
          <w:color w:val="auto"/>
        </w:rPr>
      </w:pPr>
    </w:p>
    <w:p>
      <w:pPr>
        <w:ind w:left="980"/>
        <w:spacing w:after="0" w:line="250" w:lineRule="auto"/>
        <w:rPr>
          <w:rFonts w:ascii="Arial" w:cs="Arial" w:eastAsia="Arial" w:hAnsi="Arial"/>
          <w:sz w:val="18"/>
          <w:szCs w:val="18"/>
          <w:color w:val="auto"/>
        </w:rPr>
      </w:pPr>
      <w:r>
        <w:rPr>
          <w:rFonts w:ascii="Arial" w:cs="Arial" w:eastAsia="Arial" w:hAnsi="Arial"/>
          <w:sz w:val="18"/>
          <w:szCs w:val="18"/>
          <w:color w:val="auto"/>
        </w:rPr>
        <w:t>o Terminals and Infrastructure Segment Operating Margin increased due to the impact of increased natural gas pricing and LNG cargo sales o Consistent contribution from Ships Segment Operating Margin from Q3 2021</w:t>
      </w:r>
    </w:p>
    <w:p>
      <w:pPr>
        <w:ind w:left="660" w:hanging="328"/>
        <w:spacing w:after="0" w:line="184"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Annual Adjusted EBIDTA</w:t>
      </w:r>
      <w:r>
        <w:rPr>
          <w:rFonts w:ascii="Arial" w:cs="Arial" w:eastAsia="Arial" w:hAnsi="Arial"/>
          <w:sz w:val="23"/>
          <w:szCs w:val="23"/>
          <w:color w:val="auto"/>
          <w:vertAlign w:val="superscript"/>
        </w:rPr>
        <w:t>(4)</w:t>
      </w:r>
      <w:r>
        <w:rPr>
          <w:rFonts w:ascii="Arial" w:cs="Arial" w:eastAsia="Arial" w:hAnsi="Arial"/>
          <w:sz w:val="15"/>
          <w:szCs w:val="15"/>
          <w:color w:val="auto"/>
        </w:rPr>
        <w:t xml:space="preserve"> of over $604 million and Annual Total Segment Operating Margin</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of over $746 million</w:t>
      </w:r>
    </w:p>
    <w:p>
      <w:pPr>
        <w:spacing w:after="0" w:line="1" w:lineRule="exact"/>
        <w:rPr>
          <w:sz w:val="20"/>
          <w:szCs w:val="20"/>
          <w:color w:val="auto"/>
        </w:rPr>
      </w:pPr>
    </w:p>
    <w:p>
      <w:pPr>
        <w:jc w:val="both"/>
        <w:ind w:left="1300" w:hanging="320"/>
        <w:spacing w:after="0" w:line="21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 Terminals and Infrastructure Segment Operating Margin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led by LNG cargo sales and the inclusion of the results of our investment in the Sergipe Power Plant acquired as part of the acquisition of Hygo Energy Transition Limited (“Hygo”) in the second quarter of 2021</w:t>
      </w:r>
    </w:p>
    <w:p>
      <w:pPr>
        <w:spacing w:after="0" w:line="3" w:lineRule="exact"/>
        <w:rPr>
          <w:rFonts w:ascii="Arial" w:cs="Arial" w:eastAsia="Arial" w:hAnsi="Arial"/>
          <w:sz w:val="18"/>
          <w:szCs w:val="18"/>
          <w:color w:val="auto"/>
        </w:rPr>
      </w:pPr>
    </w:p>
    <w:p>
      <w:pPr>
        <w:ind w:left="1300" w:hanging="320"/>
        <w:spacing w:after="0" w:line="207" w:lineRule="auto"/>
        <w:tabs>
          <w:tab w:leader="none" w:pos="1300" w:val="left"/>
        </w:tabs>
        <w:numPr>
          <w:ilvl w:val="0"/>
          <w:numId w:val="14"/>
        </w:numPr>
        <w:rPr>
          <w:rFonts w:ascii="Courier New" w:cs="Courier New" w:eastAsia="Courier New" w:hAnsi="Courier New"/>
          <w:sz w:val="30"/>
          <w:szCs w:val="30"/>
          <w:color w:val="auto"/>
          <w:vertAlign w:val="superscript"/>
        </w:rPr>
      </w:pPr>
      <w:r>
        <w:rPr>
          <w:rFonts w:ascii="Arial" w:cs="Arial" w:eastAsia="Arial" w:hAnsi="Arial"/>
          <w:sz w:val="18"/>
          <w:szCs w:val="18"/>
          <w:color w:val="auto"/>
        </w:rPr>
        <w:t>Our Ships Segment, acquired in the acquisitions of Golar LNG Partners Limited (“GMLP”) and Hygo in the second quarter of 2021, contributed $265 million to Total Segment Operating Margin</w:t>
      </w:r>
      <w:r>
        <w:rPr>
          <w:rFonts w:ascii="Arial" w:cs="Arial" w:eastAsia="Arial" w:hAnsi="Arial"/>
          <w:sz w:val="29"/>
          <w:szCs w:val="29"/>
          <w:color w:val="auto"/>
          <w:vertAlign w:val="superscript"/>
        </w:rPr>
        <w:t>(1)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refer to our Q4 2021 Investor Presentation (the “Presentation”) for further information about the following terms:</w:t>
      </w:r>
    </w:p>
    <w:p>
      <w:pPr>
        <w:spacing w:after="0" w:line="23" w:lineRule="exact"/>
        <w:rPr>
          <w:sz w:val="20"/>
          <w:szCs w:val="20"/>
          <w:color w:val="auto"/>
        </w:rPr>
      </w:pPr>
    </w:p>
    <w:p>
      <w:pPr>
        <w:jc w:val="both"/>
        <w:ind w:firstLine="8"/>
        <w:spacing w:after="0" w:line="250" w:lineRule="auto"/>
        <w:tabs>
          <w:tab w:leader="none" w:pos="20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1" w:lineRule="exact"/>
        <w:rPr>
          <w:rFonts w:ascii="Arial" w:cs="Arial" w:eastAsia="Arial" w:hAnsi="Arial"/>
          <w:sz w:val="18"/>
          <w:szCs w:val="18"/>
          <w:i w:val="1"/>
          <w:iCs w:val="1"/>
          <w:color w:val="auto"/>
        </w:rPr>
      </w:pPr>
    </w:p>
    <w:p>
      <w:pPr>
        <w:jc w:val="both"/>
        <w:ind w:firstLine="8"/>
        <w:spacing w:after="0" w:line="265" w:lineRule="auto"/>
        <w:tabs>
          <w:tab w:leader="none" w:pos="206"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“First Gas” means the date on which (or, for future dates, management's current estimate of the date on which) natural gas is first made available to our projects, including our facilities in development. Full commercial operations of such projects will occur later than, and may occur substantially later than, the First Gas date. We cannot assure you if or when such projects will reach the date of delivery of First Gas, or full commercial operations. Actual results could differ materially from the illustration and there can be no assurance we will achieve our goal.</w:t>
      </w:r>
    </w:p>
    <w:p>
      <w:pPr>
        <w:jc w:val="both"/>
        <w:ind w:firstLine="8"/>
        <w:spacing w:after="0" w:line="250" w:lineRule="auto"/>
        <w:tabs>
          <w:tab w:leader="none" w:pos="201"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“FID” means management has made an internal commitment to commit resources (including capital) to a particular project. Our management has not made an FID decision on certain projects as of the date of this press release, and there can be no assurance that we will be willing or able to make any such decision, based on a particular project’s time, resource, capital and financing requirements.</w:t>
      </w:r>
    </w:p>
    <w:p>
      <w:pPr>
        <w:spacing w:after="0" w:line="1" w:lineRule="exact"/>
        <w:rPr>
          <w:rFonts w:ascii="Arial" w:cs="Arial" w:eastAsia="Arial" w:hAnsi="Arial"/>
          <w:sz w:val="18"/>
          <w:szCs w:val="18"/>
          <w:i w:val="1"/>
          <w:iCs w:val="1"/>
          <w:color w:val="auto"/>
        </w:rPr>
      </w:pPr>
    </w:p>
    <w:p>
      <w:pPr>
        <w:ind w:left="200" w:hanging="192"/>
        <w:spacing w:after="0"/>
        <w:tabs>
          <w:tab w:leader="none" w:pos="2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see definition and reconciliation of this non-GAAP measure in the exhibits to this press release.</w:t>
      </w:r>
    </w:p>
    <w:p>
      <w:pPr>
        <w:spacing w:after="0" w:line="9" w:lineRule="exact"/>
        <w:rPr>
          <w:rFonts w:ascii="Arial" w:cs="Arial" w:eastAsia="Arial" w:hAnsi="Arial"/>
          <w:sz w:val="18"/>
          <w:szCs w:val="18"/>
          <w:i w:val="1"/>
          <w:iCs w:val="1"/>
          <w:color w:val="auto"/>
        </w:rPr>
      </w:pPr>
    </w:p>
    <w:p>
      <w:pPr>
        <w:ind w:left="200" w:hanging="192"/>
        <w:spacing w:after="0"/>
        <w:tabs>
          <w:tab w:leader="none" w:pos="2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NFE’s term sheet with Transnet Port Terminals is subject to entering into definitive agreements.</w:t>
      </w:r>
    </w:p>
    <w:p>
      <w:pPr>
        <w:spacing w:after="0" w:line="9" w:lineRule="exact"/>
        <w:rPr>
          <w:rFonts w:ascii="Arial" w:cs="Arial" w:eastAsia="Arial" w:hAnsi="Arial"/>
          <w:sz w:val="18"/>
          <w:szCs w:val="18"/>
          <w:i w:val="1"/>
          <w:iCs w:val="1"/>
          <w:color w:val="auto"/>
        </w:rPr>
      </w:pPr>
    </w:p>
    <w:p>
      <w:pPr>
        <w:ind w:left="200" w:hanging="192"/>
        <w:spacing w:after="0"/>
        <w:tabs>
          <w:tab w:leader="none" w:pos="2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NFE’s project with Eni is subject to entering into definitive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will host a conference call on Tuesday, March 1, 2022 at 8:00 A.M. Eastern Time. The conference call may be accessed by dialing (866) 953-0778 (from within the U.S.) or (630) 652-5853 (from outside of the U.S.) fifteen minutes prior to the scheduled start of the call; please reference “NFE Fourth Quarter 2021 Earnings Call."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of the conference call will be available after 11:00 A.M. Eastern Time on March 1, 2022 through 11:00 A.M. Eastern Time on March 8, 2022 at (855) 859-2056 (from within the U.S.) or (404) 537-3406 (from outside of the U.S.), Passcode: 2763528.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contained in this press release constitute “forward-looking statements” including our expected volumes of LNG and our ability to supply LNG and natural gas in the future, including under our definitive agreements, such as the agreements with Norsk Hydro and CFEnergia; current elevated and volatile commodity market environment creating significant tailwinds for NFE’s business; expected First Gas date for our Nicaragua Power Plant; completion of construction and commissioning of our Nicaragua and Brazil projects; ability to maintain our expected development timelines; our ability to finalize and execute definitive agreements in connection with our term sheet with Transnet Port Terminals; our ability to finalize and execute definitive agreements with Eni and to fulfill all of the conditions precedent to effectiveness under our HOA; expectations regarding our benefits from our Fast LNG asset and ability to use our current assets for our Fast LNG project; expectations regarding our ability to place our Fast LNG asset into service within our expected timeline; our ability to match our LNG supply and demand profile; our expected needs for LNG supply in the future; our ability to reach FID on our NFE Zero Parks facility; capitalization of NFE Zero Parks; and the implementation and success of our financing alternatives, including any asset sales.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the volumes we are able to sell are less than we expect due to decreased customer demand or our inability to supply; our ability to successfully benefit from current elevated and volatile commodity market environment; the risk that our development, construction or commissioning of our facilities will take longer than we expect; the risk that we may not develop our Fast LNG project on the timeline we expect or at all, or that we do not receive the benefits we expect from the Fast LNG project; cyclical or other changes in the demand for and price of LNG and natural gas; the risk that the foregoing or other factors negatively impact our liquidity and our ability to capitalize our projects; and the risk that we may be unable to implement our financing strategy or to effectively leverage our assets. Accordingly, readers should not place undue reliance on forward-looking statements as a prediction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4D4D4D"/>
        </w:rPr>
        <w:t>IR and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bmagill@newfortressenergy.com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Exhibits –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2021 and December 31,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Vessel charter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78,656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87,592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304,656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648,631</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282,477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20,976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46,802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31,194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30,297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250,721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53,935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219,491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(5,400)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(3,692)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income before loss from equity method investments and 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165,641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Tax provision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5,403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151,723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 attributable to stockholders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Net (loss) income per share –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207,497,013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207,479,963</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207,497,013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210,511,076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Adjusted EBITDA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calculate Adjusted EBITDA as net income (loss), </w:t>
      </w:r>
      <w:r>
        <w:rPr>
          <w:rFonts w:ascii="Arial" w:cs="Arial" w:eastAsia="Arial" w:hAnsi="Arial"/>
          <w:sz w:val="17"/>
          <w:szCs w:val="17"/>
          <w:i w:val="1"/>
          <w:iCs w:val="1"/>
          <w:color w:val="auto"/>
        </w:rPr>
        <w:t>plus</w:t>
      </w:r>
      <w:r>
        <w:rPr>
          <w:rFonts w:ascii="Arial" w:cs="Arial" w:eastAsia="Arial" w:hAnsi="Arial"/>
          <w:sz w:val="17"/>
          <w:szCs w:val="17"/>
          <w:color w:val="auto"/>
        </w:rPr>
        <w:t xml:space="preserve"> transaction and integration costs, contract termination charges and loss on mitigations sales, depreciation and amortization, interest expense (net of interest income), other expense (income),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of exploring new business opportunities and expenses associated with changes to our corporate structure,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our pro rata share of Adjusted EBITDA from unconsolidated entities,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impact of equity in earnings (losses) of unconsolidated entities.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income/(loss),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(loss) and diluted earnings (loss) per share attributable to New Fortress Energy, which are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sets forth a reconciliation of net income (loss) to Adjusted EBITDA for the 3 months ended September 30, 2021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Three Months</w:t>
            </w:r>
          </w:p>
        </w:tc>
        <w:tc>
          <w:tcPr>
            <w:tcW w:w="1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Three Months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Year Ended</w:t>
            </w:r>
          </w:p>
        </w:tc>
      </w:tr>
      <w:tr>
        <w:trPr>
          <w:trHeight w:val="241"/>
        </w:trPr>
        <w:tc>
          <w:tcPr>
            <w:tcW w:w="638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 2021</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 2021</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2021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Segment Operating Margin per Form 10-K</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210,478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373,150</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746,430</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Less: Core SG&amp;A (see definition above)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38,003</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137,144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Pro rata share Core SG&amp;A from unconsolidated entities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r>
      <w:tr>
        <w:trPr>
          <w:trHeight w:val="27"/>
        </w:trPr>
        <w:tc>
          <w:tcPr>
            <w:tcW w:w="6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169,935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334,037</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604,560</w:t>
            </w:r>
          </w:p>
        </w:tc>
      </w:tr>
      <w:tr>
        <w:trPr>
          <w:trHeight w:val="216"/>
        </w:trPr>
        <w:tc>
          <w:tcPr>
            <w:tcW w:w="6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(17,769)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151,723</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92,711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Add: Interest expense (net of interest income)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46,567</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154,324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 Tax provision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Add: Depreciation and amortization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30,297</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98,377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 SG&amp;A items excluded from Core SG&amp;A (see definition above)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36,894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62,737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Add: Transaction and integration costs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44,671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 Other (income) net</w:t>
            </w:r>
          </w:p>
        </w:tc>
        <w:tc>
          <w:tcPr>
            <w:tcW w:w="1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(17,150)</w:t>
            </w:r>
          </w:p>
        </w:tc>
      </w:tr>
      <w:tr>
        <w:trPr>
          <w:trHeight w:val="202"/>
        </w:trPr>
        <w:tc>
          <w:tcPr>
            <w:tcW w:w="6380" w:type="dxa"/>
            <w:vAlign w:val="bottom"/>
          </w:tcPr>
          <w:p>
            <w:pPr>
              <w:spacing w:after="0" w:line="201" w:lineRule="exact"/>
              <w:rPr>
                <w:sz w:val="20"/>
                <w:szCs w:val="20"/>
                <w:color w:val="auto"/>
              </w:rPr>
            </w:pPr>
            <w:r>
              <w:rPr>
                <w:rFonts w:ascii="Arial" w:cs="Arial" w:eastAsia="Arial" w:hAnsi="Arial"/>
                <w:sz w:val="18"/>
                <w:szCs w:val="18"/>
                <w:color w:val="auto"/>
              </w:rPr>
              <w:t>Add: Changes in fair value of non-hedge derivative instruments and contingent</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 Loss on extinguishment of debt,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10,975</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Add: Pro rata share of Adjusted EBITDA from unconsolidated entities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44,746</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157,109</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Loss (income) from equity method investments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(14,443)</w:t>
            </w:r>
          </w:p>
        </w:tc>
      </w:tr>
      <w:tr>
        <w:trPr>
          <w:trHeight w:val="27"/>
        </w:trPr>
        <w:tc>
          <w:tcPr>
            <w:tcW w:w="6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169,935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334,007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604,560</w:t>
            </w:r>
          </w:p>
        </w:tc>
      </w:tr>
    </w:tbl>
    <w:p>
      <w:pPr>
        <w:spacing w:after="0" w:line="183" w:lineRule="exact"/>
        <w:rPr>
          <w:sz w:val="20"/>
          <w:szCs w:val="20"/>
          <w:color w:val="auto"/>
        </w:rPr>
      </w:pPr>
    </w:p>
    <w:p>
      <w:pPr>
        <w:jc w:val="both"/>
        <w:ind w:left="340" w:hanging="332"/>
        <w:spacing w:after="0" w:line="253"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Includes the Company’s effective share of Adjusted EBITDA of CELSEPAR of $52,179 and $24,173 for the three months ended September 30, 2021 and December 31, 2021, respectively, and the Company’s effective share of the Adjusted EBITDA of Hilli LLC of $20,157 and $20,573 for the three months ended September 30, 2021 and December 31, 2021, respectively. Includes the Company’s effective share of Adjusted EBITDA of CELSEPAR of 99,512 for the period after the acquisition of Hygo Energy Transition Ltd through December 31, 2021, and the Company’s effective share of the Adjusted EBITDA of Hilli LLC of $57,597 for the period after the acquisition of Golar LNG Partners Limited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Segment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(loss), adjusted for selling, general and administrative expense, transaction and integration costs, contract termination charges and loss on mitigation sales, depreciation and amortization, interest expense, other (income) expense, loss on extinguishment of debt, net, income from equity method investments and tax expense. Consolidated Segment Operating Margin is mathematically equivalent to Revenue minus Cost of sales minus Operations and maintenance minus Vessel operating expenses, each as reported in our financial statements.</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ind w:left="740"/>
              <w:spacing w:after="0" w:line="176" w:lineRule="exact"/>
              <w:rPr>
                <w:sz w:val="20"/>
                <w:szCs w:val="20"/>
                <w:color w:val="auto"/>
              </w:rPr>
            </w:pPr>
            <w:r>
              <w:rPr>
                <w:rFonts w:ascii="Arial" w:cs="Arial" w:eastAsia="Arial" w:hAnsi="Arial"/>
                <w:sz w:val="18"/>
                <w:szCs w:val="18"/>
                <w:b w:val="1"/>
                <w:bCs w:val="1"/>
                <w:color w:val="auto"/>
                <w:w w:val="99"/>
              </w:rPr>
              <w:t>Infrastructure and</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ind w:right="250"/>
              <w:spacing w:after="0" w:line="207" w:lineRule="exact"/>
              <w:rPr>
                <w:sz w:val="20"/>
                <w:szCs w:val="20"/>
                <w:color w:val="auto"/>
              </w:rPr>
            </w:pPr>
            <w:r>
              <w:rPr>
                <w:rFonts w:ascii="Arial" w:cs="Arial" w:eastAsia="Arial" w:hAnsi="Arial"/>
                <w:sz w:val="18"/>
                <w:szCs w:val="18"/>
                <w:b w:val="1"/>
                <w:bCs w:val="1"/>
                <w:color w:val="auto"/>
                <w:w w:val="94"/>
              </w:rPr>
              <w:t xml:space="preserve">Ships </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²</w:t>
            </w:r>
            <w:r>
              <w:rPr>
                <w:rFonts w:ascii="MS PGothic" w:cs="MS PGothic" w:eastAsia="MS PGothic" w:hAnsi="MS PGothic"/>
                <w:sz w:val="18"/>
                <w:szCs w:val="18"/>
                <w:color w:val="auto"/>
                <w:w w:val="94"/>
              </w:rPr>
              <w:t>⁾</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Total</w:t>
            </w:r>
          </w:p>
        </w:tc>
        <w:tc>
          <w:tcPr>
            <w:tcW w:w="1640" w:type="dxa"/>
            <w:vAlign w:val="bottom"/>
            <w:tcBorders>
              <w:top w:val="single" w:sz="8" w:color="auto"/>
            </w:tcBorders>
            <w:gridSpan w:val="2"/>
          </w:tcPr>
          <w:p>
            <w:pPr>
              <w:ind w:left="100"/>
              <w:spacing w:after="0" w:line="176" w:lineRule="exact"/>
              <w:rPr>
                <w:sz w:val="20"/>
                <w:szCs w:val="20"/>
                <w:color w:val="auto"/>
              </w:rPr>
            </w:pPr>
            <w:r>
              <w:rPr>
                <w:rFonts w:ascii="Arial" w:cs="Arial" w:eastAsia="Arial" w:hAnsi="Arial"/>
                <w:sz w:val="18"/>
                <w:szCs w:val="18"/>
                <w:b w:val="1"/>
                <w:bCs w:val="1"/>
                <w:color w:val="auto"/>
                <w:w w:val="96"/>
              </w:rPr>
              <w:t>Consolidation and</w:t>
            </w: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8"/>
              </w:rPr>
              <w:t>Consolidated</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920" w:type="dxa"/>
            <w:vAlign w:val="bottom"/>
          </w:tcPr>
          <w:p>
            <w:pPr>
              <w:spacing w:after="0"/>
              <w:rPr>
                <w:sz w:val="15"/>
                <w:szCs w:val="15"/>
                <w:color w:val="auto"/>
              </w:rPr>
            </w:pPr>
          </w:p>
        </w:tc>
        <w:tc>
          <w:tcPr>
            <w:tcW w:w="1380" w:type="dxa"/>
            <w:vAlign w:val="bottom"/>
            <w:vMerge w:val="restart"/>
          </w:tcPr>
          <w:p>
            <w:pPr>
              <w:jc w:val="right"/>
              <w:ind w:right="270"/>
              <w:spacing w:after="0" w:line="207" w:lineRule="exact"/>
              <w:rPr>
                <w:sz w:val="20"/>
                <w:szCs w:val="20"/>
                <w:color w:val="auto"/>
              </w:rPr>
            </w:pPr>
            <w:r>
              <w:rPr>
                <w:rFonts w:ascii="Arial" w:cs="Arial" w:eastAsia="Arial" w:hAnsi="Arial"/>
                <w:sz w:val="18"/>
                <w:szCs w:val="18"/>
                <w:b w:val="1"/>
                <w:bCs w:val="1"/>
                <w:color w:val="auto"/>
                <w:w w:val="96"/>
              </w:rPr>
              <w:t xml:space="preserve">Terminals </w:t>
            </w:r>
            <w:r>
              <w:rPr>
                <w:rFonts w:ascii="MS PGothic" w:cs="MS PGothic" w:eastAsia="MS PGothic" w:hAnsi="MS PGothic"/>
                <w:sz w:val="18"/>
                <w:szCs w:val="18"/>
                <w:color w:val="auto"/>
                <w:w w:val="96"/>
              </w:rPr>
              <w:t>⁽</w:t>
            </w:r>
            <w:r>
              <w:rPr>
                <w:rFonts w:ascii="Arial" w:cs="Arial" w:eastAsia="Arial" w:hAnsi="Arial"/>
                <w:sz w:val="18"/>
                <w:szCs w:val="18"/>
                <w:b w:val="1"/>
                <w:bCs w:val="1"/>
                <w:color w:val="auto"/>
                <w:w w:val="96"/>
              </w:rPr>
              <w:t>¹</w:t>
            </w:r>
            <w:r>
              <w:rPr>
                <w:rFonts w:ascii="MS PGothic" w:cs="MS PGothic" w:eastAsia="MS PGothic" w:hAnsi="MS PGothic"/>
                <w:sz w:val="18"/>
                <w:szCs w:val="18"/>
                <w:color w:val="auto"/>
                <w:w w:val="96"/>
              </w:rPr>
              <w:t>⁾</w:t>
            </w: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6"/>
              </w:rPr>
              <w:t>Segment</w:t>
            </w:r>
          </w:p>
        </w:tc>
        <w:tc>
          <w:tcPr>
            <w:tcW w:w="340" w:type="dxa"/>
            <w:vAlign w:val="bottom"/>
          </w:tcPr>
          <w:p>
            <w:pPr>
              <w:spacing w:after="0"/>
              <w:rPr>
                <w:sz w:val="15"/>
                <w:szCs w:val="15"/>
                <w:color w:val="auto"/>
              </w:rPr>
            </w:pPr>
          </w:p>
        </w:tc>
        <w:tc>
          <w:tcPr>
            <w:tcW w:w="1300" w:type="dxa"/>
            <w:vAlign w:val="bottom"/>
            <w:vMerge w:val="restart"/>
          </w:tcPr>
          <w:p>
            <w:pPr>
              <w:jc w:val="right"/>
              <w:ind w:right="41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12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6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278,354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94,796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373,150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(46,328)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Transaction and integration costs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Loss from extinguishment of debt</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investments</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provision</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-1680210</wp:posOffset>
            </wp:positionV>
            <wp:extent cx="106045" cy="86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-1748790</wp:posOffset>
            </wp:positionV>
            <wp:extent cx="106045" cy="86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-1680210</wp:posOffset>
            </wp:positionV>
            <wp:extent cx="106045" cy="86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49" w:lineRule="exact"/>
        <w:rPr>
          <w:sz w:val="20"/>
          <w:szCs w:val="20"/>
          <w:color w:val="auto"/>
        </w:rPr>
      </w:pPr>
    </w:p>
    <w:p>
      <w:pPr>
        <w:ind w:right="200"/>
        <w:spacing w:after="0" w:line="22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¹</w:t>
      </w:r>
      <w:r>
        <w:rPr>
          <w:rFonts w:ascii="MS PGothic" w:cs="MS PGothic" w:eastAsia="MS PGothic" w:hAnsi="MS PGothic"/>
          <w:sz w:val="16"/>
          <w:szCs w:val="16"/>
          <w:color w:val="auto"/>
        </w:rPr>
        <w:t>⁾</w:t>
      </w:r>
      <w:r>
        <w:rPr>
          <w:rFonts w:ascii="Arial" w:cs="Arial" w:eastAsia="Arial" w:hAnsi="Arial"/>
          <w:sz w:val="16"/>
          <w:szCs w:val="16"/>
          <w:color w:val="auto"/>
        </w:rPr>
        <w:t xml:space="preserve"> Terminals and Infrastructure includes the Company's effective share of revenues, expenses and operating margin attributable to 50% ownership of CELSEPAR. The losses attributable to the investment of $18,580 for the three months ended December 31, 2021 are reported in loss from equity method investments on the consolidated statements of operations and comprehensive income (loss). Terminals and Infrastructure does not include the unrealized mark-to-market loss on derivative instruments of $472 for the three months ended December 31, 2021 reported in Cost of sales.</w:t>
      </w:r>
    </w:p>
    <w:p>
      <w:pPr>
        <w:spacing w:after="0" w:line="1" w:lineRule="exact"/>
        <w:rPr>
          <w:sz w:val="20"/>
          <w:szCs w:val="20"/>
          <w:color w:val="auto"/>
        </w:rPr>
      </w:pPr>
    </w:p>
    <w:p>
      <w:pPr>
        <w:ind w:right="2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Ships includes the Company's effective share of revenues, expenses and operating margin attributable to 50% ownership of the Hilli Common Units. The earnings attributable to the investment of $10,065 for the three months ended December 31, 2021 are reported in loss from equity method investments on the condensed consolidated statements of operations and comprehensive income (loss).</w:t>
      </w:r>
    </w:p>
    <w:p>
      <w:pPr>
        <w:spacing w:after="0" w:line="1" w:lineRule="exact"/>
        <w:rPr>
          <w:sz w:val="20"/>
          <w:szCs w:val="20"/>
          <w:color w:val="auto"/>
        </w:rPr>
      </w:pPr>
    </w:p>
    <w:p>
      <w:pPr>
        <w:ind w:right="340"/>
        <w:spacing w:after="0" w:line="21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³</w:t>
      </w:r>
      <w:r>
        <w:rPr>
          <w:rFonts w:ascii="MS PGothic" w:cs="MS PGothic" w:eastAsia="MS PGothic" w:hAnsi="MS PGothic"/>
          <w:sz w:val="16"/>
          <w:szCs w:val="16"/>
          <w:color w:val="auto"/>
        </w:rPr>
        <w:t>⁾</w:t>
      </w:r>
      <w:r>
        <w:rPr>
          <w:rFonts w:ascii="Arial" w:cs="Arial" w:eastAsia="Arial" w:hAnsi="Arial"/>
          <w:sz w:val="16"/>
          <w:szCs w:val="16"/>
          <w:color w:val="auto"/>
        </w:rPr>
        <w:t xml:space="preserve"> 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ind w:left="740"/>
              <w:spacing w:after="0" w:line="176" w:lineRule="exact"/>
              <w:rPr>
                <w:sz w:val="20"/>
                <w:szCs w:val="20"/>
                <w:color w:val="auto"/>
              </w:rPr>
            </w:pPr>
            <w:r>
              <w:rPr>
                <w:rFonts w:ascii="Arial" w:cs="Arial" w:eastAsia="Arial" w:hAnsi="Arial"/>
                <w:sz w:val="18"/>
                <w:szCs w:val="18"/>
                <w:b w:val="1"/>
                <w:bCs w:val="1"/>
                <w:color w:val="auto"/>
                <w:w w:val="99"/>
              </w:rPr>
              <w:t>Infrastructure and</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ind w:right="250"/>
              <w:spacing w:after="0" w:line="207" w:lineRule="exact"/>
              <w:rPr>
                <w:sz w:val="20"/>
                <w:szCs w:val="20"/>
                <w:color w:val="auto"/>
              </w:rPr>
            </w:pPr>
            <w:r>
              <w:rPr>
                <w:rFonts w:ascii="Arial" w:cs="Arial" w:eastAsia="Arial" w:hAnsi="Arial"/>
                <w:sz w:val="18"/>
                <w:szCs w:val="18"/>
                <w:b w:val="1"/>
                <w:bCs w:val="1"/>
                <w:color w:val="auto"/>
                <w:w w:val="94"/>
              </w:rPr>
              <w:t xml:space="preserve">Ships </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²</w:t>
            </w:r>
            <w:r>
              <w:rPr>
                <w:rFonts w:ascii="MS PGothic" w:cs="MS PGothic" w:eastAsia="MS PGothic" w:hAnsi="MS PGothic"/>
                <w:sz w:val="18"/>
                <w:szCs w:val="18"/>
                <w:color w:val="auto"/>
                <w:w w:val="94"/>
              </w:rPr>
              <w:t>⁾</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Total</w:t>
            </w:r>
          </w:p>
        </w:tc>
        <w:tc>
          <w:tcPr>
            <w:tcW w:w="1640" w:type="dxa"/>
            <w:vAlign w:val="bottom"/>
            <w:tcBorders>
              <w:top w:val="single" w:sz="8" w:color="auto"/>
            </w:tcBorders>
            <w:gridSpan w:val="2"/>
          </w:tcPr>
          <w:p>
            <w:pPr>
              <w:ind w:left="100"/>
              <w:spacing w:after="0" w:line="176" w:lineRule="exact"/>
              <w:rPr>
                <w:sz w:val="20"/>
                <w:szCs w:val="20"/>
                <w:color w:val="auto"/>
              </w:rPr>
            </w:pPr>
            <w:r>
              <w:rPr>
                <w:rFonts w:ascii="Arial" w:cs="Arial" w:eastAsia="Arial" w:hAnsi="Arial"/>
                <w:sz w:val="18"/>
                <w:szCs w:val="18"/>
                <w:b w:val="1"/>
                <w:bCs w:val="1"/>
                <w:color w:val="auto"/>
                <w:w w:val="96"/>
              </w:rPr>
              <w:t>Consolidation and</w:t>
            </w: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8"/>
              </w:rPr>
              <w:t>Consolidated</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920" w:type="dxa"/>
            <w:vAlign w:val="bottom"/>
          </w:tcPr>
          <w:p>
            <w:pPr>
              <w:spacing w:after="0"/>
              <w:rPr>
                <w:sz w:val="15"/>
                <w:szCs w:val="15"/>
                <w:color w:val="auto"/>
              </w:rPr>
            </w:pPr>
          </w:p>
        </w:tc>
        <w:tc>
          <w:tcPr>
            <w:tcW w:w="1380" w:type="dxa"/>
            <w:vAlign w:val="bottom"/>
            <w:vMerge w:val="restart"/>
          </w:tcPr>
          <w:p>
            <w:pPr>
              <w:jc w:val="right"/>
              <w:ind w:right="270"/>
              <w:spacing w:after="0" w:line="207" w:lineRule="exact"/>
              <w:rPr>
                <w:sz w:val="20"/>
                <w:szCs w:val="20"/>
                <w:color w:val="auto"/>
              </w:rPr>
            </w:pPr>
            <w:r>
              <w:rPr>
                <w:rFonts w:ascii="Arial" w:cs="Arial" w:eastAsia="Arial" w:hAnsi="Arial"/>
                <w:sz w:val="18"/>
                <w:szCs w:val="18"/>
                <w:b w:val="1"/>
                <w:bCs w:val="1"/>
                <w:color w:val="auto"/>
                <w:w w:val="96"/>
              </w:rPr>
              <w:t xml:space="preserve">Terminals </w:t>
            </w:r>
            <w:r>
              <w:rPr>
                <w:rFonts w:ascii="MS PGothic" w:cs="MS PGothic" w:eastAsia="MS PGothic" w:hAnsi="MS PGothic"/>
                <w:sz w:val="18"/>
                <w:szCs w:val="18"/>
                <w:color w:val="auto"/>
                <w:w w:val="96"/>
              </w:rPr>
              <w:t>⁽</w:t>
            </w:r>
            <w:r>
              <w:rPr>
                <w:rFonts w:ascii="Arial" w:cs="Arial" w:eastAsia="Arial" w:hAnsi="Arial"/>
                <w:sz w:val="18"/>
                <w:szCs w:val="18"/>
                <w:b w:val="1"/>
                <w:bCs w:val="1"/>
                <w:color w:val="auto"/>
                <w:w w:val="96"/>
              </w:rPr>
              <w:t>¹</w:t>
            </w:r>
            <w:r>
              <w:rPr>
                <w:rFonts w:ascii="MS PGothic" w:cs="MS PGothic" w:eastAsia="MS PGothic" w:hAnsi="MS PGothic"/>
                <w:sz w:val="18"/>
                <w:szCs w:val="18"/>
                <w:color w:val="auto"/>
                <w:w w:val="96"/>
              </w:rPr>
              <w:t>⁾</w:t>
            </w: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6"/>
              </w:rPr>
              <w:t>Segment</w:t>
            </w:r>
          </w:p>
        </w:tc>
        <w:tc>
          <w:tcPr>
            <w:tcW w:w="340" w:type="dxa"/>
            <w:vAlign w:val="bottom"/>
          </w:tcPr>
          <w:p>
            <w:pPr>
              <w:spacing w:after="0"/>
              <w:rPr>
                <w:sz w:val="15"/>
                <w:szCs w:val="15"/>
                <w:color w:val="auto"/>
              </w:rPr>
            </w:pPr>
          </w:p>
        </w:tc>
        <w:tc>
          <w:tcPr>
            <w:tcW w:w="1300" w:type="dxa"/>
            <w:vAlign w:val="bottom"/>
            <w:vMerge w:val="restart"/>
          </w:tcPr>
          <w:p>
            <w:pPr>
              <w:jc w:val="right"/>
              <w:ind w:right="41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12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6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115,638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94,840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210,478</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(76,699)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Transaction and integration costs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57,595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Loss from equity method investments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provision</w:t>
            </w:r>
          </w:p>
        </w:tc>
        <w:tc>
          <w:tcPr>
            <w:tcW w:w="9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-1554480</wp:posOffset>
            </wp:positionV>
            <wp:extent cx="106045" cy="86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-1623060</wp:posOffset>
            </wp:positionV>
            <wp:extent cx="106045" cy="86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-1554480</wp:posOffset>
            </wp:positionV>
            <wp:extent cx="106045" cy="86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31" w:lineRule="exact"/>
        <w:rPr>
          <w:sz w:val="20"/>
          <w:szCs w:val="20"/>
          <w:color w:val="auto"/>
        </w:rPr>
      </w:pPr>
    </w:p>
    <w:p>
      <w:pPr>
        <w:ind w:right="180"/>
        <w:spacing w:after="0" w:line="22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¹</w:t>
      </w:r>
      <w:r>
        <w:rPr>
          <w:rFonts w:ascii="MS PGothic" w:cs="MS PGothic" w:eastAsia="MS PGothic" w:hAnsi="MS PGothic"/>
          <w:sz w:val="16"/>
          <w:szCs w:val="16"/>
          <w:color w:val="auto"/>
        </w:rPr>
        <w:t>⁾</w:t>
      </w:r>
      <w:r>
        <w:rPr>
          <w:rFonts w:ascii="Arial" w:cs="Arial" w:eastAsia="Arial" w:hAnsi="Arial"/>
          <w:sz w:val="16"/>
          <w:szCs w:val="16"/>
          <w:color w:val="auto"/>
        </w:rPr>
        <w:t>Terminals and Infrastructure includes the Company's effective share of revenues, expenses and operating margin attributable to 50% ownership of CELSEPAR. The losses attributable to the investment of $27,792 for the three months ended September 30, 2021 are reported in loss from equity method investments on the condensed consolidated statements of operations and comprehensive income (loss). Terminals and Infrastructure does not include the unrealized mark-to-market loss on derivative instruments of $2,316 for the three months ended September 30, 2021 reported in Cost of sales.</w:t>
      </w:r>
    </w:p>
    <w:p>
      <w:pPr>
        <w:spacing w:after="0" w:line="1" w:lineRule="exact"/>
        <w:rPr>
          <w:sz w:val="20"/>
          <w:szCs w:val="20"/>
          <w:color w:val="auto"/>
        </w:rPr>
      </w:pPr>
    </w:p>
    <w:p>
      <w:pPr>
        <w:ind w:right="2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Ships includes the Company's effective share of revenues, expenses and operating margin attributable to 50% ownership of the Hilli Common Units. The earnings attributable to the investment of $11,809 for the three months ended September 30, 2021 are reported in loss from equity method investments on the condensed consolidated statements of operations and comprehensive income (loss).</w:t>
      </w:r>
    </w:p>
    <w:p>
      <w:pPr>
        <w:spacing w:after="0" w:line="1" w:lineRule="exact"/>
        <w:rPr>
          <w:sz w:val="20"/>
          <w:szCs w:val="20"/>
          <w:color w:val="auto"/>
        </w:rPr>
      </w:pPr>
    </w:p>
    <w:p>
      <w:pPr>
        <w:ind w:right="340"/>
        <w:spacing w:after="0" w:line="21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³</w:t>
      </w:r>
      <w:r>
        <w:rPr>
          <w:rFonts w:ascii="MS PGothic" w:cs="MS PGothic" w:eastAsia="MS PGothic" w:hAnsi="MS PGothic"/>
          <w:sz w:val="16"/>
          <w:szCs w:val="16"/>
          <w:color w:val="auto"/>
        </w:rPr>
        <w:t>⁾</w:t>
      </w:r>
      <w:r>
        <w:rPr>
          <w:rFonts w:ascii="Arial" w:cs="Arial" w:eastAsia="Arial" w:hAnsi="Arial"/>
          <w:sz w:val="16"/>
          <w:szCs w:val="16"/>
          <w:color w:val="auto"/>
        </w:rPr>
        <w:t xml:space="preserve"> 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8"/>
          <w:szCs w:val="18"/>
          <w:b w:val="1"/>
          <w:bCs w:val="1"/>
          <w:color w:val="auto"/>
        </w:rPr>
        <w:t>Year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2"/>
          </w:tcPr>
          <w:p>
            <w:pPr>
              <w:ind w:left="580"/>
              <w:spacing w:after="0" w:line="176" w:lineRule="exact"/>
              <w:rPr>
                <w:sz w:val="20"/>
                <w:szCs w:val="20"/>
                <w:color w:val="auto"/>
              </w:rPr>
            </w:pPr>
            <w:r>
              <w:rPr>
                <w:rFonts w:ascii="Arial" w:cs="Arial" w:eastAsia="Arial" w:hAnsi="Arial"/>
                <w:sz w:val="18"/>
                <w:szCs w:val="18"/>
                <w:b w:val="1"/>
                <w:bCs w:val="1"/>
                <w:color w:val="auto"/>
                <w:w w:val="98"/>
              </w:rPr>
              <w:t>Infrastructure and</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ind w:right="25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Total</w:t>
            </w:r>
          </w:p>
        </w:tc>
        <w:tc>
          <w:tcPr>
            <w:tcW w:w="1640" w:type="dxa"/>
            <w:vAlign w:val="bottom"/>
            <w:tcBorders>
              <w:top w:val="single" w:sz="8" w:color="auto"/>
            </w:tcBorders>
            <w:gridSpan w:val="2"/>
          </w:tcPr>
          <w:p>
            <w:pPr>
              <w:ind w:left="100"/>
              <w:spacing w:after="0" w:line="176" w:lineRule="exact"/>
              <w:rPr>
                <w:sz w:val="20"/>
                <w:szCs w:val="20"/>
                <w:color w:val="auto"/>
              </w:rPr>
            </w:pPr>
            <w:r>
              <w:rPr>
                <w:rFonts w:ascii="Arial" w:cs="Arial" w:eastAsia="Arial" w:hAnsi="Arial"/>
                <w:sz w:val="18"/>
                <w:szCs w:val="18"/>
                <w:b w:val="1"/>
                <w:bCs w:val="1"/>
                <w:color w:val="auto"/>
                <w:w w:val="96"/>
              </w:rPr>
              <w:t>Consolidation and</w:t>
            </w: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8"/>
              </w:rPr>
              <w:t>Consolidated</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740" w:type="dxa"/>
            <w:vAlign w:val="bottom"/>
          </w:tcPr>
          <w:p>
            <w:pPr>
              <w:spacing w:after="0"/>
              <w:rPr>
                <w:sz w:val="15"/>
                <w:szCs w:val="15"/>
                <w:color w:val="auto"/>
              </w:rPr>
            </w:pPr>
          </w:p>
        </w:tc>
        <w:tc>
          <w:tcPr>
            <w:tcW w:w="1380" w:type="dxa"/>
            <w:vAlign w:val="bottom"/>
            <w:vMerge w:val="restart"/>
          </w:tcPr>
          <w:p>
            <w:pPr>
              <w:jc w:val="right"/>
              <w:ind w:right="270"/>
              <w:spacing w:after="0" w:line="207" w:lineRule="exact"/>
              <w:rPr>
                <w:sz w:val="20"/>
                <w:szCs w:val="20"/>
                <w:color w:val="auto"/>
              </w:rPr>
            </w:pPr>
            <w:r>
              <w:rPr>
                <w:rFonts w:ascii="Arial" w:cs="Arial" w:eastAsia="Arial" w:hAnsi="Arial"/>
                <w:sz w:val="18"/>
                <w:szCs w:val="18"/>
                <w:b w:val="1"/>
                <w:bCs w:val="1"/>
                <w:color w:val="auto"/>
                <w:w w:val="96"/>
              </w:rPr>
              <w:t xml:space="preserve">Terminals </w:t>
            </w:r>
            <w:r>
              <w:rPr>
                <w:rFonts w:ascii="MS PGothic" w:cs="MS PGothic" w:eastAsia="MS PGothic" w:hAnsi="MS PGothic"/>
                <w:sz w:val="18"/>
                <w:szCs w:val="18"/>
                <w:color w:val="auto"/>
                <w:w w:val="96"/>
              </w:rPr>
              <w:t>⁽</w:t>
            </w:r>
            <w:r>
              <w:rPr>
                <w:rFonts w:ascii="Arial" w:cs="Arial" w:eastAsia="Arial" w:hAnsi="Arial"/>
                <w:sz w:val="18"/>
                <w:szCs w:val="18"/>
                <w:b w:val="1"/>
                <w:bCs w:val="1"/>
                <w:color w:val="auto"/>
                <w:w w:val="96"/>
              </w:rPr>
              <w:t>¹</w:t>
            </w:r>
            <w:r>
              <w:rPr>
                <w:rFonts w:ascii="MS PGothic" w:cs="MS PGothic" w:eastAsia="MS PGothic" w:hAnsi="MS PGothic"/>
                <w:sz w:val="18"/>
                <w:szCs w:val="18"/>
                <w:color w:val="auto"/>
                <w:w w:val="96"/>
              </w:rPr>
              <w:t>⁾</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6"/>
              </w:rPr>
              <w:t>Segment</w:t>
            </w:r>
          </w:p>
        </w:tc>
        <w:tc>
          <w:tcPr>
            <w:tcW w:w="340" w:type="dxa"/>
            <w:vAlign w:val="bottom"/>
          </w:tcPr>
          <w:p>
            <w:pPr>
              <w:spacing w:after="0"/>
              <w:rPr>
                <w:sz w:val="15"/>
                <w:szCs w:val="15"/>
                <w:color w:val="auto"/>
              </w:rPr>
            </w:pPr>
          </w:p>
        </w:tc>
        <w:tc>
          <w:tcPr>
            <w:tcW w:w="1300" w:type="dxa"/>
            <w:vAlign w:val="bottom"/>
            <w:vMerge w:val="restart"/>
          </w:tcPr>
          <w:p>
            <w:pPr>
              <w:jc w:val="right"/>
              <w:ind w:right="41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12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2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7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481,207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265,223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746,430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(164,623)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581,807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Less:</w:t>
            </w: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199,881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Transaction and integration costs</w:t>
            </w: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44,671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98,377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154,324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Loss from extinguishment of debt</w:t>
            </w: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method investments</w:t>
            </w: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provision</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12,461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-1680210</wp:posOffset>
            </wp:positionV>
            <wp:extent cx="106045" cy="86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-1748790</wp:posOffset>
            </wp:positionV>
            <wp:extent cx="106045" cy="86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-1680210</wp:posOffset>
            </wp:positionV>
            <wp:extent cx="106045" cy="86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49" w:lineRule="exact"/>
        <w:rPr>
          <w:sz w:val="20"/>
          <w:szCs w:val="20"/>
          <w:color w:val="auto"/>
        </w:rPr>
      </w:pPr>
    </w:p>
    <w:p>
      <w:pPr>
        <w:ind w:right="220"/>
        <w:spacing w:after="0" w:line="227"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¹</w:t>
      </w:r>
      <w:r>
        <w:rPr>
          <w:rFonts w:ascii="MS PGothic" w:cs="MS PGothic" w:eastAsia="MS PGothic" w:hAnsi="MS PGothic"/>
          <w:sz w:val="17"/>
          <w:szCs w:val="17"/>
          <w:color w:val="auto"/>
        </w:rPr>
        <w:t>⁾</w:t>
      </w:r>
      <w:r>
        <w:rPr>
          <w:rFonts w:ascii="Arial" w:cs="Arial" w:eastAsia="Arial" w:hAnsi="Arial"/>
          <w:sz w:val="17"/>
          <w:szCs w:val="17"/>
          <w:color w:val="auto"/>
        </w:rPr>
        <w:t xml:space="preserve"> Terminals and Infrastructure includes the Company's effective share of revenues, expenses and operating margin attributable to 50% ownership of CELSEPAR. The losses attributable to the investment of $17,925 for the year ended December 31, 2021 are reported in income from equity method investments on the consolidated statements of operations and comprehensive income (loss). Terminals and Infrastructure does not include the unrealized mark-to-market loss on derivative instruments of $2,788 for the year ended December 31, 2021 reported in Cost of sales.</w:t>
      </w:r>
    </w:p>
    <w:p>
      <w:pPr>
        <w:ind w:right="2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Ships includes the Company's effective share of revenues, expenses and operating margin attributable to 50% ownership of the Hilli Common Units. The earnings attributable to the investment of $32,368 for the year ended December 31, 2021 are reported in income from equity method investments on the condensed consolidated statements of operations and comprehensive income (loss).</w:t>
      </w:r>
    </w:p>
    <w:p>
      <w:pPr>
        <w:spacing w:after="0" w:line="1" w:lineRule="exact"/>
        <w:rPr>
          <w:sz w:val="20"/>
          <w:szCs w:val="20"/>
          <w:color w:val="auto"/>
        </w:rPr>
      </w:pPr>
    </w:p>
    <w:p>
      <w:pPr>
        <w:ind w:right="340"/>
        <w:spacing w:after="0" w:line="21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³</w:t>
      </w:r>
      <w:r>
        <w:rPr>
          <w:rFonts w:ascii="MS PGothic" w:cs="MS PGothic" w:eastAsia="MS PGothic" w:hAnsi="MS PGothic"/>
          <w:sz w:val="16"/>
          <w:szCs w:val="16"/>
          <w:color w:val="auto"/>
        </w:rPr>
        <w:t>⁾</w:t>
      </w:r>
      <w:r>
        <w:rPr>
          <w:rFonts w:ascii="Arial" w:cs="Arial" w:eastAsia="Arial" w:hAnsi="Arial"/>
          <w:sz w:val="16"/>
          <w:szCs w:val="16"/>
          <w:color w:val="auto"/>
        </w:rPr>
        <w:t xml:space="preserve"> 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0"/>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68,561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$164 and $98, respectively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37,182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584,866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762,010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2,137,936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309,663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Finance leases,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602,675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86,030</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6,876,492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1,908,091</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97,251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244,025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43,986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562,511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3,757,879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Non-current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234,060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58,475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15,641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4,882,438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Class A common stock, $0.01 par value, 750.0 million shares authorized, 206.9 million issued and outstanding as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December 31, 2021; 174.6 million issued and outstanding as of December 31, 2020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(132,399)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1,791,575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366,959</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1,994,054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375,086</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6,876,492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930,816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Vessel charter revenue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43,625</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1,322,810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451,650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189,125</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278,767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183,359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47,581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199,881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120,142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152,922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124,114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5,280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1,083,932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607,008</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376,400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238,878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(155,358)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(187,275)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154,324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65,723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19,412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(2,807)</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33,062</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Net income (loss) before income from equity method investments and income taxes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90,729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(259,148)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(203,880)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from equity method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(263,965)</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(204,319)</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income (loss) attributable to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97,104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(182,147)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(33,809)</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198,593,042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106,654,918</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20,862,555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201,703,176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106,654,918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20,862,555</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(263,965)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(204,319)</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(2,005)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89,222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(261,960)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(204,538)</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80,025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170,699</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(loss) attributable to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94,837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7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For the years ended December 31, 2021, 2020 and 2019</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(Unaudited, in thousands of U.S. dollars)</w:t>
            </w:r>
          </w:p>
        </w:tc>
        <w:tc>
          <w:tcPr>
            <w:tcW w:w="220" w:type="dxa"/>
            <w:vAlign w:val="bottom"/>
          </w:tcPr>
          <w:p>
            <w:pPr>
              <w:spacing w:after="0"/>
              <w:rPr>
                <w:sz w:val="20"/>
                <w:szCs w:val="20"/>
                <w:color w:val="auto"/>
              </w:rPr>
            </w:pPr>
          </w:p>
        </w:tc>
        <w:tc>
          <w:tcPr>
            <w:tcW w:w="2780" w:type="dxa"/>
            <w:vAlign w:val="bottom"/>
            <w:gridSpan w:val="6"/>
            <w:vMerge w:val="restart"/>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(263,965)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(204,319)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 and debt guarantee,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99,544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33,303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of equity method investees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(14,443)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Dividends received from equity method investees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21,365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Sales-type lease payments received in excess of interest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Change in market value of derivatives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(8,691)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10,975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37,090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(8,825)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Change in value of Investment of equity securities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(8,254)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37,043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41,205</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(5,271)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(Increase) in receivables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(123,583)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(26,795)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(19,754)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inventories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(11,152)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(Increase) in other assets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(1,839)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(35,927)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(39,344)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right-of-use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28,576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Increase in accounts payable/accrued liabilities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17,527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55,514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amounts due to affiliates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(Decrease) in lease liabilities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(36,126)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(42,094)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other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(21,359)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(125,566)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(234,261)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(669,348)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(377,051)</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Cash paid for business combinations, net of cash acquired</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(1,586,042)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Entities acquired in asset acquisitions, net of cash acquired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(8,817)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 investing activities</w:t>
            </w:r>
          </w:p>
        </w:tc>
        <w:tc>
          <w:tcPr>
            <w:tcW w:w="22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(9,354)</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(2,273,561</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Proceeds from borrowings of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2,434,650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2,095,269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347,856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deferred financing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(37,811)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Repayment of debt</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(461,015)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(1,490,002)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IPO</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274,948</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Proceeds from issuance of Class A common stock</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291,992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tax withholdings for share-based compensation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(30,124)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Payment of dividends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(88,756)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(33,742)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stock issuance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1,816,944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819,498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602,607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Impact of changes in foreign exchange rates on 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(365,306)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536,301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93,035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100,853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264,030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629,336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93,035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Changes in accounts payable and accrued liabilities associated with construction in progress and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additions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(48,150)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10,520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 paid in shares for business combinations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paid for interest, net of capitalized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27,255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17,319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33"/>
        </w:trPr>
        <w:tc>
          <w:tcPr>
            <w:tcW w:w="7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o"/>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o"/>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o"/>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o"/>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o"/>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2022-03-01T10:40:06Z</dcterms:created>
  <dcterms:modified xsi:type="dcterms:W3CDTF">2022-03-01T10:40:06Z</dcterms:modified>
</cp:coreProperties>
</file>