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Wilkinson Matthew</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06/09/2020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10011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200660</wp:posOffset>
            </wp:positionV>
            <wp:extent cx="6967855" cy="1090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090295"/>
                    </a:xfrm>
                    <a:prstGeom prst="rect">
                      <a:avLst/>
                    </a:prstGeom>
                    <a:noFill/>
                  </pic:spPr>
                </pic:pic>
              </a:graphicData>
            </a:graphic>
          </wp:anchor>
        </w:drawing>
      </w:r>
    </w:p>
    <w:p>
      <w:pPr>
        <w:spacing w:after="0" w:line="376"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Pr>
          <w:p>
            <w:pPr>
              <w:spacing w:after="0"/>
              <w:rPr>
                <w:sz w:val="22"/>
                <w:szCs w:val="22"/>
                <w:color w:val="auto"/>
              </w:rPr>
            </w:pPr>
          </w:p>
        </w:tc>
        <w:tc>
          <w:tcPr>
            <w:tcW w:w="1700" w:type="dxa"/>
            <w:vAlign w:val="bottom"/>
            <w:gridSpan w:val="2"/>
          </w:tcPr>
          <w:p>
            <w:pPr>
              <w:ind w:left="740"/>
              <w:spacing w:after="0"/>
              <w:rPr>
                <w:sz w:val="20"/>
                <w:szCs w:val="20"/>
                <w:color w:val="auto"/>
              </w:rPr>
            </w:pPr>
            <w:r>
              <w:rPr>
                <w:rFonts w:ascii="Arial" w:cs="Arial" w:eastAsia="Arial" w:hAnsi="Arial"/>
                <w:sz w:val="17"/>
                <w:szCs w:val="17"/>
                <w:color w:val="0000FF"/>
              </w:rPr>
              <w:t>06/09/2020</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X</w:t>
            </w:r>
          </w:p>
        </w:tc>
        <w:tc>
          <w:tcPr>
            <w:tcW w:w="700" w:type="dxa"/>
            <w:vAlign w:val="bottom"/>
          </w:tcPr>
          <w:p>
            <w:pPr>
              <w:ind w:left="200"/>
              <w:spacing w:after="0"/>
              <w:rPr>
                <w:sz w:val="20"/>
                <w:szCs w:val="20"/>
                <w:color w:val="auto"/>
              </w:rPr>
            </w:pPr>
            <w:r>
              <w:rPr>
                <w:rFonts w:ascii="Arial" w:cs="Arial" w:eastAsia="Arial" w:hAnsi="Arial"/>
                <w:sz w:val="17"/>
                <w:szCs w:val="17"/>
                <w:color w:val="0000FF"/>
              </w:rPr>
              <w:t>8,981</w:t>
            </w:r>
          </w:p>
        </w:tc>
        <w:tc>
          <w:tcPr>
            <w:tcW w:w="520" w:type="dxa"/>
            <w:vAlign w:val="bottom"/>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(1)(2)</w:t>
            </w:r>
          </w:p>
        </w:tc>
        <w:tc>
          <w:tcPr>
            <w:tcW w:w="1340" w:type="dxa"/>
            <w:vAlign w:val="bottom"/>
            <w:gridSpan w:val="3"/>
          </w:tcPr>
          <w:p>
            <w:pPr>
              <w:ind w:left="500"/>
              <w:spacing w:after="0"/>
              <w:rPr>
                <w:sz w:val="20"/>
                <w:szCs w:val="20"/>
                <w:color w:val="auto"/>
              </w:rPr>
            </w:pPr>
            <w:r>
              <w:rPr>
                <w:rFonts w:ascii="Arial" w:cs="Arial" w:eastAsia="Arial" w:hAnsi="Arial"/>
                <w:sz w:val="17"/>
                <w:szCs w:val="17"/>
                <w:color w:val="0000FF"/>
              </w:rPr>
              <w:t>92,910</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54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00" w:type="dxa"/>
            <w:vAlign w:val="bottom"/>
            <w:gridSpan w:val="9"/>
          </w:tcPr>
          <w:p>
            <w:pPr>
              <w:jc w:val="right"/>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New</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Fortress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8,981</w:t>
            </w:r>
            <w:r>
              <w:rPr>
                <w:rFonts w:ascii="Arial" w:cs="Arial" w:eastAsia="Arial" w:hAnsi="Arial"/>
                <w:sz w:val="21"/>
                <w:szCs w:val="21"/>
                <w:color w:val="008000"/>
                <w:vertAlign w:val="superscript"/>
              </w:rPr>
              <w:t>(3)</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3"/>
                <w:szCs w:val="13"/>
                <w:color w:val="0000FF"/>
                <w:w w:val="86"/>
              </w:rPr>
              <w:t>Class</w:t>
            </w:r>
          </w:p>
        </w:tc>
        <w:tc>
          <w:tcPr>
            <w:tcW w:w="540" w:type="dxa"/>
            <w:vAlign w:val="bottom"/>
            <w:vMerge w:val="restart"/>
          </w:tcPr>
          <w:p>
            <w:pPr>
              <w:jc w:val="right"/>
              <w:ind w:right="39"/>
              <w:spacing w:after="0"/>
              <w:rPr>
                <w:sz w:val="20"/>
                <w:szCs w:val="20"/>
                <w:color w:val="auto"/>
              </w:rPr>
            </w:pPr>
            <w:r>
              <w:rPr>
                <w:rFonts w:ascii="Arial" w:cs="Arial" w:eastAsia="Arial" w:hAnsi="Arial"/>
                <w:sz w:val="17"/>
                <w:szCs w:val="17"/>
                <w:color w:val="0000FF"/>
                <w:w w:val="98"/>
              </w:rPr>
              <w:t>8,981</w:t>
            </w:r>
          </w:p>
        </w:tc>
        <w:tc>
          <w:tcPr>
            <w:tcW w:w="78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(1)(2)</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6"/>
              </w:rPr>
              <w:t>Intermediate</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rPr>
                <w:sz w:val="20"/>
                <w:szCs w:val="20"/>
                <w:color w:val="auto"/>
              </w:rPr>
            </w:pPr>
            <w:r>
              <w:rPr>
                <w:rFonts w:ascii="Arial" w:cs="Arial" w:eastAsia="Arial" w:hAnsi="Arial"/>
                <w:sz w:val="13"/>
                <w:szCs w:val="13"/>
                <w:color w:val="0000FF"/>
              </w:rPr>
              <w:t>06/09/2020</w:t>
            </w:r>
          </w:p>
        </w:tc>
        <w:tc>
          <w:tcPr>
            <w:tcW w:w="108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X</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300"/>
              <w:spacing w:after="0"/>
              <w:rPr>
                <w:sz w:val="20"/>
                <w:szCs w:val="20"/>
                <w:color w:val="auto"/>
              </w:rPr>
            </w:pPr>
            <w:r>
              <w:rPr>
                <w:rFonts w:ascii="Arial" w:cs="Arial" w:eastAsia="Arial" w:hAnsi="Arial"/>
                <w:sz w:val="11"/>
                <w:szCs w:val="11"/>
                <w:color w:val="008000"/>
              </w:rPr>
              <w:t>(1)</w:t>
            </w:r>
          </w:p>
        </w:tc>
        <w:tc>
          <w:tcPr>
            <w:tcW w:w="520" w:type="dxa"/>
            <w:vAlign w:val="bottom"/>
          </w:tcPr>
          <w:p>
            <w:pPr>
              <w:jc w:val="center"/>
              <w:spacing w:after="0"/>
              <w:rPr>
                <w:sz w:val="20"/>
                <w:szCs w:val="20"/>
                <w:color w:val="auto"/>
              </w:rPr>
            </w:pPr>
            <w:r>
              <w:rPr>
                <w:rFonts w:ascii="Arial" w:cs="Arial" w:eastAsia="Arial" w:hAnsi="Arial"/>
                <w:sz w:val="13"/>
                <w:szCs w:val="13"/>
                <w:color w:val="0000FF"/>
              </w:rPr>
              <w:t>A</w:t>
            </w:r>
          </w:p>
        </w:tc>
        <w:tc>
          <w:tcPr>
            <w:tcW w:w="5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tcPr>
          <w:p>
            <w:pPr>
              <w:ind w:left="60"/>
              <w:spacing w:after="0" w:line="137" w:lineRule="exact"/>
              <w:rPr>
                <w:sz w:val="20"/>
                <w:szCs w:val="20"/>
                <w:color w:val="auto"/>
              </w:rPr>
            </w:pPr>
            <w:r>
              <w:rPr>
                <w:rFonts w:ascii="Arial" w:cs="Arial" w:eastAsia="Arial" w:hAnsi="Arial"/>
                <w:sz w:val="13"/>
                <w:szCs w:val="13"/>
                <w:color w:val="0000FF"/>
              </w:rPr>
              <w:t>LLC</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line="137"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-1881505</wp:posOffset>
            </wp:positionV>
            <wp:extent cx="7033895" cy="2041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415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60" w:firstLine="2"/>
        <w:spacing w:after="0" w:line="234"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Amended and Restated Limited Liability Company Agreement of New Fortress Intermediate LLC ("NFI") provides certain holders of common units ("NFI LLC Units") of NFI with certain rights to cause NFI or New Fortress Energy LLC (the "Issuer") to acquire all or a portion of the NFI LLC Units and an equal number of non-economic Class B common shares (the "Class B Shares") of the Issuer (the "Redemption Right") for, at its election, (a) Class A common shares ("Class A Shares") of the Issuer at a redemption ratio of one Class A Share for each NFI LLC Unit redeemed, subject to conversion rate adjustments for any equity split, equity distribution, reclassification or other similar transaction, or (b) an equivalent amount of cash based on the trading price of a Class A Share on the trading day that is immediately prior to the date of the redemption. The Redemption Right has no expiration date.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has exercised his Redemption Right, pursuant to which, the Issuer will acquire these NFI LLC Units and an equal number of Class B Shares in exchange for Class A Shares.</w:t>
      </w:r>
    </w:p>
    <w:p>
      <w:pPr>
        <w:spacing w:after="0" w:line="55"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New Fortress Energy Holdings LLC previously distributed these NFI LLC Units to the reporting person on a pro rata basis, together with an equal number of Class B Shares.</w:t>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Matthew Wilkinson,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132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Cameron D. MacDoungall as</w:t>
      </w:r>
      <w:r>
        <w:rPr>
          <w:sz w:val="20"/>
          <w:szCs w:val="20"/>
          <w:color w:val="auto"/>
        </w:rPr>
        <w:tab/>
      </w:r>
      <w:r>
        <w:rPr>
          <w:rFonts w:ascii="Arial" w:cs="Arial" w:eastAsia="Arial" w:hAnsi="Arial"/>
          <w:sz w:val="15"/>
          <w:szCs w:val="15"/>
          <w:color w:val="0000FF"/>
        </w:rPr>
        <w:t>06/10/2020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16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6280" cy="8255"/>
                    </a:xfrm>
                    <a:prstGeom prst="rect">
                      <a:avLst/>
                    </a:prstGeom>
                    <a:noFill/>
                  </pic:spPr>
                </pic:pic>
              </a:graphicData>
            </a:graphic>
          </wp:anchor>
        </w:drawing>
      </w: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3943"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2020-06-10T15:38:37Z</dcterms:created>
  <dcterms:modified xsi:type="dcterms:W3CDTF">2020-06-10T15:38:37Z</dcterms:modified>
</cp:coreProperties>
</file>