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120"/>
        <w:spacing w:after="0" w:line="213"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540"/>
        <w:spacing w:after="0" w:line="208" w:lineRule="auto"/>
        <w:rPr>
          <w:sz w:val="20"/>
          <w:szCs w:val="20"/>
          <w:color w:val="auto"/>
        </w:rPr>
      </w:pPr>
      <w:r>
        <w:rPr>
          <w:rFonts w:ascii="Times New Roman" w:cs="Times New Roman" w:eastAsia="Times New Roman" w:hAnsi="Times New Roman"/>
          <w:sz w:val="21"/>
          <w:szCs w:val="21"/>
          <w:b w:val="1"/>
          <w:bCs w:val="1"/>
          <w:color w:val="auto"/>
        </w:rPr>
        <w:t>Washington, D.C. 20549</w:t>
      </w:r>
    </w:p>
    <w:p>
      <w:pPr>
        <w:jc w:val="center"/>
        <w:ind w:right="-1120"/>
        <w:spacing w:after="0" w:line="211" w:lineRule="auto"/>
        <w:rPr>
          <w:sz w:val="20"/>
          <w:szCs w:val="20"/>
          <w:color w:val="auto"/>
        </w:rPr>
      </w:pPr>
      <w:r>
        <w:rPr>
          <w:rFonts w:ascii="Times New Roman" w:cs="Times New Roman" w:eastAsia="Times New Roman" w:hAnsi="Times New Roman"/>
          <w:sz w:val="32"/>
          <w:szCs w:val="32"/>
          <w:b w:val="1"/>
          <w:bCs w:val="1"/>
          <w:color w:val="auto"/>
        </w:rPr>
        <w:t>SCHEDULE 14A</w:t>
      </w:r>
    </w:p>
    <w:p>
      <w:pPr>
        <w:jc w:val="center"/>
        <w:ind w:right="-1120"/>
        <w:spacing w:after="0" w:line="200"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4" w:lineRule="exact"/>
        <w:rPr>
          <w:sz w:val="24"/>
          <w:szCs w:val="24"/>
          <w:color w:val="auto"/>
        </w:rPr>
      </w:pPr>
    </w:p>
    <w:p>
      <w:pPr>
        <w:spacing w:after="0" w:line="207" w:lineRule="exact"/>
        <w:tabs>
          <w:tab w:leader="none" w:pos="25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95" w:lineRule="exact"/>
        <w:rPr>
          <w:sz w:val="24"/>
          <w:szCs w:val="24"/>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4" w:lineRule="exact"/>
        <w:rPr>
          <w:rFonts w:ascii="MS PGothic" w:cs="MS PGothic" w:eastAsia="MS PGothic" w:hAnsi="MS PGothic"/>
          <w:sz w:val="18"/>
          <w:szCs w:val="18"/>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78" w:lineRule="exact"/>
        <w:rPr>
          <w:rFonts w:ascii="MS PGothic" w:cs="MS PGothic" w:eastAsia="MS PGothic" w:hAnsi="MS PGothic"/>
          <w:sz w:val="18"/>
          <w:szCs w:val="18"/>
          <w:color w:val="auto"/>
        </w:rPr>
      </w:pPr>
    </w:p>
    <w:p>
      <w:pPr>
        <w:ind w:left="580" w:hanging="522"/>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7" w:lineRule="exact"/>
        <w:rPr>
          <w:rFonts w:ascii="MS PGothic" w:cs="MS PGothic" w:eastAsia="MS PGothic" w:hAnsi="MS PGothic"/>
          <w:sz w:val="18"/>
          <w:szCs w:val="18"/>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6" w:lineRule="exact"/>
        <w:rPr>
          <w:rFonts w:ascii="MS PGothic" w:cs="MS PGothic" w:eastAsia="MS PGothic" w:hAnsi="MS PGothic"/>
          <w:sz w:val="18"/>
          <w:szCs w:val="18"/>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32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5"/>
          <w:szCs w:val="35"/>
          <w:b w:val="1"/>
          <w:bCs w:val="1"/>
          <w:color w:val="auto"/>
        </w:rPr>
        <w:t>New Fortress Energy Inc.</w:t>
      </w:r>
    </w:p>
    <w:p>
      <w:pPr>
        <w:jc w:val="center"/>
        <w:ind w:right="-1120"/>
        <w:spacing w:after="0" w:line="214" w:lineRule="auto"/>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 w:lineRule="exact"/>
        <w:rPr>
          <w:sz w:val="24"/>
          <w:szCs w:val="24"/>
          <w:color w:val="auto"/>
        </w:rPr>
      </w:pPr>
    </w:p>
    <w:p>
      <w:pPr>
        <w:ind w:left="580" w:hanging="522"/>
        <w:spacing w:after="0"/>
        <w:tabs>
          <w:tab w:leader="none" w:pos="5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5" w:lineRule="exact"/>
        <w:rPr>
          <w:rFonts w:ascii="MS PGothic" w:cs="MS PGothic" w:eastAsia="MS PGothic" w:hAnsi="MS PGothic"/>
          <w:sz w:val="18"/>
          <w:szCs w:val="18"/>
          <w:color w:val="auto"/>
        </w:rPr>
      </w:pPr>
    </w:p>
    <w:p>
      <w:pPr>
        <w:ind w:left="580" w:hanging="553"/>
        <w:spacing w:after="0" w:line="182" w:lineRule="auto"/>
        <w:tabs>
          <w:tab w:leader="none" w:pos="580" w:val="left"/>
        </w:tabs>
        <w:numPr>
          <w:ilvl w:val="0"/>
          <w:numId w:val="2"/>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color w:val="auto"/>
        </w:rPr>
        <w:t>Fee paid previously with preliminary materials.</w:t>
      </w:r>
    </w:p>
    <w:p>
      <w:pPr>
        <w:spacing w:after="0" w:line="68" w:lineRule="exact"/>
        <w:rPr>
          <w:rFonts w:ascii="MS PGothic" w:cs="MS PGothic" w:eastAsia="MS PGothic" w:hAnsi="MS PGothic"/>
          <w:sz w:val="31"/>
          <w:szCs w:val="31"/>
          <w:color w:val="auto"/>
          <w:vertAlign w:val="subscript"/>
        </w:rPr>
      </w:pPr>
    </w:p>
    <w:p>
      <w:pPr>
        <w:ind w:left="580" w:hanging="553"/>
        <w:spacing w:after="0" w:line="182" w:lineRule="auto"/>
        <w:tabs>
          <w:tab w:leader="none" w:pos="580" w:val="left"/>
        </w:tabs>
        <w:numPr>
          <w:ilvl w:val="0"/>
          <w:numId w:val="2"/>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4021455</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344805</wp:posOffset>
            </wp:positionV>
            <wp:extent cx="71183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ectPr>
          <w:pgSz w:w="11900" w:h="16838" w:orient="portrait"/>
          <w:cols w:equalWidth="0" w:num="1">
            <w:col w:w="10139"/>
          </w:cols>
          <w:pgMar w:left="320" w:top="123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jc w:val="right"/>
        <w:spacing w:after="0"/>
        <w:rPr>
          <w:sz w:val="20"/>
          <w:szCs w:val="20"/>
          <w:color w:val="auto"/>
        </w:rPr>
      </w:pPr>
      <w:r>
        <w:rPr>
          <w:rFonts w:ascii="Times New Roman" w:cs="Times New Roman" w:eastAsia="Times New Roman" w:hAnsi="Times New Roman"/>
          <w:sz w:val="18"/>
          <w:szCs w:val="18"/>
          <w:color w:val="auto"/>
        </w:rPr>
        <w:t>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-6350</wp:posOffset>
            </wp:positionV>
            <wp:extent cx="1945005" cy="502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5005"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16" w:lineRule="exact"/>
        <w:rPr>
          <w:sz w:val="20"/>
          <w:szCs w:val="20"/>
          <w:color w:val="auto"/>
        </w:rPr>
      </w:pPr>
    </w:p>
    <w:p>
      <w:pPr>
        <w:ind w:right="240" w:firstLine="317"/>
        <w:spacing w:after="0" w:line="279" w:lineRule="auto"/>
        <w:rPr>
          <w:sz w:val="20"/>
          <w:szCs w:val="20"/>
          <w:color w:val="auto"/>
        </w:rPr>
      </w:pPr>
      <w:r>
        <w:rPr>
          <w:rFonts w:ascii="Times New Roman" w:cs="Times New Roman" w:eastAsia="Times New Roman" w:hAnsi="Times New Roman"/>
          <w:sz w:val="17"/>
          <w:szCs w:val="17"/>
          <w:color w:val="auto"/>
        </w:rPr>
        <w:t>On behalf of the Board of Directors, I cordially invite you to attend the Annual Meeting of Stockholders of New Fortress Energy Inc. (the “Annual Meeting”) to be held at Skadden, Arps, Slate, Meagher &amp; Flom LLP and Affiliates, One Manhattan West, New York, New York 10001, on June 11, 2024, at 9:00 a.m., Eastern Time. The matters to be considered by the stockholders at the Annual Meeting are described in detail in the accompanying materials.</w:t>
      </w:r>
    </w:p>
    <w:p>
      <w:pPr>
        <w:spacing w:after="0" w:line="163" w:lineRule="exact"/>
        <w:rPr>
          <w:sz w:val="20"/>
          <w:szCs w:val="20"/>
          <w:color w:val="auto"/>
        </w:rPr>
      </w:pPr>
    </w:p>
    <w:p>
      <w:pPr>
        <w:ind w:right="120" w:firstLine="317"/>
        <w:spacing w:after="0" w:line="257" w:lineRule="auto"/>
        <w:rPr>
          <w:sz w:val="20"/>
          <w:szCs w:val="20"/>
          <w:color w:val="auto"/>
        </w:rPr>
      </w:pPr>
      <w:r>
        <w:rPr>
          <w:rFonts w:ascii="Times New Roman" w:cs="Times New Roman" w:eastAsia="Times New Roman" w:hAnsi="Times New Roman"/>
          <w:sz w:val="18"/>
          <w:szCs w:val="18"/>
          <w:color w:val="auto"/>
        </w:rPr>
        <w:t>IT IS IMPORTANT THAT YOU BE REPRESENTED AT THE ANNUAL MEETING REGARDLESS OF THE NUMBER OF SHARES YOU OWN OR WHETHER YOU ARE ABLE TO ATTEND THE ANNUAL MEETING IN PERSON. Let me urge you to vote today by the Internet, by telephone or by completing, signing and returning your proxy card in the envelope provided.</w:t>
      </w:r>
    </w:p>
    <w:p>
      <w:pPr>
        <w:spacing w:after="0" w:line="180" w:lineRule="exact"/>
        <w:rPr>
          <w:sz w:val="20"/>
          <w:szCs w:val="20"/>
          <w:color w:val="auto"/>
        </w:rPr>
      </w:pPr>
    </w:p>
    <w:p>
      <w:pPr>
        <w:ind w:right="80" w:firstLine="317"/>
        <w:spacing w:after="0" w:line="249" w:lineRule="auto"/>
        <w:rPr>
          <w:sz w:val="20"/>
          <w:szCs w:val="20"/>
          <w:color w:val="auto"/>
        </w:rPr>
      </w:pPr>
      <w:r>
        <w:rPr>
          <w:rFonts w:ascii="Times New Roman" w:cs="Times New Roman" w:eastAsia="Times New Roman" w:hAnsi="Times New Roman"/>
          <w:sz w:val="18"/>
          <w:szCs w:val="18"/>
          <w:color w:val="auto"/>
        </w:rPr>
        <w:t>PLEASE NOTE THAT YOU MUST FOLLOW THESE INSTRUCTIONS IN ORDER TO ATTEND AND BE ABLE TO VOTE AT THE ANNUAL MEETING: All stockholders may vote in person at the Annual Meeting. In addition, any stockholder may also be represented by another person at the Annual Meeting by executing a proper proxy designating that person as the proxy with power to vote your shares on your behalf. If you are a beneficial owner of shares, you must take the following three steps in order to be able to attend and vote at the Annual Meeting: (1) obtain a legal proxy from your broker, bank or other holder of record and present this legal proxy to the inspector of elections along with your ballot; (2) contact our Investor Relations department to obtain an admission card and present this admission card to the inspector of elections; and (3) present an acceptable form of photo identification, such as a driver’s license or passport, to the inspector of elections.</w:t>
      </w:r>
    </w:p>
    <w:p>
      <w:pPr>
        <w:spacing w:after="0" w:line="1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Sincerely,</w:t>
      </w:r>
    </w:p>
    <w:p>
      <w:pPr>
        <w:spacing w:after="0" w:line="2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14605</wp:posOffset>
            </wp:positionV>
            <wp:extent cx="3001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23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Wesley R. Edens</w:t>
      </w:r>
    </w:p>
    <w:p>
      <w:pPr>
        <w:spacing w:after="0" w:line="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1155700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THE 2024 ANNUAL MEETING OF STOCKHOLDERS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 New Fortress Energy Inc.:</w:t>
      </w:r>
    </w:p>
    <w:p>
      <w:pPr>
        <w:spacing w:after="0" w:line="218" w:lineRule="exact"/>
        <w:rPr>
          <w:sz w:val="20"/>
          <w:szCs w:val="20"/>
          <w:color w:val="auto"/>
        </w:rPr>
      </w:pPr>
    </w:p>
    <w:p>
      <w:pPr>
        <w:ind w:right="260" w:firstLine="317"/>
        <w:spacing w:after="0" w:line="257" w:lineRule="auto"/>
        <w:rPr>
          <w:sz w:val="20"/>
          <w:szCs w:val="20"/>
          <w:color w:val="auto"/>
        </w:rPr>
      </w:pPr>
      <w:r>
        <w:rPr>
          <w:rFonts w:ascii="Times New Roman" w:cs="Times New Roman" w:eastAsia="Times New Roman" w:hAnsi="Times New Roman"/>
          <w:sz w:val="18"/>
          <w:szCs w:val="18"/>
          <w:color w:val="auto"/>
        </w:rPr>
        <w:t>The annual meeting of stockholders (the "Annual Meeting") of New Fortress Energy Inc., a Delaware corporation, will be held at Skadden, Arps, Slate, Meagher &amp; Flom LLP and Affiliates, One Manhattan West, New York, New York 10001, on June 11, 2024, at 9:00 a.m., Eastern Time. The matters to be considered and acted upon by stockholders at the Annual Meeting, which are described in detail in the accompanying materials, are:</w:t>
      </w:r>
    </w:p>
    <w:p>
      <w:pPr>
        <w:spacing w:after="0" w:line="180" w:lineRule="exact"/>
        <w:rPr>
          <w:sz w:val="20"/>
          <w:szCs w:val="20"/>
          <w:color w:val="auto"/>
        </w:rPr>
      </w:pPr>
    </w:p>
    <w:p>
      <w:pPr>
        <w:ind w:left="320" w:right="580" w:firstLine="3"/>
        <w:spacing w:after="0" w:line="270" w:lineRule="auto"/>
        <w:tabs>
          <w:tab w:leader="none" w:pos="7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elect three Class II directors to serve until the 2027 annual meeting of stockholders and until their successors are duly elected or appointed and qualified;</w:t>
      </w:r>
    </w:p>
    <w:p>
      <w:pPr>
        <w:spacing w:after="0" w:line="168" w:lineRule="exact"/>
        <w:rPr>
          <w:rFonts w:ascii="Times New Roman" w:cs="Times New Roman" w:eastAsia="Times New Roman" w:hAnsi="Times New Roman"/>
          <w:sz w:val="18"/>
          <w:szCs w:val="18"/>
          <w:color w:val="auto"/>
        </w:rPr>
      </w:pPr>
    </w:p>
    <w:p>
      <w:pPr>
        <w:ind w:left="760" w:hanging="437"/>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appointment of Ernst &amp; Young LLP as independent registered public accounting firm for the Company for fiscal year</w:t>
      </w:r>
    </w:p>
    <w:p>
      <w:pPr>
        <w:spacing w:after="0" w:line="2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w:t>
      </w:r>
    </w:p>
    <w:p>
      <w:pPr>
        <w:spacing w:after="0" w:line="197" w:lineRule="exact"/>
        <w:rPr>
          <w:rFonts w:ascii="Times New Roman" w:cs="Times New Roman" w:eastAsia="Times New Roman" w:hAnsi="Times New Roman"/>
          <w:sz w:val="18"/>
          <w:szCs w:val="18"/>
          <w:color w:val="auto"/>
        </w:rPr>
      </w:pPr>
    </w:p>
    <w:p>
      <w:pPr>
        <w:ind w:left="320" w:right="700" w:firstLine="3"/>
        <w:spacing w:after="0" w:line="270" w:lineRule="auto"/>
        <w:tabs>
          <w:tab w:leader="none" w:pos="6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by non-binding advisory vote, the compensation of our named executive officers, as disclosed in the Proxy Statement, commonly known as a “say-on-pay” proposal; and</w:t>
      </w:r>
    </w:p>
    <w:p>
      <w:pPr>
        <w:spacing w:after="0" w:line="168" w:lineRule="exact"/>
        <w:rPr>
          <w:rFonts w:ascii="Times New Roman" w:cs="Times New Roman" w:eastAsia="Times New Roman" w:hAnsi="Times New Roman"/>
          <w:sz w:val="18"/>
          <w:szCs w:val="18"/>
          <w:color w:val="auto"/>
        </w:rPr>
      </w:pPr>
    </w:p>
    <w:p>
      <w:pPr>
        <w:ind w:left="800" w:hanging="477"/>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presented at the Annual Meeting.</w:t>
      </w:r>
    </w:p>
    <w:p>
      <w:pPr>
        <w:spacing w:after="0" w:line="214" w:lineRule="exact"/>
        <w:rPr>
          <w:sz w:val="20"/>
          <w:szCs w:val="20"/>
          <w:color w:val="auto"/>
        </w:rPr>
      </w:pPr>
    </w:p>
    <w:p>
      <w:pPr>
        <w:ind w:firstLine="317"/>
        <w:spacing w:after="0" w:line="250" w:lineRule="auto"/>
        <w:rPr>
          <w:sz w:val="20"/>
          <w:szCs w:val="20"/>
          <w:color w:val="auto"/>
        </w:rPr>
      </w:pPr>
      <w:r>
        <w:rPr>
          <w:rFonts w:ascii="Times New Roman" w:cs="Times New Roman" w:eastAsia="Times New Roman" w:hAnsi="Times New Roman"/>
          <w:sz w:val="18"/>
          <w:szCs w:val="18"/>
          <w:color w:val="auto"/>
        </w:rPr>
        <w:t xml:space="preserve">Stockholders of record at the close of business on April 15, 2024 will be entitled to notice of and to vote at the Annual Meeting. </w:t>
      </w:r>
      <w:r>
        <w:rPr>
          <w:rFonts w:ascii="Times New Roman" w:cs="Times New Roman" w:eastAsia="Times New Roman" w:hAnsi="Times New Roman"/>
          <w:sz w:val="18"/>
          <w:szCs w:val="18"/>
          <w:b w:val="1"/>
          <w:bCs w:val="1"/>
          <w:color w:val="auto"/>
        </w:rPr>
        <w:t>It is important that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shares be represented at the Annual Meeting regardless of the size of your holdings. </w:t>
      </w:r>
      <w:r>
        <w:rPr>
          <w:rFonts w:ascii="Times New Roman" w:cs="Times New Roman" w:eastAsia="Times New Roman" w:hAnsi="Times New Roman"/>
          <w:sz w:val="18"/>
          <w:szCs w:val="18"/>
          <w:color w:val="auto"/>
        </w:rPr>
        <w:t>A Proxy Statement, proxy card and self-addressed envelope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enclosed. Return the proxy card promptly in the envelope provided, which requires no postage if mailed in the United States. You can also vote by telephone or by the Internet by following the instructions provided on the proxy card. Whether or not you plan to attend the Annual Meeting in person, please vote by one of these three methods. If you are the record holder of your shares and you attend the meeting, you may revoke your proxy and vote in person, if you so choose.</w:t>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14605</wp:posOffset>
            </wp:positionV>
            <wp:extent cx="3001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Cameron D. MacDougall</w:t>
      </w:r>
    </w:p>
    <w:p>
      <w:pPr>
        <w:spacing w:after="0" w:line="2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New York 10011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473075</wp:posOffset>
            </wp:positionV>
            <wp:extent cx="6036945" cy="855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945" cy="85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June 11, 2024:</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Notice of Annual Meeting, Proxy Statement and the Annual Report on Form 10-K</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are available on the Investor Relations section of our website at</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www.newfortressenergy.com.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2044700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1"/>
        </w:trPr>
        <w:tc>
          <w:tcPr>
            <w:tcW w:w="105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26"/>
        </w:trPr>
        <w:tc>
          <w:tcPr>
            <w:tcW w:w="10560" w:type="dxa"/>
            <w:vAlign w:val="bottom"/>
          </w:tcPr>
          <w:p>
            <w:pPr>
              <w:spacing w:after="0"/>
              <w:rPr>
                <w:sz w:val="24"/>
                <w:szCs w:val="24"/>
                <w:color w:val="auto"/>
              </w:rPr>
            </w:pPr>
          </w:p>
        </w:tc>
        <w:tc>
          <w:tcPr>
            <w:tcW w:w="6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
        </w:trPr>
        <w:tc>
          <w:tcPr>
            <w:tcW w:w="10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18"/>
        </w:trPr>
        <w:tc>
          <w:tcPr>
            <w:tcW w:w="10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INFORMATION ABOUT VOTING</w:t>
            </w:r>
          </w:p>
        </w:tc>
        <w:tc>
          <w:tcPr>
            <w:tcW w:w="380" w:type="dxa"/>
            <w:vAlign w:val="bottom"/>
            <w:gridSpan w:val="2"/>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left w:val="single" w:sz="8" w:color="CCEEFF"/>
            </w:tcBorders>
            <w:shd w:val="clear" w:color="auto" w:fill="CCEEFF"/>
          </w:tcPr>
          <w:p>
            <w:pPr>
              <w:spacing w:after="0"/>
              <w:rPr>
                <w:sz w:val="18"/>
                <w:szCs w:val="18"/>
                <w:color w:val="auto"/>
              </w:rPr>
            </w:pPr>
          </w:p>
        </w:tc>
      </w:tr>
      <w:tr>
        <w:trPr>
          <w:trHeight w:val="224"/>
        </w:trPr>
        <w:tc>
          <w:tcPr>
            <w:tcW w:w="10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85"/>
        </w:trPr>
        <w:tc>
          <w:tcPr>
            <w:tcW w:w="105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Solicitation of Proxies</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Stockholders Entitled to Vote</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Required Vote</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Voting</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Right to Revoke Proxy</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Copies of Annual Report to Stockholders</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Voting Results</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Confidentiality of Voting</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4"/>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Recommendations of the Board of Directors</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4</w:t>
            </w:r>
          </w:p>
        </w:tc>
        <w:tc>
          <w:tcPr>
            <w:tcW w:w="300" w:type="dxa"/>
            <w:vAlign w:val="bottom"/>
            <w:tcBorders>
              <w:left w:val="single" w:sz="8" w:color="CCEEFF"/>
            </w:tcBorders>
            <w:shd w:val="clear" w:color="auto" w:fill="CCEEFF"/>
          </w:tcPr>
          <w:p>
            <w:pPr>
              <w:spacing w:after="0"/>
              <w:rPr>
                <w:sz w:val="18"/>
                <w:szCs w:val="18"/>
                <w:color w:val="auto"/>
              </w:rPr>
            </w:pPr>
          </w:p>
        </w:tc>
      </w:tr>
      <w:tr>
        <w:trPr>
          <w:trHeight w:val="224"/>
        </w:trPr>
        <w:tc>
          <w:tcPr>
            <w:tcW w:w="105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r>
      <w:tr>
        <w:trPr>
          <w:trHeight w:val="204"/>
        </w:trPr>
        <w:tc>
          <w:tcPr>
            <w:tcW w:w="105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PROPOSAL NO. 1 ELECTION OF DIRECTORS</w:t>
            </w:r>
          </w:p>
        </w:tc>
        <w:tc>
          <w:tcPr>
            <w:tcW w:w="380" w:type="dxa"/>
            <w:vAlign w:val="bottom"/>
            <w:gridSpan w:val="2"/>
            <w:shd w:val="clear" w:color="auto" w:fill="CCEEFF"/>
          </w:tcPr>
          <w:p>
            <w:pPr>
              <w:jc w:val="center"/>
              <w:ind w:left="213"/>
              <w:spacing w:after="0" w:line="185" w:lineRule="exact"/>
              <w:rPr>
                <w:sz w:val="20"/>
                <w:szCs w:val="20"/>
                <w:color w:val="auto"/>
              </w:rPr>
            </w:pPr>
            <w:r>
              <w:rPr>
                <w:rFonts w:ascii="Times New Roman" w:cs="Times New Roman" w:eastAsia="Times New Roman" w:hAnsi="Times New Roman"/>
                <w:sz w:val="18"/>
                <w:szCs w:val="18"/>
                <w:color w:val="auto"/>
                <w:w w:val="88"/>
              </w:rPr>
              <w:t>5</w:t>
            </w:r>
          </w:p>
        </w:tc>
        <w:tc>
          <w:tcPr>
            <w:tcW w:w="300" w:type="dxa"/>
            <w:vAlign w:val="bottom"/>
            <w:tcBorders>
              <w:left w:val="single" w:sz="8" w:color="CCEEFF"/>
            </w:tcBorders>
            <w:shd w:val="clear" w:color="auto" w:fill="CCEEFF"/>
          </w:tcPr>
          <w:p>
            <w:pPr>
              <w:spacing w:after="0"/>
              <w:rPr>
                <w:sz w:val="17"/>
                <w:szCs w:val="17"/>
                <w:color w:val="auto"/>
              </w:rPr>
            </w:pPr>
          </w:p>
        </w:tc>
      </w:tr>
      <w:tr>
        <w:trPr>
          <w:trHeight w:val="224"/>
        </w:trPr>
        <w:tc>
          <w:tcPr>
            <w:tcW w:w="105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r>
      <w:tr>
        <w:trPr>
          <w:trHeight w:val="185"/>
        </w:trPr>
        <w:tc>
          <w:tcPr>
            <w:tcW w:w="105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Information Concerning Our Directors, Including the Director Nominees</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5</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Determination of Director Independence</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9</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Statement on Corporate Governance</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Sustainability</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10</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Code of Conduct</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Board Leadership Structure</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10</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214"/>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Status as a Controlled Company</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w:t>
            </w:r>
          </w:p>
        </w:tc>
      </w:tr>
      <w:tr>
        <w:trPr>
          <w:trHeight w:val="195"/>
        </w:trPr>
        <w:tc>
          <w:tcPr>
            <w:tcW w:w="10560" w:type="dxa"/>
            <w:vAlign w:val="bottom"/>
            <w:tcBorders>
              <w:top w:val="single" w:sz="8" w:color="CCEEFF"/>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The Board and Its Committees</w:t>
            </w: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77"/>
              </w:rPr>
              <w:t>11</w:t>
            </w:r>
          </w:p>
        </w:tc>
        <w:tc>
          <w:tcPr>
            <w:tcW w:w="300" w:type="dxa"/>
            <w:vAlign w:val="bottom"/>
            <w:tcBorders>
              <w:top w:val="single" w:sz="8" w:color="CCEEFF"/>
            </w:tcBorders>
          </w:tcPr>
          <w:p>
            <w:pPr>
              <w:spacing w:after="0"/>
              <w:rPr>
                <w:sz w:val="16"/>
                <w:szCs w:val="16"/>
                <w:color w:val="auto"/>
              </w:rPr>
            </w:pP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REPORT OF THE AUDIT COMMITTEE</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14</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MANAGEMENT</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EXECUTIVE COMPENSATION</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16</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Compensation Discussion and Analysis</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16</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COMPENSATION COMMITTEE REPORT</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20</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Compensation Committee Interlocks and Insider Participation</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20</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Summary Compensation Table for 2023</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Grants of Plan-Based Awards for 2023</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20</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Outstanding Equity Awards at Fiscal Year-End for 2023</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Option Exercises and Stock Vested for 2023</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21</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Pension Benefits for 2023</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21</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Nonqualified Deferred Compensation for 2023</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21</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Potential Payments Upon Change-in-Control or Termination</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21</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Pay Ratio Disclosure</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21</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214"/>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Pay Versus Performance</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23</w:t>
            </w:r>
          </w:p>
        </w:tc>
      </w:tr>
      <w:tr>
        <w:trPr>
          <w:trHeight w:val="224"/>
        </w:trPr>
        <w:tc>
          <w:tcPr>
            <w:tcW w:w="105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r>
      <w:tr>
        <w:trPr>
          <w:trHeight w:val="251"/>
        </w:trPr>
        <w:tc>
          <w:tcPr>
            <w:tcW w:w="1056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r>
      <w:tr>
        <w:trPr>
          <w:trHeight w:val="1116"/>
        </w:trPr>
        <w:tc>
          <w:tcPr>
            <w:tcW w:w="10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6652895</wp:posOffset>
            </wp:positionH>
            <wp:positionV relativeFrom="paragraph">
              <wp:posOffset>-7159625</wp:posOffset>
            </wp:positionV>
            <wp:extent cx="58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7"/>
        </w:trPr>
        <w:tc>
          <w:tcPr>
            <w:tcW w:w="10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COMPENSATION</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26</w:t>
            </w:r>
          </w:p>
        </w:tc>
      </w:tr>
      <w:tr>
        <w:trPr>
          <w:trHeight w:val="234"/>
        </w:trPr>
        <w:tc>
          <w:tcPr>
            <w:tcW w:w="108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Director Compensation Table for 2023</w:t>
            </w:r>
          </w:p>
        </w:tc>
        <w:tc>
          <w:tcPr>
            <w:tcW w:w="420" w:type="dxa"/>
            <w:vAlign w:val="bottom"/>
            <w:gridSpan w:val="2"/>
          </w:tcPr>
          <w:p>
            <w:pPr>
              <w:jc w:val="right"/>
              <w:ind w:right="240"/>
              <w:spacing w:after="0" w:line="185" w:lineRule="exact"/>
              <w:rPr>
                <w:sz w:val="20"/>
                <w:szCs w:val="20"/>
                <w:color w:val="auto"/>
              </w:rPr>
            </w:pPr>
            <w:r>
              <w:rPr>
                <w:rFonts w:ascii="Times New Roman" w:cs="Times New Roman" w:eastAsia="Times New Roman" w:hAnsi="Times New Roman"/>
                <w:sz w:val="18"/>
                <w:szCs w:val="18"/>
                <w:color w:val="auto"/>
                <w:w w:val="88"/>
              </w:rPr>
              <w:t>26</w:t>
            </w:r>
          </w:p>
        </w:tc>
      </w:tr>
      <w:tr>
        <w:trPr>
          <w:trHeight w:val="234"/>
        </w:trPr>
        <w:tc>
          <w:tcPr>
            <w:tcW w:w="108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EQUITY COMPENSATION PLAN INFORMATION</w:t>
            </w:r>
          </w:p>
        </w:tc>
        <w:tc>
          <w:tcPr>
            <w:tcW w:w="420" w:type="dxa"/>
            <w:vAlign w:val="bottom"/>
            <w:gridSpan w:val="2"/>
          </w:tcPr>
          <w:p>
            <w:pPr>
              <w:jc w:val="right"/>
              <w:ind w:right="240"/>
              <w:spacing w:after="0" w:line="185" w:lineRule="exact"/>
              <w:rPr>
                <w:sz w:val="20"/>
                <w:szCs w:val="20"/>
                <w:color w:val="auto"/>
              </w:rPr>
            </w:pPr>
            <w:r>
              <w:rPr>
                <w:rFonts w:ascii="Times New Roman" w:cs="Times New Roman" w:eastAsia="Times New Roman" w:hAnsi="Times New Roman"/>
                <w:sz w:val="18"/>
                <w:szCs w:val="18"/>
                <w:color w:val="auto"/>
                <w:w w:val="88"/>
              </w:rPr>
              <w:t>27</w:t>
            </w:r>
          </w:p>
        </w:tc>
      </w:tr>
      <w:tr>
        <w:trPr>
          <w:trHeight w:val="234"/>
        </w:trPr>
        <w:tc>
          <w:tcPr>
            <w:tcW w:w="108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SECURITY OWNERSHIP OF MANAGEMENT AND CERTAIN BENEFICIAL OWNERS</w:t>
            </w:r>
          </w:p>
        </w:tc>
        <w:tc>
          <w:tcPr>
            <w:tcW w:w="420" w:type="dxa"/>
            <w:vAlign w:val="bottom"/>
            <w:gridSpan w:val="2"/>
          </w:tcPr>
          <w:p>
            <w:pPr>
              <w:jc w:val="right"/>
              <w:ind w:right="240"/>
              <w:spacing w:after="0" w:line="185" w:lineRule="exact"/>
              <w:rPr>
                <w:sz w:val="20"/>
                <w:szCs w:val="20"/>
                <w:color w:val="auto"/>
              </w:rPr>
            </w:pPr>
            <w:r>
              <w:rPr>
                <w:rFonts w:ascii="Times New Roman" w:cs="Times New Roman" w:eastAsia="Times New Roman" w:hAnsi="Times New Roman"/>
                <w:sz w:val="18"/>
                <w:szCs w:val="18"/>
                <w:color w:val="auto"/>
                <w:w w:val="88"/>
              </w:rPr>
              <w:t>28</w:t>
            </w:r>
          </w:p>
        </w:tc>
      </w:tr>
      <w:tr>
        <w:trPr>
          <w:trHeight w:val="234"/>
        </w:trPr>
        <w:tc>
          <w:tcPr>
            <w:tcW w:w="108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420" w:type="dxa"/>
            <w:vAlign w:val="bottom"/>
            <w:gridSpan w:val="2"/>
          </w:tcPr>
          <w:p>
            <w:pPr>
              <w:jc w:val="right"/>
              <w:ind w:right="240"/>
              <w:spacing w:after="0" w:line="185" w:lineRule="exact"/>
              <w:rPr>
                <w:sz w:val="20"/>
                <w:szCs w:val="20"/>
                <w:color w:val="auto"/>
              </w:rPr>
            </w:pPr>
            <w:r>
              <w:rPr>
                <w:rFonts w:ascii="Times New Roman" w:cs="Times New Roman" w:eastAsia="Times New Roman" w:hAnsi="Times New Roman"/>
                <w:sz w:val="18"/>
                <w:szCs w:val="18"/>
                <w:color w:val="auto"/>
                <w:w w:val="88"/>
              </w:rPr>
              <w:t>28</w:t>
            </w:r>
          </w:p>
        </w:tc>
      </w:tr>
      <w:tr>
        <w:trPr>
          <w:trHeight w:val="274"/>
        </w:trPr>
        <w:tc>
          <w:tcPr>
            <w:tcW w:w="1082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420" w:type="dxa"/>
            <w:vAlign w:val="bottom"/>
            <w:gridSpan w:val="2"/>
          </w:tcPr>
          <w:p>
            <w:pPr>
              <w:jc w:val="right"/>
              <w:ind w:right="240"/>
              <w:spacing w:after="0" w:line="185" w:lineRule="exact"/>
              <w:rPr>
                <w:sz w:val="20"/>
                <w:szCs w:val="20"/>
                <w:color w:val="auto"/>
              </w:rPr>
            </w:pPr>
            <w:r>
              <w:rPr>
                <w:rFonts w:ascii="Times New Roman" w:cs="Times New Roman" w:eastAsia="Times New Roman" w:hAnsi="Times New Roman"/>
                <w:sz w:val="18"/>
                <w:szCs w:val="18"/>
                <w:color w:val="auto"/>
                <w:w w:val="88"/>
              </w:rPr>
              <w:t>30</w:t>
            </w:r>
          </w:p>
        </w:tc>
      </w:tr>
      <w:tr>
        <w:trPr>
          <w:trHeight w:val="274"/>
        </w:trPr>
        <w:tc>
          <w:tcPr>
            <w:tcW w:w="1082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Procedures for Review, Approval and Ratification of Transactions with Related Persons</w:t>
            </w:r>
          </w:p>
        </w:tc>
        <w:tc>
          <w:tcPr>
            <w:tcW w:w="18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30</w:t>
            </w:r>
          </w:p>
        </w:tc>
        <w:tc>
          <w:tcPr>
            <w:tcW w:w="240" w:type="dxa"/>
            <w:vAlign w:val="bottom"/>
          </w:tcPr>
          <w:p>
            <w:pPr>
              <w:spacing w:after="0"/>
              <w:rPr>
                <w:sz w:val="16"/>
                <w:szCs w:val="16"/>
                <w:color w:val="auto"/>
              </w:rPr>
            </w:pPr>
          </w:p>
        </w:tc>
      </w:tr>
      <w:tr>
        <w:trPr>
          <w:trHeight w:val="214"/>
        </w:trPr>
        <w:tc>
          <w:tcPr>
            <w:tcW w:w="1082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18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30</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Agreements with Affiliates</w:t>
            </w:r>
          </w:p>
        </w:tc>
        <w:tc>
          <w:tcPr>
            <w:tcW w:w="18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30</w:t>
            </w:r>
          </w:p>
        </w:tc>
        <w:tc>
          <w:tcPr>
            <w:tcW w:w="240" w:type="dxa"/>
            <w:vAlign w:val="bottom"/>
          </w:tcPr>
          <w:p>
            <w:pPr>
              <w:spacing w:after="0"/>
              <w:rPr>
                <w:sz w:val="16"/>
                <w:szCs w:val="16"/>
                <w:color w:val="auto"/>
              </w:rPr>
            </w:pPr>
          </w:p>
        </w:tc>
      </w:tr>
      <w:tr>
        <w:trPr>
          <w:trHeight w:val="214"/>
        </w:trPr>
        <w:tc>
          <w:tcPr>
            <w:tcW w:w="108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Other Transactions with Related Persons</w:t>
            </w:r>
          </w:p>
        </w:tc>
        <w:tc>
          <w:tcPr>
            <w:tcW w:w="420" w:type="dxa"/>
            <w:vAlign w:val="bottom"/>
            <w:gridSpan w:val="2"/>
            <w:shd w:val="clear" w:color="auto" w:fill="CCEEFF"/>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w w:val="88"/>
              </w:rPr>
              <w:t>32</w:t>
            </w:r>
          </w:p>
        </w:tc>
      </w:tr>
      <w:tr>
        <w:trPr>
          <w:trHeight w:val="264"/>
        </w:trPr>
        <w:tc>
          <w:tcPr>
            <w:tcW w:w="108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r>
      <w:tr>
        <w:trPr>
          <w:trHeight w:val="309"/>
        </w:trPr>
        <w:tc>
          <w:tcPr>
            <w:tcW w:w="10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 NO. 2 APPROVAL OF APPOINTMENT OF ERNST &amp; YOUNG LLP AS INDEPENDENT REGISTERED PUBLIC</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34</w:t>
            </w:r>
          </w:p>
        </w:tc>
      </w:tr>
      <w:tr>
        <w:trPr>
          <w:trHeight w:val="152"/>
        </w:trPr>
        <w:tc>
          <w:tcPr>
            <w:tcW w:w="108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ACCOUNTING FIRM</w:t>
            </w:r>
          </w:p>
        </w:tc>
        <w:tc>
          <w:tcPr>
            <w:tcW w:w="1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r>
      <w:tr>
        <w:trPr>
          <w:trHeight w:val="264"/>
        </w:trPr>
        <w:tc>
          <w:tcPr>
            <w:tcW w:w="10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04"/>
        </w:trPr>
        <w:tc>
          <w:tcPr>
            <w:tcW w:w="10820" w:type="dxa"/>
            <w:vAlign w:val="bottom"/>
            <w:tcBorders>
              <w:bottom w:val="single" w:sz="8" w:color="CCEEFF"/>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Proposed Independent Registered Public Accounting Firm</w:t>
            </w:r>
          </w:p>
        </w:tc>
        <w:tc>
          <w:tcPr>
            <w:tcW w:w="18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34</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420" w:type="dxa"/>
            <w:vAlign w:val="bottom"/>
            <w:gridSpan w:val="2"/>
          </w:tcPr>
          <w:p>
            <w:pPr>
              <w:jc w:val="right"/>
              <w:ind w:right="240"/>
              <w:spacing w:after="0" w:line="185" w:lineRule="exact"/>
              <w:rPr>
                <w:sz w:val="20"/>
                <w:szCs w:val="20"/>
                <w:color w:val="auto"/>
              </w:rPr>
            </w:pPr>
            <w:r>
              <w:rPr>
                <w:rFonts w:ascii="Times New Roman" w:cs="Times New Roman" w:eastAsia="Times New Roman" w:hAnsi="Times New Roman"/>
                <w:sz w:val="18"/>
                <w:szCs w:val="18"/>
                <w:color w:val="auto"/>
                <w:w w:val="88"/>
              </w:rPr>
              <w:t>34</w:t>
            </w:r>
          </w:p>
        </w:tc>
      </w:tr>
      <w:tr>
        <w:trPr>
          <w:trHeight w:val="274"/>
        </w:trPr>
        <w:tc>
          <w:tcPr>
            <w:tcW w:w="1082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64"/>
        </w:trPr>
        <w:tc>
          <w:tcPr>
            <w:tcW w:w="10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89"/>
        </w:trPr>
        <w:tc>
          <w:tcPr>
            <w:tcW w:w="1082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ADVANCE NOTICE FOR STOCKHOLDER NOMINATIONS AND PROPOSALS FOR 2025 ANNUAL MEETING.</w:t>
            </w:r>
          </w:p>
        </w:tc>
        <w:tc>
          <w:tcPr>
            <w:tcW w:w="1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35</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64"/>
        </w:trPr>
        <w:tc>
          <w:tcPr>
            <w:tcW w:w="108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r>
      <w:tr>
        <w:trPr>
          <w:trHeight w:val="204"/>
        </w:trPr>
        <w:tc>
          <w:tcPr>
            <w:tcW w:w="108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OTHER INFORMATION</w:t>
            </w:r>
          </w:p>
        </w:tc>
        <w:tc>
          <w:tcPr>
            <w:tcW w:w="42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8"/>
                <w:szCs w:val="18"/>
                <w:color w:val="auto"/>
                <w:w w:val="88"/>
              </w:rPr>
              <w:t>37</w:t>
            </w:r>
          </w:p>
        </w:tc>
      </w:tr>
      <w:tr>
        <w:trPr>
          <w:trHeight w:val="264"/>
        </w:trPr>
        <w:tc>
          <w:tcPr>
            <w:tcW w:w="108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r>
      <w:tr>
        <w:trPr>
          <w:trHeight w:val="204"/>
        </w:trPr>
        <w:tc>
          <w:tcPr>
            <w:tcW w:w="108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OTHER MATTERS</w:t>
            </w:r>
          </w:p>
        </w:tc>
        <w:tc>
          <w:tcPr>
            <w:tcW w:w="42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8"/>
                <w:szCs w:val="18"/>
                <w:color w:val="auto"/>
                <w:w w:val="88"/>
              </w:rPr>
              <w:t>37</w:t>
            </w:r>
          </w:p>
        </w:tc>
      </w:tr>
      <w:tr>
        <w:trPr>
          <w:trHeight w:val="264"/>
        </w:trPr>
        <w:tc>
          <w:tcPr>
            <w:tcW w:w="108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r>
      <w:tr>
        <w:trPr>
          <w:trHeight w:val="204"/>
        </w:trPr>
        <w:tc>
          <w:tcPr>
            <w:tcW w:w="108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ADDITIONAL INFORMATION</w:t>
            </w:r>
          </w:p>
        </w:tc>
        <w:tc>
          <w:tcPr>
            <w:tcW w:w="42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8"/>
                <w:szCs w:val="18"/>
                <w:color w:val="auto"/>
                <w:w w:val="88"/>
              </w:rPr>
              <w:t>38</w:t>
            </w:r>
          </w:p>
        </w:tc>
      </w:tr>
      <w:tr>
        <w:trPr>
          <w:trHeight w:val="1116"/>
        </w:trPr>
        <w:tc>
          <w:tcPr>
            <w:tcW w:w="108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jc w:val="center"/>
        <w:ind w:right="-19"/>
        <w:spacing w:after="0" w:line="183" w:lineRule="auto"/>
        <w:rPr>
          <w:sz w:val="20"/>
          <w:szCs w:val="20"/>
          <w:color w:val="auto"/>
        </w:rPr>
      </w:pPr>
      <w:r>
        <w:rPr>
          <w:rFonts w:ascii="Times New Roman" w:cs="Times New Roman" w:eastAsia="Times New Roman" w:hAnsi="Times New Roman"/>
          <w:sz w:val="17"/>
          <w:szCs w:val="17"/>
          <w:b w:val="1"/>
          <w:bCs w:val="1"/>
          <w:color w:val="auto"/>
        </w:rPr>
        <w:t>111 W. 19</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7"/>
          <w:szCs w:val="17"/>
          <w:b w:val="1"/>
          <w:bCs w:val="1"/>
          <w:color w:val="auto"/>
        </w:rPr>
        <w:t xml:space="preserve"> Street, 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jc w:val="center"/>
        <w:ind w:right="-19"/>
        <w:spacing w:after="0" w:line="199" w:lineRule="auto"/>
        <w:rPr>
          <w:sz w:val="20"/>
          <w:szCs w:val="20"/>
          <w:color w:val="auto"/>
        </w:rPr>
      </w:pPr>
      <w:r>
        <w:rPr>
          <w:rFonts w:ascii="Times New Roman" w:cs="Times New Roman" w:eastAsia="Times New Roman" w:hAnsi="Times New Roman"/>
          <w:sz w:val="18"/>
          <w:szCs w:val="18"/>
          <w:b w:val="1"/>
          <w:bCs w:val="1"/>
          <w:color w:val="auto"/>
        </w:rPr>
        <w:t>New York, New York 10011</w:t>
      </w:r>
    </w:p>
    <w:p>
      <w:pPr>
        <w:jc w:val="center"/>
        <w:ind w:right="-19"/>
        <w:spacing w:after="0" w:line="199" w:lineRule="auto"/>
        <w:rPr>
          <w:sz w:val="20"/>
          <w:szCs w:val="20"/>
          <w:color w:val="auto"/>
        </w:rPr>
      </w:pPr>
      <w:r>
        <w:rPr>
          <w:rFonts w:ascii="Times New Roman" w:cs="Times New Roman" w:eastAsia="Times New Roman" w:hAnsi="Times New Roman"/>
          <w:sz w:val="18"/>
          <w:szCs w:val="18"/>
          <w:b w:val="1"/>
          <w:bCs w:val="1"/>
          <w:color w:val="auto"/>
        </w:rPr>
        <w:t>PROXY STATEMENT</w:t>
      </w:r>
    </w:p>
    <w:p>
      <w:pPr>
        <w:jc w:val="center"/>
        <w:ind w:right="-19"/>
        <w:spacing w:after="0" w:line="215" w:lineRule="auto"/>
        <w:rPr>
          <w:sz w:val="20"/>
          <w:szCs w:val="20"/>
          <w:color w:val="auto"/>
        </w:rPr>
      </w:pPr>
      <w:r>
        <w:rPr>
          <w:rFonts w:ascii="Times New Roman" w:cs="Times New Roman" w:eastAsia="Times New Roman" w:hAnsi="Times New Roman"/>
          <w:sz w:val="18"/>
          <w:szCs w:val="18"/>
          <w:b w:val="1"/>
          <w:bCs w:val="1"/>
          <w:color w:val="auto"/>
        </w:rPr>
        <w:t>For the 2024 Annual Meeting of Stockholders to Be Held 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11, 2024</w:t>
      </w:r>
    </w:p>
    <w:p>
      <w:pPr>
        <w:spacing w:after="0" w:line="200" w:lineRule="exact"/>
        <w:rPr>
          <w:sz w:val="20"/>
          <w:szCs w:val="20"/>
          <w:color w:val="auto"/>
        </w:rPr>
      </w:pPr>
    </w:p>
    <w:p>
      <w:pPr>
        <w:spacing w:after="0" w:line="207" w:lineRule="exact"/>
        <w:rPr>
          <w:sz w:val="20"/>
          <w:szCs w:val="20"/>
          <w:color w:val="auto"/>
        </w:rPr>
      </w:pPr>
    </w:p>
    <w:p>
      <w:pPr>
        <w:ind w:firstLine="317"/>
        <w:spacing w:after="0"/>
        <w:rPr>
          <w:sz w:val="20"/>
          <w:szCs w:val="20"/>
          <w:color w:val="auto"/>
        </w:rPr>
      </w:pPr>
      <w:r>
        <w:rPr>
          <w:rFonts w:ascii="Times New Roman" w:cs="Times New Roman" w:eastAsia="Times New Roman" w:hAnsi="Times New Roman"/>
          <w:sz w:val="18"/>
          <w:szCs w:val="18"/>
          <w:color w:val="auto"/>
        </w:rPr>
        <w:t>This Proxy Statement and the accompanying proxy card and notice of annual meeting are provided in connection with the solicitation of proxies by and on behalf of the board of directors of New Fortress Energy Inc. (the “Board of Directors” or "Board"), a Delaware corporation, for use at the Annual Meeting to be held on June 11, 2024 and any adjournments or postponements thereof. “We,” “our,” “us,” “the Company” and “NFE” each refers to New Fortress Energy Inc. The mailing address of our executive office is 111 W. 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New York, New York 10011. Our proxy materials, including this Proxy Statement, the accompanying proxy card and the notice of annual meeting, or the Notice of Internet Availability of Proxy Materials (the “Internet Notice”), if applicable, are first being mailed to holders of Class A common stock, $0.01 par value per share, of the Company (“Common Stock”), on or about April 29, 2024.</w:t>
      </w:r>
    </w:p>
    <w:p>
      <w:pPr>
        <w:spacing w:after="0" w:line="195" w:lineRule="exact"/>
        <w:rPr>
          <w:sz w:val="20"/>
          <w:szCs w:val="20"/>
          <w:color w:val="auto"/>
        </w:rPr>
      </w:pPr>
    </w:p>
    <w:p>
      <w:pPr>
        <w:ind w:right="80" w:firstLine="317"/>
        <w:spacing w:after="0" w:line="253" w:lineRule="auto"/>
        <w:rPr>
          <w:sz w:val="20"/>
          <w:szCs w:val="20"/>
          <w:color w:val="auto"/>
        </w:rPr>
      </w:pPr>
      <w:r>
        <w:rPr>
          <w:rFonts w:ascii="Times New Roman" w:cs="Times New Roman" w:eastAsia="Times New Roman" w:hAnsi="Times New Roman"/>
          <w:sz w:val="18"/>
          <w:szCs w:val="18"/>
          <w:color w:val="auto"/>
        </w:rPr>
        <w:t>As of the date hereof, management has no knowledge of any business that will be presented for consideration at the Annual Meeting and which would be required to be set forth in this Proxy Statement or the related proxy materials other than the matters set forth in the Notice of Annual Meeting of Stockholders. If any other matter is properly presented at the Annual Meeting for consideration, it is intended that the persons named in the enclosed form of proxy and acting thereunder will vote in accordance with their best judgment on such matter.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to be considered at the Annual Meeting</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 the Annual Meeting, the stockholders of the Company will vote upon:</w:t>
      </w:r>
    </w:p>
    <w:p>
      <w:pPr>
        <w:spacing w:after="0" w:line="255" w:lineRule="exact"/>
        <w:rPr>
          <w:sz w:val="20"/>
          <w:szCs w:val="20"/>
          <w:color w:val="auto"/>
        </w:rPr>
      </w:pPr>
    </w:p>
    <w:p>
      <w:pPr>
        <w:ind w:left="780" w:right="480" w:hanging="405"/>
        <w:spacing w:after="0" w:line="23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elect three Class II directors to serve until the 2027 annual meeting of stockholders and until their successors are duly elected or appointed and qualified;</w:t>
      </w:r>
    </w:p>
    <w:p>
      <w:pPr>
        <w:spacing w:after="0" w:line="127" w:lineRule="exact"/>
        <w:rPr>
          <w:rFonts w:ascii="Times New Roman" w:cs="Times New Roman" w:eastAsia="Times New Roman" w:hAnsi="Times New Roman"/>
          <w:sz w:val="18"/>
          <w:szCs w:val="18"/>
          <w:color w:val="auto"/>
        </w:rPr>
      </w:pPr>
    </w:p>
    <w:p>
      <w:pPr>
        <w:ind w:left="780" w:right="700" w:hanging="405"/>
        <w:spacing w:after="0" w:line="23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appointment of Ernst &amp; Young LLP as independent registered public accounting firm for the Company for fiscal year 2024;</w:t>
      </w:r>
    </w:p>
    <w:p>
      <w:pPr>
        <w:spacing w:after="0" w:line="114" w:lineRule="exact"/>
        <w:rPr>
          <w:rFonts w:ascii="Times New Roman" w:cs="Times New Roman" w:eastAsia="Times New Roman" w:hAnsi="Times New Roman"/>
          <w:sz w:val="18"/>
          <w:szCs w:val="18"/>
          <w:color w:val="auto"/>
        </w:rPr>
      </w:pPr>
    </w:p>
    <w:p>
      <w:pPr>
        <w:ind w:left="780" w:right="520" w:hanging="405"/>
        <w:spacing w:after="0" w:line="239"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by non-binding advisory vote, the compensation of our named executive officers, as disclosed in the Proxy Statement, commonly known as a “say-on-pay” proposal; and</w:t>
      </w:r>
    </w:p>
    <w:p>
      <w:pPr>
        <w:spacing w:after="0" w:line="1"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may properly come before the annual meeting of stockholders or any adjournment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726"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18" w:lineRule="exact"/>
        <w:rPr>
          <w:sz w:val="20"/>
          <w:szCs w:val="20"/>
          <w:color w:val="auto"/>
        </w:rPr>
      </w:pPr>
    </w:p>
    <w:p>
      <w:pPr>
        <w:ind w:right="20" w:firstLine="317"/>
        <w:spacing w:after="0" w:line="251" w:lineRule="auto"/>
        <w:rPr>
          <w:sz w:val="20"/>
          <w:szCs w:val="20"/>
          <w:color w:val="auto"/>
        </w:rPr>
      </w:pPr>
      <w:r>
        <w:rPr>
          <w:rFonts w:ascii="Times New Roman" w:cs="Times New Roman" w:eastAsia="Times New Roman" w:hAnsi="Times New Roman"/>
          <w:sz w:val="18"/>
          <w:szCs w:val="18"/>
          <w:color w:val="auto"/>
        </w:rPr>
        <w:t>The enclosed proxy is solicited by and on behalf of our Board of Directors. The expense of preparing, printing and mailing this Proxy Statement and the proxies solicited hereby will be borne by the Company. In addition to the use of the mail, proxies may be solicited by officers and directors, without additional remuneration, by personal interview, telephone or otherwise. The Company will also request brokerage firms, nominees, custodians and fiduciaries to forward proxy materials to the beneficial owners of Common Stock held of record as of the close of business on April 15, 2024, and will provide reimbursement for the cost of forwarding the materials.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Vote</w:t>
      </w:r>
    </w:p>
    <w:p>
      <w:pPr>
        <w:spacing w:after="0" w:line="218" w:lineRule="exact"/>
        <w:rPr>
          <w:sz w:val="20"/>
          <w:szCs w:val="20"/>
          <w:color w:val="auto"/>
        </w:rPr>
      </w:pPr>
    </w:p>
    <w:p>
      <w:pPr>
        <w:ind w:firstLine="317"/>
        <w:spacing w:after="0" w:line="251" w:lineRule="auto"/>
        <w:rPr>
          <w:sz w:val="20"/>
          <w:szCs w:val="20"/>
          <w:color w:val="auto"/>
        </w:rPr>
      </w:pPr>
      <w:r>
        <w:rPr>
          <w:rFonts w:ascii="Times New Roman" w:cs="Times New Roman" w:eastAsia="Times New Roman" w:hAnsi="Times New Roman"/>
          <w:sz w:val="18"/>
          <w:szCs w:val="18"/>
          <w:color w:val="auto"/>
        </w:rPr>
        <w:t>As of April 15, 2024, there were 205,041,824 shares of Common Stock outstanding and entitled to vote. Additionally, the holder of our recently issued 4.8% Series A Convertible Preferred Stock ("Series A Preferred Stock") is entitled to vote on an as-converted basis, and as of April 15, 2024, the holder of the Series A Preferred Stock could have converted the Series A Preferred Stock into 2,046,839 shares of Common Stock. Each share of Common Stock entitles the holder to one vote. Stockholders of record at the close of business on April 15, 2024 are entitled to vote at the Annual Meeting or any adjournment or postponement thereof.</w:t>
      </w:r>
    </w:p>
    <w:p>
      <w:pPr>
        <w:spacing w:after="0" w:line="183" w:lineRule="exact"/>
        <w:rPr>
          <w:sz w:val="20"/>
          <w:szCs w:val="20"/>
          <w:color w:val="auto"/>
        </w:rPr>
      </w:pPr>
    </w:p>
    <w:p>
      <w:pPr>
        <w:ind w:right="420" w:firstLine="317"/>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your shares are registered directly in your name with the Company’s transfer agent, Equiniti Trust Company LLC, you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stockholder of record with respect to those shares, and these proxy materials were sent directly to you by the Company.</w:t>
      </w:r>
    </w:p>
    <w:p>
      <w:pPr>
        <w:spacing w:after="0" w:line="165" w:lineRule="exact"/>
        <w:rPr>
          <w:sz w:val="20"/>
          <w:szCs w:val="20"/>
          <w:color w:val="auto"/>
        </w:rPr>
      </w:pPr>
    </w:p>
    <w:p>
      <w:pPr>
        <w:ind w:firstLine="31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Street Name Holders. </w:t>
      </w:r>
      <w:r>
        <w:rPr>
          <w:rFonts w:ascii="Times New Roman" w:cs="Times New Roman" w:eastAsia="Times New Roman" w:hAnsi="Times New Roman"/>
          <w:sz w:val="18"/>
          <w:szCs w:val="18"/>
          <w:color w:val="auto"/>
        </w:rPr>
        <w:t>If your shares are held in an account at a brokerage firm, bank, broker-dealer or other similar organization, then you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 of shares held in “street name,” and these proxy materials will be or have been forwarded to you by your bank or broker. The bank or broker holding your account is considered the stockholder of record for purposes of voting at the Annual Meeting. As a beneficial owner, you have the right to instruct your bank or broker on how to vote the shares held in your account. If you wish to attend the Annual Meeting, you will need to obtain a “legal proxy” from your bank or broker.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18" w:lineRule="exact"/>
        <w:rPr>
          <w:sz w:val="20"/>
          <w:szCs w:val="20"/>
          <w:color w:val="auto"/>
        </w:rPr>
      </w:pPr>
    </w:p>
    <w:p>
      <w:pPr>
        <w:jc w:val="both"/>
        <w:ind w:right="40" w:firstLine="352"/>
        <w:spacing w:after="0" w:line="253" w:lineRule="auto"/>
        <w:rPr>
          <w:sz w:val="20"/>
          <w:szCs w:val="20"/>
          <w:color w:val="auto"/>
        </w:rPr>
      </w:pPr>
      <w:r>
        <w:rPr>
          <w:rFonts w:ascii="Times New Roman" w:cs="Times New Roman" w:eastAsia="Times New Roman" w:hAnsi="Times New Roman"/>
          <w:sz w:val="18"/>
          <w:szCs w:val="18"/>
          <w:color w:val="auto"/>
        </w:rPr>
        <w:t>A quorum will be present if the holders of a majority of the outstanding shares of Common Stock entitled to vote are present, in person or by proxy, at the Annual Meeting. If you have returned a valid proxy or if you hold your shares in your own name as holder of record and attend the Annual Meeting in person, your shares will be counted as present for the purpose of determining whether there is a quorum. Abstentions and broker “non-votes” (as described below) will be treated as shares that are present and entitled to vote for purposes of determining the presence of a quorum.</w:t>
      </w:r>
    </w:p>
    <w:p>
      <w:pPr>
        <w:spacing w:after="0" w:line="184" w:lineRule="exact"/>
        <w:rPr>
          <w:sz w:val="20"/>
          <w:szCs w:val="20"/>
          <w:color w:val="auto"/>
        </w:rPr>
      </w:pPr>
    </w:p>
    <w:p>
      <w:pPr>
        <w:ind w:right="100" w:firstLine="352"/>
        <w:spacing w:after="0" w:line="270" w:lineRule="auto"/>
        <w:rPr>
          <w:sz w:val="20"/>
          <w:szCs w:val="20"/>
          <w:color w:val="auto"/>
        </w:rPr>
      </w:pPr>
      <w:r>
        <w:rPr>
          <w:rFonts w:ascii="Times New Roman" w:cs="Times New Roman" w:eastAsia="Times New Roman" w:hAnsi="Times New Roman"/>
          <w:sz w:val="18"/>
          <w:szCs w:val="18"/>
          <w:color w:val="auto"/>
        </w:rPr>
        <w:t>If a quorum is not present, the Annual Meeting may be adjourned by the chairman of the meeting or by the vote of a majority of the shares represented at the Annual Meeting until a quorum has been obtained.</w:t>
      </w:r>
    </w:p>
    <w:p>
      <w:pPr>
        <w:spacing w:after="0" w:line="168" w:lineRule="exact"/>
        <w:rPr>
          <w:sz w:val="20"/>
          <w:szCs w:val="20"/>
          <w:color w:val="auto"/>
        </w:rPr>
      </w:pPr>
    </w:p>
    <w:p>
      <w:pPr>
        <w:ind w:right="20" w:firstLine="352"/>
        <w:spacing w:after="0" w:line="253" w:lineRule="auto"/>
        <w:rPr>
          <w:sz w:val="20"/>
          <w:szCs w:val="20"/>
          <w:color w:val="auto"/>
        </w:rPr>
      </w:pPr>
      <w:r>
        <w:rPr>
          <w:rFonts w:ascii="Times New Roman" w:cs="Times New Roman" w:eastAsia="Times New Roman" w:hAnsi="Times New Roman"/>
          <w:sz w:val="18"/>
          <w:szCs w:val="18"/>
          <w:color w:val="auto"/>
        </w:rPr>
        <w:t>For the election of the nominees to our Board of Directors, the affirmative vote of a plurality of the votes cast at the Annual Meeting is sufficient to elect the nominee if a quorum is present. For the approval of Ernst &amp; Young LLP as the Company’s independent registered public accounting firm for the fiscal year ending December 31, 2024 and the “say-on-pay” proposal, the affirmative vote of a majority of the votes cast at the Annual Meeting is required to approve such matter.</w:t>
      </w:r>
    </w:p>
    <w:p>
      <w:pPr>
        <w:spacing w:after="0" w:line="184" w:lineRule="exact"/>
        <w:rPr>
          <w:sz w:val="20"/>
          <w:szCs w:val="20"/>
          <w:color w:val="auto"/>
        </w:rPr>
      </w:pPr>
    </w:p>
    <w:p>
      <w:pPr>
        <w:ind w:right="80" w:firstLine="352"/>
        <w:spacing w:after="0" w:line="269" w:lineRule="auto"/>
        <w:rPr>
          <w:sz w:val="20"/>
          <w:szCs w:val="20"/>
          <w:color w:val="auto"/>
        </w:rPr>
      </w:pPr>
      <w:r>
        <w:rPr>
          <w:rFonts w:ascii="Times New Roman" w:cs="Times New Roman" w:eastAsia="Times New Roman" w:hAnsi="Times New Roman"/>
          <w:sz w:val="17"/>
          <w:szCs w:val="17"/>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these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or the “say-on-pay” proposal, but they are entitled to vote on the ratification of the appointment of the independent registered public accounting firm.</w:t>
      </w:r>
    </w:p>
    <w:p>
      <w:pPr>
        <w:spacing w:after="0" w:line="172" w:lineRule="exact"/>
        <w:rPr>
          <w:sz w:val="20"/>
          <w:szCs w:val="20"/>
          <w:color w:val="auto"/>
        </w:rPr>
      </w:pPr>
    </w:p>
    <w:p>
      <w:pPr>
        <w:ind w:firstLine="352"/>
        <w:spacing w:after="0" w:line="253" w:lineRule="auto"/>
        <w:rPr>
          <w:sz w:val="20"/>
          <w:szCs w:val="20"/>
          <w:color w:val="auto"/>
        </w:rPr>
      </w:pPr>
      <w:r>
        <w:rPr>
          <w:rFonts w:ascii="Times New Roman" w:cs="Times New Roman" w:eastAsia="Times New Roman" w:hAnsi="Times New Roman"/>
          <w:sz w:val="18"/>
          <w:szCs w:val="18"/>
          <w:color w:val="auto"/>
        </w:rPr>
        <w:t>A vote “withheld” from a director nominee or a broker non-vote on a director nominee will have no effect on the outcome of the vote because it will not be counted in the number of votes cast on a matter and a plurality of the votes cast at the Annual Meeting is required for the election of each director. Similarly, any abstentions or broker non-votes on the ratification of the appointment of the independent registered public accounting firm or the "say-on-pay" proposal will not affect the outcome because abstentions and broker non-votes are not counted as votes cast.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7" w:name="page8"/>
    <w:bookmarkEnd w:id="7"/>
    <w:p>
      <w:pPr>
        <w:ind w:firstLine="317"/>
        <w:spacing w:after="0" w:line="257" w:lineRule="auto"/>
        <w:rPr>
          <w:sz w:val="20"/>
          <w:szCs w:val="20"/>
          <w:color w:val="auto"/>
        </w:rPr>
      </w:pPr>
      <w:r>
        <w:rPr>
          <w:rFonts w:ascii="Times New Roman" w:cs="Times New Roman" w:eastAsia="Times New Roman" w:hAnsi="Times New Roman"/>
          <w:sz w:val="18"/>
          <w:szCs w:val="18"/>
          <w:color w:val="auto"/>
        </w:rPr>
        <w:t>If the enclosed proxy card is properly executed and returned to us in time to be voted at the Annual Meeting, it will be voted as specified on the proxy card unless it is properly revoked prior thereto. If no specification is made on the proxy card as to any one or more of the proposals, the shares of Common Stock represented by the proxy will be voted as follows:</w:t>
      </w:r>
    </w:p>
    <w:p>
      <w:pPr>
        <w:spacing w:after="0" w:line="152" w:lineRule="exact"/>
        <w:rPr>
          <w:sz w:val="20"/>
          <w:szCs w:val="20"/>
          <w:color w:val="auto"/>
        </w:rPr>
      </w:pPr>
    </w:p>
    <w:p>
      <w:pPr>
        <w:ind w:left="780" w:hanging="405"/>
        <w:spacing w:after="0"/>
        <w:tabs>
          <w:tab w:leader="none" w:pos="780" w:val="left"/>
        </w:tabs>
        <w:numPr>
          <w:ilvl w:val="0"/>
          <w:numId w:val="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nominees to our Board of Directors;</w:t>
      </w:r>
    </w:p>
    <w:p>
      <w:pPr>
        <w:spacing w:after="0" w:line="218" w:lineRule="exact"/>
        <w:rPr>
          <w:rFonts w:ascii="Times New Roman" w:cs="Times New Roman" w:eastAsia="Times New Roman" w:hAnsi="Times New Roman"/>
          <w:sz w:val="35"/>
          <w:szCs w:val="35"/>
          <w:color w:val="auto"/>
          <w:vertAlign w:val="superscript"/>
        </w:rPr>
      </w:pPr>
    </w:p>
    <w:p>
      <w:pPr>
        <w:ind w:left="780" w:right="600" w:hanging="405"/>
        <w:spacing w:after="0" w:line="182" w:lineRule="auto"/>
        <w:tabs>
          <w:tab w:leader="none" w:pos="78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approval of the appointment of Ernst &amp; Young LLP as the Company’s independent registered public accounting firm for the fiscal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 ending December 31, 2024; and</w:t>
      </w:r>
    </w:p>
    <w:p>
      <w:pPr>
        <w:spacing w:after="0" w:line="47" w:lineRule="exact"/>
        <w:rPr>
          <w:rFonts w:ascii="Times New Roman" w:cs="Times New Roman" w:eastAsia="Times New Roman" w:hAnsi="Times New Roman"/>
          <w:sz w:val="30"/>
          <w:szCs w:val="30"/>
          <w:color w:val="auto"/>
          <w:vertAlign w:val="superscript"/>
        </w:rPr>
      </w:pPr>
    </w:p>
    <w:p>
      <w:pPr>
        <w:ind w:left="780" w:hanging="405"/>
        <w:spacing w:after="0"/>
        <w:tabs>
          <w:tab w:leader="none" w:pos="780" w:val="left"/>
        </w:tabs>
        <w:numPr>
          <w:ilvl w:val="0"/>
          <w:numId w:val="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"say-on-pay" proposal regarding the compensation of our named executive officers; and</w:t>
      </w:r>
    </w:p>
    <w:p>
      <w:pPr>
        <w:spacing w:after="0" w:line="129" w:lineRule="exact"/>
        <w:rPr>
          <w:rFonts w:ascii="Times New Roman" w:cs="Times New Roman" w:eastAsia="Times New Roman" w:hAnsi="Times New Roman"/>
          <w:sz w:val="35"/>
          <w:szCs w:val="35"/>
          <w:color w:val="auto"/>
          <w:vertAlign w:val="superscript"/>
        </w:rPr>
      </w:pPr>
    </w:p>
    <w:p>
      <w:pPr>
        <w:ind w:left="780" w:right="1340" w:hanging="405"/>
        <w:spacing w:after="0" w:line="223"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proxy holder on any other business that properly comes before the Annual Meeting or any adjournment or postponement thereof.</w:t>
      </w:r>
    </w:p>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the date of this Proxy Statement, we are not aware of any other matter to be raised at the Annual Meeting.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16" w:lineRule="exact"/>
        <w:rPr>
          <w:sz w:val="20"/>
          <w:szCs w:val="20"/>
          <w:color w:val="auto"/>
        </w:rPr>
      </w:pPr>
    </w:p>
    <w:p>
      <w:pPr>
        <w:jc w:val="both"/>
        <w:ind w:right="260" w:firstLine="31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instruct the proxies to vote your shares by telephone, by the Internet or by signing,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dating and mailing the proxy card in the postage-paid envelope provided. In addition, you may vote your shares of Common Stock in person at the Annual Meeting.</w:t>
      </w:r>
    </w:p>
    <w:p>
      <w:pPr>
        <w:spacing w:after="0" w:line="178" w:lineRule="exact"/>
        <w:rPr>
          <w:sz w:val="20"/>
          <w:szCs w:val="20"/>
          <w:color w:val="auto"/>
        </w:rPr>
      </w:pPr>
    </w:p>
    <w:p>
      <w:pPr>
        <w:ind w:right="120" w:firstLine="317"/>
        <w:spacing w:after="0" w:line="272" w:lineRule="auto"/>
        <w:rPr>
          <w:sz w:val="20"/>
          <w:szCs w:val="20"/>
          <w:color w:val="auto"/>
        </w:rPr>
      </w:pPr>
      <w:r>
        <w:rPr>
          <w:rFonts w:ascii="Times New Roman" w:cs="Times New Roman" w:eastAsia="Times New Roman" w:hAnsi="Times New Roman"/>
          <w:sz w:val="18"/>
          <w:szCs w:val="18"/>
          <w:i w:val="1"/>
          <w:iCs w:val="1"/>
          <w:color w:val="auto"/>
        </w:rPr>
        <w:t>Street Name Holders</w:t>
      </w:r>
      <w:r>
        <w:rPr>
          <w:rFonts w:ascii="Times New Roman" w:cs="Times New Roman" w:eastAsia="Times New Roman" w:hAnsi="Times New Roman"/>
          <w:sz w:val="18"/>
          <w:szCs w:val="18"/>
          <w:color w:val="auto"/>
        </w:rPr>
        <w:t>. If you are a street name holder, you will receive instructions from your bank or broker that you must follow to be able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or to have your shares voted at the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Revoke Proxy</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revoke your proxy instructions through any of the following methods:</w:t>
      </w:r>
    </w:p>
    <w:p>
      <w:pPr>
        <w:spacing w:after="0" w:line="363" w:lineRule="exact"/>
        <w:rPr>
          <w:sz w:val="20"/>
          <w:szCs w:val="20"/>
          <w:color w:val="auto"/>
        </w:rPr>
      </w:pPr>
    </w:p>
    <w:p>
      <w:pPr>
        <w:ind w:left="780" w:right="580" w:hanging="405"/>
        <w:spacing w:after="0" w:line="181" w:lineRule="auto"/>
        <w:tabs>
          <w:tab w:leader="none" w:pos="780" w:val="left"/>
        </w:tabs>
        <w:numPr>
          <w:ilvl w:val="0"/>
          <w:numId w:val="6"/>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7"/>
          <w:szCs w:val="17"/>
          <w:color w:val="auto"/>
        </w:rPr>
        <w:t>send written notice of revocation, prior to the Annual Meeting, to our Secretary, Mr. Cameron D. MacDougall, at New Fortress Energy Inc., 111 W. 19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Street, 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 New York, New York 10011;</w:t>
      </w:r>
    </w:p>
    <w:p>
      <w:pPr>
        <w:spacing w:after="0" w:line="46" w:lineRule="exact"/>
        <w:rPr>
          <w:rFonts w:ascii="Times New Roman" w:cs="Times New Roman" w:eastAsia="Times New Roman" w:hAnsi="Times New Roman"/>
          <w:sz w:val="33"/>
          <w:szCs w:val="33"/>
          <w:color w:val="auto"/>
          <w:vertAlign w:val="superscript"/>
        </w:rPr>
      </w:pPr>
    </w:p>
    <w:p>
      <w:pPr>
        <w:ind w:left="780" w:hanging="405"/>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date and mail a new proxy card to our Secretary;</w:t>
      </w:r>
    </w:p>
    <w:p>
      <w:pPr>
        <w:spacing w:after="0" w:line="136"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dial the number provided on the proxy card and vote again;</w:t>
      </w:r>
    </w:p>
    <w:p>
      <w:pPr>
        <w:spacing w:after="0" w:line="136"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 onto the website provided on the proxy card and vote again; or</w:t>
      </w:r>
    </w:p>
    <w:p>
      <w:pPr>
        <w:spacing w:after="0" w:line="123"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your shares in person.</w:t>
      </w:r>
    </w:p>
    <w:p>
      <w:pPr>
        <w:spacing w:after="0" w:line="306" w:lineRule="exact"/>
        <w:rPr>
          <w:sz w:val="20"/>
          <w:szCs w:val="20"/>
          <w:color w:val="auto"/>
        </w:rPr>
      </w:pPr>
    </w:p>
    <w:p>
      <w:pPr>
        <w:ind w:right="100" w:firstLine="352"/>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Street Name Holders. </w:t>
      </w:r>
      <w:r>
        <w:rPr>
          <w:rFonts w:ascii="Times New Roman" w:cs="Times New Roman" w:eastAsia="Times New Roman" w:hAnsi="Times New Roman"/>
          <w:sz w:val="18"/>
          <w:szCs w:val="18"/>
          <w:color w:val="auto"/>
        </w:rPr>
        <w:t>If you are a street name holder, you must contact your bank or broker to receive instructions as to how you may revoke your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Copies of Annual Report to Stockholders</w:t>
      </w:r>
    </w:p>
    <w:p>
      <w:pPr>
        <w:spacing w:after="0" w:line="218" w:lineRule="exact"/>
        <w:rPr>
          <w:sz w:val="20"/>
          <w:szCs w:val="20"/>
          <w:color w:val="auto"/>
        </w:rPr>
      </w:pPr>
    </w:p>
    <w:p>
      <w:pPr>
        <w:ind w:right="80" w:firstLine="317"/>
        <w:spacing w:after="0" w:line="238" w:lineRule="auto"/>
        <w:rPr>
          <w:sz w:val="20"/>
          <w:szCs w:val="20"/>
          <w:color w:val="auto"/>
        </w:rPr>
      </w:pPr>
      <w:r>
        <w:rPr>
          <w:rFonts w:ascii="Times New Roman" w:cs="Times New Roman" w:eastAsia="Times New Roman" w:hAnsi="Times New Roman"/>
          <w:sz w:val="18"/>
          <w:szCs w:val="18"/>
          <w:color w:val="auto"/>
        </w:rPr>
        <w:t>A copy of our Annual Report on Form 10-K for our most recently completed fiscal year, which was filed with the Securities and Exchange Commission (the “SEC”) on February 29, 2024, will be mailed to stockholders entitled to vote at the Annual Meeting who have elected to receive a hard copy of the proxy materials and is also available without charge to stockholders upon written request to: New Fortress Energy Inc., 111 W. 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New York, New York 10011, Attention: Investor Relations. You can also find a copy of our Annual Report on the Investor Relations section of the NFE website (www.newfortressenergy.com).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218" w:lineRule="exact"/>
        <w:rPr>
          <w:sz w:val="20"/>
          <w:szCs w:val="20"/>
          <w:color w:val="auto"/>
        </w:rPr>
      </w:pPr>
    </w:p>
    <w:p>
      <w:pPr>
        <w:ind w:right="420" w:firstLine="317"/>
        <w:spacing w:after="0" w:line="257" w:lineRule="auto"/>
        <w:rPr>
          <w:sz w:val="20"/>
          <w:szCs w:val="20"/>
          <w:color w:val="auto"/>
        </w:rPr>
      </w:pPr>
      <w:r>
        <w:rPr>
          <w:rFonts w:ascii="Times New Roman" w:cs="Times New Roman" w:eastAsia="Times New Roman" w:hAnsi="Times New Roman"/>
          <w:sz w:val="18"/>
          <w:szCs w:val="18"/>
          <w:color w:val="auto"/>
        </w:rPr>
        <w:t>Broadridge Financial Solutions, Inc., our independent tabulating agent, will count the votes and act as the Inspector of Election (the “Inspector of Election”). We will publish the voting results in a Current Report on Form 8-K, which will be filed with the SEC within four business days of the Annual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Confidentiality of Voting</w:t>
      </w:r>
    </w:p>
    <w:p>
      <w:pPr>
        <w:sectPr>
          <w:pgSz w:w="11900" w:h="16838" w:orient="portrait"/>
          <w:cols w:equalWidth="0" w:num="1">
            <w:col w:w="11220"/>
          </w:cols>
          <w:pgMar w:left="320" w:top="9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type w:val="continuous"/>
        </w:sectPr>
      </w:pPr>
    </w:p>
    <w:bookmarkStart w:id="8" w:name="page9"/>
    <w:bookmarkEnd w:id="8"/>
    <w:p>
      <w:pPr>
        <w:ind w:firstLine="317"/>
        <w:spacing w:after="0" w:line="270" w:lineRule="auto"/>
        <w:rPr>
          <w:sz w:val="20"/>
          <w:szCs w:val="20"/>
          <w:color w:val="auto"/>
        </w:rPr>
      </w:pPr>
      <w:r>
        <w:rPr>
          <w:rFonts w:ascii="Times New Roman" w:cs="Times New Roman" w:eastAsia="Times New Roman" w:hAnsi="Times New Roman"/>
          <w:sz w:val="18"/>
          <w:szCs w:val="18"/>
          <w:color w:val="auto"/>
        </w:rPr>
        <w:t>We keep all proxies, ballots and voting tabulations confidential as a matter of practice. We permit only the Inspector of Election to examine these documents.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 of Directors</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of Directors recommends a vote:</w:t>
      </w:r>
    </w:p>
    <w:p>
      <w:pPr>
        <w:spacing w:after="0" w:line="187" w:lineRule="exact"/>
        <w:rPr>
          <w:sz w:val="20"/>
          <w:szCs w:val="20"/>
          <w:color w:val="auto"/>
        </w:rPr>
      </w:pPr>
    </w:p>
    <w:p>
      <w:pPr>
        <w:ind w:left="780" w:hanging="405"/>
        <w:spacing w:after="0"/>
        <w:tabs>
          <w:tab w:leader="none" w:pos="780" w:val="left"/>
        </w:tabs>
        <w:numPr>
          <w:ilvl w:val="0"/>
          <w:numId w:val="7"/>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nominees to our Board of Directors;</w:t>
      </w:r>
    </w:p>
    <w:p>
      <w:pPr>
        <w:spacing w:after="0" w:line="218" w:lineRule="exact"/>
        <w:rPr>
          <w:rFonts w:ascii="Times New Roman" w:cs="Times New Roman" w:eastAsia="Times New Roman" w:hAnsi="Times New Roman"/>
          <w:sz w:val="35"/>
          <w:szCs w:val="35"/>
          <w:color w:val="auto"/>
          <w:vertAlign w:val="superscript"/>
        </w:rPr>
      </w:pPr>
    </w:p>
    <w:p>
      <w:pPr>
        <w:ind w:left="780" w:right="60" w:hanging="405"/>
        <w:spacing w:after="0" w:line="182" w:lineRule="auto"/>
        <w:tabs>
          <w:tab w:leader="none" w:pos="78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approval of the appointment of Ernst &amp; Young LLP as independent registered public accounting firm for the Company for fiscal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 2024; and</w:t>
      </w:r>
    </w:p>
    <w:p>
      <w:pPr>
        <w:spacing w:after="0" w:line="259" w:lineRule="exact"/>
        <w:rPr>
          <w:rFonts w:ascii="Times New Roman" w:cs="Times New Roman" w:eastAsia="Times New Roman" w:hAnsi="Times New Roman"/>
          <w:sz w:val="30"/>
          <w:szCs w:val="30"/>
          <w:color w:val="auto"/>
          <w:vertAlign w:val="superscript"/>
        </w:rPr>
      </w:pPr>
    </w:p>
    <w:p>
      <w:pPr>
        <w:ind w:left="780" w:hanging="405"/>
        <w:spacing w:after="0"/>
        <w:tabs>
          <w:tab w:leader="none" w:pos="780" w:val="left"/>
        </w:tabs>
        <w:numPr>
          <w:ilvl w:val="0"/>
          <w:numId w:val="7"/>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“say-on-pay” proposal regarding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540"/>
          </w:cols>
          <w:pgMar w:left="320" w:top="966" w:right="10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98" w:lineRule="exact"/>
        <w:rPr>
          <w:sz w:val="20"/>
          <w:szCs w:val="20"/>
          <w:color w:val="auto"/>
        </w:rPr>
      </w:pPr>
    </w:p>
    <w:p>
      <w:pPr>
        <w:ind w:right="240" w:firstLine="317"/>
        <w:spacing w:after="0" w:line="270" w:lineRule="auto"/>
        <w:rPr>
          <w:sz w:val="20"/>
          <w:szCs w:val="20"/>
          <w:color w:val="auto"/>
        </w:rPr>
      </w:pPr>
      <w:r>
        <w:rPr>
          <w:rFonts w:ascii="Times New Roman" w:cs="Times New Roman" w:eastAsia="Times New Roman" w:hAnsi="Times New Roman"/>
          <w:sz w:val="18"/>
          <w:szCs w:val="18"/>
          <w:color w:val="auto"/>
        </w:rPr>
        <w:t>The first proposal is to elect three Class II directors to serve until the 2027 annual meeting of stockholders and until their respective successors are duly elected or appointed and qualified.</w:t>
      </w:r>
    </w:p>
    <w:p>
      <w:pPr>
        <w:spacing w:after="0" w:line="168" w:lineRule="exact"/>
        <w:rPr>
          <w:sz w:val="20"/>
          <w:szCs w:val="20"/>
          <w:color w:val="auto"/>
        </w:rPr>
      </w:pPr>
    </w:p>
    <w:p>
      <w:pPr>
        <w:ind w:right="40" w:firstLine="317"/>
        <w:spacing w:after="0" w:line="251" w:lineRule="auto"/>
        <w:rPr>
          <w:sz w:val="20"/>
          <w:szCs w:val="20"/>
          <w:color w:val="auto"/>
        </w:rPr>
      </w:pPr>
      <w:r>
        <w:rPr>
          <w:rFonts w:ascii="Times New Roman" w:cs="Times New Roman" w:eastAsia="Times New Roman" w:hAnsi="Times New Roman"/>
          <w:sz w:val="18"/>
          <w:szCs w:val="18"/>
          <w:color w:val="auto"/>
        </w:rPr>
        <w:t>Our Certificate of Incorporation authorizes the number of directors to be determined from time to time by resolution adopted by a majority of the Board of Directors then in office (subject to those certain exceptions in the Bylaws and the Shareholders’ Agreement, dated as of February 4, 2019, by and among the Company, Wesley R. Edens and Randal A. Nardone, as it may be amended (the “Shareholders’ Agreement”)), as described under “Certain Relationships and Related Persons.” The number of directors on the Board is currently fixed at eight. Our Board of Directors is divided into three classes. The members of each class of directors serve staggered three-year terms.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current Board of Directors is classified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 Expiration</w:t>
            </w:r>
          </w:p>
        </w:tc>
        <w:tc>
          <w:tcPr>
            <w:tcW w:w="474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r>
      <w:tr>
        <w:trPr>
          <w:trHeight w:val="24"/>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2026</w:t>
            </w:r>
          </w:p>
        </w:tc>
        <w:tc>
          <w:tcPr>
            <w:tcW w:w="180" w:type="dxa"/>
            <w:vAlign w:val="bottom"/>
            <w:shd w:val="clear" w:color="auto" w:fill="CCEEFF"/>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J. Mack</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24"/>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Katherine E. Wanner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24"/>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8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 Grain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24"/>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 William Griffin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r>
      <w:tr>
        <w:trPr>
          <w:trHeight w:val="224"/>
        </w:trPr>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W. Jay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2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III</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Desmond Iain Catterall</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24"/>
        </w:trPr>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29"/>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Randal A. Nardone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-1150620</wp:posOffset>
            </wp:positionV>
            <wp:extent cx="1174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-1150620</wp:posOffset>
            </wp:positionV>
            <wp:extent cx="117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-1150620</wp:posOffset>
            </wp:positionV>
            <wp:extent cx="117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Board of Directors has unanimously proposed David J. Grain, C. William Griffin and Timothy W. Jay as nominees for election as Class II directors.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 nominees currently serve on our Board of Directors.</w:t>
      </w:r>
    </w:p>
    <w:p>
      <w:pPr>
        <w:spacing w:after="0" w:line="198" w:lineRule="exact"/>
        <w:rPr>
          <w:sz w:val="20"/>
          <w:szCs w:val="20"/>
          <w:color w:val="auto"/>
        </w:rPr>
      </w:pPr>
    </w:p>
    <w:p>
      <w:pPr>
        <w:jc w:val="both"/>
        <w:ind w:right="40" w:firstLine="317"/>
        <w:spacing w:after="0" w:line="253" w:lineRule="auto"/>
        <w:rPr>
          <w:sz w:val="20"/>
          <w:szCs w:val="20"/>
          <w:color w:val="auto"/>
        </w:rPr>
      </w:pPr>
      <w:r>
        <w:rPr>
          <w:rFonts w:ascii="Times New Roman" w:cs="Times New Roman" w:eastAsia="Times New Roman" w:hAnsi="Times New Roman"/>
          <w:sz w:val="18"/>
          <w:szCs w:val="18"/>
          <w:color w:val="auto"/>
        </w:rPr>
        <w:t>If elected at the Annual Meeting, each of Mr. Grain, Mr. Griffin and Mr. Jay will hold office until the 2027 annual meeting of stockholders and until their successors are duly elected or appointed and qualified, subject to earlier death, resignation or removal. Unless otherwise instructed, we will vote all proxies we receive FOR Mr. Grain, Mr. Griffin and Mr. Jay. If any of the nominees become unable to stand for election as a director, an event that our Board of Directors does not presently expect, the proxy will be voted for a replacement nominee if one is designated by our Board of Directors.</w:t>
      </w:r>
    </w:p>
    <w:p>
      <w:pPr>
        <w:spacing w:after="0" w:line="182" w:lineRule="exact"/>
        <w:rPr>
          <w:sz w:val="20"/>
          <w:szCs w:val="20"/>
          <w:color w:val="auto"/>
        </w:rPr>
      </w:pPr>
    </w:p>
    <w:p>
      <w:pPr>
        <w:ind w:right="300" w:firstLine="317"/>
        <w:spacing w:after="0" w:line="27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 David J. Grain, C. William Griffin and Timothy W. Jay to serve as our Class II directors until the 2027 annual meeting of the stockholders and until their successors are duly elected or appointed and qualified.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Our Directors, Including the Director Nominees</w:t>
      </w:r>
    </w:p>
    <w:p>
      <w:pPr>
        <w:spacing w:after="0" w:line="218" w:lineRule="exact"/>
        <w:rPr>
          <w:sz w:val="20"/>
          <w:szCs w:val="20"/>
          <w:color w:val="auto"/>
        </w:rPr>
      </w:pPr>
    </w:p>
    <w:p>
      <w:pPr>
        <w:ind w:right="120" w:firstLine="352"/>
        <w:spacing w:after="0" w:line="270" w:lineRule="auto"/>
        <w:rPr>
          <w:sz w:val="20"/>
          <w:szCs w:val="20"/>
          <w:color w:val="auto"/>
        </w:rPr>
      </w:pPr>
      <w:r>
        <w:rPr>
          <w:rFonts w:ascii="Times New Roman" w:cs="Times New Roman" w:eastAsia="Times New Roman" w:hAnsi="Times New Roman"/>
          <w:sz w:val="18"/>
          <w:szCs w:val="18"/>
          <w:color w:val="auto"/>
        </w:rPr>
        <w:t>Set forth below is certain biographical information for our directors, including the director nominees, as well as the month and year each person was first elected as one of our directors.</w:t>
      </w:r>
    </w:p>
    <w:p>
      <w:pPr>
        <w:spacing w:after="0" w:line="168" w:lineRule="exact"/>
        <w:rPr>
          <w:sz w:val="20"/>
          <w:szCs w:val="20"/>
          <w:color w:val="auto"/>
        </w:rPr>
      </w:pPr>
    </w:p>
    <w:p>
      <w:pPr>
        <w:ind w:right="20" w:firstLine="352"/>
        <w:spacing w:after="0" w:line="257" w:lineRule="auto"/>
        <w:rPr>
          <w:sz w:val="20"/>
          <w:szCs w:val="20"/>
          <w:color w:val="auto"/>
        </w:rPr>
      </w:pPr>
      <w:r>
        <w:rPr>
          <w:rFonts w:ascii="Times New Roman" w:cs="Times New Roman" w:eastAsia="Times New Roman" w:hAnsi="Times New Roman"/>
          <w:sz w:val="18"/>
          <w:szCs w:val="18"/>
          <w:color w:val="auto"/>
        </w:rPr>
        <w:t>In evaluating director candidates, our Board of Directors assessed whether a candidate possessed the integrity, judgment, knowledge, experience, skill and expertise that are likely to enhance the Board of Directors’ ability to manage and direct our affairs and business, including, when applicable, to enhance the ability of committees of the Board of Directors to fulfill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Wesley R. Edens</w:t>
      </w:r>
    </w:p>
    <w:p>
      <w:pPr>
        <w:spacing w:after="0" w:line="206" w:lineRule="exact"/>
        <w:rPr>
          <w:sz w:val="20"/>
          <w:szCs w:val="20"/>
          <w:color w:val="auto"/>
        </w:rPr>
      </w:pPr>
    </w:p>
    <w:p>
      <w:pPr>
        <w:ind w:left="640"/>
        <w:spacing w:after="0" w:line="239" w:lineRule="auto"/>
        <w:rPr>
          <w:sz w:val="20"/>
          <w:szCs w:val="20"/>
          <w:color w:val="auto"/>
        </w:rPr>
      </w:pPr>
      <w:r>
        <w:rPr>
          <w:rFonts w:ascii="Times New Roman" w:cs="Times New Roman" w:eastAsia="Times New Roman" w:hAnsi="Times New Roman"/>
          <w:sz w:val="18"/>
          <w:szCs w:val="18"/>
          <w:color w:val="auto"/>
        </w:rPr>
        <w:t>Founder, Chief Executive Officer and Chairman since August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Desmond Iain Catterall</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Wesley Edens is our founder and has been our Chief Executive Officer and the Chairman of our Board of Directors since August 2018. He has been a member of the board of directors of Fortress Investment Group LLC (“Fortress”) since November 2006. Mr. Edens has been a member of the Management Committee of Fortress since co-founding Fortress in May 1998. Mr. Edens is responsible for oversight of Fortress’ private equity and publicly traded alternative investment businesses.</w:t>
      </w:r>
    </w:p>
    <w:p>
      <w:pPr>
        <w:spacing w:after="0" w:line="1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Mr. Edens previously served on the board of the following publicly traded companies and registered investment companies: Gannett Co., Inc. (formerly New Media Investment Group Inc., a publisher of print and online media) from November 2013 to May 2019; One Main Holdings, Inc. (a leading consumer finance company) from October 2013 to June 2018; FTAI Aviation Ltd. (formerly Fortress Transportation and Infrastructure Investors LLC, which owned and acquired high quality infrastructure and equipment essential for the transportation of goods and people globally) from May 2015 to May 2016; Intrawest Resorts Holdings Inc. (a resort and adventure company) from January 2014 to July 2017; Gaming and Leisure Properties, Inc. (an owner and operator in the gaming and racing industry) from December 2013 to October 2016; Nationstar Mortgage Holdings Inc. (a residential mortgage loan originator and servicer) from February 2012 to July 2016; Rithm Capital Corp. (formerly New Residential Investment Corp., a real estate investment trust primarily focused on investing in residential real estate related assets) from April 2013 to May 2016; Brookdale Senior Living Inc., from September 2005 to June 2014; GAGFAH S.A. from September 2006 to June 2014; PENN National Gaming Inc. from October 2008 to November 2013; Gate House Media Inc. from June 2005 to November 2013; Aircastle Ltd. from August 2006 to August 2012; Rail America Inc. from November 2006 to</w:t>
      </w:r>
    </w:p>
    <w:p>
      <w:pPr>
        <w:spacing w:after="0" w:line="9"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October 2012; Eurocastle Investment Ltd., from August 2003 to November 2011; Whistler Blackcomb Holdings Inc., from October 2010 to November 2012; Fortress Registered Investment Trust, from December 1999 until it deregistered with the SEC in September 2011; FRIT PINN LLC, from November 2001 until it deregistered with the SEC in September 2011; and New Senior Investment Group Inc. from October 2014 to January 2019.</w:t>
      </w:r>
    </w:p>
    <w:p>
      <w:pPr>
        <w:spacing w:after="0" w:line="17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 Holdings Inc. Mr. Edens received a Bachelor of Science in Finance from Oregon State University. Mr. Edens’ extensive credit, private equity finance and management expertise, extensive experience as an officer and director of public companies and his deep familiarity with our Company as our founder led the Board to conclude that Mr. Edens should serve as a director.</w:t>
      </w:r>
    </w:p>
    <w:p>
      <w:pPr>
        <w:spacing w:after="0" w:line="24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Iain Catterall became a member of our Board of Directors in January 2019. Mr. Catterall currently serves as a principal and Chief Executive Officer of Kirkham Capital, an investment business focused on seeding fund managers, a position he has held since founding the firm in January 2009. Prior to that, Mr. Catterall served as the head of equities at Rand Merchant Bank from January 2003 to December 2008 and was also a member of Rand Merchant Bank’s management board and investment committee. He was also a founding member of Thynk Capital, a private equity company, and, prior to that, a founding director of Cadiz Holdings Limited, a Johannesburg Stock Exchange listed financial services company.</w:t>
      </w:r>
    </w:p>
    <w:p>
      <w:pPr>
        <w:spacing w:after="0" w:line="200" w:lineRule="exact"/>
        <w:rPr>
          <w:sz w:val="20"/>
          <w:szCs w:val="20"/>
          <w:color w:val="auto"/>
        </w:rPr>
      </w:pPr>
    </w:p>
    <w:p>
      <w:pPr>
        <w:sectPr>
          <w:pgSz w:w="11900" w:h="16838" w:orient="portrait"/>
          <w:cols w:equalWidth="0" w:num="2">
            <w:col w:w="4020" w:space="300"/>
            <w:col w:w="6880"/>
          </w:cols>
          <w:pgMar w:left="340" w:top="791" w:right="35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791" w:right="35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David J. Grain  </w:t>
      </w:r>
      <w:r>
        <w:rPr>
          <w:sz w:val="20"/>
          <w:szCs w:val="20"/>
          <w:color w:val="auto"/>
        </w:rPr>
        <w:tab/>
      </w:r>
      <w:r>
        <w:rPr>
          <w:rFonts w:ascii="Times New Roman" w:cs="Times New Roman" w:eastAsia="Times New Roman" w:hAnsi="Times New Roman"/>
          <w:sz w:val="18"/>
          <w:szCs w:val="18"/>
          <w:color w:val="auto"/>
        </w:rPr>
        <w:t xml:space="preserve">           </w:t>
      </w:r>
    </w:p>
    <w:p>
      <w:pPr>
        <w:spacing w:after="0" w:line="206"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William Griffin</w:t>
      </w:r>
    </w:p>
    <w:p>
      <w:pPr>
        <w:spacing w:after="0" w:line="206"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 w:lineRule="exact"/>
        <w:rPr>
          <w:sz w:val="20"/>
          <w:szCs w:val="20"/>
          <w:color w:val="auto"/>
        </w:rPr>
      </w:pPr>
      <w:r>
        <w:rPr>
          <w:sz w:val="20"/>
          <w:szCs w:val="20"/>
          <w:color w:val="auto"/>
        </w:rPr>
        <w:br w:type="column"/>
      </w:r>
    </w:p>
    <w:p>
      <w:pPr>
        <w:ind w:right="180"/>
        <w:spacing w:after="0" w:line="257" w:lineRule="auto"/>
        <w:rPr>
          <w:sz w:val="20"/>
          <w:szCs w:val="20"/>
          <w:color w:val="auto"/>
        </w:rPr>
      </w:pPr>
      <w:r>
        <w:rPr>
          <w:rFonts w:ascii="Times New Roman" w:cs="Times New Roman" w:eastAsia="Times New Roman" w:hAnsi="Times New Roman"/>
          <w:sz w:val="18"/>
          <w:szCs w:val="18"/>
          <w:color w:val="auto"/>
        </w:rPr>
        <w:t>Mr. Catterall holds a Bachelor of Commerce degree from the University of Natal (Durban). We believe that Mr. Catterall’s extensive experience in emerging markets, capital markets and financial services brings valuable expertise to our Board of Directors.</w:t>
      </w:r>
    </w:p>
    <w:p>
      <w:pPr>
        <w:spacing w:after="0" w:line="2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David Grain became a member of our Board of Directors in January 2019. Mr. Grain currently serves as the Chief Executive Officer of Grain Management, LLC, a private equity firm focused on investments in the media and communications sectors, which he founded in 2007. Prior to founding Grain Management, LLC, from January 2003 to December 2005, Mr. Grain served as the President of Global Signal, Inc. (formerly NYSE: GSL), the largest communication tower owner/operator at the time and an affiliate of Fortress. Prior to joining Global Signal, Inc., from 2000 to 2003, he served as Senior Vice President at AT&amp;T Broadband in New England, a provider of digital video, high speed Internet and digital phone services to more than two million customers in the region. Prior to leading AT&amp;T Broadband’s New England operations, Mr. Grain spent more than a decade in the financial services industry, most recently at Morgan Stanley &amp; Co. LLC, a financial services company, in New York from 1992 to 2000 where he focused primarily on telecommunications, media and technology companies. Mr. Grain serves on the board of directors of The Southern Company (NYSE: SO), a gas and electric utility company, and of Dell Technologies (NYSE: DELL), a multinational technology company, trustee of the Brookings Institution, a member of the advisory council of the National Museum of African American History and Culture, and a member of the board of the Martha’s Vineyard Museum. He is also a Lifetime Member of the Council on Foreign Relations. Mr. Grain earned a Bachelor of Arts degree in English from the College of the Holy Cross and a Master of Business Administration degree from the Amos Tuck School at Dartmouth College. We believe that Mr. Grain’s experience with publicly traded companies as an executive and as a member of the board of directors brings valuable skills and leadership to our Board of Directors.</w:t>
      </w:r>
    </w:p>
    <w:p>
      <w:pPr>
        <w:spacing w:after="0" w:line="23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Bill Griffin became a member of our Board of Directors in January 2019. Mr. Griffin has more than 45 years of experience in financial services. Mr. Griffin currently serves as Executive Chairman of ServiceMac, a privately held financial services company specializing in mortgage sub-servicing. He previously served as Executive Vice President, Enterprise Strategy of ServiceLink, LLC, helping deliver end-to-end solutions to large financial institutions from January 2017 until mid-2019. Prior to that, Mr. Griffin served in various capacities within Fidelity National Financial, Inc. (“Fidelity”) and its affiliates, including as Executive Vice President of Black Knight Financial Services from January 2014 to December 2016 and Executive Vice President of Sales and Marketing for Lender Processing Services from November 2011 to December 2013.</w:t>
      </w:r>
    </w:p>
    <w:p>
      <w:pPr>
        <w:spacing w:after="0" w:line="35"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He also served as President and Chief Executive Officer from 2002 to 2003 when Lender Processing Services was acquired by Fidelity. Mr. Griffin holds a Bachelor of Business Administration degree from The University of Georgia. We believe that Mr. Griffin’s leadership and extensive financial experience bring significant value to our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60960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3600" w:space="720"/>
            <w:col w:w="6880"/>
          </w:cols>
          <w:pgMar w:left="340" w:top="101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Timothy W. Jay</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Director since March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J. Mack</w:t>
      </w:r>
    </w:p>
    <w:p>
      <w:pPr>
        <w:spacing w:after="0" w:line="206"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Randal A. Nardone</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Director since August 2018</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Timothy W. Jay became a member of our Board of Directors in March 2023. Mr. Jay has worked as Head of Government Bond Sales and Rates Trader at CRT Capital Group LLC, a financial services firm, from 2009 until his retirement in 2016. From 2005 to 2006, he served as Co-Managing Partner at Rockridge Advisors LLC, a multi-strategy hedge fund. Prior to 2005, he worked for Lehman Brothers as a Government Bond Trader, Head of Global Government Bond Business and a Liquid Markets Head Trader. During the same time, from 1996 to 2006, he served as both Chairman and Vice Chairman of the Treasury Borrowing Advisory Committee, which regularly advised the U.S. Treasury and the Federal Reserve Board on policy. He also served as a director of Intrawest Holdings from 2013 to 2017. We believe that Mr. Jay's significant knowledge of real estate and operational and financial development brings significant value to our Board of Directors.</w:t>
      </w:r>
    </w:p>
    <w:p>
      <w:pPr>
        <w:spacing w:after="0" w:line="24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John Mack became a member of our Board of Directors in January 2019. From March 2012 until his retirement in December 2014, Mr. Mack served as a Senior Advisor for Kohlberg, Kravis, Roberts &amp; Co., L.P. Prior to that, Mr. Mack served as Chairman of the Board of Morgan Stanley, a financial services company, from June 2005 to December 2011, and served as the Chief Executive Officer of Morgan Stanley from June 2005 until December 2009, during which time he oversaw the firm’s conversion into a bank holding company.</w:t>
      </w:r>
    </w:p>
    <w:p>
      <w:pPr>
        <w:spacing w:after="0" w:line="27"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Mr. Mack was Co-Chief Executive Officer of Credit Suisse Group from 2003 to 2004 and the President, Chief Executive Officer and a director of Credit Suisse First Boston from 2001 to</w:t>
      </w:r>
    </w:p>
    <w:p>
      <w:pPr>
        <w:ind w:right="20"/>
        <w:spacing w:after="0" w:line="245" w:lineRule="auto"/>
        <w:rPr>
          <w:sz w:val="20"/>
          <w:szCs w:val="20"/>
          <w:color w:val="auto"/>
        </w:rPr>
      </w:pPr>
      <w:r>
        <w:rPr>
          <w:rFonts w:ascii="Times New Roman" w:cs="Times New Roman" w:eastAsia="Times New Roman" w:hAnsi="Times New Roman"/>
          <w:sz w:val="18"/>
          <w:szCs w:val="18"/>
          <w:color w:val="auto"/>
        </w:rPr>
        <w:t>2004. He became the President, Chief Operating Officer and a director of Morgan Stanley Dean Witter &amp; Co. in May 1997 and served in that position until 2001. Mr. Mack joined Morgan Stanley in May 1972 in the bond department and served as head of the Worldwide Taxable Fixed Income Division from 1985 to 1992, became a member of the board of directors in 1987, became Chairman of the Operating Committee in March 1992 and became President in June 1993. Mr. Mack is a senior advisor to Morgan Stanley &amp; Co. LLC. Mr. Mack served on the board of directors of LendingClub Corporation from December 2014 to June 2019 and of Glencore plc from June 2013 to April 2021. Mr. Mack holds a Bachelor of Arts degree in History from Duke University. Mr. Mack was chosen to serve on our Board of Directors because of his extensive experience advising and managing banking and financial services companies. We believe that Mr. Mack’s strong business leadership experience brings important insight and skills to our Board of Directors.</w:t>
      </w:r>
    </w:p>
    <w:p>
      <w:pPr>
        <w:spacing w:after="0" w:line="24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Randal Nardone has been a member of our Board of Directors since August 2018. He has also been a member of the board of directors of Fortress since November 2006. Mr. Nardone served as Fortress’s Chief Executive Officer from July 2013 through December 2017, after serving as its Interim Chief Executive Officer from December 2011 to July 2013. From June 2002 to September 2016, Mr. Nardone also served as Secretary for Drive Shack Inc., an owner and operator of golf-related leisure and entertainment businesses. Mr. Nardone previously served as a director of Eurocastle Investment Limited from August 2006 to August 2022. Mr. Nardone also previously served on the board of directors of Alea Group Holdings (Bermuda) Ltd. from July 2007 to September 2014; GAGFAH S.A. from September 2006 to June 2014; and Brookdale Senior Living, Inc. from January 2011 to June 2014. Mr. Nardone was previously a managing director of UBS from May 1997 to May 1998. Prior to joining UBS in 1997, Mr. Nardone was a principal of BlackRock Financial Management, Inc.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60960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3600" w:space="720"/>
            <w:col w:w="6880"/>
          </w:cols>
          <w:pgMar w:left="340" w:top="791" w:right="35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Katherine E. Wanner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Determination of Director Independence</w:t>
      </w:r>
    </w:p>
    <w:p>
      <w:pPr>
        <w:spacing w:after="0" w:line="20" w:lineRule="exact"/>
        <w:rPr>
          <w:sz w:val="20"/>
          <w:szCs w:val="20"/>
          <w:color w:val="auto"/>
        </w:rPr>
      </w:pPr>
      <w:r>
        <w:rPr>
          <w:sz w:val="20"/>
          <w:szCs w:val="20"/>
          <w:color w:val="auto"/>
        </w:rPr>
        <w:br w:type="column"/>
      </w:r>
    </w:p>
    <w:p>
      <w:pPr>
        <w:ind w:right="160"/>
        <w:spacing w:after="0" w:line="250" w:lineRule="auto"/>
        <w:rPr>
          <w:sz w:val="20"/>
          <w:szCs w:val="20"/>
          <w:color w:val="auto"/>
        </w:rPr>
      </w:pPr>
      <w:r>
        <w:rPr>
          <w:rFonts w:ascii="Times New Roman" w:cs="Times New Roman" w:eastAsia="Times New Roman" w:hAnsi="Times New Roman"/>
          <w:sz w:val="18"/>
          <w:szCs w:val="18"/>
          <w:color w:val="auto"/>
        </w:rPr>
        <w:t>Prior to joining BlackRock Financial Management, Inc., Mr. Nardone was a partner and a member of the executive committee at the law firm of Thacher Proffitt &amp; Wood. Mr. Nardone received a Bachelor of Arts in English and Biology from the University of Connecticut and a Juris Doctor from Boston University School of Law. We believe that Mr. Nardone’s leadership, management experience and experience with corporate and securities law bring valuable experience to our Board of Directors.</w:t>
      </w:r>
    </w:p>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Katherine Wanner became a member of our Board of Directors in January 2019. From 1993 to 1997, Ms. Wanner served in various roles within the finance, communications and business development groups at Brinson Partners Inc. and UBS Global Asset Management, where she was responsible for the revenue cycle, statistical analysis and market research, and later joined the private equity group in 1998. In 2001, Ms. Wanner was a founding Partner at Adams Street Partners, LLC, a global private equity firm with over $51 billion in assets under its management and offices in 11 locations around the world, and the successor firm to Brinson Partners Inc. and UBS Global Asset Management. From 2007 until her retirement in 2015, Ms. Wanner managed Adams Street Partners’ US Primary investment team and served on the firm’s Global Primary Investment Committee, which was responsible for sourcing, analyzing and monitoring investments in private equity partnerships, implementing strategy and approving all primary fund investments. Post Ms. Wanner’s retirement from Adams Street Partners in 2015, Ms. Wanner has served as an Operating Partner at Abundant Venture Partners from 2016 to April 2018. From April 2018 and to December 2019, Ms. Wanner served as an Advisor at Abundant Venture Partners. Ms. Wanner is currently a founding partner at Fairway Capital Management, an institutional venture capital investment manager and has served in that role since founding the Company in April 2020. Since 1998, Ms. Wanner has served on many private equity and venture capital advisory boards and completed many primary investments across several sectors, and was responsible for managing relationships with several of the firm’s United States based venture, energy focused and special situation managers. Additionally, from 1989 to 1993, Ms. Wanner gained experience in statistical modeling, reporting, tracking and analysis as a Senior Financial Analyst at Frontier Risk Management, Range Wise, Inc. and Morgan Stanley &amp; Co. LLC. Ms. Wanner received a Bachelor of Science in Finance from Binghamton University and a Master of Business Administration from the Kellogg School of Management at Northwestern University. We believe Ms. Wanner’s extensive financial experience in business investments and asset management brings significant value to our Board of Directors.</w:t>
      </w:r>
    </w:p>
    <w:p>
      <w:pPr>
        <w:spacing w:after="0" w:line="901" w:lineRule="exact"/>
        <w:rPr>
          <w:sz w:val="20"/>
          <w:szCs w:val="20"/>
          <w:color w:val="auto"/>
        </w:rPr>
      </w:pPr>
    </w:p>
    <w:p>
      <w:pPr>
        <w:sectPr>
          <w:pgSz w:w="11900" w:h="16838" w:orient="portrait"/>
          <w:cols w:equalWidth="0" w:num="2">
            <w:col w:w="3620" w:space="720"/>
            <w:col w:w="6860"/>
          </w:cols>
          <w:pgMar w:left="320" w:top="1019" w:right="379" w:bottom="1440" w:gutter="0" w:footer="0" w:header="0"/>
        </w:sectPr>
      </w:pPr>
    </w:p>
    <w:p>
      <w:pPr>
        <w:spacing w:after="0" w:line="29" w:lineRule="exact"/>
        <w:rPr>
          <w:sz w:val="20"/>
          <w:szCs w:val="20"/>
          <w:color w:val="auto"/>
        </w:rPr>
      </w:pPr>
    </w:p>
    <w:p>
      <w:pPr>
        <w:ind w:right="160" w:firstLine="317"/>
        <w:spacing w:after="0" w:line="270" w:lineRule="auto"/>
        <w:rPr>
          <w:sz w:val="20"/>
          <w:szCs w:val="20"/>
          <w:color w:val="auto"/>
        </w:rPr>
      </w:pPr>
      <w:r>
        <w:rPr>
          <w:rFonts w:ascii="Times New Roman" w:cs="Times New Roman" w:eastAsia="Times New Roman" w:hAnsi="Times New Roman"/>
          <w:sz w:val="18"/>
          <w:szCs w:val="18"/>
          <w:color w:val="auto"/>
        </w:rPr>
        <w:t>If required under the listing standards of the Nasdaq Stock Market LLC (“Nasdaq”), the Board of Directors shall be comprised of a majority of directors who qualify as independent directors (“Independent Directors”) under the listing standards of Nasdaq.</w:t>
      </w:r>
    </w:p>
    <w:p>
      <w:pPr>
        <w:spacing w:after="0" w:line="168" w:lineRule="exact"/>
        <w:rPr>
          <w:sz w:val="20"/>
          <w:szCs w:val="20"/>
          <w:color w:val="auto"/>
        </w:rPr>
      </w:pPr>
    </w:p>
    <w:p>
      <w:pPr>
        <w:ind w:right="240" w:firstLine="317"/>
        <w:spacing w:after="0" w:line="248" w:lineRule="auto"/>
        <w:rPr>
          <w:sz w:val="20"/>
          <w:szCs w:val="20"/>
          <w:color w:val="auto"/>
        </w:rPr>
      </w:pPr>
      <w:r>
        <w:rPr>
          <w:rFonts w:ascii="Times New Roman" w:cs="Times New Roman" w:eastAsia="Times New Roman" w:hAnsi="Times New Roman"/>
          <w:sz w:val="18"/>
          <w:szCs w:val="18"/>
          <w:color w:val="auto"/>
        </w:rPr>
        <w:t>Pursuant to the Company’s Corporate Governance Guidelines, the Board of Directors must be comprised of a majority of directors who qualify as Independent Directors. The Board of Directors review annually the relationships that each director has with the Company (either directly or as a partner, shareholder or officer of an organization that has a relationship with the Company). Following such annual review, only those directors who the Board of Directors affirmatively determines satisfy the applicable independence requirements will be considered Independent Directors. The Board of Directors may adopt and disclose categorical standards to assist it in determining director independence. In the event that a director becomes aware of any change in circumstances that may result in such director no longer being considered independent under the listing standards of Nasdaq or under applicable law, the director must promptly inform the Chair of the Nominating and Corporate Governance Committee if such committee is established. Our Board of Directors determined that Messrs. Griffin, Mack, Grain, Catterall, Jay and Ms. Wanner qualify 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4" w:name="page15"/>
    <w:bookmarkEnd w:id="14"/>
    <w:p>
      <w:pPr>
        <w:ind w:right="80"/>
        <w:spacing w:after="0" w:line="270" w:lineRule="auto"/>
        <w:rPr>
          <w:sz w:val="20"/>
          <w:szCs w:val="20"/>
          <w:color w:val="auto"/>
        </w:rPr>
      </w:pPr>
      <w:r>
        <w:rPr>
          <w:rFonts w:ascii="Times New Roman" w:cs="Times New Roman" w:eastAsia="Times New Roman" w:hAnsi="Times New Roman"/>
          <w:sz w:val="18"/>
          <w:szCs w:val="18"/>
          <w:color w:val="auto"/>
        </w:rPr>
        <w:t>Independent Directors. Our Board of Directors also previously determined that Matthew Wilkinson, who served as a director until the 2023 annual meeting of stockholders, qualified as an Independent Director.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on Corporate Governance</w:t>
      </w:r>
    </w:p>
    <w:p>
      <w:pPr>
        <w:spacing w:after="0" w:line="218" w:lineRule="exact"/>
        <w:rPr>
          <w:sz w:val="20"/>
          <w:szCs w:val="20"/>
          <w:color w:val="auto"/>
        </w:rPr>
      </w:pPr>
    </w:p>
    <w:p>
      <w:pPr>
        <w:ind w:firstLine="317"/>
        <w:spacing w:after="0" w:line="248" w:lineRule="auto"/>
        <w:rPr>
          <w:sz w:val="20"/>
          <w:szCs w:val="20"/>
          <w:color w:val="auto"/>
        </w:rPr>
      </w:pPr>
      <w:r>
        <w:rPr>
          <w:rFonts w:ascii="Times New Roman" w:cs="Times New Roman" w:eastAsia="Times New Roman" w:hAnsi="Times New Roman"/>
          <w:sz w:val="18"/>
          <w:szCs w:val="18"/>
          <w:color w:val="auto"/>
        </w:rPr>
        <w:t>We emphasize the importance of professional business conduct and ethics through our corporate governance initiatives. Our Board of Directors consists of a majority of independent directors under the corporate governance standards of Nasdaq. We have adopted Corporate Governance Guidelines and a Code of Business Conduct and Ethics (the “Code of Conduct”), which delineate our standards for our employees, officers and directors. We make available, free of charge through a link on our website, our annual reports on Form 10-K, quarterly reports on Form 10-Q, current reports on Form 8-K, and amendments to such reports, if any, as filed with the SEC as soon as reasonably practicable after such filing. Our website also contains our Code of Conduct, Corporate Governance Guidelines, and the charters of the Audit Committee and Compensation Committee of our Board of Directors. Our website address is www.newfortressenergy.com. You may also obtain these documents by writing the Company at 111 W. 19th Street, 8th Floor, New York, New York 10011, Attention: Investor Relations.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18" w:lineRule="exact"/>
        <w:rPr>
          <w:sz w:val="20"/>
          <w:szCs w:val="20"/>
          <w:color w:val="auto"/>
        </w:rPr>
      </w:pPr>
    </w:p>
    <w:p>
      <w:pPr>
        <w:ind w:right="220" w:firstLine="317"/>
        <w:spacing w:after="0" w:line="253" w:lineRule="auto"/>
        <w:rPr>
          <w:sz w:val="20"/>
          <w:szCs w:val="20"/>
          <w:color w:val="auto"/>
        </w:rPr>
      </w:pPr>
      <w:r>
        <w:rPr>
          <w:rFonts w:ascii="Times New Roman" w:cs="Times New Roman" w:eastAsia="Times New Roman" w:hAnsi="Times New Roman"/>
          <w:sz w:val="18"/>
          <w:szCs w:val="18"/>
          <w:color w:val="auto"/>
        </w:rPr>
        <w:t>As part of our strategy, we are focused on supporting the transition to a low-carbon economy and aim to provide cleaner, sustainable energy solutions around the world by leveraging our expertise and business and financing relationships, as well as our access to capital. We highlighted certain of our current sustainability solutions and investments in our Form 10-K for the year ended December 31, 2023, and we expect to continue to explore additional sustainability-related opportunities.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18" w:lineRule="exact"/>
        <w:rPr>
          <w:sz w:val="20"/>
          <w:szCs w:val="20"/>
          <w:color w:val="auto"/>
        </w:rPr>
      </w:pPr>
    </w:p>
    <w:p>
      <w:pPr>
        <w:ind w:right="240" w:firstLine="317"/>
        <w:spacing w:after="0" w:line="257" w:lineRule="auto"/>
        <w:rPr>
          <w:sz w:val="20"/>
          <w:szCs w:val="20"/>
          <w:color w:val="auto"/>
        </w:rPr>
      </w:pPr>
      <w:r>
        <w:rPr>
          <w:rFonts w:ascii="Times New Roman" w:cs="Times New Roman" w:eastAsia="Times New Roman" w:hAnsi="Times New Roman"/>
          <w:sz w:val="18"/>
          <w:szCs w:val="18"/>
          <w:color w:val="auto"/>
        </w:rPr>
        <w:t>As mentioned above, the Board of Directors has adopted the Code of Conduct, which is available on our website, that applies to all of our officers, directors and employees, including our principal executive officer and principal financial officer. The purpose of the Code of Conduct is to promote, among other things:</w:t>
      </w:r>
    </w:p>
    <w:p>
      <w:pPr>
        <w:spacing w:after="0" w:line="180" w:lineRule="exact"/>
        <w:rPr>
          <w:sz w:val="20"/>
          <w:szCs w:val="20"/>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accurate financial records and adherence to applicable accounting rules and policies;</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 and</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of Conduct and the reporting of violations thereof.</w:t>
      </w:r>
    </w:p>
    <w:p>
      <w:pPr>
        <w:spacing w:after="0" w:line="216" w:lineRule="exact"/>
        <w:rPr>
          <w:sz w:val="20"/>
          <w:szCs w:val="20"/>
          <w:color w:val="auto"/>
        </w:rPr>
      </w:pPr>
    </w:p>
    <w:p>
      <w:pPr>
        <w:ind w:right="400" w:firstLine="317"/>
        <w:spacing w:after="0" w:line="270" w:lineRule="auto"/>
        <w:rPr>
          <w:sz w:val="20"/>
          <w:szCs w:val="20"/>
          <w:color w:val="auto"/>
        </w:rPr>
      </w:pPr>
      <w:r>
        <w:rPr>
          <w:rFonts w:ascii="Times New Roman" w:cs="Times New Roman" w:eastAsia="Times New Roman" w:hAnsi="Times New Roman"/>
          <w:sz w:val="18"/>
          <w:szCs w:val="18"/>
          <w:color w:val="auto"/>
        </w:rPr>
        <w:t>Our Company intends to disclose any changes in or waivers from our Code of Conduct, as required by applicable U.S. federal securities laws and the corporate governance rules of Nasdaq, by posting such information on our website at the address and location specified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18" w:lineRule="exact"/>
        <w:rPr>
          <w:sz w:val="20"/>
          <w:szCs w:val="20"/>
          <w:color w:val="auto"/>
        </w:rPr>
      </w:pPr>
    </w:p>
    <w:p>
      <w:pPr>
        <w:ind w:right="80" w:firstLine="317"/>
        <w:spacing w:after="0" w:line="249" w:lineRule="auto"/>
        <w:rPr>
          <w:sz w:val="20"/>
          <w:szCs w:val="20"/>
          <w:color w:val="auto"/>
        </w:rPr>
      </w:pPr>
      <w:r>
        <w:rPr>
          <w:rFonts w:ascii="Times New Roman" w:cs="Times New Roman" w:eastAsia="Times New Roman" w:hAnsi="Times New Roman"/>
          <w:sz w:val="18"/>
          <w:szCs w:val="18"/>
          <w:color w:val="auto"/>
        </w:rPr>
        <w:t>The Company does not have a policy to separate the roles of Chief Executive Officer and Chairman of the Board of Directors, as the Board of Directors believes it is in the best interests of the Company to make that determination based on the position and direction of the Company and the membership of the Board. Mr. Edens has served as both the Chairman of our Board of Directors and Chief Executive Officer since August 2018. The Board of Directors believes that having Mr. Edens serve as both Chief Executive Officer and Chairman is an appropriate, effective and efficient leadership structure, and has determined that combining the Chief Executive Officer and Chairman roles provides for clear accountability and leadership responsibility, and facilitates effective decision-making and a cohesive corporate strategy. The Board of Directors periodically reviews its leadership structure. The Company does not have a lead independent director; however, an independent director may preside over any executive sessions.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a Controlled Company</w:t>
      </w:r>
    </w:p>
    <w:p>
      <w:pPr>
        <w:spacing w:after="0" w:line="218" w:lineRule="exact"/>
        <w:rPr>
          <w:sz w:val="20"/>
          <w:szCs w:val="20"/>
          <w:color w:val="auto"/>
        </w:rPr>
      </w:pPr>
    </w:p>
    <w:p>
      <w:pPr>
        <w:ind w:right="80" w:firstLine="317"/>
        <w:spacing w:after="0" w:line="253" w:lineRule="auto"/>
        <w:rPr>
          <w:sz w:val="20"/>
          <w:szCs w:val="20"/>
          <w:color w:val="auto"/>
        </w:rPr>
      </w:pPr>
      <w:r>
        <w:rPr>
          <w:rFonts w:ascii="Times New Roman" w:cs="Times New Roman" w:eastAsia="Times New Roman" w:hAnsi="Times New Roman"/>
          <w:sz w:val="18"/>
          <w:szCs w:val="18"/>
          <w:color w:val="auto"/>
        </w:rPr>
        <w:t>Because affiliates of certain entities controlled by Messrs. Edens, Nardone and affiliates of Fortress Investment Group LLC, together with affiliates of Energy Transition Holdings LLC, collectively hold more than 50% of the voting power of our stock, we are a controlled company under the Nasdaq corporate governance standards. A controlled company does not need its board of directors to have a majority of independent directors or to form independent compensation and nominating and corporate governance committees.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15" w:name="page16"/>
    <w:bookmarkEnd w:id="15"/>
    <w:p>
      <w:pPr>
        <w:ind w:right="220"/>
        <w:spacing w:after="0" w:line="270" w:lineRule="auto"/>
        <w:rPr>
          <w:sz w:val="20"/>
          <w:szCs w:val="20"/>
          <w:color w:val="auto"/>
        </w:rPr>
      </w:pPr>
      <w:r>
        <w:rPr>
          <w:rFonts w:ascii="Times New Roman" w:cs="Times New Roman" w:eastAsia="Times New Roman" w:hAnsi="Times New Roman"/>
          <w:sz w:val="18"/>
          <w:szCs w:val="18"/>
          <w:color w:val="auto"/>
        </w:rPr>
        <w:t>As a controlled company, we remain subject to the rules of the Sarbanes-Oxley Act and Nasdaq that require us to have an audit committee with at least three members and composed entirely of independent directors.</w:t>
      </w:r>
    </w:p>
    <w:p>
      <w:pPr>
        <w:spacing w:after="0" w:line="168" w:lineRule="exact"/>
        <w:rPr>
          <w:sz w:val="20"/>
          <w:szCs w:val="20"/>
          <w:color w:val="auto"/>
        </w:rPr>
      </w:pPr>
    </w:p>
    <w:p>
      <w:pPr>
        <w:ind w:right="100" w:firstLine="317"/>
        <w:spacing w:after="0" w:line="270" w:lineRule="auto"/>
        <w:rPr>
          <w:sz w:val="20"/>
          <w:szCs w:val="20"/>
          <w:color w:val="auto"/>
        </w:rPr>
      </w:pPr>
      <w:r>
        <w:rPr>
          <w:rFonts w:ascii="Times New Roman" w:cs="Times New Roman" w:eastAsia="Times New Roman" w:hAnsi="Times New Roman"/>
          <w:sz w:val="18"/>
          <w:szCs w:val="18"/>
          <w:color w:val="auto"/>
        </w:rPr>
        <w:t>If at any time we cease to be a controlled company, we will take all action necessary to comply with applicable requirements, including Nasdaq corporate governance standards.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and Its Committees</w:t>
      </w:r>
    </w:p>
    <w:p>
      <w:pPr>
        <w:spacing w:after="0" w:line="218" w:lineRule="exact"/>
        <w:rPr>
          <w:sz w:val="20"/>
          <w:szCs w:val="20"/>
          <w:color w:val="auto"/>
        </w:rPr>
      </w:pPr>
    </w:p>
    <w:p>
      <w:pPr>
        <w:ind w:right="60" w:firstLine="317"/>
        <w:spacing w:after="0" w:line="263" w:lineRule="auto"/>
        <w:rPr>
          <w:sz w:val="20"/>
          <w:szCs w:val="20"/>
          <w:color w:val="auto"/>
        </w:rPr>
      </w:pPr>
      <w:r>
        <w:rPr>
          <w:rFonts w:ascii="Times New Roman" w:cs="Times New Roman" w:eastAsia="Times New Roman" w:hAnsi="Times New Roman"/>
          <w:sz w:val="17"/>
          <w:szCs w:val="17"/>
          <w:color w:val="auto"/>
        </w:rPr>
        <w:t>Our Certificate of Incorporation provides that the number of directors that constitute the whole Board of Directors shall be determined from time to time by resolution adopted by a majority of the Board of Directors then in office (subject to those certain exceptions in the Bylaws and the Shareholders’ Agreement). Our Board of Directors currently consists of eight directors. Our Board of Directors is divided into three classes of directors, with each class as equal in number as possible, serving staggered three-year terms. Class I, Class II and Class III directors will serve until our annual meeting in 2026, 2024 and 2025, respectively. Mr. Mack and Ms. Wanner are assigned to Class I; Messrs. Grain, Griffin and Jay are assigned to Class II; and Messrs. Edens, Nardone and Catterall are assigned to Class III. At each succeeding annual meeting, directors will be elected to succeed the class of directors whose terms have expired. This classification of the Board of Directors could have the effect of increasing the length of time necessary to change the composition of a majority of the Board of Directors. In general, at least two annual meetings will be necessary to effect a change in a majority of the members of the Board of Directors. All officers serve at the discretion of the Chief Executive Officer or the Board of Directors. Neither our Certificate of Incorporation nor our Bylaws provide for cumulative voting in the election of directors, which means that the holders of a majority of our issued and outstanding shares of Common Stock may elect all of the directors standing for election, and the holders of the remaining shares of Common Stock will not be able to elect any directors.</w:t>
      </w:r>
    </w:p>
    <w:p>
      <w:pPr>
        <w:spacing w:after="0" w:line="179" w:lineRule="exact"/>
        <w:rPr>
          <w:sz w:val="20"/>
          <w:szCs w:val="20"/>
          <w:color w:val="auto"/>
        </w:rPr>
      </w:pPr>
    </w:p>
    <w:p>
      <w:pPr>
        <w:ind w:right="140" w:firstLine="317"/>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2023, our Board of Directors held six meetings. No director attended fewer than 75 percent of all meetings of our Board of Directors and the committees on which such director served. The Board of Directors has three standing committees: the Audit Committee, the Compensation Committee and the Regulatory Compliance Committee. During 2023, the Audit Committee met five times, the Compensation Committee met one time and the Regulatory Compliance Committee met four times. Although director attendance at the Company’s annual meeting each year is encouraged, the Company does not have an attendance policy. None of the persons serving then as our directors attended our annual meeting of stockholders in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0" w:lineRule="exact"/>
        <w:rPr>
          <w:sz w:val="20"/>
          <w:szCs w:val="20"/>
          <w:color w:val="auto"/>
        </w:rPr>
      </w:pPr>
    </w:p>
    <w:p>
      <w:pPr>
        <w:ind w:right="80" w:firstLine="317"/>
        <w:spacing w:after="0" w:line="248" w:lineRule="auto"/>
        <w:rPr>
          <w:sz w:val="20"/>
          <w:szCs w:val="20"/>
          <w:color w:val="auto"/>
        </w:rPr>
      </w:pPr>
      <w:r>
        <w:rPr>
          <w:rFonts w:ascii="Times New Roman" w:cs="Times New Roman" w:eastAsia="Times New Roman" w:hAnsi="Times New Roman"/>
          <w:sz w:val="18"/>
          <w:szCs w:val="18"/>
          <w:color w:val="auto"/>
        </w:rPr>
        <w:t>We are required to have an audit committee of at least three members, and all of its members are required to meet the independence and experience standards established by Nasdaq and the Exchange Act. We have established an audit committee compliant with Nasdaq and SEC rules, whereby Ms. Wanner and Messrs. Grain and Griffin serve as members of such committee with Ms. Wanner serving as the chairperson. SEC rules also require that a public company disclose whether or not its audit committee has at least one “audit committee financial expert” as a member. Ms. Wanner satisfies the definition of “audit committee financial expert.” As required by the SEC rules and Nasdaq listing standards, our Board of Directors have affirmatively determined that each of Messrs. Grain and Griffin and Ms. Wanner meet the definition of “independent director.” We adopted an audit committee charter defining the committee’s primary duties in a manner consistent with the rules of the SEC and Nasdaq standards. You can find a copy of our audit committee charter on the Investor Relations section of the NFE website (www.newfortressenergy.com).</w:t>
      </w:r>
    </w:p>
    <w:p>
      <w:pPr>
        <w:spacing w:after="0" w:line="190" w:lineRule="exact"/>
        <w:rPr>
          <w:sz w:val="20"/>
          <w:szCs w:val="20"/>
          <w:color w:val="auto"/>
        </w:rPr>
      </w:pPr>
    </w:p>
    <w:p>
      <w:pPr>
        <w:ind w:firstLine="317"/>
        <w:spacing w:after="0" w:line="266" w:lineRule="auto"/>
        <w:rPr>
          <w:sz w:val="20"/>
          <w:szCs w:val="20"/>
          <w:color w:val="auto"/>
        </w:rPr>
      </w:pPr>
      <w:r>
        <w:rPr>
          <w:rFonts w:ascii="Times New Roman" w:cs="Times New Roman" w:eastAsia="Times New Roman" w:hAnsi="Times New Roman"/>
          <w:sz w:val="17"/>
          <w:szCs w:val="17"/>
          <w:color w:val="auto"/>
        </w:rPr>
        <w:t>The audit committee assists the Board of Directors in its oversight of the integrity of our financial statements and our compliance with legal and regulatory requirements and company policies and controls. The audit committee has the sole authority to: (1) retain and terminate our independent registered public accounting firm, (2) approve all auditing services and related fees and the terms thereof performed by our independent registered public accounting firm, and</w:t>
      </w:r>
    </w:p>
    <w:p>
      <w:pPr>
        <w:spacing w:after="0" w:line="1" w:lineRule="exact"/>
        <w:rPr>
          <w:sz w:val="20"/>
          <w:szCs w:val="20"/>
          <w:color w:val="auto"/>
        </w:rPr>
      </w:pPr>
    </w:p>
    <w:p>
      <w:pPr>
        <w:ind w:right="460" w:firstLine="6"/>
        <w:spacing w:after="0" w:line="247"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Oversight</w:t>
      </w:r>
    </w:p>
    <w:p>
      <w:pPr>
        <w:spacing w:after="0" w:line="220" w:lineRule="exact"/>
        <w:rPr>
          <w:sz w:val="20"/>
          <w:szCs w:val="20"/>
          <w:color w:val="auto"/>
        </w:rPr>
      </w:pPr>
    </w:p>
    <w:p>
      <w:pPr>
        <w:ind w:right="120" w:firstLine="317"/>
        <w:spacing w:after="0" w:line="251" w:lineRule="auto"/>
        <w:rPr>
          <w:sz w:val="20"/>
          <w:szCs w:val="20"/>
          <w:color w:val="auto"/>
        </w:rPr>
      </w:pPr>
      <w:r>
        <w:rPr>
          <w:rFonts w:ascii="Times New Roman" w:cs="Times New Roman" w:eastAsia="Times New Roman" w:hAnsi="Times New Roman"/>
          <w:sz w:val="18"/>
          <w:szCs w:val="18"/>
          <w:color w:val="auto"/>
        </w:rPr>
        <w:t>The Company’s risk management is overseen by the Chief Executive Officer, who receives reports directly from employees and individuals who perform services for the Company. Material risks are identified and prioritized by management, and material risks are periodically discussed with the Board of Directors. The Board of Directors regularly reviews information regarding the Company’s credit, liquidity and operations, including risks and contingencies associated with each area. In addition to the formal compliance program, the Board of Directors encourages management to promote a corporate culture that incorporates risk management into the Company’s corporate strategy and day-to-day business operations.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0" w:lineRule="exact"/>
        <w:rPr>
          <w:sz w:val="20"/>
          <w:szCs w:val="20"/>
          <w:color w:val="auto"/>
        </w:rPr>
      </w:pPr>
    </w:p>
    <w:p>
      <w:pPr>
        <w:ind w:right="20" w:firstLine="317"/>
        <w:spacing w:after="0" w:line="248" w:lineRule="auto"/>
        <w:rPr>
          <w:sz w:val="20"/>
          <w:szCs w:val="20"/>
          <w:color w:val="auto"/>
        </w:rPr>
      </w:pPr>
      <w:r>
        <w:rPr>
          <w:rFonts w:ascii="Times New Roman" w:cs="Times New Roman" w:eastAsia="Times New Roman" w:hAnsi="Times New Roman"/>
          <w:sz w:val="18"/>
          <w:szCs w:val="18"/>
          <w:color w:val="auto"/>
        </w:rPr>
        <w:t>Because we are a “controlled company” within the meaning of Nasdaq corporate governance standards, we are not required to have a compensation committee. However, we established a compensation committee to ease the administrative burden on the full Board of Directors. So long as we continue to be a controlled company, our compensation committee is not required to be comprised solely of independent directors. As such, Messrs. Edens and Nardone serve as the members of our compensation committee. Our compensation committee has established and directs our compensation program for our officers and employees, including administration of our incentive compensation and benefit plans, to the full extent permitted pursuant to those plans and arrangements. However, the Board of Directors will retain authority to grant and amend awards under our omnibus incentive plan that are (i) subject to Section 16 of the Exchange Act and (ii) granted to our officers who are subject to the reporting obligations of Section 16 of the Exchange Act and members of the Board of Directors. We adopted a compensation committee charter defining the committee’s primary duties and authority. You can find a copy of our compensation committee charter on the Investor Relations section of the NFE website (www.newfortressenergy.com).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0" w:lineRule="exact"/>
        <w:rPr>
          <w:sz w:val="20"/>
          <w:szCs w:val="20"/>
          <w:color w:val="auto"/>
        </w:rPr>
      </w:pPr>
    </w:p>
    <w:p>
      <w:pPr>
        <w:ind w:right="100" w:firstLine="317"/>
        <w:spacing w:after="0" w:line="257" w:lineRule="auto"/>
        <w:rPr>
          <w:sz w:val="20"/>
          <w:szCs w:val="20"/>
          <w:color w:val="auto"/>
        </w:rPr>
      </w:pPr>
      <w:r>
        <w:rPr>
          <w:rFonts w:ascii="Times New Roman" w:cs="Times New Roman" w:eastAsia="Times New Roman" w:hAnsi="Times New Roman"/>
          <w:sz w:val="18"/>
          <w:szCs w:val="18"/>
          <w:color w:val="auto"/>
        </w:rPr>
        <w:t>Because we are a “controlled company” within the meaning of Nasdaq corporate governance standards, we are not required to, and do not currently, have a nominating and corporate governance committee. See “Certain Relationships and Related Transactions—Shareholders’ Agreement” for additional information about our controlling shareholder’s ability to designate certain members of our Board.</w:t>
      </w:r>
    </w:p>
    <w:p>
      <w:pPr>
        <w:spacing w:after="0" w:line="180" w:lineRule="exact"/>
        <w:rPr>
          <w:sz w:val="20"/>
          <w:szCs w:val="20"/>
          <w:color w:val="auto"/>
        </w:rPr>
      </w:pPr>
    </w:p>
    <w:p>
      <w:pPr>
        <w:ind w:right="180" w:firstLine="317"/>
        <w:spacing w:after="0" w:line="250" w:lineRule="auto"/>
        <w:rPr>
          <w:sz w:val="20"/>
          <w:szCs w:val="20"/>
          <w:color w:val="auto"/>
        </w:rPr>
      </w:pPr>
      <w:r>
        <w:rPr>
          <w:rFonts w:ascii="Times New Roman" w:cs="Times New Roman" w:eastAsia="Times New Roman" w:hAnsi="Times New Roman"/>
          <w:sz w:val="18"/>
          <w:szCs w:val="18"/>
          <w:color w:val="auto"/>
        </w:rPr>
        <w:t>If and when we are no longer a “controlled company” within the meaning of Nasdaq corporate governance standards, we will be required to establish a nominating and corporate governance committee. We anticipate that such a nominating and corporate governance committee would consist of three directors who will be “independent” under the rules of the SEC and Nasdaq. This committee would identify, evaluate and recommend qualified nominees to serve on our Board of Directors, develop and oversee our internal corporate governance processes and maintain a management succession plan. Upon formation of a nominating and corporate governance committee, we would expect to adopt a nominating and corporate governance committee charter defining the committee’s primary duties in a manner consistent with the rules of the SEC and Nasdaq or market standards.</w:t>
      </w:r>
    </w:p>
    <w:p>
      <w:pPr>
        <w:spacing w:after="0" w:line="185" w:lineRule="exact"/>
        <w:rPr>
          <w:sz w:val="20"/>
          <w:szCs w:val="20"/>
          <w:color w:val="auto"/>
        </w:rPr>
      </w:pPr>
    </w:p>
    <w:p>
      <w:pPr>
        <w:ind w:firstLine="317"/>
        <w:spacing w:after="0" w:line="251" w:lineRule="auto"/>
        <w:rPr>
          <w:sz w:val="20"/>
          <w:szCs w:val="20"/>
          <w:color w:val="auto"/>
        </w:rPr>
      </w:pPr>
      <w:r>
        <w:rPr>
          <w:rFonts w:ascii="Times New Roman" w:cs="Times New Roman" w:eastAsia="Times New Roman" w:hAnsi="Times New Roman"/>
          <w:sz w:val="18"/>
          <w:szCs w:val="18"/>
          <w:color w:val="auto"/>
        </w:rPr>
        <w:t>Our Bylaws provides certain procedures that a stockholder must follow to nominate persons for election to the Board of Directors. Nominations for director at an annual stockholder meeting must be submitted in writing to the Company’s Secretary at New Fortress Energy Inc., 111 W. 19th Street, 8th Floor, New York, New York 10011. The Secretary must receive the notice of a stockholder’s intention to introduce a nomination at an annual stockholder meeting (together with certain required information set forth in our Bylaws) within the timeframes set forth below under “Advance Notice for Stockholder Nominations and Proposals for 2025 Annual Meeting.”</w:t>
      </w:r>
    </w:p>
    <w:p>
      <w:pPr>
        <w:spacing w:after="0" w:line="185" w:lineRule="exact"/>
        <w:rPr>
          <w:sz w:val="20"/>
          <w:szCs w:val="20"/>
          <w:color w:val="auto"/>
        </w:rPr>
      </w:pPr>
    </w:p>
    <w:p>
      <w:pPr>
        <w:ind w:right="200" w:firstLine="317"/>
        <w:spacing w:after="0" w:line="251" w:lineRule="auto"/>
        <w:rPr>
          <w:sz w:val="20"/>
          <w:szCs w:val="20"/>
          <w:color w:val="auto"/>
        </w:rPr>
      </w:pPr>
      <w:r>
        <w:rPr>
          <w:rFonts w:ascii="Times New Roman" w:cs="Times New Roman" w:eastAsia="Times New Roman" w:hAnsi="Times New Roman"/>
          <w:sz w:val="18"/>
          <w:szCs w:val="18"/>
          <w:color w:val="auto"/>
        </w:rPr>
        <w:t>The Board of Directors is responsible for nominating members for election to the Board and for filling vacancies on the Board that may occur between annual meetings of stockholders. The Board believes that the qualifications for serving as a director of the Company are, taking into account such person’s familiarity with the Company, possession of such knowledge, experience, skills, expertise, integrity and diversity as would enhance the Board’s ability to manage and direct the affairs and business of the Company, including, when applicable, the ability of committees of the Board to fulfill their duties and/or to satisfy any independence requirements imposed by law, regulation or Nasdaq rule.</w:t>
      </w:r>
    </w:p>
    <w:p>
      <w:pPr>
        <w:spacing w:after="0" w:line="185" w:lineRule="exact"/>
        <w:rPr>
          <w:sz w:val="20"/>
          <w:szCs w:val="20"/>
          <w:color w:val="auto"/>
        </w:rPr>
      </w:pPr>
    </w:p>
    <w:p>
      <w:pPr>
        <w:ind w:right="20" w:firstLine="317"/>
        <w:spacing w:after="0" w:line="248" w:lineRule="auto"/>
        <w:rPr>
          <w:sz w:val="20"/>
          <w:szCs w:val="20"/>
          <w:color w:val="auto"/>
        </w:rPr>
      </w:pPr>
      <w:r>
        <w:rPr>
          <w:rFonts w:ascii="Times New Roman" w:cs="Times New Roman" w:eastAsia="Times New Roman" w:hAnsi="Times New Roman"/>
          <w:sz w:val="18"/>
          <w:szCs w:val="18"/>
          <w:color w:val="auto"/>
        </w:rPr>
        <w:t>In addition to considering a director-candidate’s background and accomplishments, the process for identifying and evaluating all nominees includes a review of the current composition of the Board of Directors and the evolving needs of our business. The Board will identify potential nominees by asking current directors and executive officers to notify the Board if they become aware of suitable candidates. The Board also may, from time to time, engage firms that specialize in identifying director candidates. As described above, the Board will also consider candidates recommended by stockholders. Our evaluation of nominees does not necessarily vary depending on whether or not the nominee was nominated by a stockholder. In considering candidates submitted by stockholders, the Board may take into consideration the number of shares of Common Stock held by the recommending stockholder and the length of time that such shares have been held. We do not have a formal policy with regard to the consideration of diversity in identifying director nominees, but the Board strives to nominate individuals with a variety of complementary skills. The Board assesses its achievement of diversity through the review of the Board’s composition as part of the Board’s annual self-assessment process.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the Board of Directors</w:t>
      </w:r>
    </w:p>
    <w:p>
      <w:pPr>
        <w:spacing w:after="0" w:line="220" w:lineRule="exact"/>
        <w:rPr>
          <w:sz w:val="20"/>
          <w:szCs w:val="20"/>
          <w:color w:val="auto"/>
        </w:rPr>
      </w:pPr>
    </w:p>
    <w:p>
      <w:pPr>
        <w:ind w:right="440" w:firstLine="317"/>
        <w:spacing w:after="0" w:line="270" w:lineRule="auto"/>
        <w:rPr>
          <w:sz w:val="20"/>
          <w:szCs w:val="20"/>
          <w:color w:val="auto"/>
        </w:rPr>
      </w:pPr>
      <w:r>
        <w:rPr>
          <w:rFonts w:ascii="Times New Roman" w:cs="Times New Roman" w:eastAsia="Times New Roman" w:hAnsi="Times New Roman"/>
          <w:sz w:val="18"/>
          <w:szCs w:val="18"/>
          <w:color w:val="auto"/>
        </w:rPr>
        <w:t>Stockholders or other interested parties can contact any director, any committee of the Board of Directors or our independent directors as a group, by writing to them care of: General Counsel and Secretary, 111 W. 19th Street, 8th Floor, New York, New York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7" w:name="page18"/>
    <w:bookmarkEnd w:id="17"/>
    <w:p>
      <w:pPr>
        <w:ind w:right="240"/>
        <w:spacing w:after="0" w:line="270" w:lineRule="auto"/>
        <w:rPr>
          <w:sz w:val="20"/>
          <w:szCs w:val="20"/>
          <w:color w:val="auto"/>
        </w:rPr>
      </w:pPr>
      <w:r>
        <w:rPr>
          <w:rFonts w:ascii="Times New Roman" w:cs="Times New Roman" w:eastAsia="Times New Roman" w:hAnsi="Times New Roman"/>
          <w:sz w:val="18"/>
          <w:szCs w:val="18"/>
          <w:color w:val="auto"/>
        </w:rPr>
        <w:t>10011. All such communications will be forwarded to the appropriate member(s) of the Board of Directors. Any complaints relating to the Company’s accounting, internal accounting controls or auditing matters will also be referred to members of the Audit Committee.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the diversity of the Board in a standardized matrix as required by Nasdaq Rule 5606:</w:t>
      </w: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4,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40" w:type="dxa"/>
            <w:vAlign w:val="bottom"/>
            <w:tcBorders>
              <w:top w:val="single" w:sz="8" w:color="auto"/>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165"/>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jc w:val="center"/>
              <w:ind w:right="32"/>
              <w:spacing w:after="0" w:line="165" w:lineRule="exact"/>
              <w:rPr>
                <w:sz w:val="20"/>
                <w:szCs w:val="20"/>
                <w:color w:val="auto"/>
              </w:rPr>
            </w:pPr>
            <w:r>
              <w:rPr>
                <w:rFonts w:ascii="Times New Roman" w:cs="Times New Roman" w:eastAsia="Times New Roman" w:hAnsi="Times New Roman"/>
                <w:sz w:val="18"/>
                <w:szCs w:val="18"/>
                <w:b w:val="1"/>
                <w:bCs w:val="1"/>
                <w:color w:val="auto"/>
                <w:w w:val="97"/>
              </w:rPr>
              <w:t>Did not</w:t>
            </w:r>
          </w:p>
        </w:tc>
        <w:tc>
          <w:tcPr>
            <w:tcW w:w="60" w:type="dxa"/>
            <w:vAlign w:val="bottom"/>
          </w:tcPr>
          <w:p>
            <w:pPr>
              <w:spacing w:after="0"/>
              <w:rPr>
                <w:sz w:val="14"/>
                <w:szCs w:val="14"/>
                <w:color w:val="auto"/>
              </w:rPr>
            </w:pPr>
          </w:p>
        </w:tc>
      </w:tr>
      <w:tr>
        <w:trPr>
          <w:trHeight w:val="237"/>
        </w:trPr>
        <w:tc>
          <w:tcPr>
            <w:tcW w:w="4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Non-Binary</w:t>
            </w: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Disclose Gender</w:t>
            </w:r>
          </w:p>
        </w:tc>
      </w:tr>
      <w:tr>
        <w:trPr>
          <w:trHeight w:val="205"/>
        </w:trPr>
        <w:tc>
          <w:tcPr>
            <w:tcW w:w="4860" w:type="dxa"/>
            <w:vAlign w:val="bottom"/>
            <w:tcBorders>
              <w:top w:val="single" w:sz="8" w:color="CCEEFF"/>
            </w:tcBorders>
            <w:shd w:val="clear" w:color="auto" w:fill="CCEEFF"/>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Gender</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52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Number of Directors who identify in Any of the Categories Below:</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88"/>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106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520" w:type="dxa"/>
            <w:vAlign w:val="bottom"/>
            <w:gridSpan w:val="4"/>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88"/>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581"/>
        </w:trPr>
        <w:tc>
          <w:tcPr>
            <w:tcW w:w="7720" w:type="dxa"/>
            <w:vAlign w:val="bottom"/>
            <w:tcBorders>
              <w:bottom w:val="single" w:sz="8" w:color="auto"/>
            </w:tcBorders>
            <w:gridSpan w:val="8"/>
          </w:tcPr>
          <w:p>
            <w:pPr>
              <w:ind w:left="372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29, 2024)</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8"/>
        </w:trPr>
        <w:tc>
          <w:tcPr>
            <w:tcW w:w="5140" w:type="dxa"/>
            <w:vAlign w:val="bottom"/>
            <w:tcBorders>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0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165"/>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jc w:val="center"/>
              <w:ind w:right="40"/>
              <w:spacing w:after="0" w:line="165" w:lineRule="exact"/>
              <w:rPr>
                <w:sz w:val="20"/>
                <w:szCs w:val="20"/>
                <w:color w:val="auto"/>
              </w:rPr>
            </w:pPr>
            <w:r>
              <w:rPr>
                <w:rFonts w:ascii="Times New Roman" w:cs="Times New Roman" w:eastAsia="Times New Roman" w:hAnsi="Times New Roman"/>
                <w:sz w:val="18"/>
                <w:szCs w:val="18"/>
                <w:b w:val="1"/>
                <w:bCs w:val="1"/>
                <w:color w:val="auto"/>
              </w:rPr>
              <w:t>Did not</w:t>
            </w:r>
          </w:p>
        </w:tc>
      </w:tr>
      <w:tr>
        <w:trPr>
          <w:trHeight w:val="237"/>
        </w:trPr>
        <w:tc>
          <w:tcPr>
            <w:tcW w:w="4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Non-Binary</w:t>
            </w:r>
          </w:p>
        </w:tc>
        <w:tc>
          <w:tcPr>
            <w:tcW w:w="6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Disclose Gender</w:t>
            </w:r>
          </w:p>
        </w:tc>
      </w:tr>
      <w:tr>
        <w:trPr>
          <w:trHeight w:val="205"/>
        </w:trPr>
        <w:tc>
          <w:tcPr>
            <w:tcW w:w="4920" w:type="dxa"/>
            <w:vAlign w:val="bottom"/>
            <w:tcBorders>
              <w:top w:val="single" w:sz="8" w:color="CCEEFF"/>
            </w:tcBorders>
            <w:gridSpan w:val="2"/>
            <w:shd w:val="clear" w:color="auto" w:fill="CCEEFF"/>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Gender</w:t>
            </w: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88"/>
              </w:rPr>
              <w:t>7</w:t>
            </w:r>
          </w:p>
        </w:tc>
        <w:tc>
          <w:tcPr>
            <w:tcW w:w="1520" w:type="dxa"/>
            <w:vAlign w:val="bottom"/>
            <w:gridSpan w:val="4"/>
          </w:tcPr>
          <w:p>
            <w:pPr>
              <w:jc w:val="center"/>
              <w:ind w:left="23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Number of Directors who identify in Any of the Categories Below:</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88"/>
              </w:rPr>
              <w:t>1</w:t>
            </w:r>
          </w:p>
        </w:tc>
        <w:tc>
          <w:tcPr>
            <w:tcW w:w="1520" w:type="dxa"/>
            <w:vAlign w:val="bottom"/>
            <w:gridSpan w:val="4"/>
          </w:tcPr>
          <w:p>
            <w:pPr>
              <w:jc w:val="center"/>
              <w:ind w:left="23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106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88"/>
              </w:rPr>
              <w:t>7</w:t>
            </w:r>
          </w:p>
        </w:tc>
        <w:tc>
          <w:tcPr>
            <w:tcW w:w="1520" w:type="dxa"/>
            <w:vAlign w:val="bottom"/>
            <w:gridSpan w:val="4"/>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88"/>
              </w:rPr>
              <w:t>1</w:t>
            </w:r>
          </w:p>
        </w:tc>
        <w:tc>
          <w:tcPr>
            <w:tcW w:w="1520" w:type="dxa"/>
            <w:vAlign w:val="bottom"/>
            <w:gridSpan w:val="4"/>
          </w:tcPr>
          <w:p>
            <w:pPr>
              <w:jc w:val="center"/>
              <w:ind w:left="23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40"/>
          </w:cols>
          <w:pgMar w:left="320" w:top="966" w:right="7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16" w:lineRule="exact"/>
        <w:rPr>
          <w:sz w:val="20"/>
          <w:szCs w:val="20"/>
          <w:color w:val="auto"/>
        </w:rPr>
      </w:pPr>
    </w:p>
    <w:p>
      <w:pPr>
        <w:jc w:val="both"/>
        <w:ind w:right="40" w:firstLine="317"/>
        <w:spacing w:after="0" w:line="258" w:lineRule="auto"/>
        <w:rPr>
          <w:sz w:val="20"/>
          <w:szCs w:val="20"/>
          <w:color w:val="auto"/>
        </w:rPr>
      </w:pPr>
      <w:r>
        <w:rPr>
          <w:rFonts w:ascii="Times New Roman" w:cs="Times New Roman" w:eastAsia="Times New Roman" w:hAnsi="Times New Roman"/>
          <w:sz w:val="18"/>
          <w:szCs w:val="18"/>
          <w:i w:val="1"/>
          <w:iCs w:val="1"/>
          <w:color w:val="auto"/>
        </w:rPr>
        <w:t>In accordance with and to the extent permitted by the rules of the SEC, the information contained in the following Report of the Audit Committee shall not be incorporated by reference into any of the Company’s future filings made under the Exchange Act, and shall not be deemed to be “soliciting material” or to be “filed” under the Exchange Act or the Securities Act of 1933, as amended (the “Securities Act”).</w:t>
      </w:r>
    </w:p>
    <w:p>
      <w:pPr>
        <w:spacing w:after="0" w:line="180" w:lineRule="exact"/>
        <w:rPr>
          <w:sz w:val="20"/>
          <w:szCs w:val="20"/>
          <w:color w:val="auto"/>
        </w:rPr>
      </w:pPr>
    </w:p>
    <w:p>
      <w:pPr>
        <w:ind w:right="220" w:firstLine="317"/>
        <w:spacing w:after="0" w:line="257" w:lineRule="auto"/>
        <w:rPr>
          <w:sz w:val="20"/>
          <w:szCs w:val="20"/>
          <w:color w:val="auto"/>
        </w:rPr>
      </w:pPr>
      <w:r>
        <w:rPr>
          <w:rFonts w:ascii="Times New Roman" w:cs="Times New Roman" w:eastAsia="Times New Roman" w:hAnsi="Times New Roman"/>
          <w:sz w:val="18"/>
          <w:szCs w:val="18"/>
          <w:color w:val="auto"/>
        </w:rPr>
        <w:t>The Audit Committee operates under a written charter approved by the Board of Directors, consistent with the corporate governance rules issued by the SEC and Nasdaq. The Audit Committee’s charter is available on the Company’s website at www.newfortressenergy.com. The members of the Audit Committee hold executive sessions during the course of the year.</w:t>
      </w:r>
    </w:p>
    <w:p>
      <w:pPr>
        <w:spacing w:after="0" w:line="180" w:lineRule="exact"/>
        <w:rPr>
          <w:sz w:val="20"/>
          <w:szCs w:val="20"/>
          <w:color w:val="auto"/>
        </w:rPr>
      </w:pPr>
    </w:p>
    <w:p>
      <w:pPr>
        <w:ind w:right="20" w:firstLine="317"/>
        <w:spacing w:after="0" w:line="250"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It is not the duty of the Audit Committee to prepare the Company’s financial statements, to plan or conduct audits or to determine that the Company’s financial statements are complete and accurate in accordance with generally accepted accounting principles. Management has the primary responsibility for the financial statements and the reporting process, including the system of internal controls. The independent registered public accounting firm is responsible for auditing the financial statements and expressing an opinion as to whether those audited financial statements fairly present the financial position, results of operations and cash flows of the Company in conformity with generally accepted accounting principles.</w:t>
      </w:r>
    </w:p>
    <w:p>
      <w:pPr>
        <w:spacing w:after="0" w:line="185" w:lineRule="exact"/>
        <w:rPr>
          <w:sz w:val="20"/>
          <w:szCs w:val="20"/>
          <w:color w:val="auto"/>
        </w:rPr>
      </w:pPr>
    </w:p>
    <w:p>
      <w:pPr>
        <w:ind w:firstLine="317"/>
        <w:spacing w:after="0" w:line="257"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the independent registered public accounting firm the Company’s internal control over financial reporting, including a review of management’s and the independent registered public accounting firm’s assessments of and reports on the effectiveness of internal control over financial reporting and any significant deficiencies or material weaknesses.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Audit Committee has reviewed and discussed with management the audited financial statements in the annual report on Form 10-K.</w:t>
      </w:r>
    </w:p>
    <w:p>
      <w:pPr>
        <w:spacing w:after="0" w:line="216" w:lineRule="exact"/>
        <w:rPr>
          <w:sz w:val="20"/>
          <w:szCs w:val="20"/>
          <w:color w:val="auto"/>
        </w:rPr>
      </w:pPr>
    </w:p>
    <w:p>
      <w:pPr>
        <w:ind w:right="300" w:firstLine="317"/>
        <w:spacing w:after="0" w:line="257" w:lineRule="auto"/>
        <w:rPr>
          <w:sz w:val="20"/>
          <w:szCs w:val="20"/>
          <w:color w:val="auto"/>
        </w:rPr>
      </w:pPr>
      <w:r>
        <w:rPr>
          <w:rFonts w:ascii="Times New Roman" w:cs="Times New Roman" w:eastAsia="Times New Roman" w:hAnsi="Times New Roman"/>
          <w:sz w:val="18"/>
          <w:szCs w:val="18"/>
          <w:color w:val="auto"/>
        </w:rPr>
        <w:t>The Audit Committee has discussed with the independent registered public accounting firm the matters required to be discussed by the applicable requirements of the Public Company Accounting Oversight Board (“PCAOB”) and the SEC, including the auditor’s judgment as to the quality, not just the acceptability, of the accounting principles, the consistency of their application and the clarity and completeness of the audited financial statements.</w:t>
      </w:r>
    </w:p>
    <w:p>
      <w:pPr>
        <w:spacing w:after="0" w:line="180" w:lineRule="exact"/>
        <w:rPr>
          <w:sz w:val="20"/>
          <w:szCs w:val="20"/>
          <w:color w:val="auto"/>
        </w:rPr>
      </w:pPr>
    </w:p>
    <w:p>
      <w:pPr>
        <w:jc w:val="both"/>
        <w:ind w:right="40" w:firstLine="317"/>
        <w:spacing w:after="0" w:line="270"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the applicable PCAOB requirements and has discussed with the independent registered public accounting firm their independence.</w:t>
      </w:r>
    </w:p>
    <w:p>
      <w:pPr>
        <w:spacing w:after="0" w:line="168" w:lineRule="exact"/>
        <w:rPr>
          <w:sz w:val="20"/>
          <w:szCs w:val="20"/>
          <w:color w:val="auto"/>
        </w:rPr>
      </w:pPr>
    </w:p>
    <w:p>
      <w:pPr>
        <w:jc w:val="both"/>
        <w:ind w:right="40" w:firstLine="317"/>
        <w:spacing w:after="0" w:line="253"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(and the Board of Directors agreed) that the audited financial statements be included in the annual report on Form 10-K for the year ended December 31, 2023, for filing with the SEC. The Audit Committee and the Board of Directors also have recommended, subject to shareholder approval, the selection of the Company’s independent registered public accounting firm for fiscal year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Katherine E. Wanner, Chairperson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J. Grain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William Griffin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executive officers of the Company: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2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62</w:t>
            </w:r>
          </w:p>
        </w:tc>
        <w:tc>
          <w:tcPr>
            <w:tcW w:w="180" w:type="dxa"/>
            <w:vAlign w:val="bottom"/>
            <w:shd w:val="clear" w:color="auto" w:fill="CCEEFF"/>
          </w:tcPr>
          <w:p>
            <w:pPr>
              <w:spacing w:after="0"/>
              <w:rPr>
                <w:sz w:val="18"/>
                <w:szCs w:val="18"/>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41</w:t>
            </w:r>
          </w:p>
        </w:tc>
        <w:tc>
          <w:tcPr>
            <w:tcW w:w="18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4"/>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Yunyoung Shin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46</w:t>
            </w:r>
          </w:p>
        </w:tc>
        <w:tc>
          <w:tcPr>
            <w:tcW w:w="18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-435610</wp:posOffset>
            </wp:positionV>
            <wp:extent cx="117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-435610</wp:posOffset>
            </wp:positionV>
            <wp:extent cx="1174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263" w:lineRule="exact"/>
        <w:rPr>
          <w:sz w:val="20"/>
          <w:szCs w:val="20"/>
          <w:color w:val="auto"/>
        </w:rPr>
      </w:pPr>
    </w:p>
    <w:p>
      <w:pPr>
        <w:jc w:val="both"/>
        <w:ind w:right="200" w:firstLine="31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Wesley R. Edens. </w:t>
      </w:r>
      <w:r>
        <w:rPr>
          <w:rFonts w:ascii="Times New Roman" w:cs="Times New Roman" w:eastAsia="Times New Roman" w:hAnsi="Times New Roman"/>
          <w:sz w:val="18"/>
          <w:szCs w:val="18"/>
          <w:color w:val="auto"/>
        </w:rPr>
        <w:t>Wesley Edens is our founder and has served as our Chief Executive Officer and the Chairman of our Board of Directors since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For more information regarding Mr. Edens, see above under “Proposal No. 1 Election of Directors—Information Concerning Our Directors, Including the Director Nominees.”</w:t>
      </w:r>
    </w:p>
    <w:p>
      <w:pPr>
        <w:spacing w:after="0" w:line="178" w:lineRule="exact"/>
        <w:rPr>
          <w:sz w:val="20"/>
          <w:szCs w:val="20"/>
          <w:color w:val="auto"/>
        </w:rPr>
      </w:pPr>
    </w:p>
    <w:p>
      <w:pPr>
        <w:ind w:right="160" w:firstLine="31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Christopher S. Guinta. </w:t>
      </w:r>
      <w:r>
        <w:rPr>
          <w:rFonts w:ascii="Times New Roman" w:cs="Times New Roman" w:eastAsia="Times New Roman" w:hAnsi="Times New Roman"/>
          <w:sz w:val="18"/>
          <w:szCs w:val="18"/>
          <w:color w:val="auto"/>
        </w:rPr>
        <w:t>Mr. Guinta has served as our Chief Financial Officer since August 2018, and the Chief Financial Officer of New Fortress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w:t>
      </w:r>
    </w:p>
    <w:p>
      <w:pPr>
        <w:spacing w:after="0" w:line="180" w:lineRule="exact"/>
        <w:rPr>
          <w:sz w:val="20"/>
          <w:szCs w:val="20"/>
          <w:color w:val="auto"/>
        </w:rPr>
      </w:pPr>
    </w:p>
    <w:p>
      <w:pPr>
        <w:ind w:right="20" w:firstLine="31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Yunyoung Shin. </w:t>
      </w:r>
      <w:r>
        <w:rPr>
          <w:rFonts w:ascii="Times New Roman" w:cs="Times New Roman" w:eastAsia="Times New Roman" w:hAnsi="Times New Roman"/>
          <w:sz w:val="18"/>
          <w:szCs w:val="18"/>
          <w:color w:val="auto"/>
        </w:rPr>
        <w:t>Ms. Shin has served as our Chief Accounting Officer since March 2019. Ms. Shin was most recently a Senior Vice President of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group at Fortress, from 2013 to 2019, where she served in various accounting capacities focusing on mergers and acquisitions and capital markets transactions. Ms. Shin began her career at KPMG LLP where she spent over 10 years serving audit and advisory clients primarily in the energy industry and providing wide-ranging technical accounting and financial reporting expertise in KPMG’s department of professional practice. Prior to joining Fortress, Ms. Shin served as Vice President in the global accounting policy and advisory group at American Express from 2011 to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0" w:lineRule="exact"/>
        <w:rPr>
          <w:sz w:val="20"/>
          <w:szCs w:val="20"/>
          <w:color w:val="auto"/>
        </w:rPr>
      </w:pPr>
    </w:p>
    <w:p>
      <w:pPr>
        <w:ind w:right="80" w:firstLine="317"/>
        <w:spacing w:after="0" w:line="257" w:lineRule="auto"/>
        <w:rPr>
          <w:sz w:val="20"/>
          <w:szCs w:val="20"/>
          <w:color w:val="auto"/>
        </w:rPr>
      </w:pPr>
      <w:r>
        <w:rPr>
          <w:rFonts w:ascii="Times New Roman" w:cs="Times New Roman" w:eastAsia="Times New Roman" w:hAnsi="Times New Roman"/>
          <w:sz w:val="18"/>
          <w:szCs w:val="18"/>
          <w:color w:val="auto"/>
        </w:rPr>
        <w:t>The Compensation Discussion and Analysis that follows provides a description of our compensation program for each of the individuals listed below. We refer to these individuals throughout the Compensation Discussion and Analysis and the tables that follow as our named executive officers. For 2023, our named executive officers were as follows:</w:t>
      </w:r>
    </w:p>
    <w:p>
      <w:pPr>
        <w:spacing w:after="0" w:line="180" w:lineRule="exact"/>
        <w:rPr>
          <w:sz w:val="20"/>
          <w:szCs w:val="20"/>
          <w:color w:val="auto"/>
        </w:rPr>
      </w:pPr>
    </w:p>
    <w:p>
      <w:pPr>
        <w:ind w:left="640" w:hanging="31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Wesley R. Edens, Chief Executive Officer</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 Guinta, Chief Financial Officer</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Yunyoung Shin, Chief Accounting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in Executive Compensation</w:t>
      </w:r>
    </w:p>
    <w:p>
      <w:pPr>
        <w:spacing w:after="0" w:line="220" w:lineRule="exact"/>
        <w:rPr>
          <w:sz w:val="20"/>
          <w:szCs w:val="20"/>
          <w:color w:val="auto"/>
        </w:rPr>
      </w:pPr>
    </w:p>
    <w:p>
      <w:pPr>
        <w:ind w:right="380" w:firstLine="317"/>
        <w:spacing w:after="0" w:line="270" w:lineRule="auto"/>
        <w:rPr>
          <w:sz w:val="20"/>
          <w:szCs w:val="20"/>
          <w:color w:val="auto"/>
        </w:rPr>
      </w:pPr>
      <w:r>
        <w:rPr>
          <w:rFonts w:ascii="Times New Roman" w:cs="Times New Roman" w:eastAsia="Times New Roman" w:hAnsi="Times New Roman"/>
          <w:sz w:val="18"/>
          <w:szCs w:val="18"/>
          <w:color w:val="auto"/>
        </w:rPr>
        <w:t>In 2023, our Compensation Committee made all decisions regarding the compensation levels of our named executive officers. It is our Compensation Committee’s responsibility to:</w:t>
      </w:r>
    </w:p>
    <w:p>
      <w:pPr>
        <w:spacing w:after="0" w:line="168" w:lineRule="exact"/>
        <w:rPr>
          <w:sz w:val="20"/>
          <w:szCs w:val="20"/>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design of our executive compensation programs, policies and practices;</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types and amounts of compensation for our executive officers; and</w:t>
      </w:r>
    </w:p>
    <w:p>
      <w:pPr>
        <w:spacing w:after="0" w:line="215" w:lineRule="exact"/>
        <w:rPr>
          <w:rFonts w:ascii="Times New Roman" w:cs="Times New Roman" w:eastAsia="Times New Roman" w:hAnsi="Times New Roman"/>
          <w:sz w:val="18"/>
          <w:szCs w:val="18"/>
          <w:color w:val="auto"/>
        </w:rPr>
      </w:pPr>
    </w:p>
    <w:p>
      <w:pPr>
        <w:ind w:left="640" w:right="660" w:hanging="317"/>
        <w:spacing w:after="0" w:line="270"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adoption, termination and amendment of, and to administer and, as appropriate, make recommendations to the Board regarding, our incentive compensation plans.</w:t>
      </w:r>
    </w:p>
    <w:p>
      <w:pPr>
        <w:spacing w:after="0" w:line="168" w:lineRule="exact"/>
        <w:rPr>
          <w:sz w:val="20"/>
          <w:szCs w:val="20"/>
          <w:color w:val="auto"/>
        </w:rPr>
      </w:pPr>
    </w:p>
    <w:p>
      <w:pPr>
        <w:ind w:firstLine="317"/>
        <w:spacing w:after="0" w:line="253" w:lineRule="auto"/>
        <w:rPr>
          <w:sz w:val="20"/>
          <w:szCs w:val="20"/>
          <w:color w:val="auto"/>
        </w:rPr>
      </w:pPr>
      <w:r>
        <w:rPr>
          <w:rFonts w:ascii="Times New Roman" w:cs="Times New Roman" w:eastAsia="Times New Roman" w:hAnsi="Times New Roman"/>
          <w:sz w:val="18"/>
          <w:szCs w:val="18"/>
          <w:color w:val="auto"/>
        </w:rPr>
        <w:t>Our objective is to provide a market-based executive compensation program tied to performance and aligned with the interests of our stockholders. We did not retain a compensation consultant to provide advice on our executive compensation practices for 2023. Our Compensation Committee reviewed the competitiveness of our executive compensation programs and recent governance trends related to executive compensation when determining the compensation levels for our named executive officers in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Officers in Determining Compensation for our Executive Compensation</w:t>
      </w:r>
    </w:p>
    <w:p>
      <w:pPr>
        <w:spacing w:after="0" w:line="220" w:lineRule="exact"/>
        <w:rPr>
          <w:sz w:val="20"/>
          <w:szCs w:val="20"/>
          <w:color w:val="auto"/>
        </w:rPr>
      </w:pPr>
    </w:p>
    <w:p>
      <w:pPr>
        <w:ind w:firstLine="317"/>
        <w:spacing w:after="0" w:line="257" w:lineRule="auto"/>
        <w:rPr>
          <w:sz w:val="20"/>
          <w:szCs w:val="20"/>
          <w:color w:val="auto"/>
        </w:rPr>
      </w:pPr>
      <w:r>
        <w:rPr>
          <w:rFonts w:ascii="Times New Roman" w:cs="Times New Roman" w:eastAsia="Times New Roman" w:hAnsi="Times New Roman"/>
          <w:sz w:val="18"/>
          <w:szCs w:val="18"/>
          <w:color w:val="auto"/>
        </w:rPr>
        <w:t>Our Compensation Committee made all decisions regarding the compensation of our named executive officers in respect of 2023. As a member of our compensation committee, Mr. Edens was involved in all decisions regarding the compensation of our named executive officers. As described more fully below, Mr. Edens does not receive any compensation from any party for services rendered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our Executive Compensation Program</w:t>
      </w:r>
    </w:p>
    <w:p>
      <w:pPr>
        <w:spacing w:after="0" w:line="220" w:lineRule="exact"/>
        <w:rPr>
          <w:sz w:val="20"/>
          <w:szCs w:val="20"/>
          <w:color w:val="auto"/>
        </w:rPr>
      </w:pPr>
    </w:p>
    <w:p>
      <w:pPr>
        <w:ind w:right="40" w:firstLine="317"/>
        <w:spacing w:after="0" w:line="253" w:lineRule="auto"/>
        <w:rPr>
          <w:sz w:val="20"/>
          <w:szCs w:val="20"/>
          <w:color w:val="auto"/>
        </w:rPr>
      </w:pPr>
      <w:r>
        <w:rPr>
          <w:rFonts w:ascii="Times New Roman" w:cs="Times New Roman" w:eastAsia="Times New Roman" w:hAnsi="Times New Roman"/>
          <w:sz w:val="18"/>
          <w:szCs w:val="18"/>
          <w:color w:val="auto"/>
        </w:rPr>
        <w:t>Mr. Edens has elected to serve as our CEO without compensation, primarily due to his substantial ownership stake in us. Mr. Edens is compensated by FIG LLC for services performed for the benefit of Fortress and certain other Fortress entities. However, none of the compensation received by Mr. Edens from FIG LLC is compensation for services rendered to us. As such, compensation information for Mr. Edens is not included below. The following discussion applies to the compensation provided to Mr. Guinta and Ms. Shin in 2023.</w:t>
      </w:r>
    </w:p>
    <w:p>
      <w:pPr>
        <w:spacing w:after="0" w:line="182" w:lineRule="exact"/>
        <w:rPr>
          <w:sz w:val="20"/>
          <w:szCs w:val="20"/>
          <w:color w:val="auto"/>
        </w:rPr>
      </w:pPr>
    </w:p>
    <w:p>
      <w:pPr>
        <w:ind w:right="80" w:firstLine="317"/>
        <w:spacing w:after="0" w:line="254"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Base salary is a fixed component of our executive compensation for each year, which may be increased from time to time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performance and other factors as determined by our Compensation Committee. Base salaries were originally set pursuant to negotiations with our named executive officers at the time of hire, and are intended to reflect the position, duties and responsibilities of each executive. As previously noted, Mr. Edens does not receive compensation from us. For 2023, annual base salaries for Mr. Guinta and Ms. Shin were $350,000 and $250,000, respectively.</w:t>
      </w:r>
    </w:p>
    <w:p>
      <w:pPr>
        <w:spacing w:after="0" w:line="180" w:lineRule="exact"/>
        <w:rPr>
          <w:sz w:val="20"/>
          <w:szCs w:val="20"/>
          <w:color w:val="auto"/>
        </w:rPr>
      </w:pPr>
    </w:p>
    <w:p>
      <w:pPr>
        <w:ind w:right="20" w:firstLine="317"/>
        <w:spacing w:after="0" w:line="254" w:lineRule="auto"/>
        <w:rPr>
          <w:sz w:val="20"/>
          <w:szCs w:val="20"/>
          <w:color w:val="auto"/>
        </w:rPr>
      </w:pPr>
      <w:r>
        <w:rPr>
          <w:rFonts w:ascii="Times New Roman" w:cs="Times New Roman" w:eastAsia="Times New Roman" w:hAnsi="Times New Roman"/>
          <w:sz w:val="18"/>
          <w:szCs w:val="18"/>
          <w:i w:val="1"/>
          <w:iCs w:val="1"/>
          <w:color w:val="auto"/>
        </w:rPr>
        <w:t>Annual Cash Bonuses</w:t>
      </w:r>
      <w:r>
        <w:rPr>
          <w:rFonts w:ascii="Times New Roman" w:cs="Times New Roman" w:eastAsia="Times New Roman" w:hAnsi="Times New Roman"/>
          <w:sz w:val="18"/>
          <w:szCs w:val="18"/>
          <w:color w:val="auto"/>
        </w:rPr>
        <w:t>. Our named executive officers are eligible to receive annual cash bonuses. We consider annual cash incentive bonuses to be “at-risk” compensation. For 2023, Mr. Guinta had a target bonus opportunity equal to 125% of his annual base salary. Following a review of his performance by our Compensation Committee, the Compensation Committee awarded Mr. Guinta a $1,650,000 bonus in respect of 2023 performance. For 2023, Ms. Shin was eligible to receive a discretionary annual bonus. Following</w:t>
      </w:r>
    </w:p>
    <w:p>
      <w:pPr>
        <w:sectPr>
          <w:pgSz w:w="11900" w:h="16838" w:orient="portrait"/>
          <w:cols w:equalWidth="0" w:num="1">
            <w:col w:w="11220"/>
          </w:cols>
          <w:pgMar w:left="320" w:top="9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type w:val="continuous"/>
        </w:sectPr>
      </w:pPr>
    </w:p>
    <w:bookmarkStart w:id="21" w:name="page22"/>
    <w:bookmarkEnd w:id="21"/>
    <w:p>
      <w:pPr>
        <w:spacing w:after="0" w:line="279" w:lineRule="auto"/>
        <w:rPr>
          <w:sz w:val="20"/>
          <w:szCs w:val="20"/>
          <w:color w:val="auto"/>
        </w:rPr>
      </w:pPr>
      <w:r>
        <w:rPr>
          <w:rFonts w:ascii="Times New Roman" w:cs="Times New Roman" w:eastAsia="Times New Roman" w:hAnsi="Times New Roman"/>
          <w:sz w:val="17"/>
          <w:szCs w:val="17"/>
          <w:color w:val="auto"/>
        </w:rPr>
        <w:t>a review of her performance by the Compensation Committee, our Compensation Committee awarded Ms. Shin an $850,000 bonus in respect of 2023 performance. Mr. Guinta and Ms. Shin must be actively employed at, and not have given or received notice of termination prior to, the time of the bonus payment in order to receive the bonus. Mr. Edens elected not to receive an annual cash bonus or any other compensation from the Company in respect of 2023.</w:t>
      </w:r>
    </w:p>
    <w:p>
      <w:pPr>
        <w:spacing w:after="0" w:line="163" w:lineRule="exact"/>
        <w:rPr>
          <w:sz w:val="20"/>
          <w:szCs w:val="20"/>
          <w:color w:val="auto"/>
        </w:rPr>
      </w:pPr>
    </w:p>
    <w:p>
      <w:pPr>
        <w:jc w:val="both"/>
        <w:ind w:right="300" w:firstLine="317"/>
        <w:spacing w:after="0" w:line="257" w:lineRule="auto"/>
        <w:rPr>
          <w:sz w:val="20"/>
          <w:szCs w:val="20"/>
          <w:color w:val="auto"/>
        </w:rPr>
      </w:pPr>
      <w:r>
        <w:rPr>
          <w:rFonts w:ascii="Times New Roman" w:cs="Times New Roman" w:eastAsia="Times New Roman" w:hAnsi="Times New Roman"/>
          <w:sz w:val="18"/>
          <w:szCs w:val="18"/>
          <w:color w:val="auto"/>
        </w:rPr>
        <w:t>Historically, our Compensation Committee has not used pre-established performance goals in its evaluation of performance with respect to the annual incentive payment. Instead, our Compensation Committee has considered many factors in its decision-making process relating to the amount, if any, of the annual incentive payment. The factors have generally involved the following:</w:t>
      </w:r>
    </w:p>
    <w:p>
      <w:pPr>
        <w:spacing w:after="0" w:line="178" w:lineRule="exact"/>
        <w:rPr>
          <w:sz w:val="20"/>
          <w:szCs w:val="20"/>
          <w:color w:val="auto"/>
        </w:rPr>
      </w:pPr>
    </w:p>
    <w:p>
      <w:pPr>
        <w:ind w:left="640" w:right="140" w:hanging="317"/>
        <w:spacing w:after="0" w:line="258"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Reviewing Company performance</w:t>
      </w:r>
      <w:r>
        <w:rPr>
          <w:rFonts w:ascii="Times New Roman" w:cs="Times New Roman" w:eastAsia="Times New Roman" w:hAnsi="Times New Roman"/>
          <w:sz w:val="18"/>
          <w:szCs w:val="18"/>
          <w:color w:val="auto"/>
        </w:rPr>
        <w:t>. Our Compensation Committee reviews all aspects of financial and operational performance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assesses Company performance in relation to the direction of the Company’s business, taking into account changing economic and market environments.</w:t>
      </w:r>
    </w:p>
    <w:p>
      <w:pPr>
        <w:spacing w:after="0" w:line="177" w:lineRule="exact"/>
        <w:rPr>
          <w:rFonts w:ascii="Times New Roman" w:cs="Times New Roman" w:eastAsia="Times New Roman" w:hAnsi="Times New Roman"/>
          <w:sz w:val="18"/>
          <w:szCs w:val="18"/>
          <w:color w:val="auto"/>
        </w:rPr>
      </w:pPr>
    </w:p>
    <w:p>
      <w:pPr>
        <w:ind w:left="640" w:hanging="317"/>
        <w:spacing w:after="0" w:line="281"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Individual performance</w:t>
      </w:r>
      <w:r>
        <w:rPr>
          <w:rFonts w:ascii="Times New Roman" w:cs="Times New Roman" w:eastAsia="Times New Roman" w:hAnsi="Times New Roman"/>
          <w:sz w:val="17"/>
          <w:szCs w:val="17"/>
          <w:color w:val="auto"/>
        </w:rPr>
        <w:t>. Our Compensation Committee also evaluates individual performance beyond purely financial measures, including,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one or any combination of the following: exceptional performance of the individual’s functional responsibilities; leadership; creativity; innovation; collaboration; development and implementation of growth initiatives; and other activities that are critical to driving long-term value for shareholders.</w:t>
      </w:r>
    </w:p>
    <w:p>
      <w:pPr>
        <w:spacing w:after="0" w:line="160" w:lineRule="exact"/>
        <w:rPr>
          <w:sz w:val="20"/>
          <w:szCs w:val="20"/>
          <w:color w:val="auto"/>
        </w:rPr>
      </w:pPr>
    </w:p>
    <w:p>
      <w:pPr>
        <w:ind w:right="40" w:firstLine="317"/>
        <w:spacing w:after="0" w:line="257" w:lineRule="auto"/>
        <w:rPr>
          <w:sz w:val="20"/>
          <w:szCs w:val="20"/>
          <w:color w:val="auto"/>
        </w:rPr>
      </w:pPr>
      <w:r>
        <w:rPr>
          <w:rFonts w:ascii="Times New Roman" w:cs="Times New Roman" w:eastAsia="Times New Roman" w:hAnsi="Times New Roman"/>
          <w:sz w:val="18"/>
          <w:szCs w:val="18"/>
          <w:color w:val="auto"/>
        </w:rPr>
        <w:t>After the end of the fiscal year, our Compensation Committee reviews both Company and individual performance to determine actual bonus payouts for the applicable year. Historically, our Compensation Committee has not applied a pre-established formula for determining the relative importance of the factors discussed above.</w:t>
      </w:r>
    </w:p>
    <w:p>
      <w:pPr>
        <w:spacing w:after="0" w:line="178" w:lineRule="exact"/>
        <w:rPr>
          <w:sz w:val="20"/>
          <w:szCs w:val="20"/>
          <w:color w:val="auto"/>
        </w:rPr>
      </w:pPr>
    </w:p>
    <w:p>
      <w:pPr>
        <w:ind w:right="40" w:firstLine="317"/>
        <w:spacing w:after="0" w:line="254" w:lineRule="auto"/>
        <w:rPr>
          <w:sz w:val="20"/>
          <w:szCs w:val="20"/>
          <w:color w:val="auto"/>
        </w:rPr>
      </w:pPr>
      <w:r>
        <w:rPr>
          <w:rFonts w:ascii="Times New Roman" w:cs="Times New Roman" w:eastAsia="Times New Roman" w:hAnsi="Times New Roman"/>
          <w:sz w:val="18"/>
          <w:szCs w:val="18"/>
          <w:i w:val="1"/>
          <w:iCs w:val="1"/>
          <w:color w:val="auto"/>
        </w:rPr>
        <w:t>Long-Term Incentive Awards</w:t>
      </w:r>
      <w:r>
        <w:rPr>
          <w:rFonts w:ascii="Times New Roman" w:cs="Times New Roman" w:eastAsia="Times New Roman" w:hAnsi="Times New Roman"/>
          <w:sz w:val="18"/>
          <w:szCs w:val="18"/>
          <w:color w:val="auto"/>
        </w:rPr>
        <w:t>. In 2019, in connection with our initial public offering, the Company adopted the New Fortress Energy Inc. 2019 Omnibus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(the “Incentive Plan”). Under the Incentive Plan, the Company may issue options, share appreciation rights, restricted shares, restricted share units (“RSUs”) and performance share units (“PSUs”), share bonuses or other share-based awards to selected officers, employees, non-employee directors and select non-employees of NFE or its affiliates.</w:t>
      </w:r>
    </w:p>
    <w:p>
      <w:pPr>
        <w:spacing w:after="0" w:line="182" w:lineRule="exact"/>
        <w:rPr>
          <w:sz w:val="20"/>
          <w:szCs w:val="20"/>
          <w:color w:val="auto"/>
        </w:rPr>
      </w:pPr>
    </w:p>
    <w:p>
      <w:pPr>
        <w:ind w:right="40" w:firstLine="317"/>
        <w:spacing w:after="0" w:line="249" w:lineRule="auto"/>
        <w:rPr>
          <w:sz w:val="20"/>
          <w:szCs w:val="20"/>
          <w:color w:val="auto"/>
        </w:rPr>
      </w:pPr>
      <w:r>
        <w:rPr>
          <w:rFonts w:ascii="Times New Roman" w:cs="Times New Roman" w:eastAsia="Times New Roman" w:hAnsi="Times New Roman"/>
          <w:sz w:val="18"/>
          <w:szCs w:val="18"/>
          <w:color w:val="auto"/>
        </w:rPr>
        <w:t>To more closely align their long-term interests with the interests of the Company and our shareholders and to link a substantial portion of our named executive officer’s compensation to the achievement of stretch performance goals, Mr. Guinta and Ms. Shin were awarded PSUs under the Incentive Plan in 2021 and 2022. The PSUs were eligible to cliff-vest subject to their continued employment and the achievement of the applicable performance metric for the year following the grant. The number of shares that may be earned range from 0% to 200% of the initial number of PSUs granted, with 0% earned if the target performance metric is not achieved, 100% earned if the target performance metric is achieved, and 200% earned if the maximum performance metric is achieved. Our Compensation Committee has the power and authority to make all determinations concerning the level of achievement of the applicable performance metric and any adjustments to the applicable performance metric.</w:t>
      </w:r>
    </w:p>
    <w:p>
      <w:pPr>
        <w:spacing w:after="0" w:line="187" w:lineRule="exact"/>
        <w:rPr>
          <w:sz w:val="20"/>
          <w:szCs w:val="20"/>
          <w:color w:val="auto"/>
        </w:rPr>
      </w:pPr>
    </w:p>
    <w:p>
      <w:pPr>
        <w:ind w:right="100" w:firstLine="317"/>
        <w:spacing w:after="0" w:line="251" w:lineRule="auto"/>
        <w:rPr>
          <w:sz w:val="20"/>
          <w:szCs w:val="20"/>
          <w:color w:val="auto"/>
        </w:rPr>
      </w:pPr>
      <w:r>
        <w:rPr>
          <w:rFonts w:ascii="Times New Roman" w:cs="Times New Roman" w:eastAsia="Times New Roman" w:hAnsi="Times New Roman"/>
          <w:sz w:val="18"/>
          <w:szCs w:val="18"/>
          <w:color w:val="auto"/>
        </w:rPr>
        <w:t>For the PSUs granted in 2021, the applicable performance metric was tied to the Company’s adjusted operating margin for fiscal year 2022. Our Compensation Committee has the power and authority to make all determinations concerning the level of achievement of the applicable performance metric and any adjustments to the applicable performance metric, and on April 3, 2023, the Compensation Committee certified (or recommended that our Board certify) that the performance metric resulting in the maximum issuance of Class A Common Stock under the award had been met. These PSUs were settled in 2023.</w:t>
      </w:r>
    </w:p>
    <w:p>
      <w:pPr>
        <w:spacing w:after="0" w:line="185" w:lineRule="exact"/>
        <w:rPr>
          <w:sz w:val="20"/>
          <w:szCs w:val="20"/>
          <w:color w:val="auto"/>
        </w:rPr>
      </w:pPr>
    </w:p>
    <w:p>
      <w:pPr>
        <w:ind w:right="40" w:firstLine="317"/>
        <w:spacing w:after="0" w:line="265" w:lineRule="auto"/>
        <w:rPr>
          <w:sz w:val="20"/>
          <w:szCs w:val="20"/>
          <w:color w:val="auto"/>
        </w:rPr>
      </w:pPr>
      <w:r>
        <w:rPr>
          <w:rFonts w:ascii="Times New Roman" w:cs="Times New Roman" w:eastAsia="Times New Roman" w:hAnsi="Times New Roman"/>
          <w:sz w:val="17"/>
          <w:szCs w:val="17"/>
          <w:color w:val="auto"/>
        </w:rPr>
        <w:t>For the PSUs granted in 2022, the applicable performance metric was tied to the Company’s adjusted EBITDA for fiscal year 2023, which was equivalent to the performance metric used for PSUs granted in 2021 and defined as the Company’s operating margin for the applicable year, less selling, general and administrative expenses (as adjusted to exclude screening and development costs and other expenses) for the applicable fiscal year. For these PSUs, 0% would be earned if the target performance metric ($1.5 billion) adjusted EBITDA for fiscal year 2023 was not achieved, 100% would be earned if the target performance was achieved, and 200% would be earned if the maximum performance metric ($2.0 billion plus the achievement of certain conditions with regards to completion of our first FLNG project) was achieved. Our Compensation Committee has the power and authority to make all determinations concerning the level of achievement of the applicable performance metric and any adjustments to the applicable performance metric. The Company's adjusted EBITDA for 2023 was not achieved above the minimum level required for these PSUs to vest, and as such, all of these PSUs did not vest.</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did not grant any equity-based awards under the Incentive Plan to either Mr. Guinta or Ms. Shin in 2023.</w:t>
      </w:r>
    </w:p>
    <w:p>
      <w:pPr>
        <w:spacing w:after="0" w:line="216" w:lineRule="exact"/>
        <w:rPr>
          <w:sz w:val="20"/>
          <w:szCs w:val="20"/>
          <w:color w:val="auto"/>
        </w:rPr>
      </w:pPr>
    </w:p>
    <w:p>
      <w:pPr>
        <w:ind w:right="240" w:firstLine="317"/>
        <w:spacing w:after="0" w:line="270" w:lineRule="auto"/>
        <w:rPr>
          <w:sz w:val="20"/>
          <w:szCs w:val="20"/>
          <w:color w:val="auto"/>
        </w:rPr>
      </w:pPr>
      <w:r>
        <w:rPr>
          <w:rFonts w:ascii="Times New Roman" w:cs="Times New Roman" w:eastAsia="Times New Roman" w:hAnsi="Times New Roman"/>
          <w:sz w:val="18"/>
          <w:szCs w:val="18"/>
          <w:color w:val="auto"/>
        </w:rPr>
        <w:t>In March of 2024, Mr. Guinta and Ms. Shin were awarded time-vesting RSUs under the Incentive Plan that vest in two installments on January 2, 2025 and January 2, 2026. These RSUs were granted to them in respect of their performance in each of 2021, 2022 and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66" w:right="37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8"/>
          <w:szCs w:val="18"/>
          <w:i w:val="1"/>
          <w:iCs w:val="1"/>
          <w:color w:val="auto"/>
        </w:rPr>
        <w:t>Perquisites and Personal Benefits</w:t>
      </w:r>
      <w:r>
        <w:rPr>
          <w:rFonts w:ascii="Times New Roman" w:cs="Times New Roman" w:eastAsia="Times New Roman" w:hAnsi="Times New Roman"/>
          <w:sz w:val="18"/>
          <w:szCs w:val="18"/>
          <w:color w:val="auto"/>
        </w:rPr>
        <w:t>. We did not provide any perquisites or personal benefits to our named executive officers in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entered into offer letters with Mr. Guinta and Ms. Shin. We have not entered into an offer letter or employment agreement with Mr. Edens.</w:t>
      </w:r>
    </w:p>
    <w:p>
      <w:pPr>
        <w:spacing w:after="0" w:line="214" w:lineRule="exact"/>
        <w:rPr>
          <w:sz w:val="20"/>
          <w:szCs w:val="20"/>
          <w:color w:val="auto"/>
        </w:rPr>
      </w:pPr>
    </w:p>
    <w:p>
      <w:pPr>
        <w:ind w:right="60" w:firstLine="317"/>
        <w:spacing w:after="0" w:line="250" w:lineRule="auto"/>
        <w:rPr>
          <w:sz w:val="20"/>
          <w:szCs w:val="20"/>
          <w:color w:val="auto"/>
        </w:rPr>
      </w:pPr>
      <w:r>
        <w:rPr>
          <w:rFonts w:ascii="Times New Roman" w:cs="Times New Roman" w:eastAsia="Times New Roman" w:hAnsi="Times New Roman"/>
          <w:sz w:val="18"/>
          <w:szCs w:val="18"/>
          <w:i w:val="1"/>
          <w:iCs w:val="1"/>
          <w:color w:val="auto"/>
        </w:rPr>
        <w:t>Guinta Offer Letter</w:t>
      </w:r>
      <w:r>
        <w:rPr>
          <w:rFonts w:ascii="Times New Roman" w:cs="Times New Roman" w:eastAsia="Times New Roman" w:hAnsi="Times New Roman"/>
          <w:sz w:val="18"/>
          <w:szCs w:val="18"/>
          <w:color w:val="auto"/>
        </w:rPr>
        <w:t>. On March 14, 2017, NFE Management, LLC entered into an offer letter (the “Guinta Offer Letter”) with Mr. Guinta. The Guinta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Letter provides Mr. Guinta with an annualized base salary of $350,000, a discretionary target bonus opportunity equal to 125% of annual base salary and eligibility to participate in our broad-based employee benefit plans, as may be adopted from time to time, subject to the eligibility requirements of such employee benefit plans. The Guinta Offer Letter also contains certain restrictive covenants, including (a) non-competition and non-solicitation covenants that are applicable during Mr. Guinta’s term of employment, and for twelve months following his resignation or termination of his employment for cause (as defined below) and (b) restrictions on disclosure of confidential information.</w:t>
      </w:r>
    </w:p>
    <w:p>
      <w:pPr>
        <w:spacing w:after="0" w:line="185" w:lineRule="exact"/>
        <w:rPr>
          <w:sz w:val="20"/>
          <w:szCs w:val="20"/>
          <w:color w:val="auto"/>
        </w:rPr>
      </w:pPr>
    </w:p>
    <w:p>
      <w:pPr>
        <w:ind w:right="40" w:firstLine="317"/>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Shin Offer Letter. </w:t>
      </w:r>
      <w:r>
        <w:rPr>
          <w:rFonts w:ascii="Times New Roman" w:cs="Times New Roman" w:eastAsia="Times New Roman" w:hAnsi="Times New Roman"/>
          <w:sz w:val="18"/>
          <w:szCs w:val="18"/>
          <w:color w:val="auto"/>
        </w:rPr>
        <w:t>On December 3, 2019, NFE Management, LLC entered into an offer letter (the “Shin Offer Letter”) with Ms. Shin. The Shin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provides Ms. Shin with an annualized base salary of $200,000, eligibility to receive a discretionary bonus and eligibility to participate in our broad-based employee benefit plans, as may be adopted from time to time, subject to the eligibility requirements of such employee benefit plans. The Shin Offer Letter also contains certain restrictive covenants, including (a) non-competition and non-solicitation covenants that are applicable during Ms. Shin’s term of employment, and for twelve months following her resignation or termination of her employment for cause (as defined below) and (b) restrictions on disclosure of confidential information. Ms. Shin's annual base salary was increased to $250,000 in 2023.</w:t>
      </w:r>
    </w:p>
    <w:p>
      <w:pPr>
        <w:spacing w:after="0" w:line="187" w:lineRule="exact"/>
        <w:rPr>
          <w:sz w:val="20"/>
          <w:szCs w:val="20"/>
          <w:color w:val="auto"/>
        </w:rPr>
      </w:pPr>
    </w:p>
    <w:p>
      <w:pPr>
        <w:ind w:firstLine="317"/>
        <w:spacing w:after="0" w:line="248" w:lineRule="auto"/>
        <w:rPr>
          <w:sz w:val="20"/>
          <w:szCs w:val="20"/>
          <w:color w:val="auto"/>
        </w:rPr>
      </w:pPr>
      <w:r>
        <w:rPr>
          <w:rFonts w:ascii="Times New Roman" w:cs="Times New Roman" w:eastAsia="Times New Roman" w:hAnsi="Times New Roman"/>
          <w:sz w:val="18"/>
          <w:szCs w:val="18"/>
          <w:color w:val="auto"/>
        </w:rPr>
        <w:t>As used in the Guinta Offer Letter and the Shin Offer Letter, “cause” generally means the executive’s (i) willful misconduct or gross negligence in the performance of his or her duties; (ii) failure to perform his or her duties or to follow the lawful directives of our Board;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applicable offer letter or any other agreement with a member of the Company Group, including (without limitation), a violation of the code of conduct or other written policy of any such entity. Ms. Shin’s breach of any restrictive covenant would also constitute “cause” under the Shin Offer Letter.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220" w:lineRule="exact"/>
        <w:rPr>
          <w:sz w:val="20"/>
          <w:szCs w:val="20"/>
          <w:color w:val="auto"/>
        </w:rPr>
      </w:pPr>
    </w:p>
    <w:p>
      <w:pPr>
        <w:ind w:right="140" w:firstLine="317"/>
        <w:spacing w:after="0" w:line="267" w:lineRule="auto"/>
        <w:rPr>
          <w:sz w:val="20"/>
          <w:szCs w:val="20"/>
          <w:color w:val="auto"/>
        </w:rPr>
      </w:pPr>
      <w:r>
        <w:rPr>
          <w:rFonts w:ascii="Times New Roman" w:cs="Times New Roman" w:eastAsia="Times New Roman" w:hAnsi="Times New Roman"/>
          <w:sz w:val="17"/>
          <w:szCs w:val="17"/>
          <w:color w:val="auto"/>
        </w:rPr>
        <w:t>As a general matter, our Compensation Committee considers the various tax and accounting implications of our existing and proposed compensation programs. We consider the tax-deductibility of compensation in designing our compensation programs, but it is not our sole consideration and we retain the discretion to award compensation that is non-deductible. In addition, due to U.S. tax reform legislation, which eliminated the performance-based exception to the $1 million deduction limit effective as of January 1, 2018, the opportunity to design programs on a go-forward basis that are fully tax-deductible for our named executive officers has effectively been eliminated. Therefore, the tax-deductibility of compensation had less of an impact on the design of our compensation programs in 2023, and we expect that tax-deductibility will continue to have less of an impact on our program design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and Pledging Policy</w:t>
      </w:r>
    </w:p>
    <w:p>
      <w:pPr>
        <w:spacing w:after="0" w:line="220" w:lineRule="exact"/>
        <w:rPr>
          <w:sz w:val="20"/>
          <w:szCs w:val="20"/>
          <w:color w:val="auto"/>
        </w:rPr>
      </w:pPr>
    </w:p>
    <w:p>
      <w:pPr>
        <w:ind w:right="60" w:firstLine="317"/>
        <w:spacing w:after="0" w:line="251" w:lineRule="auto"/>
        <w:rPr>
          <w:sz w:val="20"/>
          <w:szCs w:val="20"/>
          <w:color w:val="auto"/>
        </w:rPr>
      </w:pPr>
      <w:r>
        <w:rPr>
          <w:rFonts w:ascii="Times New Roman" w:cs="Times New Roman" w:eastAsia="Times New Roman" w:hAnsi="Times New Roman"/>
          <w:sz w:val="18"/>
          <w:szCs w:val="18"/>
          <w:color w:val="auto"/>
        </w:rPr>
        <w:t>Subject to certain exceptions (as described below), our insider trading policy expressly prohibits transactions involving hedging, margining or pledging of shares of our Common Stock and other equity securities and derivatives by officers, directors and employees of the Company (“Insiders”), as well as any such Insider’s spouse, minor children, adult family members sharing the same household on a continuous basis, financial dependents, and any other person or entity over whom the Insider exercises substantial influence or control over his, her or its securities trading decisions, and any other trust or other estate in which an Insider has a substantial beneficial interest or as to which he or she serves as trustee or in a similar capacity.</w:t>
      </w:r>
    </w:p>
    <w:p>
      <w:pPr>
        <w:spacing w:after="0" w:line="185" w:lineRule="exact"/>
        <w:rPr>
          <w:sz w:val="20"/>
          <w:szCs w:val="20"/>
          <w:color w:val="auto"/>
        </w:rPr>
      </w:pPr>
    </w:p>
    <w:p>
      <w:pPr>
        <w:ind w:right="20" w:firstLine="317"/>
        <w:spacing w:after="0" w:line="257" w:lineRule="auto"/>
        <w:rPr>
          <w:sz w:val="20"/>
          <w:szCs w:val="20"/>
          <w:color w:val="auto"/>
        </w:rPr>
      </w:pPr>
      <w:r>
        <w:rPr>
          <w:rFonts w:ascii="Times New Roman" w:cs="Times New Roman" w:eastAsia="Times New Roman" w:hAnsi="Times New Roman"/>
          <w:sz w:val="18"/>
          <w:szCs w:val="18"/>
          <w:color w:val="auto"/>
        </w:rPr>
        <w:t>Our policy provides limited exceptions in the event of prior approval by the Company's insider trading compliance officer, securities that are margined and are sold by a broker without the customer's consent if the customer fails to meet a margin call, transactions made pursuant to a written trading plan designed and entered into in accordance with Rule 10b5-1 of the Exchange Act,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ind w:right="60"/>
        <w:spacing w:after="0" w:line="250" w:lineRule="auto"/>
        <w:rPr>
          <w:sz w:val="20"/>
          <w:szCs w:val="20"/>
          <w:color w:val="auto"/>
        </w:rPr>
      </w:pPr>
      <w:r>
        <w:rPr>
          <w:rFonts w:ascii="Times New Roman" w:cs="Times New Roman" w:eastAsia="Times New Roman" w:hAnsi="Times New Roman"/>
          <w:sz w:val="18"/>
          <w:szCs w:val="18"/>
          <w:color w:val="auto"/>
        </w:rPr>
        <w:t>exercises of share options where no shares of the Company are sold in the market to fund the option exercise price or related taxes, the exercise of a tax withholding right pursuant to which a person has elected to have the Company withhold shares subject to an option to satisfy tax withholding requirements, vesting of restricted shares or the exercise of a tax withholding right in connection with restricted shares or other equity awards pursuant to which such person has elected to have the Company withhold shares to satisfy tax withholding requirements upon the vesting of any restricted shares or other award, and purchases of Company shares in any present or future 401(k) plan resulting from a person’s periodic contributions to the plan pursuant to that person’s payroll deduction election.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0" w:lineRule="exact"/>
        <w:rPr>
          <w:sz w:val="20"/>
          <w:szCs w:val="20"/>
          <w:color w:val="auto"/>
        </w:rPr>
      </w:pPr>
    </w:p>
    <w:p>
      <w:pPr>
        <w:ind w:firstLine="317"/>
        <w:spacing w:after="0" w:line="253" w:lineRule="auto"/>
        <w:rPr>
          <w:sz w:val="20"/>
          <w:szCs w:val="20"/>
          <w:color w:val="auto"/>
        </w:rPr>
      </w:pPr>
      <w:r>
        <w:rPr>
          <w:rFonts w:ascii="Times New Roman" w:cs="Times New Roman" w:eastAsia="Times New Roman" w:hAnsi="Times New Roman"/>
          <w:sz w:val="18"/>
          <w:szCs w:val="18"/>
          <w:color w:val="auto"/>
        </w:rPr>
        <w:t>Effective December 1, 2023, we adopted the New Fortress Energy Inc. Clawback Policy, which is included as Exhibit 97.1 to our Annual Report on Form 10-K for our most recently completed fiscal year, covering our executive officers. Our Clawback Policy provides that in the event of a required accounting restatement, our Compensation Committee will seek reimbursement of the portion of any incentive-based compensation that would not have been paid had our financial statements been correctly stated.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66" w:right="3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18" w:lineRule="exact"/>
        <w:rPr>
          <w:sz w:val="20"/>
          <w:szCs w:val="20"/>
          <w:color w:val="auto"/>
        </w:rPr>
      </w:pPr>
    </w:p>
    <w:p>
      <w:pPr>
        <w:ind w:right="220" w:firstLine="317"/>
        <w:spacing w:after="0" w:line="270" w:lineRule="auto"/>
        <w:rPr>
          <w:sz w:val="20"/>
          <w:szCs w:val="20"/>
          <w:color w:val="auto"/>
        </w:rPr>
      </w:pPr>
      <w:r>
        <w:rPr>
          <w:rFonts w:ascii="Times New Roman" w:cs="Times New Roman" w:eastAsia="Times New Roman" w:hAnsi="Times New Roman"/>
          <w:sz w:val="18"/>
          <w:szCs w:val="18"/>
          <w:color w:val="auto"/>
        </w:rPr>
        <w:t>The Compensation Committee has reviewed and discussed the 2023 Compensation Discussion and Analysis required by Item 402(b) of Regulation S-K with the Company’s management.</w:t>
      </w:r>
    </w:p>
    <w:p>
      <w:pPr>
        <w:spacing w:after="0" w:line="168" w:lineRule="exact"/>
        <w:rPr>
          <w:sz w:val="20"/>
          <w:szCs w:val="20"/>
          <w:color w:val="auto"/>
        </w:rPr>
      </w:pPr>
    </w:p>
    <w:p>
      <w:pPr>
        <w:ind w:right="600" w:firstLine="317"/>
        <w:spacing w:after="0" w:line="270" w:lineRule="auto"/>
        <w:rPr>
          <w:sz w:val="20"/>
          <w:szCs w:val="20"/>
          <w:color w:val="auto"/>
        </w:rPr>
      </w:pPr>
      <w:r>
        <w:rPr>
          <w:rFonts w:ascii="Times New Roman" w:cs="Times New Roman" w:eastAsia="Times New Roman" w:hAnsi="Times New Roman"/>
          <w:sz w:val="18"/>
          <w:szCs w:val="18"/>
          <w:color w:val="auto"/>
        </w:rPr>
        <w:t>Based on this review and their discussions, the Compensation Committee has recommended to the Board of Directors that the 2023 Compensation Discussion and Analysis be included in the Proxy Statement for the 2024 Annual Meeting of Stockholders to be filed with the SEC.</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Wesley R. Edens (Chairperson)</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Randy Nardone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2023</w:t>
      </w:r>
    </w:p>
    <w:p>
      <w:pPr>
        <w:spacing w:after="0" w:line="218" w:lineRule="exact"/>
        <w:rPr>
          <w:sz w:val="20"/>
          <w:szCs w:val="20"/>
          <w:color w:val="auto"/>
        </w:rPr>
      </w:pPr>
    </w:p>
    <w:p>
      <w:pPr>
        <w:ind w:right="160" w:firstLine="317"/>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our named executive officers in respect of the applicable fiscal years set forth below.</w:t>
      </w:r>
    </w:p>
    <w:tbl>
      <w:tblPr>
        <w:tblLayout w:type="fixed"/>
        <w:tblInd w:w="0" w:type="dxa"/>
        <w:tblCellMar>
          <w:top w:w="0" w:type="dxa"/>
          <w:left w:w="0" w:type="dxa"/>
          <w:bottom w:w="0" w:type="dxa"/>
          <w:right w:w="0" w:type="dxa"/>
        </w:tblCellMar>
      </w:tblPr>
      <w:tr>
        <w:trPr>
          <w:trHeight w:val="180"/>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5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5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7"/>
              </w:rPr>
              <w:t>All Other</w:t>
            </w:r>
          </w:p>
        </w:tc>
        <w:tc>
          <w:tcPr>
            <w:tcW w:w="134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0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52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320" w:type="dxa"/>
            <w:vAlign w:val="bottom"/>
          </w:tcPr>
          <w:p>
            <w:pPr>
              <w:jc w:val="right"/>
              <w:ind w:right="395"/>
              <w:spacing w:after="0" w:line="237"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0"/>
                <w:szCs w:val="10"/>
                <w:b w:val="1"/>
                <w:bCs w:val="1"/>
                <w:color w:val="auto"/>
              </w:rPr>
              <w:t>(2)</w:t>
            </w:r>
          </w:p>
        </w:tc>
        <w:tc>
          <w:tcPr>
            <w:tcW w:w="200" w:type="dxa"/>
            <w:vAlign w:val="bottom"/>
          </w:tcPr>
          <w:p>
            <w:pPr>
              <w:spacing w:after="0"/>
              <w:rPr>
                <w:sz w:val="20"/>
                <w:szCs w:val="20"/>
                <w:color w:val="auto"/>
              </w:rPr>
            </w:pPr>
          </w:p>
        </w:tc>
        <w:tc>
          <w:tcPr>
            <w:tcW w:w="1320" w:type="dxa"/>
            <w:vAlign w:val="bottom"/>
          </w:tcPr>
          <w:p>
            <w:pPr>
              <w:jc w:val="center"/>
              <w:spacing w:after="0" w:line="238" w:lineRule="exact"/>
              <w:rPr>
                <w:sz w:val="20"/>
                <w:szCs w:val="20"/>
                <w:color w:val="auto"/>
              </w:rPr>
            </w:pPr>
            <w:r>
              <w:rPr>
                <w:rFonts w:ascii="Times New Roman" w:cs="Times New Roman" w:eastAsia="Times New Roman" w:hAnsi="Times New Roman"/>
                <w:sz w:val="18"/>
                <w:szCs w:val="18"/>
                <w:b w:val="1"/>
                <w:bCs w:val="1"/>
                <w:color w:val="auto"/>
                <w:w w:val="89"/>
              </w:rPr>
              <w:t>($)</w:t>
            </w:r>
            <w:r>
              <w:rPr>
                <w:rFonts w:ascii="Times New Roman" w:cs="Times New Roman" w:eastAsia="Times New Roman" w:hAnsi="Times New Roman"/>
                <w:sz w:val="22"/>
                <w:szCs w:val="22"/>
                <w:b w:val="1"/>
                <w:bCs w:val="1"/>
                <w:color w:val="auto"/>
                <w:w w:val="89"/>
                <w:vertAlign w:val="superscript"/>
              </w:rPr>
              <w:t>(3)</w:t>
            </w:r>
          </w:p>
        </w:tc>
        <w:tc>
          <w:tcPr>
            <w:tcW w:w="1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3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5"/>
        </w:trPr>
        <w:tc>
          <w:tcPr>
            <w:tcW w:w="278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 xml:space="preserve">Wesley R. Edens </w:t>
            </w: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ind w:left="1100"/>
              <w:spacing w:after="0" w:line="16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960" w:type="dxa"/>
            <w:vAlign w:val="bottom"/>
            <w:gridSpan w:val="2"/>
            <w:shd w:val="clear" w:color="auto" w:fill="CCEEFF"/>
          </w:tcPr>
          <w:p>
            <w:pPr>
              <w:ind w:left="20"/>
              <w:spacing w:after="0" w:line="238" w:lineRule="exact"/>
              <w:rPr>
                <w:sz w:val="20"/>
                <w:szCs w:val="20"/>
                <w:color w:val="auto"/>
              </w:rPr>
            </w:pP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22"/>
                <w:szCs w:val="22"/>
                <w:i w:val="1"/>
                <w:iCs w:val="1"/>
                <w:color w:val="auto"/>
                <w:vertAlign w:val="superscript"/>
              </w:rPr>
              <w:t>(1)</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9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 xml:space="preserve">Christopher S. Guinta </w:t>
            </w:r>
            <w:r>
              <w:rPr>
                <w:rFonts w:ascii="Times New Roman" w:cs="Times New Roman" w:eastAsia="Times New Roman" w:hAnsi="Times New Roman"/>
                <w:sz w:val="18"/>
                <w:szCs w:val="18"/>
                <w:color w:val="auto"/>
              </w:rPr>
              <w:t>—</w:t>
            </w:r>
          </w:p>
        </w:tc>
        <w:tc>
          <w:tcPr>
            <w:tcW w:w="72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4"/>
                <w:szCs w:val="14"/>
                <w:color w:val="auto"/>
              </w:rPr>
            </w:pPr>
          </w:p>
        </w:tc>
        <w:tc>
          <w:tcPr>
            <w:tcW w:w="13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350,000</w:t>
            </w:r>
          </w:p>
        </w:tc>
        <w:tc>
          <w:tcPr>
            <w:tcW w:w="180" w:type="dxa"/>
            <w:vAlign w:val="bottom"/>
          </w:tcPr>
          <w:p>
            <w:pPr>
              <w:spacing w:after="0"/>
              <w:rPr>
                <w:sz w:val="14"/>
                <w:szCs w:val="14"/>
                <w:color w:val="auto"/>
              </w:rPr>
            </w:pPr>
          </w:p>
        </w:tc>
        <w:tc>
          <w:tcPr>
            <w:tcW w:w="132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1,650,000</w:t>
            </w:r>
          </w:p>
        </w:tc>
        <w:tc>
          <w:tcPr>
            <w:tcW w:w="200" w:type="dxa"/>
            <w:vAlign w:val="bottom"/>
          </w:tcPr>
          <w:p>
            <w:pPr>
              <w:spacing w:after="0"/>
              <w:rPr>
                <w:sz w:val="14"/>
                <w:szCs w:val="14"/>
                <w:color w:val="auto"/>
              </w:rPr>
            </w:pPr>
          </w:p>
        </w:tc>
        <w:tc>
          <w:tcPr>
            <w:tcW w:w="1500" w:type="dxa"/>
            <w:vAlign w:val="bottom"/>
            <w:gridSpan w:val="2"/>
          </w:tcPr>
          <w:p>
            <w:pPr>
              <w:jc w:val="right"/>
              <w:ind w:right="26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0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3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3,075,008</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5,075,008</w:t>
            </w: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860,943</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2,660,943</w:t>
            </w:r>
          </w:p>
        </w:tc>
        <w:tc>
          <w:tcPr>
            <w:tcW w:w="0" w:type="dxa"/>
            <w:vAlign w:val="bottom"/>
          </w:tcPr>
          <w:p>
            <w:pPr>
              <w:spacing w:after="0"/>
              <w:rPr>
                <w:sz w:val="1"/>
                <w:szCs w:val="1"/>
                <w:color w:val="auto"/>
              </w:rPr>
            </w:pPr>
          </w:p>
        </w:tc>
      </w:tr>
      <w:tr>
        <w:trPr>
          <w:trHeight w:val="172"/>
        </w:trPr>
        <w:tc>
          <w:tcPr>
            <w:tcW w:w="29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 xml:space="preserve">Yunyoung Shin </w:t>
            </w: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250,000</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850,000</w:t>
            </w: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6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0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1,100,000</w:t>
            </w:r>
          </w:p>
        </w:tc>
        <w:tc>
          <w:tcPr>
            <w:tcW w:w="0" w:type="dxa"/>
            <w:vAlign w:val="bottom"/>
          </w:tcPr>
          <w:p>
            <w:pPr>
              <w:spacing w:after="0"/>
              <w:rPr>
                <w:sz w:val="1"/>
                <w:szCs w:val="1"/>
                <w:color w:val="auto"/>
              </w:rPr>
            </w:pPr>
          </w:p>
        </w:tc>
      </w:tr>
      <w:tr>
        <w:trPr>
          <w:trHeight w:val="23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2,050,021</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3,100,021</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860,943</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1,860,943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440" w:right="240" w:hanging="417"/>
        <w:spacing w:after="0" w:line="205" w:lineRule="auto"/>
        <w:tabs>
          <w:tab w:leader="none" w:pos="4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described more fully above, this table does not include information regarding compensation paid to Mr. Edens because Mr. Edens does not receive any compensation from any party for services rendered to us.</w:t>
      </w:r>
    </w:p>
    <w:p>
      <w:pPr>
        <w:spacing w:after="0" w:line="121" w:lineRule="exact"/>
        <w:rPr>
          <w:rFonts w:ascii="Times New Roman" w:cs="Times New Roman" w:eastAsia="Times New Roman" w:hAnsi="Times New Roman"/>
          <w:sz w:val="18"/>
          <w:szCs w:val="18"/>
          <w:color w:val="auto"/>
          <w:vertAlign w:val="superscript"/>
        </w:rPr>
      </w:pPr>
    </w:p>
    <w:p>
      <w:pPr>
        <w:ind w:left="440" w:right="440" w:hanging="417"/>
        <w:spacing w:after="0" w:line="214" w:lineRule="auto"/>
        <w:tabs>
          <w:tab w:leader="none" w:pos="4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amounts in this column represent the cash discretionary annual bonuses for the respective periods awarded pursuant to our discretionary annual cash bonus program. For additional information regarding potential bonuses, see “Elements of our Executive Compensation Program—Annual Cash Bonuses” above.</w:t>
      </w:r>
    </w:p>
    <w:p>
      <w:pPr>
        <w:spacing w:after="0" w:line="120" w:lineRule="exact"/>
        <w:rPr>
          <w:rFonts w:ascii="Times New Roman" w:cs="Times New Roman" w:eastAsia="Times New Roman" w:hAnsi="Times New Roman"/>
          <w:sz w:val="18"/>
          <w:szCs w:val="18"/>
          <w:color w:val="auto"/>
          <w:vertAlign w:val="superscript"/>
        </w:rPr>
      </w:pPr>
    </w:p>
    <w:p>
      <w:pPr>
        <w:ind w:left="440" w:right="220" w:hanging="417"/>
        <w:spacing w:after="0" w:line="214" w:lineRule="auto"/>
        <w:tabs>
          <w:tab w:leader="none" w:pos="4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amounts in this column reflect the aggregate grant date value of awards made during the applicable calendar year computed in accordance with FASB ASC Topic 718. No awards were granted to Mr. Guinta or Ms. Shin during the year-ended December 31, 2023.</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2023</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equity awards were granted to our named executive officers during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2023</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named executive officers did not hold any outstanding equity-based awards as of December 31, 2023.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5" w:name="page26"/>
    <w:bookmarkEnd w:id="25"/>
    <w:p>
      <w:pPr>
        <w:ind w:right="80" w:firstLine="317"/>
        <w:spacing w:after="0" w:line="257" w:lineRule="auto"/>
        <w:rPr>
          <w:sz w:val="20"/>
          <w:szCs w:val="20"/>
          <w:color w:val="auto"/>
        </w:rPr>
      </w:pPr>
      <w:r>
        <w:rPr>
          <w:rFonts w:ascii="Times New Roman" w:cs="Times New Roman" w:eastAsia="Times New Roman" w:hAnsi="Times New Roman"/>
          <w:sz w:val="18"/>
          <w:szCs w:val="18"/>
          <w:color w:val="auto"/>
        </w:rPr>
        <w:t>The PSUs granted to our named executive offices in 2022 were eligible to cliff-vest subject to the named executive officer’s continued employment through January 2, 2024 and the achievement of the Adjusted EBITDA performance metric for fiscal year 2023. The minimum performance level required for vesting was not achieved for fiscal year 2023, and as such, these PSUs did not vest as of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for 2023</w:t>
      </w:r>
    </w:p>
    <w:p>
      <w:pPr>
        <w:spacing w:after="0" w:line="218" w:lineRule="exact"/>
        <w:rPr>
          <w:sz w:val="20"/>
          <w:szCs w:val="20"/>
          <w:color w:val="auto"/>
        </w:rPr>
      </w:pPr>
    </w:p>
    <w:p>
      <w:pPr>
        <w:ind w:right="220" w:firstLine="317"/>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on the PSUs held by our named executive officers that vested during 2023. We had no stock options that were exercised during 2023 or RSUs that vested in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2900" w:type="dxa"/>
            <w:vAlign w:val="bottom"/>
            <w:gridSpan w:val="2"/>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24"/>
        </w:trPr>
        <w:tc>
          <w:tcPr>
            <w:tcW w:w="83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8340" w:type="dxa"/>
            <w:vAlign w:val="bottom"/>
          </w:tcPr>
          <w:p>
            <w:pPr>
              <w:spacing w:after="0"/>
              <w:rPr>
                <w:sz w:val="20"/>
                <w:szCs w:val="20"/>
                <w:color w:val="auto"/>
              </w:rPr>
            </w:pPr>
          </w:p>
        </w:tc>
        <w:tc>
          <w:tcPr>
            <w:tcW w:w="15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60" w:type="dxa"/>
            <w:vAlign w:val="bottom"/>
          </w:tcPr>
          <w:p>
            <w:pPr>
              <w:spacing w:after="0"/>
              <w:rPr>
                <w:sz w:val="20"/>
                <w:szCs w:val="20"/>
                <w:color w:val="auto"/>
              </w:rPr>
            </w:pPr>
          </w:p>
        </w:tc>
      </w:tr>
      <w:tr>
        <w:trPr>
          <w:trHeight w:val="211"/>
        </w:trPr>
        <w:tc>
          <w:tcPr>
            <w:tcW w:w="8340" w:type="dxa"/>
            <w:vAlign w:val="bottom"/>
          </w:tcPr>
          <w:p>
            <w:pPr>
              <w:spacing w:after="0"/>
              <w:rPr>
                <w:sz w:val="18"/>
                <w:szCs w:val="18"/>
                <w:color w:val="auto"/>
              </w:rPr>
            </w:pPr>
          </w:p>
        </w:tc>
        <w:tc>
          <w:tcPr>
            <w:tcW w:w="15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Shares Acquired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Realized</w:t>
            </w:r>
          </w:p>
        </w:tc>
      </w:tr>
      <w:tr>
        <w:trPr>
          <w:trHeight w:val="211"/>
        </w:trPr>
        <w:tc>
          <w:tcPr>
            <w:tcW w:w="8340" w:type="dxa"/>
            <w:vAlign w:val="bottom"/>
          </w:tcPr>
          <w:p>
            <w:pPr>
              <w:spacing w:after="0"/>
              <w:rPr>
                <w:sz w:val="18"/>
                <w:szCs w:val="18"/>
                <w:color w:val="auto"/>
              </w:rPr>
            </w:pPr>
          </w:p>
        </w:tc>
        <w:tc>
          <w:tcPr>
            <w:tcW w:w="15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7"/>
              </w:rPr>
              <w:t>on Vesting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Vesting</w:t>
            </w:r>
          </w:p>
        </w:tc>
      </w:tr>
      <w:tr>
        <w:trPr>
          <w:trHeight w:val="21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4"/>
        </w:trPr>
        <w:tc>
          <w:tcPr>
            <w:tcW w:w="8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15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c>
          <w:tcPr>
            <w:tcW w:w="154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42,338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1,795,978</w:t>
            </w:r>
          </w:p>
        </w:tc>
      </w:tr>
      <w:tr>
        <w:trPr>
          <w:trHeight w:val="22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Yunyoung Shin</w:t>
            </w:r>
          </w:p>
        </w:tc>
        <w:tc>
          <w:tcPr>
            <w:tcW w:w="15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42,338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1,795,978</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for 2023</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do not maintain any defined benefit pension plans in which any of our named executive officers participate.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for 2023</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do not maintain any nonqualified deferred compensation plans in which any of our named executive officers participate.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Change-in-Control or Termination</w:t>
      </w:r>
    </w:p>
    <w:p>
      <w:pPr>
        <w:spacing w:after="0" w:line="218" w:lineRule="exact"/>
        <w:rPr>
          <w:sz w:val="20"/>
          <w:szCs w:val="20"/>
          <w:color w:val="auto"/>
        </w:rPr>
      </w:pPr>
    </w:p>
    <w:p>
      <w:pPr>
        <w:ind w:right="400" w:firstLine="317"/>
        <w:spacing w:after="0" w:line="270" w:lineRule="auto"/>
        <w:rPr>
          <w:sz w:val="20"/>
          <w:szCs w:val="20"/>
          <w:color w:val="auto"/>
        </w:rPr>
      </w:pPr>
      <w:r>
        <w:rPr>
          <w:rFonts w:ascii="Times New Roman" w:cs="Times New Roman" w:eastAsia="Times New Roman" w:hAnsi="Times New Roman"/>
          <w:sz w:val="18"/>
          <w:szCs w:val="18"/>
          <w:color w:val="auto"/>
        </w:rPr>
        <w:t>We do not have any employment agreements, offer letters, severance plans or change in control plans that provide for any cash payment to any of our named executive officers in connection with a termination of employment or a change in control of the Company.</w:t>
      </w:r>
    </w:p>
    <w:p>
      <w:pPr>
        <w:spacing w:after="0" w:line="168" w:lineRule="exact"/>
        <w:rPr>
          <w:sz w:val="20"/>
          <w:szCs w:val="20"/>
          <w:color w:val="auto"/>
        </w:rPr>
      </w:pPr>
    </w:p>
    <w:p>
      <w:pPr>
        <w:ind w:right="20" w:firstLine="317"/>
        <w:spacing w:after="0" w:line="251" w:lineRule="auto"/>
        <w:rPr>
          <w:sz w:val="20"/>
          <w:szCs w:val="20"/>
          <w:color w:val="auto"/>
        </w:rPr>
      </w:pPr>
      <w:r>
        <w:rPr>
          <w:rFonts w:ascii="Times New Roman" w:cs="Times New Roman" w:eastAsia="Times New Roman" w:hAnsi="Times New Roman"/>
          <w:sz w:val="18"/>
          <w:szCs w:val="18"/>
          <w:color w:val="auto"/>
        </w:rPr>
        <w:t>Under the terms of the Incentive Plan, unless otherwise determined by our Board or our Compensation Committee prior to a change in control or evidenced in an award agreement, outstanding and unvested equity awards will fully vest upon a termination of employment by the Company without cause or by the participant for “good reason” (to the extent a “good reason” concept is provided in a participant’s applicable award agreement or individual employment or severance agreement) within 12 months following a change in control, with any performance conditions deemed to be fully achieved. Mr. Guinta’s and Ms. Shin’s PSU award agreements and offer letters do not provide for a “good reason” concept.</w:t>
      </w:r>
    </w:p>
    <w:p>
      <w:pPr>
        <w:spacing w:after="0" w:line="185" w:lineRule="exact"/>
        <w:rPr>
          <w:sz w:val="20"/>
          <w:szCs w:val="20"/>
          <w:color w:val="auto"/>
        </w:rPr>
      </w:pPr>
    </w:p>
    <w:p>
      <w:pPr>
        <w:ind w:right="220" w:firstLine="317"/>
        <w:spacing w:after="0" w:line="270" w:lineRule="auto"/>
        <w:rPr>
          <w:sz w:val="20"/>
          <w:szCs w:val="20"/>
          <w:color w:val="auto"/>
        </w:rPr>
      </w:pPr>
      <w:r>
        <w:rPr>
          <w:rFonts w:ascii="Times New Roman" w:cs="Times New Roman" w:eastAsia="Times New Roman" w:hAnsi="Times New Roman"/>
          <w:sz w:val="18"/>
          <w:szCs w:val="18"/>
          <w:color w:val="auto"/>
        </w:rPr>
        <w:t>As of December 31, 2023, Mr. Guinta and Ms. Shin did not hold any outstanding equity awards under the Incentive Plan. As described above, the PSUs granted to our named executive officers in 2022 did not vest as of December 31,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18" w:lineRule="exact"/>
        <w:rPr>
          <w:sz w:val="20"/>
          <w:szCs w:val="20"/>
          <w:color w:val="auto"/>
        </w:rPr>
      </w:pPr>
    </w:p>
    <w:p>
      <w:pPr>
        <w:ind w:right="220" w:firstLine="317"/>
        <w:spacing w:after="0" w:line="253" w:lineRule="auto"/>
        <w:rPr>
          <w:sz w:val="20"/>
          <w:szCs w:val="20"/>
          <w:color w:val="auto"/>
        </w:rPr>
      </w:pPr>
      <w:r>
        <w:rPr>
          <w:rFonts w:ascii="Times New Roman" w:cs="Times New Roman" w:eastAsia="Times New Roman" w:hAnsi="Times New Roman"/>
          <w:sz w:val="18"/>
          <w:szCs w:val="18"/>
          <w:color w:val="auto"/>
        </w:rPr>
        <w:t>As required by SEC rules, we are providing the information below to explain the relationship between the annual total compensation of Mr. Edens, who served as our Chief Executive Officer and the Chairman of our Board of Directors in 2023, and the annual total compensation of our median employee, excluding our CEO. As Mr. Edens has elected to serve as our CEO without compensation, the ratio of the annual total compensation of our CEO’s to the median annual total compensation of all employees is zero.</w:t>
      </w:r>
    </w:p>
    <w:p>
      <w:pPr>
        <w:spacing w:after="0" w:line="184" w:lineRule="exact"/>
        <w:rPr>
          <w:sz w:val="20"/>
          <w:szCs w:val="20"/>
          <w:color w:val="auto"/>
        </w:rPr>
      </w:pPr>
    </w:p>
    <w:p>
      <w:pPr>
        <w:ind w:right="80" w:firstLine="317"/>
        <w:spacing w:after="0" w:line="253" w:lineRule="auto"/>
        <w:rPr>
          <w:sz w:val="20"/>
          <w:szCs w:val="20"/>
          <w:color w:val="auto"/>
        </w:rPr>
      </w:pPr>
      <w:r>
        <w:rPr>
          <w:rFonts w:ascii="Times New Roman" w:cs="Times New Roman" w:eastAsia="Times New Roman" w:hAnsi="Times New Roman"/>
          <w:sz w:val="18"/>
          <w:szCs w:val="18"/>
          <w:color w:val="auto"/>
        </w:rPr>
        <w:t>The 2023 annual total compensation of our median employee (other than our CEO), calculated in accordance with Item 402(c) of Regulation S-K, was $68,640. This reflects an analysis of our workforce of 1,391 employees as of December 31, 2023, including part-time employees. We did not include independent contractors in our determination. To identify our median employee, we reviewed the W-2 Box 1 for US employees and pay stub data for any non-US employees compensation for all of our employees, which measure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6" w:name="page27"/>
    <w:bookmarkEnd w:id="26"/>
    <w:p>
      <w:pPr>
        <w:spacing w:after="0" w:line="270" w:lineRule="auto"/>
        <w:rPr>
          <w:sz w:val="20"/>
          <w:szCs w:val="20"/>
          <w:color w:val="auto"/>
        </w:rPr>
      </w:pPr>
      <w:r>
        <w:rPr>
          <w:rFonts w:ascii="Times New Roman" w:cs="Times New Roman" w:eastAsia="Times New Roman" w:hAnsi="Times New Roman"/>
          <w:sz w:val="18"/>
          <w:szCs w:val="18"/>
          <w:color w:val="auto"/>
        </w:rPr>
        <w:t>was consistently applied to all our employees included in the calculation. We did not make any cost-of-living adjustments in identifying our median employee for 2023.</w:t>
      </w:r>
    </w:p>
    <w:p>
      <w:pPr>
        <w:spacing w:after="0" w:line="168" w:lineRule="exact"/>
        <w:rPr>
          <w:sz w:val="20"/>
          <w:szCs w:val="20"/>
          <w:color w:val="auto"/>
        </w:rPr>
      </w:pPr>
    </w:p>
    <w:p>
      <w:pPr>
        <w:ind w:right="620" w:firstLine="317"/>
        <w:spacing w:after="0" w:line="257" w:lineRule="auto"/>
        <w:rPr>
          <w:sz w:val="20"/>
          <w:szCs w:val="20"/>
          <w:color w:val="auto"/>
        </w:rPr>
      </w:pPr>
      <w:r>
        <w:rPr>
          <w:rFonts w:ascii="Times New Roman" w:cs="Times New Roman" w:eastAsia="Times New Roman" w:hAnsi="Times New Roman"/>
          <w:sz w:val="18"/>
          <w:szCs w:val="18"/>
          <w:color w:val="auto"/>
        </w:rPr>
        <w:t>Once we identified our median employee for 2023 using the methodology described above, we determined the median employee’s annual total compensation for 2023 in accordance with the requirements of Item 402(c) of Regulation S-K consistent with the calculation of the 2023 annual total compensation of our named executive officers as reported in the Summary Compensation Table for 2023 in this Proxy Statement.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966"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18" w:lineRule="exact"/>
        <w:rPr>
          <w:sz w:val="20"/>
          <w:szCs w:val="20"/>
          <w:color w:val="auto"/>
        </w:rPr>
      </w:pPr>
    </w:p>
    <w:p>
      <w:pPr>
        <w:ind w:right="100" w:firstLine="317"/>
        <w:spacing w:after="0" w:line="250"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regarding the relationship between executive compensation and our financial performance for each of 2023, 2022, 2021 and 2020. In determining the “compensation actually paid” to our named executive officers, we are required to make various adjustments to amounts that have been reported in our Summary Compensation Table for each of 2023, 2022, 2021 and 2020, as the SEC’s valuation methods for this section differ from those required in our Summary Compensation Tables. As described more fully above, this table does not include information regarding compensation paid to Mr. Edens because Mr. Edens does not receive any compensation from any party for services rendered to us.</w:t>
      </w:r>
    </w:p>
    <w:p>
      <w:pPr>
        <w:spacing w:after="0" w:line="24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30480</wp:posOffset>
            </wp:positionV>
            <wp:extent cx="6791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1325" cy="8255"/>
                    </a:xfrm>
                    <a:prstGeom prst="rect">
                      <a:avLst/>
                    </a:prstGeom>
                    <a:noFill/>
                  </pic:spPr>
                </pic:pic>
              </a:graphicData>
            </a:graphic>
          </wp:anchor>
        </w:drawing>
      </w:r>
    </w:p>
    <w:p>
      <w:pPr>
        <w:sectPr>
          <w:pgSz w:w="11900" w:h="16838" w:orient="portrait"/>
          <w:cols w:equalWidth="0" w:num="1">
            <w:col w:w="11340"/>
          </w:cols>
          <w:pgMar w:left="320" w:top="964" w:right="239" w:bottom="1440" w:gutter="0" w:footer="0" w:header="0"/>
        </w:sectPr>
      </w:pP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140" w:type="dxa"/>
            <w:vAlign w:val="bottom"/>
            <w:vMerge w:val="restart"/>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1140" w:type="dxa"/>
            <w:vAlign w:val="bottom"/>
          </w:tcPr>
          <w:p>
            <w:pPr>
              <w:jc w:val="center"/>
              <w:ind w:left="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Total for Non-</w:t>
            </w:r>
          </w:p>
        </w:tc>
        <w:tc>
          <w:tcPr>
            <w:tcW w:w="1140" w:type="dxa"/>
            <w:vAlign w:val="bottom"/>
          </w:tcPr>
          <w:p>
            <w:pPr>
              <w:jc w:val="center"/>
              <w:ind w:left="10"/>
              <w:spacing w:after="0" w:line="143"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32"/>
        </w:trPr>
        <w:tc>
          <w:tcPr>
            <w:tcW w:w="42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2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8"/>
              </w:rPr>
              <w:t>Actually</w:t>
            </w:r>
          </w:p>
        </w:tc>
        <w:tc>
          <w:tcPr>
            <w:tcW w:w="10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PEO Named</w:t>
            </w:r>
          </w:p>
        </w:tc>
        <w:tc>
          <w:tcPr>
            <w:tcW w:w="1140" w:type="dxa"/>
            <w:vAlign w:val="bottom"/>
          </w:tcPr>
          <w:p>
            <w:pPr>
              <w:jc w:val="center"/>
              <w:ind w:left="10"/>
              <w:spacing w:after="0" w:line="132" w:lineRule="exact"/>
              <w:rPr>
                <w:sz w:val="20"/>
                <w:szCs w:val="20"/>
                <w:color w:val="auto"/>
              </w:rPr>
            </w:pPr>
            <w:r>
              <w:rPr>
                <w:rFonts w:ascii="Times New Roman" w:cs="Times New Roman" w:eastAsia="Times New Roman" w:hAnsi="Times New Roman"/>
                <w:sz w:val="14"/>
                <w:szCs w:val="14"/>
                <w:b w:val="1"/>
                <w:bCs w:val="1"/>
                <w:color w:val="auto"/>
              </w:rPr>
              <w:t>Non-PEO Named</w:t>
            </w:r>
          </w:p>
        </w:tc>
        <w:tc>
          <w:tcPr>
            <w:tcW w:w="0" w:type="dxa"/>
            <w:vAlign w:val="bottom"/>
          </w:tcPr>
          <w:p>
            <w:pPr>
              <w:spacing w:after="0"/>
              <w:rPr>
                <w:sz w:val="1"/>
                <w:szCs w:val="1"/>
                <w:color w:val="auto"/>
              </w:rPr>
            </w:pPr>
          </w:p>
        </w:tc>
      </w:tr>
      <w:tr>
        <w:trPr>
          <w:trHeight w:val="145"/>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Paid</w:t>
            </w: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Executive</w:t>
            </w:r>
          </w:p>
        </w:tc>
        <w:tc>
          <w:tcPr>
            <w:tcW w:w="1140" w:type="dxa"/>
            <w:vAlign w:val="bottom"/>
          </w:tcPr>
          <w:p>
            <w:pPr>
              <w:jc w:val="center"/>
              <w:ind w:left="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Executive</w:t>
            </w:r>
          </w:p>
        </w:tc>
        <w:tc>
          <w:tcPr>
            <w:tcW w:w="0" w:type="dxa"/>
            <w:vAlign w:val="bottom"/>
          </w:tcPr>
          <w:p>
            <w:pPr>
              <w:spacing w:after="0"/>
              <w:rPr>
                <w:sz w:val="1"/>
                <w:szCs w:val="1"/>
                <w:color w:val="auto"/>
              </w:rPr>
            </w:pPr>
          </w:p>
        </w:tc>
      </w:tr>
      <w:tr>
        <w:trPr>
          <w:trHeight w:val="198"/>
        </w:trPr>
        <w:tc>
          <w:tcPr>
            <w:tcW w:w="420" w:type="dxa"/>
            <w:vAlign w:val="bottom"/>
            <w:vMerge w:val="continue"/>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22"/>
                <w:szCs w:val="22"/>
                <w:b w:val="1"/>
                <w:bCs w:val="1"/>
                <w:color w:val="auto"/>
                <w:vertAlign w:val="subscript"/>
              </w:rPr>
              <w:t>PEO</w:t>
            </w:r>
            <w:r>
              <w:rPr>
                <w:rFonts w:ascii="Times New Roman" w:cs="Times New Roman" w:eastAsia="Times New Roman" w:hAnsi="Times New Roman"/>
                <w:sz w:val="8"/>
                <w:szCs w:val="8"/>
                <w:b w:val="1"/>
                <w:bCs w:val="1"/>
                <w:color w:val="auto"/>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PEO</w:t>
            </w: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3"/>
              </w:rPr>
              <w:t>Officers</w:t>
            </w:r>
            <w:r>
              <w:rPr>
                <w:rFonts w:ascii="Times New Roman" w:cs="Times New Roman" w:eastAsia="Times New Roman" w:hAnsi="Times New Roman"/>
                <w:sz w:val="18"/>
                <w:szCs w:val="18"/>
                <w:b w:val="1"/>
                <w:bCs w:val="1"/>
                <w:color w:val="auto"/>
                <w:w w:val="93"/>
                <w:vertAlign w:val="superscript"/>
              </w:rPr>
              <w:t>(1)</w:t>
            </w:r>
          </w:p>
        </w:tc>
        <w:tc>
          <w:tcPr>
            <w:tcW w:w="114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4"/>
                <w:szCs w:val="14"/>
                <w:b w:val="1"/>
                <w:bCs w:val="1"/>
                <w:color w:val="auto"/>
                <w:w w:val="91"/>
              </w:rPr>
              <w:t>Officers</w:t>
            </w:r>
            <w:r>
              <w:rPr>
                <w:rFonts w:ascii="Times New Roman" w:cs="Times New Roman" w:eastAsia="Times New Roman" w:hAnsi="Times New Roman"/>
                <w:sz w:val="18"/>
                <w:szCs w:val="18"/>
                <w:b w:val="1"/>
                <w:bCs w:val="1"/>
                <w:color w:val="auto"/>
                <w:w w:val="91"/>
                <w:vertAlign w:val="superscript"/>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30480</wp:posOffset>
            </wp:positionV>
            <wp:extent cx="2565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Peer Group</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Peer Group</w:t>
            </w: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840" w:type="dxa"/>
            <w:vAlign w:val="bottom"/>
          </w:tcPr>
          <w:p>
            <w:pPr>
              <w:spacing w:after="0"/>
              <w:rPr>
                <w:sz w:val="8"/>
                <w:szCs w:val="8"/>
                <w:color w:val="auto"/>
              </w:rPr>
            </w:pPr>
          </w:p>
        </w:tc>
        <w:tc>
          <w:tcPr>
            <w:tcW w:w="104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4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Net Income</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840" w:type="dxa"/>
            <w:vAlign w:val="bottom"/>
            <w:vMerge w:val="restart"/>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vMerge w:val="continue"/>
          </w:tcPr>
          <w:p>
            <w:pPr>
              <w:spacing w:after="0"/>
              <w:rPr>
                <w:sz w:val="5"/>
                <w:szCs w:val="5"/>
                <w:color w:val="auto"/>
              </w:rPr>
            </w:pPr>
          </w:p>
        </w:tc>
        <w:tc>
          <w:tcPr>
            <w:tcW w:w="10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40" w:type="dxa"/>
            <w:vAlign w:val="bottom"/>
            <w:vMerge w:val="continue"/>
          </w:tcPr>
          <w:p>
            <w:pPr>
              <w:spacing w:after="0"/>
              <w:rPr>
                <w:sz w:val="5"/>
                <w:szCs w:val="5"/>
                <w:color w:val="auto"/>
              </w:rPr>
            </w:pPr>
          </w:p>
        </w:tc>
        <w:tc>
          <w:tcPr>
            <w:tcW w:w="880" w:type="dxa"/>
            <w:vAlign w:val="bottom"/>
            <w:vMerge w:val="restart"/>
          </w:tcPr>
          <w:p>
            <w:pPr>
              <w:jc w:val="center"/>
              <w:ind w:left="50"/>
              <w:spacing w:after="0" w:line="143"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79"/>
        </w:trPr>
        <w:tc>
          <w:tcPr>
            <w:tcW w:w="840" w:type="dxa"/>
            <w:vAlign w:val="bottom"/>
            <w:vMerge w:val="continue"/>
          </w:tcPr>
          <w:p>
            <w:pPr>
              <w:spacing w:after="0"/>
              <w:rPr>
                <w:sz w:val="6"/>
                <w:szCs w:val="6"/>
                <w:color w:val="auto"/>
              </w:rPr>
            </w:pPr>
          </w:p>
        </w:tc>
        <w:tc>
          <w:tcPr>
            <w:tcW w:w="104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840" w:type="dxa"/>
            <w:vAlign w:val="bottom"/>
            <w:vMerge w:val="restart"/>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vMerge w:val="continue"/>
          </w:tcPr>
          <w:p>
            <w:pPr>
              <w:spacing w:after="0"/>
              <w:rPr>
                <w:sz w:val="5"/>
                <w:szCs w:val="5"/>
                <w:color w:val="auto"/>
              </w:rPr>
            </w:pPr>
          </w:p>
        </w:tc>
        <w:tc>
          <w:tcPr>
            <w:tcW w:w="102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vMerge w:val="continue"/>
          </w:tcPr>
          <w:p>
            <w:pPr>
              <w:spacing w:after="0"/>
              <w:rPr>
                <w:sz w:val="5"/>
                <w:szCs w:val="5"/>
                <w:color w:val="auto"/>
              </w:rPr>
            </w:pPr>
          </w:p>
        </w:tc>
        <w:tc>
          <w:tcPr>
            <w:tcW w:w="880" w:type="dxa"/>
            <w:vAlign w:val="bottom"/>
            <w:vMerge w:val="restart"/>
          </w:tcPr>
          <w:p>
            <w:pPr>
              <w:jc w:val="center"/>
              <w:ind w:left="50"/>
              <w:spacing w:after="0" w:line="145" w:lineRule="exact"/>
              <w:rPr>
                <w:sz w:val="20"/>
                <w:szCs w:val="20"/>
                <w:color w:val="auto"/>
              </w:rPr>
            </w:pPr>
            <w:r>
              <w:rPr>
                <w:rFonts w:ascii="Times New Roman" w:cs="Times New Roman" w:eastAsia="Times New Roman" w:hAnsi="Times New Roman"/>
                <w:sz w:val="14"/>
                <w:szCs w:val="14"/>
                <w:b w:val="1"/>
                <w:bCs w:val="1"/>
                <w:color w:val="auto"/>
              </w:rPr>
              <w:t>EBITDA (In</w:t>
            </w:r>
          </w:p>
        </w:tc>
        <w:tc>
          <w:tcPr>
            <w:tcW w:w="0" w:type="dxa"/>
            <w:vAlign w:val="bottom"/>
          </w:tcPr>
          <w:p>
            <w:pPr>
              <w:spacing w:after="0"/>
              <w:rPr>
                <w:sz w:val="1"/>
                <w:szCs w:val="1"/>
                <w:color w:val="auto"/>
              </w:rPr>
            </w:pPr>
          </w:p>
        </w:tc>
      </w:tr>
      <w:tr>
        <w:trPr>
          <w:trHeight w:val="79"/>
        </w:trPr>
        <w:tc>
          <w:tcPr>
            <w:tcW w:w="840" w:type="dxa"/>
            <w:vAlign w:val="bottom"/>
            <w:vMerge w:val="continue"/>
          </w:tcPr>
          <w:p>
            <w:pPr>
              <w:spacing w:after="0"/>
              <w:rPr>
                <w:sz w:val="6"/>
                <w:szCs w:val="6"/>
                <w:color w:val="auto"/>
              </w:rPr>
            </w:pPr>
          </w:p>
        </w:tc>
        <w:tc>
          <w:tcPr>
            <w:tcW w:w="1040" w:type="dxa"/>
            <w:vAlign w:val="bottom"/>
          </w:tcPr>
          <w:p>
            <w:pPr>
              <w:jc w:val="center"/>
              <w:spacing w:after="0" w:line="79" w:lineRule="exact"/>
              <w:rPr>
                <w:sz w:val="20"/>
                <w:szCs w:val="20"/>
                <w:color w:val="auto"/>
              </w:rPr>
            </w:pPr>
            <w:r>
              <w:rPr>
                <w:rFonts w:ascii="Times New Roman" w:cs="Times New Roman" w:eastAsia="Times New Roman" w:hAnsi="Times New Roman"/>
                <w:sz w:val="9"/>
                <w:szCs w:val="9"/>
                <w:b w:val="1"/>
                <w:bCs w:val="1"/>
                <w:color w:val="auto"/>
              </w:rPr>
              <w:t>Return (ICLN)</w:t>
            </w:r>
          </w:p>
        </w:tc>
        <w:tc>
          <w:tcPr>
            <w:tcW w:w="10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0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102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6"/>
              </w:rPr>
              <w:t>Return (VDE)</w:t>
            </w:r>
            <w:r>
              <w:rPr>
                <w:rFonts w:ascii="Times New Roman" w:cs="Times New Roman" w:eastAsia="Times New Roman" w:hAnsi="Times New Roman"/>
                <w:sz w:val="18"/>
                <w:szCs w:val="18"/>
                <w:b w:val="1"/>
                <w:bCs w:val="1"/>
                <w:color w:val="auto"/>
                <w:w w:val="96"/>
                <w:vertAlign w:val="superscript"/>
              </w:rPr>
              <w:t>(4)</w:t>
            </w:r>
          </w:p>
        </w:tc>
        <w:tc>
          <w:tcPr>
            <w:tcW w:w="20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4"/>
                <w:szCs w:val="14"/>
                <w:b w:val="1"/>
                <w:bCs w:val="1"/>
                <w:color w:val="auto"/>
              </w:rPr>
              <w:t>Return (XLE)</w:t>
            </w:r>
            <w:r>
              <w:rPr>
                <w:rFonts w:ascii="Times New Roman" w:cs="Times New Roman" w:eastAsia="Times New Roman" w:hAnsi="Times New Roman"/>
                <w:sz w:val="18"/>
                <w:szCs w:val="18"/>
                <w:b w:val="1"/>
                <w:bCs w:val="1"/>
                <w:color w:val="auto"/>
                <w:vertAlign w:val="superscript"/>
              </w:rPr>
              <w:t>(4)</w:t>
            </w:r>
            <w:r>
              <w:rPr>
                <w:rFonts w:ascii="Times New Roman" w:cs="Times New Roman" w:eastAsia="Times New Roman" w:hAnsi="Times New Roman"/>
                <w:sz w:val="14"/>
                <w:szCs w:val="14"/>
                <w:b w:val="1"/>
                <w:bCs w:val="1"/>
                <w:color w:val="auto"/>
              </w:rPr>
              <w:t xml:space="preserve">   (In thousands)</w:t>
            </w:r>
          </w:p>
        </w:tc>
        <w:tc>
          <w:tcPr>
            <w:tcW w:w="88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4"/>
                <w:szCs w:val="14"/>
                <w:b w:val="1"/>
                <w:bCs w:val="1"/>
                <w:color w:val="auto"/>
                <w:w w:val="95"/>
              </w:rPr>
              <w:t>thousands)</w:t>
            </w:r>
            <w:r>
              <w:rPr>
                <w:rFonts w:ascii="Times New Roman" w:cs="Times New Roman" w:eastAsia="Times New Roman" w:hAnsi="Times New Roman"/>
                <w:sz w:val="18"/>
                <w:szCs w:val="18"/>
                <w:b w:val="1"/>
                <w:bCs w:val="1"/>
                <w:color w:val="auto"/>
                <w:w w:val="95"/>
                <w:vertAlign w:val="superscript"/>
              </w:rPr>
              <w:t>(5)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060" w:space="180"/>
            <w:col w:w="6100"/>
          </w:cols>
          <w:pgMar w:left="320" w:top="964" w:right="2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(a)</w:t>
            </w:r>
          </w:p>
        </w:tc>
        <w:tc>
          <w:tcPr>
            <w:tcW w:w="8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i w:val="1"/>
                <w:iCs w:val="1"/>
                <w:color w:val="auto"/>
              </w:rPr>
              <w:t>(b)</w:t>
            </w:r>
          </w:p>
        </w:tc>
        <w:tc>
          <w:tcPr>
            <w:tcW w:w="11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i w:val="1"/>
                <w:iCs w:val="1"/>
                <w:color w:val="auto"/>
              </w:rPr>
              <w:t>(c)</w:t>
            </w:r>
          </w:p>
        </w:tc>
        <w:tc>
          <w:tcPr>
            <w:tcW w:w="5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i w:val="1"/>
                <w:iCs w:val="1"/>
                <w:color w:val="auto"/>
              </w:rPr>
              <w:t>(d)</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i w:val="1"/>
                <w:iCs w:val="1"/>
                <w:color w:val="auto"/>
              </w:rPr>
              <w:t>(e)</w:t>
            </w: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i w:val="1"/>
                <w:iCs w:val="1"/>
                <w:color w:val="auto"/>
              </w:rPr>
              <w:t>(f)</w:t>
            </w: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i w:val="1"/>
                <w:iCs w:val="1"/>
                <w:color w:val="auto"/>
              </w:rPr>
              <w:t>(g)</w:t>
            </w: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i w:val="1"/>
                <w:iCs w:val="1"/>
                <w:color w:val="auto"/>
              </w:rPr>
              <w:t>(g)</w:t>
            </w: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i w:val="1"/>
                <w:iCs w:val="1"/>
                <w:color w:val="auto"/>
              </w:rPr>
              <w:t>(g)</w:t>
            </w: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i w:val="1"/>
                <w:iCs w:val="1"/>
                <w:color w:val="auto"/>
              </w:rPr>
              <w:t>(h)</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i w:val="1"/>
                <w:iCs w:val="1"/>
                <w:color w:val="auto"/>
              </w:rPr>
              <w:t>(i)</w:t>
            </w:r>
          </w:p>
        </w:tc>
      </w:tr>
      <w:tr>
        <w:trPr>
          <w:trHeight w:val="224"/>
        </w:trPr>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271.41</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1,282,430</w:t>
            </w:r>
          </w:p>
        </w:tc>
      </w:tr>
      <w:tr>
        <w:trPr>
          <w:trHeight w:val="22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60" w:type="dxa"/>
            <w:vAlign w:val="bottom"/>
          </w:tcPr>
          <w:p>
            <w:pPr>
              <w:spacing w:after="0"/>
              <w:rPr>
                <w:sz w:val="19"/>
                <w:szCs w:val="19"/>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4,087,514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3,402,381</w:t>
            </w:r>
          </w:p>
        </w:tc>
        <w:tc>
          <w:tcPr>
            <w:tcW w:w="30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278.22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184,786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1,071,309</w:t>
            </w:r>
          </w:p>
        </w:tc>
      </w:tr>
      <w:tr>
        <w:trPr>
          <w:trHeight w:val="224"/>
        </w:trPr>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2,260,943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3,502,760</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156.82</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604,560</w:t>
            </w:r>
          </w:p>
        </w:tc>
      </w:tr>
      <w:tr>
        <w:trPr>
          <w:trHeight w:val="231"/>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60" w:type="dxa"/>
            <w:vAlign w:val="bottom"/>
          </w:tcPr>
          <w:p>
            <w:pPr>
              <w:spacing w:after="0"/>
              <w:rPr>
                <w:sz w:val="20"/>
                <w:szCs w:val="20"/>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1,736,742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3,801,911</w:t>
            </w:r>
          </w:p>
        </w:tc>
        <w:tc>
          <w:tcPr>
            <w:tcW w:w="300" w:type="dxa"/>
            <w:vAlign w:val="bottom"/>
          </w:tcPr>
          <w:p>
            <w:pPr>
              <w:spacing w:after="0"/>
              <w:rPr>
                <w:sz w:val="20"/>
                <w:szCs w:val="20"/>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344.01</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241.80</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(263,965)</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33,322</w:t>
            </w:r>
          </w:p>
        </w:tc>
      </w:tr>
    </w:tbl>
    <w:p>
      <w:pPr>
        <w:spacing w:after="0" w:line="291" w:lineRule="exact"/>
        <w:rPr>
          <w:sz w:val="20"/>
          <w:szCs w:val="20"/>
          <w:color w:val="auto"/>
        </w:rPr>
      </w:pPr>
    </w:p>
    <w:p>
      <w:pPr>
        <w:ind w:left="440" w:hanging="417"/>
        <w:spacing w:after="0"/>
        <w:tabs>
          <w:tab w:leader="none" w:pos="44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all four years shown in the table, our principal executive officer (“PEO”) was Mr. Edens, and our non-PEO named executive officers were Mr. Guinta and Ms. Shin.</w:t>
      </w:r>
    </w:p>
    <w:p>
      <w:pPr>
        <w:spacing w:after="0" w:line="30" w:lineRule="exact"/>
        <w:rPr>
          <w:rFonts w:ascii="Times New Roman" w:cs="Times New Roman" w:eastAsia="Times New Roman" w:hAnsi="Times New Roman"/>
          <w:sz w:val="18"/>
          <w:szCs w:val="18"/>
          <w:color w:val="auto"/>
          <w:vertAlign w:val="superscript"/>
        </w:rPr>
      </w:pPr>
    </w:p>
    <w:p>
      <w:pPr>
        <w:ind w:left="440" w:right="140" w:hanging="417"/>
        <w:spacing w:after="0" w:line="195" w:lineRule="auto"/>
        <w:tabs>
          <w:tab w:leader="none" w:pos="44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amounts in the following table represent each of the average amounts deducted and added to the equity award values for our non-PEO named executive officers for the applicable year for purposes of computing the average “compensation actually paid” for our non-PEO named executive officers for each year:</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vMerge w:val="restart"/>
          </w:tcPr>
          <w:p>
            <w:pPr>
              <w:jc w:val="center"/>
              <w:ind w:right="327"/>
              <w:spacing w:after="0"/>
              <w:rPr>
                <w:sz w:val="20"/>
                <w:szCs w:val="20"/>
                <w:color w:val="auto"/>
              </w:rPr>
            </w:pPr>
            <w:r>
              <w:rPr>
                <w:rFonts w:ascii="Times New Roman" w:cs="Times New Roman" w:eastAsia="Times New Roman" w:hAnsi="Times New Roman"/>
                <w:sz w:val="14"/>
                <w:szCs w:val="14"/>
                <w:b w:val="1"/>
                <w:bCs w:val="1"/>
                <w:color w:val="auto"/>
                <w:w w:val="99"/>
              </w:rPr>
              <w:t>Minus</w:t>
            </w:r>
          </w:p>
        </w:tc>
        <w:tc>
          <w:tcPr>
            <w:tcW w:w="1800" w:type="dxa"/>
            <w:vAlign w:val="bottom"/>
            <w:vMerge w:val="restart"/>
          </w:tcPr>
          <w:p>
            <w:pPr>
              <w:jc w:val="center"/>
              <w:ind w:right="267"/>
              <w:spacing w:after="0"/>
              <w:rPr>
                <w:sz w:val="20"/>
                <w:szCs w:val="20"/>
                <w:color w:val="auto"/>
              </w:rPr>
            </w:pPr>
            <w:r>
              <w:rPr>
                <w:rFonts w:ascii="Times New Roman" w:cs="Times New Roman" w:eastAsia="Times New Roman" w:hAnsi="Times New Roman"/>
                <w:sz w:val="14"/>
                <w:szCs w:val="14"/>
                <w:b w:val="1"/>
                <w:bCs w:val="1"/>
                <w:color w:val="auto"/>
              </w:rPr>
              <w:t>Plus</w:t>
            </w:r>
          </w:p>
        </w:tc>
        <w:tc>
          <w:tcPr>
            <w:tcW w:w="2080" w:type="dxa"/>
            <w:vAlign w:val="bottom"/>
          </w:tcPr>
          <w:p>
            <w:pPr>
              <w:jc w:val="center"/>
              <w:ind w:right="267"/>
              <w:spacing w:after="0"/>
              <w:rPr>
                <w:sz w:val="20"/>
                <w:szCs w:val="20"/>
                <w:color w:val="auto"/>
              </w:rPr>
            </w:pPr>
            <w:r>
              <w:rPr>
                <w:rFonts w:ascii="Times New Roman" w:cs="Times New Roman" w:eastAsia="Times New Roman" w:hAnsi="Times New Roman"/>
                <w:sz w:val="14"/>
                <w:szCs w:val="14"/>
                <w:b w:val="1"/>
                <w:bCs w:val="1"/>
                <w:color w:val="auto"/>
              </w:rPr>
              <w:t>Plus</w:t>
            </w:r>
          </w:p>
        </w:tc>
        <w:tc>
          <w:tcPr>
            <w:tcW w:w="1760" w:type="dxa"/>
            <w:vAlign w:val="bottom"/>
          </w:tcPr>
          <w:p>
            <w:pPr>
              <w:jc w:val="center"/>
              <w:ind w:right="267"/>
              <w:spacing w:after="0"/>
              <w:rPr>
                <w:sz w:val="20"/>
                <w:szCs w:val="20"/>
                <w:color w:val="auto"/>
              </w:rPr>
            </w:pPr>
            <w:r>
              <w:rPr>
                <w:rFonts w:ascii="Times New Roman" w:cs="Times New Roman" w:eastAsia="Times New Roman" w:hAnsi="Times New Roman"/>
                <w:sz w:val="14"/>
                <w:szCs w:val="14"/>
                <w:b w:val="1"/>
                <w:bCs w:val="1"/>
                <w:color w:val="auto"/>
              </w:rPr>
              <w:t>Plus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restart"/>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9"/>
              </w:rPr>
              <w:t>Average Summary</w:t>
            </w:r>
          </w:p>
        </w:tc>
        <w:tc>
          <w:tcPr>
            <w:tcW w:w="1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2080" w:type="dxa"/>
            <w:vAlign w:val="bottom"/>
          </w:tcPr>
          <w:p>
            <w:pPr>
              <w:jc w:val="center"/>
              <w:ind w:right="307"/>
              <w:spacing w:after="0" w:line="145" w:lineRule="exact"/>
              <w:rPr>
                <w:sz w:val="20"/>
                <w:szCs w:val="20"/>
                <w:color w:val="auto"/>
              </w:rPr>
            </w:pPr>
            <w:r>
              <w:rPr>
                <w:rFonts w:ascii="Times New Roman" w:cs="Times New Roman" w:eastAsia="Times New Roman" w:hAnsi="Times New Roman"/>
                <w:sz w:val="14"/>
                <w:szCs w:val="14"/>
                <w:b w:val="1"/>
                <w:bCs w:val="1"/>
                <w:color w:val="auto"/>
                <w:w w:val="99"/>
              </w:rPr>
              <w:t>Average Change in</w:t>
            </w:r>
          </w:p>
        </w:tc>
        <w:tc>
          <w:tcPr>
            <w:tcW w:w="1760" w:type="dxa"/>
            <w:vAlign w:val="bottom"/>
          </w:tcPr>
          <w:p>
            <w:pPr>
              <w:jc w:val="center"/>
              <w:ind w:right="307"/>
              <w:spacing w:after="0" w:line="145" w:lineRule="exact"/>
              <w:rPr>
                <w:sz w:val="20"/>
                <w:szCs w:val="20"/>
                <w:color w:val="auto"/>
              </w:rPr>
            </w:pPr>
            <w:r>
              <w:rPr>
                <w:rFonts w:ascii="Times New Roman" w:cs="Times New Roman" w:eastAsia="Times New Roman" w:hAnsi="Times New Roman"/>
                <w:sz w:val="14"/>
                <w:szCs w:val="14"/>
                <w:b w:val="1"/>
                <w:bCs w:val="1"/>
                <w:color w:val="auto"/>
                <w:w w:val="99"/>
              </w:rPr>
              <w:t>Average Change in</w:t>
            </w:r>
          </w:p>
        </w:tc>
        <w:tc>
          <w:tcPr>
            <w:tcW w:w="1500" w:type="dxa"/>
            <w:vAlign w:val="bottom"/>
            <w:vMerge w:val="restart"/>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Equals</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jc w:val="center"/>
              <w:ind w:right="307"/>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Average Grant Date</w:t>
            </w:r>
          </w:p>
        </w:tc>
        <w:tc>
          <w:tcPr>
            <w:tcW w:w="1800" w:type="dxa"/>
            <w:vAlign w:val="bottom"/>
          </w:tcPr>
          <w:p>
            <w:pPr>
              <w:jc w:val="center"/>
              <w:ind w:right="307"/>
              <w:spacing w:after="0" w:line="143" w:lineRule="exact"/>
              <w:rPr>
                <w:sz w:val="20"/>
                <w:szCs w:val="20"/>
                <w:color w:val="auto"/>
              </w:rPr>
            </w:pPr>
            <w:r>
              <w:rPr>
                <w:rFonts w:ascii="Times New Roman" w:cs="Times New Roman" w:eastAsia="Times New Roman" w:hAnsi="Times New Roman"/>
                <w:sz w:val="14"/>
                <w:szCs w:val="14"/>
                <w:b w:val="1"/>
                <w:bCs w:val="1"/>
                <w:color w:val="auto"/>
                <w:w w:val="97"/>
              </w:rPr>
              <w:t>Average Year-End</w:t>
            </w:r>
          </w:p>
        </w:tc>
        <w:tc>
          <w:tcPr>
            <w:tcW w:w="2080" w:type="dxa"/>
            <w:vAlign w:val="bottom"/>
          </w:tcPr>
          <w:p>
            <w:pPr>
              <w:jc w:val="center"/>
              <w:ind w:right="267"/>
              <w:spacing w:after="0" w:line="143" w:lineRule="exact"/>
              <w:rPr>
                <w:sz w:val="20"/>
                <w:szCs w:val="20"/>
                <w:color w:val="auto"/>
              </w:rPr>
            </w:pPr>
            <w:r>
              <w:rPr>
                <w:rFonts w:ascii="Times New Roman" w:cs="Times New Roman" w:eastAsia="Times New Roman" w:hAnsi="Times New Roman"/>
                <w:sz w:val="14"/>
                <w:szCs w:val="14"/>
                <w:b w:val="1"/>
                <w:bCs w:val="1"/>
                <w:color w:val="auto"/>
                <w:w w:val="98"/>
              </w:rPr>
              <w:t>Fair Value as of Year-End of</w:t>
            </w:r>
          </w:p>
        </w:tc>
        <w:tc>
          <w:tcPr>
            <w:tcW w:w="1760" w:type="dxa"/>
            <w:vAlign w:val="bottom"/>
          </w:tcPr>
          <w:p>
            <w:pPr>
              <w:jc w:val="center"/>
              <w:ind w:right="247"/>
              <w:spacing w:after="0" w:line="143" w:lineRule="exact"/>
              <w:rPr>
                <w:sz w:val="20"/>
                <w:szCs w:val="20"/>
                <w:color w:val="auto"/>
              </w:rPr>
            </w:pPr>
            <w:r>
              <w:rPr>
                <w:rFonts w:ascii="Times New Roman" w:cs="Times New Roman" w:eastAsia="Times New Roman" w:hAnsi="Times New Roman"/>
                <w:sz w:val="14"/>
                <w:szCs w:val="14"/>
                <w:b w:val="1"/>
                <w:bCs w:val="1"/>
                <w:color w:val="auto"/>
                <w:w w:val="98"/>
              </w:rPr>
              <w:t>Fair Value as of the</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16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Compensation Table Total</w:t>
            </w:r>
          </w:p>
        </w:tc>
        <w:tc>
          <w:tcPr>
            <w:tcW w:w="180" w:type="dxa"/>
            <w:vAlign w:val="bottom"/>
          </w:tcPr>
          <w:p>
            <w:pPr>
              <w:spacing w:after="0"/>
              <w:rPr>
                <w:sz w:val="12"/>
                <w:szCs w:val="12"/>
                <w:color w:val="auto"/>
              </w:rPr>
            </w:pPr>
          </w:p>
        </w:tc>
        <w:tc>
          <w:tcPr>
            <w:tcW w:w="1740" w:type="dxa"/>
            <w:vAlign w:val="bottom"/>
          </w:tcPr>
          <w:p>
            <w:pPr>
              <w:jc w:val="center"/>
              <w:ind w:right="327"/>
              <w:spacing w:after="0" w:line="145" w:lineRule="exact"/>
              <w:rPr>
                <w:sz w:val="20"/>
                <w:szCs w:val="20"/>
                <w:color w:val="auto"/>
              </w:rPr>
            </w:pPr>
            <w:r>
              <w:rPr>
                <w:rFonts w:ascii="Times New Roman" w:cs="Times New Roman" w:eastAsia="Times New Roman" w:hAnsi="Times New Roman"/>
                <w:sz w:val="14"/>
                <w:szCs w:val="14"/>
                <w:b w:val="1"/>
                <w:bCs w:val="1"/>
                <w:color w:val="auto"/>
                <w:w w:val="98"/>
              </w:rPr>
              <w:t>Fair Value of Equity</w:t>
            </w:r>
          </w:p>
        </w:tc>
        <w:tc>
          <w:tcPr>
            <w:tcW w:w="1800" w:type="dxa"/>
            <w:vAlign w:val="bottom"/>
          </w:tcPr>
          <w:p>
            <w:pPr>
              <w:jc w:val="center"/>
              <w:ind w:right="267"/>
              <w:spacing w:after="0" w:line="145" w:lineRule="exact"/>
              <w:rPr>
                <w:sz w:val="20"/>
                <w:szCs w:val="20"/>
                <w:color w:val="auto"/>
              </w:rPr>
            </w:pPr>
            <w:r>
              <w:rPr>
                <w:rFonts w:ascii="Times New Roman" w:cs="Times New Roman" w:eastAsia="Times New Roman" w:hAnsi="Times New Roman"/>
                <w:sz w:val="14"/>
                <w:szCs w:val="14"/>
                <w:b w:val="1"/>
                <w:bCs w:val="1"/>
                <w:color w:val="auto"/>
                <w:w w:val="98"/>
              </w:rPr>
              <w:t>Fair Value of Equity</w:t>
            </w:r>
          </w:p>
        </w:tc>
        <w:tc>
          <w:tcPr>
            <w:tcW w:w="2080" w:type="dxa"/>
            <w:vAlign w:val="bottom"/>
          </w:tcPr>
          <w:p>
            <w:pPr>
              <w:jc w:val="center"/>
              <w:ind w:right="287"/>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Any Prior</w:t>
            </w:r>
          </w:p>
        </w:tc>
        <w:tc>
          <w:tcPr>
            <w:tcW w:w="1760" w:type="dxa"/>
            <w:vAlign w:val="bottom"/>
          </w:tcPr>
          <w:p>
            <w:pPr>
              <w:jc w:val="center"/>
              <w:ind w:right="247"/>
              <w:spacing w:after="0" w:line="145" w:lineRule="exact"/>
              <w:rPr>
                <w:sz w:val="20"/>
                <w:szCs w:val="20"/>
                <w:color w:val="auto"/>
              </w:rPr>
            </w:pPr>
            <w:r>
              <w:rPr>
                <w:rFonts w:ascii="Times New Roman" w:cs="Times New Roman" w:eastAsia="Times New Roman" w:hAnsi="Times New Roman"/>
                <w:sz w:val="14"/>
                <w:szCs w:val="14"/>
                <w:b w:val="1"/>
                <w:bCs w:val="1"/>
                <w:color w:val="auto"/>
                <w:w w:val="99"/>
              </w:rPr>
              <w:t>Vesting Date of Any</w:t>
            </w:r>
          </w:p>
        </w:tc>
        <w:tc>
          <w:tcPr>
            <w:tcW w:w="150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06"/>
              <w:spacing w:after="0" w:line="145" w:lineRule="exact"/>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2"/>
                <w:szCs w:val="12"/>
                <w:color w:val="auto"/>
              </w:rPr>
            </w:pPr>
          </w:p>
        </w:tc>
        <w:tc>
          <w:tcPr>
            <w:tcW w:w="1740" w:type="dxa"/>
            <w:vAlign w:val="bottom"/>
          </w:tcPr>
          <w:p>
            <w:pPr>
              <w:jc w:val="center"/>
              <w:ind w:right="307"/>
              <w:spacing w:after="0" w:line="145" w:lineRule="exact"/>
              <w:rPr>
                <w:sz w:val="20"/>
                <w:szCs w:val="20"/>
                <w:color w:val="auto"/>
              </w:rPr>
            </w:pPr>
            <w:r>
              <w:rPr>
                <w:rFonts w:ascii="Times New Roman" w:cs="Times New Roman" w:eastAsia="Times New Roman" w:hAnsi="Times New Roman"/>
                <w:sz w:val="14"/>
                <w:szCs w:val="14"/>
                <w:b w:val="1"/>
                <w:bCs w:val="1"/>
                <w:color w:val="auto"/>
                <w:w w:val="99"/>
              </w:rPr>
              <w:t>Awards Granted</w:t>
            </w:r>
          </w:p>
        </w:tc>
        <w:tc>
          <w:tcPr>
            <w:tcW w:w="1800" w:type="dxa"/>
            <w:vAlign w:val="bottom"/>
          </w:tcPr>
          <w:p>
            <w:pPr>
              <w:jc w:val="center"/>
              <w:ind w:right="247"/>
              <w:spacing w:after="0" w:line="145" w:lineRule="exact"/>
              <w:rPr>
                <w:sz w:val="20"/>
                <w:szCs w:val="20"/>
                <w:color w:val="auto"/>
              </w:rPr>
            </w:pPr>
            <w:r>
              <w:rPr>
                <w:rFonts w:ascii="Times New Roman" w:cs="Times New Roman" w:eastAsia="Times New Roman" w:hAnsi="Times New Roman"/>
                <w:sz w:val="14"/>
                <w:szCs w:val="14"/>
                <w:b w:val="1"/>
                <w:bCs w:val="1"/>
                <w:color w:val="auto"/>
                <w:w w:val="99"/>
              </w:rPr>
              <w:t>Awards Granted</w:t>
            </w:r>
          </w:p>
        </w:tc>
        <w:tc>
          <w:tcPr>
            <w:tcW w:w="2080" w:type="dxa"/>
            <w:vAlign w:val="bottom"/>
          </w:tcPr>
          <w:p>
            <w:pPr>
              <w:ind w:left="380"/>
              <w:spacing w:after="0" w:line="145" w:lineRule="exact"/>
              <w:rPr>
                <w:sz w:val="20"/>
                <w:szCs w:val="20"/>
                <w:color w:val="auto"/>
              </w:rPr>
            </w:pPr>
            <w:r>
              <w:rPr>
                <w:rFonts w:ascii="Times New Roman" w:cs="Times New Roman" w:eastAsia="Times New Roman" w:hAnsi="Times New Roman"/>
                <w:sz w:val="14"/>
                <w:szCs w:val="14"/>
                <w:b w:val="1"/>
                <w:bCs w:val="1"/>
                <w:color w:val="auto"/>
              </w:rPr>
              <w:t>Year Awards that</w:t>
            </w:r>
          </w:p>
        </w:tc>
        <w:tc>
          <w:tcPr>
            <w:tcW w:w="1760" w:type="dxa"/>
            <w:vAlign w:val="bottom"/>
          </w:tcPr>
          <w:p>
            <w:pPr>
              <w:jc w:val="center"/>
              <w:ind w:right="287"/>
              <w:spacing w:after="0" w:line="145" w:lineRule="exact"/>
              <w:rPr>
                <w:sz w:val="20"/>
                <w:szCs w:val="20"/>
                <w:color w:val="auto"/>
              </w:rPr>
            </w:pPr>
            <w:r>
              <w:rPr>
                <w:rFonts w:ascii="Times New Roman" w:cs="Times New Roman" w:eastAsia="Times New Roman" w:hAnsi="Times New Roman"/>
                <w:sz w:val="14"/>
                <w:szCs w:val="14"/>
                <w:b w:val="1"/>
                <w:bCs w:val="1"/>
                <w:color w:val="auto"/>
                <w:w w:val="97"/>
              </w:rPr>
              <w:t>Prior Year Awards</w:t>
            </w:r>
          </w:p>
        </w:tc>
        <w:tc>
          <w:tcPr>
            <w:tcW w:w="1500" w:type="dxa"/>
            <w:vAlign w:val="bottom"/>
          </w:tcPr>
          <w:p>
            <w:pPr>
              <w:jc w:val="center"/>
              <w:ind w:right="47"/>
              <w:spacing w:after="0" w:line="145"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132"/>
        </w:trPr>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1"/>
                <w:szCs w:val="11"/>
                <w:color w:val="auto"/>
              </w:rPr>
            </w:pPr>
          </w:p>
        </w:tc>
        <w:tc>
          <w:tcPr>
            <w:tcW w:w="1440" w:type="dxa"/>
            <w:vAlign w:val="bottom"/>
          </w:tcPr>
          <w:p>
            <w:pPr>
              <w:jc w:val="center"/>
              <w:ind w:right="66"/>
              <w:spacing w:after="0" w:line="132" w:lineRule="exact"/>
              <w:rPr>
                <w:sz w:val="20"/>
                <w:szCs w:val="20"/>
                <w:color w:val="auto"/>
              </w:rPr>
            </w:pPr>
            <w:r>
              <w:rPr>
                <w:rFonts w:ascii="Times New Roman" w:cs="Times New Roman" w:eastAsia="Times New Roman" w:hAnsi="Times New Roman"/>
                <w:sz w:val="14"/>
                <w:szCs w:val="14"/>
                <w:b w:val="1"/>
                <w:bCs w:val="1"/>
                <w:color w:val="auto"/>
              </w:rPr>
              <w:t>Non-PEO Named</w:t>
            </w:r>
          </w:p>
        </w:tc>
        <w:tc>
          <w:tcPr>
            <w:tcW w:w="180" w:type="dxa"/>
            <w:vAlign w:val="bottom"/>
          </w:tcPr>
          <w:p>
            <w:pPr>
              <w:spacing w:after="0"/>
              <w:rPr>
                <w:sz w:val="11"/>
                <w:szCs w:val="11"/>
                <w:color w:val="auto"/>
              </w:rPr>
            </w:pPr>
          </w:p>
        </w:tc>
        <w:tc>
          <w:tcPr>
            <w:tcW w:w="1740" w:type="dxa"/>
            <w:vAlign w:val="bottom"/>
          </w:tcPr>
          <w:p>
            <w:pPr>
              <w:jc w:val="center"/>
              <w:ind w:right="307"/>
              <w:spacing w:after="0" w:line="132" w:lineRule="exact"/>
              <w:rPr>
                <w:sz w:val="20"/>
                <w:szCs w:val="20"/>
                <w:color w:val="auto"/>
              </w:rPr>
            </w:pPr>
            <w:r>
              <w:rPr>
                <w:rFonts w:ascii="Times New Roman" w:cs="Times New Roman" w:eastAsia="Times New Roman" w:hAnsi="Times New Roman"/>
                <w:sz w:val="14"/>
                <w:szCs w:val="14"/>
                <w:b w:val="1"/>
                <w:bCs w:val="1"/>
                <w:color w:val="auto"/>
              </w:rPr>
              <w:t>During Applicable</w:t>
            </w:r>
          </w:p>
        </w:tc>
        <w:tc>
          <w:tcPr>
            <w:tcW w:w="1800" w:type="dxa"/>
            <w:vAlign w:val="bottom"/>
          </w:tcPr>
          <w:p>
            <w:pPr>
              <w:jc w:val="center"/>
              <w:ind w:right="267"/>
              <w:spacing w:after="0" w:line="132" w:lineRule="exact"/>
              <w:rPr>
                <w:sz w:val="20"/>
                <w:szCs w:val="20"/>
                <w:color w:val="auto"/>
              </w:rPr>
            </w:pPr>
            <w:r>
              <w:rPr>
                <w:rFonts w:ascii="Times New Roman" w:cs="Times New Roman" w:eastAsia="Times New Roman" w:hAnsi="Times New Roman"/>
                <w:sz w:val="14"/>
                <w:szCs w:val="14"/>
                <w:b w:val="1"/>
                <w:bCs w:val="1"/>
                <w:color w:val="auto"/>
                <w:w w:val="99"/>
              </w:rPr>
              <w:t>During Applicable</w:t>
            </w:r>
          </w:p>
        </w:tc>
        <w:tc>
          <w:tcPr>
            <w:tcW w:w="2080" w:type="dxa"/>
            <w:vAlign w:val="bottom"/>
          </w:tcPr>
          <w:p>
            <w:pPr>
              <w:jc w:val="center"/>
              <w:ind w:right="267"/>
              <w:spacing w:after="0" w:line="132" w:lineRule="exact"/>
              <w:rPr>
                <w:sz w:val="20"/>
                <w:szCs w:val="20"/>
                <w:color w:val="auto"/>
              </w:rPr>
            </w:pPr>
            <w:r>
              <w:rPr>
                <w:rFonts w:ascii="Times New Roman" w:cs="Times New Roman" w:eastAsia="Times New Roman" w:hAnsi="Times New Roman"/>
                <w:sz w:val="14"/>
                <w:szCs w:val="14"/>
                <w:b w:val="1"/>
                <w:bCs w:val="1"/>
                <w:color w:val="auto"/>
              </w:rPr>
              <w:t>Remain Unvested as</w:t>
            </w:r>
          </w:p>
        </w:tc>
        <w:tc>
          <w:tcPr>
            <w:tcW w:w="1760" w:type="dxa"/>
            <w:vAlign w:val="bottom"/>
          </w:tcPr>
          <w:p>
            <w:pPr>
              <w:jc w:val="center"/>
              <w:ind w:right="307"/>
              <w:spacing w:after="0" w:line="132" w:lineRule="exact"/>
              <w:rPr>
                <w:sz w:val="20"/>
                <w:szCs w:val="20"/>
                <w:color w:val="auto"/>
              </w:rPr>
            </w:pPr>
            <w:r>
              <w:rPr>
                <w:rFonts w:ascii="Times New Roman" w:cs="Times New Roman" w:eastAsia="Times New Roman" w:hAnsi="Times New Roman"/>
                <w:sz w:val="14"/>
                <w:szCs w:val="14"/>
                <w:b w:val="1"/>
                <w:bCs w:val="1"/>
                <w:color w:val="auto"/>
                <w:w w:val="99"/>
              </w:rPr>
              <w:t>that Vested During</w:t>
            </w:r>
          </w:p>
        </w:tc>
        <w:tc>
          <w:tcPr>
            <w:tcW w:w="1500" w:type="dxa"/>
            <w:vAlign w:val="bottom"/>
          </w:tcPr>
          <w:p>
            <w:pPr>
              <w:jc w:val="center"/>
              <w:ind w:right="27"/>
              <w:spacing w:after="0" w:line="132" w:lineRule="exact"/>
              <w:rPr>
                <w:sz w:val="20"/>
                <w:szCs w:val="20"/>
                <w:color w:val="auto"/>
              </w:rPr>
            </w:pPr>
            <w:r>
              <w:rPr>
                <w:rFonts w:ascii="Times New Roman" w:cs="Times New Roman" w:eastAsia="Times New Roman" w:hAnsi="Times New Roman"/>
                <w:sz w:val="14"/>
                <w:szCs w:val="14"/>
                <w:b w:val="1"/>
                <w:bCs w:val="1"/>
                <w:color w:val="auto"/>
              </w:rPr>
              <w:t>PEO Named</w:t>
            </w:r>
          </w:p>
        </w:tc>
        <w:tc>
          <w:tcPr>
            <w:tcW w:w="0" w:type="dxa"/>
            <w:vAlign w:val="bottom"/>
          </w:tcPr>
          <w:p>
            <w:pPr>
              <w:spacing w:after="0"/>
              <w:rPr>
                <w:sz w:val="1"/>
                <w:szCs w:val="1"/>
                <w:color w:val="auto"/>
              </w:rPr>
            </w:pPr>
          </w:p>
        </w:tc>
      </w:tr>
      <w:tr>
        <w:trPr>
          <w:trHeight w:val="193"/>
        </w:trPr>
        <w:tc>
          <w:tcPr>
            <w:tcW w:w="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9"/>
              </w:rPr>
              <w:t>Executive Officers</w:t>
            </w: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07"/>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0" w:type="dxa"/>
            <w:vAlign w:val="bottom"/>
            <w:tcBorders>
              <w:bottom w:val="single" w:sz="8" w:color="auto"/>
            </w:tcBorders>
          </w:tcPr>
          <w:p>
            <w:pPr>
              <w:jc w:val="center"/>
              <w:ind w:right="247"/>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80" w:type="dxa"/>
            <w:vAlign w:val="bottom"/>
            <w:tcBorders>
              <w:bottom w:val="single" w:sz="8" w:color="auto"/>
            </w:tcBorders>
          </w:tcPr>
          <w:p>
            <w:pPr>
              <w:jc w:val="center"/>
              <w:ind w:right="287"/>
              <w:spacing w:after="0"/>
              <w:rPr>
                <w:sz w:val="20"/>
                <w:szCs w:val="20"/>
                <w:color w:val="auto"/>
              </w:rPr>
            </w:pPr>
            <w:r>
              <w:rPr>
                <w:rFonts w:ascii="Times New Roman" w:cs="Times New Roman" w:eastAsia="Times New Roman" w:hAnsi="Times New Roman"/>
                <w:sz w:val="14"/>
                <w:szCs w:val="14"/>
                <w:b w:val="1"/>
                <w:bCs w:val="1"/>
                <w:color w:val="auto"/>
                <w:w w:val="96"/>
              </w:rPr>
              <w:t>of Year-End</w:t>
            </w:r>
          </w:p>
        </w:tc>
        <w:tc>
          <w:tcPr>
            <w:tcW w:w="1760" w:type="dxa"/>
            <w:vAlign w:val="bottom"/>
            <w:tcBorders>
              <w:bottom w:val="single" w:sz="8" w:color="auto"/>
            </w:tcBorders>
          </w:tcPr>
          <w:p>
            <w:pPr>
              <w:jc w:val="center"/>
              <w:ind w:right="247"/>
              <w:spacing w:after="0"/>
              <w:rPr>
                <w:sz w:val="20"/>
                <w:szCs w:val="20"/>
                <w:color w:val="auto"/>
              </w:rPr>
            </w:pPr>
            <w:r>
              <w:rPr>
                <w:rFonts w:ascii="Times New Roman" w:cs="Times New Roman" w:eastAsia="Times New Roman" w:hAnsi="Times New Roman"/>
                <w:sz w:val="14"/>
                <w:szCs w:val="14"/>
                <w:b w:val="1"/>
                <w:bCs w:val="1"/>
                <w:color w:val="auto"/>
                <w:w w:val="98"/>
              </w:rPr>
              <w:t>Applicable Year</w:t>
            </w:r>
          </w:p>
        </w:tc>
        <w:tc>
          <w:tcPr>
            <w:tcW w:w="15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9"/>
              </w:rPr>
              <w:t>Executive Officer</w:t>
            </w: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800" w:hanging="425"/>
        <w:spacing w:after="0" w:line="209" w:lineRule="auto"/>
        <w:tabs>
          <w:tab w:leader="none" w:pos="8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PSU grant date fair values are calculated using stock price as of the grant date and assuming target performance, notwithstanding that, as of December 31 of each year covered in the Pay Versus Performance Table, the Company has generally determined that it was not probable that the performance condition required for the PSUs granted in such year to vest would be achieved, and as such, no compensation expense was recognized by the Company for such awards in the applicable year of grant, which is why the amounts in the “Plus Average Year-End Fair Value of Equity Awards Granted During Applicable Year” column of the table included in footnote 2 above are shown at zero. Adjustments have been made using the stock price and performance accrual modifier as of year-end and as of the vesting date, as applicable. RSU grant date fair values are calculated using stock price as of the grant date, as adjusted for a post-vesting holding period. Adjustments have been made using the stock price as of year-end and as of each vesting date.</w:t>
      </w:r>
    </w:p>
    <w:p>
      <w:pPr>
        <w:spacing w:after="0" w:line="69" w:lineRule="exact"/>
        <w:rPr>
          <w:rFonts w:ascii="Times New Roman" w:cs="Times New Roman" w:eastAsia="Times New Roman" w:hAnsi="Times New Roman"/>
          <w:sz w:val="18"/>
          <w:szCs w:val="18"/>
          <w:color w:val="auto"/>
          <w:vertAlign w:val="superscript"/>
        </w:rPr>
      </w:pPr>
    </w:p>
    <w:p>
      <w:pPr>
        <w:ind w:left="800" w:right="20" w:hanging="425"/>
        <w:spacing w:after="0" w:line="214" w:lineRule="auto"/>
        <w:tabs>
          <w:tab w:leader="none" w:pos="8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iShare Global Clean Energy ETF Index ("ICLN"), Vanguard Energy ETF ("VDE") and Energy Select Sector (SPDR) Fund ("XLE"), as reported in the Company's Annual Report in F 10-K filed with the SEC on February 29, 2024, were used to calculate the Company's peer group total shareholder return.</w:t>
      </w:r>
    </w:p>
    <w:p>
      <w:pPr>
        <w:spacing w:after="0" w:line="54" w:lineRule="exact"/>
        <w:rPr>
          <w:rFonts w:ascii="Times New Roman" w:cs="Times New Roman" w:eastAsia="Times New Roman" w:hAnsi="Times New Roman"/>
          <w:sz w:val="18"/>
          <w:szCs w:val="18"/>
          <w:color w:val="auto"/>
          <w:vertAlign w:val="superscript"/>
        </w:rPr>
      </w:pPr>
    </w:p>
    <w:p>
      <w:pPr>
        <w:ind w:left="800" w:right="20" w:hanging="425"/>
        <w:spacing w:after="0" w:line="209" w:lineRule="auto"/>
        <w:tabs>
          <w:tab w:leader="none" w:pos="8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Adjusted EBITDA for the applicable year as net income, plus transaction and integration costs, contract termination charges and loss on mitigation sales, depreciation and amortization, asset impairment expense,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expenses associated with changes to our corporate structure and certain non-capitalizable contract acquisition costs, plus our pro rata share of Adjusted EBITDA from unconsolidated entities, less the impact of equity in earnings (losses) of unconsolidat entities and gains from sales of assets.</w:t>
      </w:r>
    </w:p>
    <w:p>
      <w:pPr>
        <w:spacing w:after="0" w:line="201" w:lineRule="exact"/>
        <w:rPr>
          <w:rFonts w:ascii="Times New Roman" w:cs="Times New Roman" w:eastAsia="Times New Roman" w:hAnsi="Times New Roman"/>
          <w:sz w:val="18"/>
          <w:szCs w:val="18"/>
          <w:color w:val="auto"/>
          <w:vertAlign w:val="superscript"/>
        </w:rPr>
      </w:pPr>
    </w:p>
    <w:p>
      <w:pPr>
        <w:ind w:left="800"/>
        <w:spacing w:after="0" w:line="225"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Adjusted EBITDA is mathematically equivalent to our Total Segment Operating Margin, as reported in the segment disclosures within our financial statements, minus Core SG&amp;A, includ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964" w:right="239" w:bottom="1440" w:gutter="0" w:footer="0" w:header="0"/>
          <w:type w:val="continuous"/>
        </w:sectPr>
      </w:pPr>
    </w:p>
    <w:bookmarkStart w:id="28" w:name="page29"/>
    <w:bookmarkEnd w:id="28"/>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Description of the Relationship Between Pay and Performance</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graph below sets out the relationship between (x) the average “Compensation Actually Paid” to our non-PEO named executive officers and (y)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Adjusted EBITDA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-14605</wp:posOffset>
            </wp:positionV>
            <wp:extent cx="4502785" cy="32613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02785" cy="326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firstLine="317"/>
        <w:spacing w:after="0" w:line="232" w:lineRule="auto"/>
        <w:rPr>
          <w:sz w:val="20"/>
          <w:szCs w:val="20"/>
          <w:color w:val="auto"/>
        </w:rPr>
      </w:pPr>
      <w:r>
        <w:rPr>
          <w:rFonts w:ascii="Times New Roman" w:cs="Times New Roman" w:eastAsia="Times New Roman" w:hAnsi="Times New Roman"/>
          <w:sz w:val="18"/>
          <w:szCs w:val="18"/>
          <w:color w:val="auto"/>
        </w:rPr>
        <w:t>The graph below sets out the relationship between (x) the Company’s TSR and (y) the peer group TSR, calculated using each of iShared Global Clean Energy ETF Index ("ICLN"), Vanguard Energy ETF ("VDE") and Energy Select Sector (SPDR) Fund ("XLE"):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-15240</wp:posOffset>
            </wp:positionV>
            <wp:extent cx="4502785" cy="3420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02785" cy="3420745"/>
                    </a:xfrm>
                    <a:prstGeom prst="rect">
                      <a:avLst/>
                    </a:prstGeom>
                    <a:noFill/>
                  </pic:spPr>
                </pic:pic>
              </a:graphicData>
            </a:graphic>
          </wp:anchor>
        </w:drawing>
      </w:r>
    </w:p>
    <w:p>
      <w:pPr>
        <w:sectPr>
          <w:pgSz w:w="11900" w:h="16838" w:orient="portrait"/>
          <w:cols w:equalWidth="0" w:num="1">
            <w:col w:w="10960"/>
          </w:cols>
          <w:pgMar w:left="320" w:top="74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740" w:right="619" w:bottom="1440" w:gutter="0" w:footer="0" w:header="0"/>
          <w:type w:val="continuous"/>
        </w:sectPr>
      </w:pPr>
    </w:p>
    <w:bookmarkStart w:id="29" w:name="page30"/>
    <w:bookmarkEnd w:id="29"/>
    <w:p>
      <w:pPr>
        <w:ind w:left="3520"/>
        <w:spacing w:after="0"/>
        <w:rPr>
          <w:sz w:val="20"/>
          <w:szCs w:val="20"/>
          <w:color w:val="auto"/>
        </w:rPr>
      </w:pPr>
      <w:r>
        <w:rPr>
          <w:rFonts w:ascii="Times New Roman" w:cs="Times New Roman" w:eastAsia="Times New Roman" w:hAnsi="Times New Roman"/>
          <w:sz w:val="18"/>
          <w:szCs w:val="18"/>
          <w:b w:val="1"/>
          <w:bCs w:val="1"/>
          <w:color w:val="auto"/>
        </w:rPr>
        <w:t>Tabular List of Most Important Performance Measures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uses the following financial performance levels to assess the Company's performance:</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7135495" cy="151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1511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2"/>
          <w:szCs w:val="22"/>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350" w:lineRule="exact"/>
        <w:rPr>
          <w:sz w:val="20"/>
          <w:szCs w:val="20"/>
          <w:color w:val="auto"/>
        </w:rPr>
      </w:pPr>
    </w:p>
    <w:p>
      <w:pPr>
        <w:ind w:left="420" w:hanging="417"/>
        <w:spacing w:after="0" w:line="209" w:lineRule="auto"/>
        <w:tabs>
          <w:tab w:leader="none" w:pos="42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Adjusted EBITDA is calculated as net income, plus transaction and integration costs, contract termination charges and loss on mitigation sales, depreciation and amortization, asset impairment expense, interest expense, net, other (income) expense, net, loss on extinguishment of debt, changes in fair value of non-hedge derivative instruments and contingent consideration, tax expense, and adjusting for certain items from our selling, general and administrative expenses (“SG&amp;A") not otherwise indicative of ongoing operating performance, including non-cash share-based compensation and severance expense, non-capitalizable development expenses, cost to pursue new business opportunities, expenses associated with changes to our corporate structure and certain non-capitalizable contract acquisition costs,, plus our pro rata share of Adjusted EBITDA from unconsolidated entities, less the impact of equity in earnings (losses) of unconsolidated entities and gains from sale of assets. Adjusted EBITDA is mathematically equivalent to our Total Segment Operating Margin, as reported in the segment disclosures within our financial statements, minus Core SG&amp;A, including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60960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740"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18" w:lineRule="exact"/>
        <w:rPr>
          <w:sz w:val="20"/>
          <w:szCs w:val="20"/>
          <w:color w:val="auto"/>
        </w:rPr>
      </w:pPr>
    </w:p>
    <w:p>
      <w:pPr>
        <w:ind w:right="420" w:firstLine="317"/>
        <w:spacing w:after="0" w:line="270" w:lineRule="auto"/>
        <w:rPr>
          <w:sz w:val="20"/>
          <w:szCs w:val="20"/>
          <w:color w:val="auto"/>
        </w:rPr>
      </w:pPr>
      <w:r>
        <w:rPr>
          <w:rFonts w:ascii="Times New Roman" w:cs="Times New Roman" w:eastAsia="Times New Roman" w:hAnsi="Times New Roman"/>
          <w:sz w:val="18"/>
          <w:szCs w:val="18"/>
          <w:color w:val="auto"/>
        </w:rPr>
        <w:t>We do not, and do not intend to, compensate our directors who are also our employees or who are otherwise affiliated with us for their service on our Board.</w:t>
      </w:r>
    </w:p>
    <w:p>
      <w:pPr>
        <w:spacing w:after="0" w:line="168" w:lineRule="exact"/>
        <w:rPr>
          <w:sz w:val="20"/>
          <w:szCs w:val="20"/>
          <w:color w:val="auto"/>
        </w:rPr>
      </w:pPr>
    </w:p>
    <w:p>
      <w:pPr>
        <w:ind w:right="20" w:firstLine="317"/>
        <w:spacing w:after="0" w:line="257" w:lineRule="auto"/>
        <w:rPr>
          <w:sz w:val="20"/>
          <w:szCs w:val="20"/>
          <w:color w:val="auto"/>
        </w:rPr>
      </w:pPr>
      <w:r>
        <w:rPr>
          <w:rFonts w:ascii="Times New Roman" w:cs="Times New Roman" w:eastAsia="Times New Roman" w:hAnsi="Times New Roman"/>
          <w:sz w:val="18"/>
          <w:szCs w:val="18"/>
          <w:color w:val="auto"/>
        </w:rPr>
        <w:t>The compensation program for our non-employee directors is designed to achieve three goals: (1) fairly compensate directors for their service to the Company given its size and the complexity of its operations and structure; (2) align the directors’ interests with the long-term interests of our stockholders; and (3) incentivize the directors to continue to serve as board members.</w:t>
      </w:r>
    </w:p>
    <w:p>
      <w:pPr>
        <w:spacing w:after="0" w:line="180" w:lineRule="exact"/>
        <w:rPr>
          <w:sz w:val="20"/>
          <w:szCs w:val="20"/>
          <w:color w:val="auto"/>
        </w:rPr>
      </w:pPr>
    </w:p>
    <w:p>
      <w:pPr>
        <w:ind w:right="20" w:firstLine="317"/>
        <w:spacing w:after="0" w:line="300" w:lineRule="auto"/>
        <w:rPr>
          <w:sz w:val="20"/>
          <w:szCs w:val="20"/>
          <w:color w:val="auto"/>
        </w:rPr>
      </w:pPr>
      <w:r>
        <w:rPr>
          <w:rFonts w:ascii="Times New Roman" w:cs="Times New Roman" w:eastAsia="Times New Roman" w:hAnsi="Times New Roman"/>
          <w:sz w:val="17"/>
          <w:szCs w:val="17"/>
          <w:color w:val="auto"/>
        </w:rPr>
        <w:t>In 2023, non-employee directors received an annual cash retainer equal to $100,000, payable quarterly. Additionally, the chair of the Audit Committee of the Board received an additional $10,000 annual cash retainer, payable quarterly. Mr. Nardone is not compensated by the Company for his service as a director.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2023</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additional information on the compensation we paid to our non-employee directors in 2023.</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5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3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3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Randal A. Nardone</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Desmond Iain Catterall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 Grain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 William Griffin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J. Mack</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Katherine E. Wanner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2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Wilkinson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W. Jay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82,303</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6166485</wp:posOffset>
            </wp:positionH>
            <wp:positionV relativeFrom="paragraph">
              <wp:posOffset>-1150620</wp:posOffset>
            </wp:positionV>
            <wp:extent cx="1174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-1150620</wp:posOffset>
            </wp:positionV>
            <wp:extent cx="1174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-1150620</wp:posOffset>
            </wp:positionV>
            <wp:extent cx="117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-1150620</wp:posOffset>
            </wp:positionV>
            <wp:extent cx="1174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73" w:lineRule="exact"/>
        <w:rPr>
          <w:sz w:val="20"/>
          <w:szCs w:val="20"/>
          <w:color w:val="auto"/>
        </w:rPr>
      </w:pPr>
    </w:p>
    <w:p>
      <w:pPr>
        <w:ind w:left="160" w:hanging="137"/>
        <w:spacing w:after="0"/>
        <w:tabs>
          <w:tab w:leader="none" w:pos="16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December 31, 2023, none of our non-employee directors held any unvested equity-based awards.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8" w:lineRule="exact"/>
        <w:rPr>
          <w:sz w:val="20"/>
          <w:szCs w:val="20"/>
          <w:color w:val="auto"/>
        </w:rPr>
      </w:pPr>
    </w:p>
    <w:p>
      <w:pPr>
        <w:ind w:right="380" w:firstLine="317"/>
        <w:spacing w:after="0" w:line="270" w:lineRule="auto"/>
        <w:rPr>
          <w:sz w:val="20"/>
          <w:szCs w:val="20"/>
          <w:color w:val="auto"/>
        </w:rPr>
      </w:pPr>
      <w:r>
        <w:rPr>
          <w:rFonts w:ascii="Times New Roman" w:cs="Times New Roman" w:eastAsia="Times New Roman" w:hAnsi="Times New Roman"/>
          <w:sz w:val="18"/>
          <w:szCs w:val="18"/>
          <w:color w:val="auto"/>
        </w:rPr>
        <w:t>The following table summarizes certain information about securities authorized for issuance under our equity compensation plans as of December 31,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58"/>
        </w:trPr>
        <w:tc>
          <w:tcPr>
            <w:tcW w:w="6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02"/>
              <w:spacing w:after="0" w:line="15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Remaining Available</w:t>
            </w:r>
          </w:p>
        </w:tc>
      </w:tr>
      <w:tr>
        <w:trPr>
          <w:trHeight w:val="172"/>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r>
      <w:tr>
        <w:trPr>
          <w:trHeight w:val="172"/>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r>
      <w:tr>
        <w:trPr>
          <w:trHeight w:val="158"/>
        </w:trPr>
        <w:tc>
          <w:tcPr>
            <w:tcW w:w="6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22"/>
              <w:spacing w:after="0" w:line="159"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152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 Plans</w:t>
            </w:r>
          </w:p>
        </w:tc>
      </w:tr>
      <w:tr>
        <w:trPr>
          <w:trHeight w:val="172"/>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9"/>
              </w:rPr>
              <w:t>Warrants and</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72"/>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w:t>
            </w:r>
          </w:p>
        </w:tc>
      </w:tr>
      <w:tr>
        <w:trPr>
          <w:trHeight w:val="223"/>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85"/>
              </w:rPr>
              <w:t>(a)</w:t>
            </w:r>
            <w:r>
              <w:rPr>
                <w:rFonts w:ascii="Times New Roman" w:cs="Times New Roman" w:eastAsia="Times New Roman" w:hAnsi="Times New Roman"/>
                <w:sz w:val="18"/>
                <w:szCs w:val="18"/>
                <w:b w:val="1"/>
                <w:bCs w:val="1"/>
                <w:color w:val="auto"/>
                <w:w w:val="85"/>
                <w:vertAlign w:val="superscript"/>
              </w:rPr>
              <w:t>(1)</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(c)</w:t>
            </w:r>
          </w:p>
        </w:tc>
      </w:tr>
      <w:tr>
        <w:trPr>
          <w:trHeight w:val="218"/>
        </w:trPr>
        <w:tc>
          <w:tcPr>
            <w:tcW w:w="6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security holders:</w:t>
            </w: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24"/>
        </w:trPr>
        <w:tc>
          <w:tcPr>
            <w:tcW w:w="6780" w:type="dxa"/>
            <w:vAlign w:val="bottom"/>
            <w:gridSpan w:val="2"/>
            <w:shd w:val="clear" w:color="auto" w:fill="CCEEFF"/>
          </w:tcPr>
          <w:p>
            <w:pPr>
              <w:ind w:left="180"/>
              <w:spacing w:after="0" w:line="224" w:lineRule="exact"/>
              <w:rPr>
                <w:sz w:val="20"/>
                <w:szCs w:val="20"/>
                <w:color w:val="auto"/>
              </w:rPr>
            </w:pPr>
            <w:r>
              <w:rPr>
                <w:rFonts w:ascii="Times New Roman" w:cs="Times New Roman" w:eastAsia="Times New Roman" w:hAnsi="Times New Roman"/>
                <w:sz w:val="18"/>
                <w:szCs w:val="18"/>
                <w:color w:val="auto"/>
              </w:rPr>
              <w:t>New Fortress Energy Inc. 2019 Omnibus Incentive Plan</w:t>
            </w:r>
            <w:r>
              <w:rPr>
                <w:rFonts w:ascii="Times New Roman" w:cs="Times New Roman" w:eastAsia="Times New Roman" w:hAnsi="Times New Roman"/>
                <w:sz w:val="22"/>
                <w:szCs w:val="22"/>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73,706</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21,243,020</w:t>
            </w:r>
          </w:p>
        </w:tc>
      </w:tr>
      <w:tr>
        <w:trPr>
          <w:trHeight w:val="22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 holders: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73,706</w:t>
            </w:r>
          </w:p>
        </w:tc>
        <w:tc>
          <w:tcPr>
            <w:tcW w:w="24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w w:val="90"/>
              </w:rPr>
              <w:t>73,706</w:t>
            </w:r>
          </w:p>
        </w:tc>
        <w:tc>
          <w:tcPr>
            <w:tcW w:w="134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21,243,020</w:t>
            </w:r>
          </w:p>
        </w:tc>
      </w:tr>
    </w:tbl>
    <w:p>
      <w:pPr>
        <w:spacing w:after="0" w:line="310" w:lineRule="exact"/>
        <w:rPr>
          <w:sz w:val="20"/>
          <w:szCs w:val="20"/>
          <w:color w:val="auto"/>
        </w:rPr>
      </w:pPr>
    </w:p>
    <w:p>
      <w:pPr>
        <w:ind w:left="440" w:hanging="276"/>
        <w:spacing w:after="0"/>
        <w:tabs>
          <w:tab w:leader="none" w:pos="44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shares subject to outstanding equity awards for which shares had not yet been delivered as of December 31, 2023.</w:t>
      </w:r>
    </w:p>
    <w:p>
      <w:pPr>
        <w:spacing w:after="0" w:line="146" w:lineRule="exact"/>
        <w:rPr>
          <w:rFonts w:ascii="Times New Roman" w:cs="Times New Roman" w:eastAsia="Times New Roman" w:hAnsi="Times New Roman"/>
          <w:sz w:val="18"/>
          <w:szCs w:val="18"/>
          <w:color w:val="auto"/>
          <w:vertAlign w:val="superscript"/>
        </w:rPr>
      </w:pPr>
    </w:p>
    <w:p>
      <w:pPr>
        <w:ind w:left="440" w:right="120" w:hanging="276"/>
        <w:spacing w:after="0" w:line="246" w:lineRule="auto"/>
        <w:tabs>
          <w:tab w:leader="none" w:pos="44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Incentive Plan provides that 16,705,882 shares of Class A Common Stock are reserved and available for issuance under the Plan, as increased on the first day of each fiscal year beginning in calendar year 2020 by a number of shares of Class A Common Stock equal to the excess of 10% of the aggregate number of outstanding shares of Class A Common Stock and Class B common stock on the last day of the immediately preceding fiscal year, over the number of shares of Class A Common Stock reserved and available for issuance under the Plan as of the last day of the immediately preceding fiscal year. The shares reserved and available for issuance under the Incentive Plan increased on the first day of 2023 by 944,954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32" w:name="page33"/>
    <w:bookmarkEnd w:id="32"/>
    <w:p>
      <w:pPr>
        <w:ind w:left="2160"/>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shares of Common Stock issued and outstanding as of April 15, 2024 by:</w:t>
      </w:r>
    </w:p>
    <w:p>
      <w:pPr>
        <w:spacing w:after="0" w:line="216" w:lineRule="exact"/>
        <w:rPr>
          <w:sz w:val="20"/>
          <w:szCs w:val="20"/>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Common Stock;</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named executive officer; and</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16" w:lineRule="exact"/>
        <w:rPr>
          <w:sz w:val="20"/>
          <w:szCs w:val="20"/>
          <w:color w:val="auto"/>
        </w:rPr>
      </w:pPr>
    </w:p>
    <w:p>
      <w:pPr>
        <w:ind w:firstLine="317"/>
        <w:spacing w:after="0" w:line="279" w:lineRule="auto"/>
        <w:rPr>
          <w:sz w:val="20"/>
          <w:szCs w:val="20"/>
          <w:color w:val="auto"/>
        </w:rPr>
      </w:pPr>
      <w:r>
        <w:rPr>
          <w:rFonts w:ascii="Times New Roman" w:cs="Times New Roman" w:eastAsia="Times New Roman" w:hAnsi="Times New Roman"/>
          <w:sz w:val="17"/>
          <w:szCs w:val="17"/>
          <w:color w:val="auto"/>
        </w:rPr>
        <w:t>Unless otherwise noted, the address for each beneficial owner listed below is 111 W. 19th Street, 8th Floor, New York, New York 10011. As of April 15, 2024, we had 205,041,824 shares of Common Stock outstanding and the holder of our Series A Preferred Stock is entitled to vote on an as-converted basis, and as of April 15, 2024, the holder of the Series A Preferred Stock could have converted the Series A Preferred Stock into 2,046,839 shares of Common Stock.</w:t>
      </w:r>
    </w:p>
    <w:p>
      <w:pPr>
        <w:sectPr>
          <w:pgSz w:w="11900" w:h="16838" w:orient="portrait"/>
          <w:cols w:equalWidth="0" w:num="1">
            <w:col w:w="11240"/>
          </w:cols>
          <w:pgMar w:left="320" w:top="9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49803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Greater Than 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5495" cy="1930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5495" cy="19304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Great Mountain Partners LLC</w:t>
      </w:r>
      <w:r>
        <w:rPr>
          <w:rFonts w:ascii="Times New Roman" w:cs="Times New Roman" w:eastAsia="Times New Roman" w:hAnsi="Times New Roman"/>
          <w:sz w:val="22"/>
          <w:szCs w:val="22"/>
          <w:color w:val="auto"/>
          <w:vertAlign w:val="superscript"/>
        </w:rPr>
        <w:t>(2)</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Edens Family Holdings LLC</w:t>
      </w:r>
      <w:r>
        <w:rPr>
          <w:rFonts w:ascii="Times New Roman" w:cs="Times New Roman" w:eastAsia="Times New Roman" w:hAnsi="Times New Roman"/>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1930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5495" cy="19304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World Investors</w:t>
      </w:r>
      <w:r>
        <w:rPr>
          <w:rFonts w:ascii="Times New Roman" w:cs="Times New Roman" w:eastAsia="Times New Roman" w:hAnsi="Times New Roman"/>
          <w:sz w:val="22"/>
          <w:szCs w:val="22"/>
          <w:color w:val="auto"/>
          <w:vertAlign w:val="superscript"/>
        </w:rPr>
        <w:t>(4)</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Fortress Investment Group LLC</w:t>
      </w:r>
      <w:r>
        <w:rPr>
          <w:rFonts w:ascii="Times New Roman" w:cs="Times New Roman" w:eastAsia="Times New Roman" w:hAnsi="Times New Roman"/>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167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5495" cy="167640"/>
                    </a:xfrm>
                    <a:prstGeom prst="rect">
                      <a:avLst/>
                    </a:prstGeom>
                    <a:noFill/>
                  </pic:spPr>
                </pic:pic>
              </a:graphicData>
            </a:graphic>
          </wp:anchor>
        </w:drawing>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5495" cy="1930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5495" cy="19304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Wesley R. Edens</w:t>
      </w:r>
      <w:r>
        <w:rPr>
          <w:rFonts w:ascii="Times New Roman" w:cs="Times New Roman" w:eastAsia="Times New Roman" w:hAnsi="Times New Roman"/>
          <w:sz w:val="22"/>
          <w:szCs w:val="22"/>
          <w:color w:val="auto"/>
          <w:vertAlign w:val="superscript"/>
        </w:rPr>
        <w:t>(6)</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S. Guinta</w:t>
      </w:r>
    </w:p>
    <w:p>
      <w:pPr>
        <w:ind w:left="20"/>
        <w:spacing w:after="0" w:line="228" w:lineRule="auto"/>
        <w:rPr>
          <w:sz w:val="20"/>
          <w:szCs w:val="20"/>
          <w:color w:val="auto"/>
        </w:rPr>
      </w:pPr>
      <w:r>
        <w:rPr>
          <w:rFonts w:ascii="Times New Roman" w:cs="Times New Roman" w:eastAsia="Times New Roman" w:hAnsi="Times New Roman"/>
          <w:sz w:val="18"/>
          <w:szCs w:val="18"/>
          <w:color w:val="auto"/>
        </w:rPr>
        <w:t>Yunyoung Shin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7135495" cy="142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Randal A. Nardone</w:t>
      </w:r>
      <w:r>
        <w:rPr>
          <w:rFonts w:ascii="Times New Roman" w:cs="Times New Roman" w:eastAsia="Times New Roman" w:hAnsi="Times New Roman"/>
          <w:sz w:val="27"/>
          <w:szCs w:val="2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5495" cy="142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Desmond Iain Catterall</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J. Grain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 William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5495" cy="142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John J. Mack</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Katherine E. Wanner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5495" cy="142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Timothy W. Jay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5495" cy="167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5495" cy="16764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All executive officers and directors as a group (11 persons)</w:t>
      </w:r>
    </w:p>
    <w:p>
      <w:pPr>
        <w:spacing w:after="0" w:line="170" w:lineRule="exact"/>
        <w:rPr>
          <w:sz w:val="20"/>
          <w:szCs w:val="20"/>
          <w:color w:val="auto"/>
        </w:rPr>
      </w:pPr>
    </w:p>
    <w:p>
      <w:pPr>
        <w:ind w:left="460" w:hanging="437"/>
        <w:spacing w:after="0"/>
        <w:tabs>
          <w:tab w:leader="none" w:pos="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gridSpan w:val="3"/>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24"/>
        </w:trPr>
        <w:tc>
          <w:tcPr>
            <w:tcW w:w="2080" w:type="dxa"/>
            <w:vAlign w:val="bottom"/>
            <w:gridSpan w:val="3"/>
            <w:vMerge w:val="continue"/>
          </w:tcPr>
          <w:p>
            <w:pPr>
              <w:spacing w:after="0"/>
              <w:rPr>
                <w:sz w:val="2"/>
                <w:szCs w:val="2"/>
                <w:color w:val="auto"/>
              </w:rPr>
            </w:pPr>
          </w:p>
        </w:tc>
        <w:tc>
          <w:tcPr>
            <w:tcW w:w="11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line="20" w:lineRule="exact"/>
              <w:rPr>
                <w:sz w:val="1"/>
                <w:szCs w:val="1"/>
                <w:color w:val="auto"/>
              </w:rPr>
            </w:pPr>
          </w:p>
        </w:tc>
      </w:tr>
      <w:tr>
        <w:trPr>
          <w:trHeight w:val="211"/>
        </w:trPr>
        <w:tc>
          <w:tcPr>
            <w:tcW w:w="20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8"/>
              </w:rPr>
              <w:t>Beneficially Owned</w:t>
            </w:r>
            <w:r>
              <w:rPr>
                <w:rFonts w:ascii="Times New Roman" w:cs="Times New Roman" w:eastAsia="Times New Roman" w:hAnsi="Times New Roman"/>
                <w:sz w:val="18"/>
                <w:szCs w:val="18"/>
                <w:b w:val="1"/>
                <w:bCs w:val="1"/>
                <w:color w:val="auto"/>
                <w:w w:val="98"/>
                <w:vertAlign w:val="superscript"/>
              </w:rPr>
              <w:t>(1)</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25,559,846</w:t>
            </w:r>
          </w:p>
        </w:tc>
        <w:tc>
          <w:tcPr>
            <w:tcW w:w="1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30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25,086,851</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30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14,964,622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30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13,399,317</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792"/>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47,540,924</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99"/>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201,653</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26,196,526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2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344,805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1,375,013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82,599</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42,551</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76,019,025</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3" w:lineRule="exact"/>
        <w:rPr>
          <w:sz w:val="20"/>
          <w:szCs w:val="20"/>
          <w:color w:val="auto"/>
        </w:rPr>
      </w:pPr>
    </w:p>
    <w:p>
      <w:pPr>
        <w:sectPr>
          <w:pgSz w:w="11900" w:h="16838" w:orient="portrait"/>
          <w:cols w:equalWidth="0" w:num="2">
            <w:col w:w="7320" w:space="720"/>
            <w:col w:w="3200"/>
          </w:cols>
          <w:pgMar w:left="320" w:top="964" w:right="339" w:bottom="1440" w:gutter="0" w:footer="0" w:header="0"/>
          <w:type w:val="continuous"/>
        </w:sectPr>
      </w:pPr>
    </w:p>
    <w:p>
      <w:pPr>
        <w:ind w:left="440" w:right="20" w:hanging="417"/>
        <w:spacing w:after="0" w:line="222" w:lineRule="auto"/>
        <w:tabs>
          <w:tab w:leader="none" w:pos="44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Shares beneficially owned includes all outstanding stock options or restricted stock units exercisable for or convertible into our common stock either currently or within 60 days after April 15, 2024</w:t>
      </w:r>
      <w:r>
        <w:rPr>
          <w:rFonts w:ascii="Times New Roman" w:cs="Times New Roman" w:eastAsia="Times New Roman" w:hAnsi="Times New Roman"/>
          <w:sz w:val="21"/>
          <w:szCs w:val="21"/>
          <w:color w:val="auto"/>
        </w:rPr>
        <w:t>.</w:t>
      </w:r>
    </w:p>
    <w:p>
      <w:pPr>
        <w:spacing w:after="0" w:line="113" w:lineRule="exact"/>
        <w:rPr>
          <w:rFonts w:ascii="Times New Roman" w:cs="Times New Roman" w:eastAsia="Times New Roman" w:hAnsi="Times New Roman"/>
          <w:sz w:val="18"/>
          <w:szCs w:val="18"/>
          <w:color w:val="auto"/>
          <w:vertAlign w:val="superscript"/>
        </w:rPr>
      </w:pPr>
    </w:p>
    <w:p>
      <w:pPr>
        <w:ind w:left="440" w:right="100" w:hanging="417"/>
        <w:spacing w:after="0" w:line="209" w:lineRule="auto"/>
        <w:tabs>
          <w:tab w:leader="none" w:pos="44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Shared voting and shared dispositive power in respect of 25,559,846 shares, as stated in a Schedule 13D/A jointly filed with the SEC on December 21, 2022 by Energy Transition Holdings LLC and Great Mountain Partners LLC. The address of the principal business office of Energy Transition Holdings LLC and Great Mountain Partners LLC is 10 Station Place, P.O. Box 233, Norfolk, CT 06058.</w:t>
      </w:r>
    </w:p>
    <w:p>
      <w:pPr>
        <w:spacing w:after="0" w:line="133" w:lineRule="exact"/>
        <w:rPr>
          <w:rFonts w:ascii="Times New Roman" w:cs="Times New Roman" w:eastAsia="Times New Roman" w:hAnsi="Times New Roman"/>
          <w:sz w:val="18"/>
          <w:szCs w:val="18"/>
          <w:color w:val="auto"/>
          <w:vertAlign w:val="superscript"/>
        </w:rPr>
      </w:pPr>
    </w:p>
    <w:p>
      <w:pPr>
        <w:ind w:left="440" w:right="240" w:hanging="417"/>
        <w:spacing w:after="0" w:line="209" w:lineRule="auto"/>
        <w:tabs>
          <w:tab w:leader="none" w:pos="44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Shared voting and shared dispositive power in respect of 25,086,851 shares, as stated in a Schedule 13D/A jointly filed with the SEC on June 15, 2021 by Edens Family Holdings LLC and Lynn M. Edens. The address of the principal business office of Edens Family Holdings LLC and Lynn M. Edens is c/o Baobob Advisors LLC, 111 W. 19th St., 8th Floor, New York, New York 10011.</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(4)</w:t>
      </w:r>
    </w:p>
    <w:p>
      <w:pPr>
        <w:ind w:left="440" w:right="140"/>
        <w:spacing w:after="0"/>
        <w:rPr>
          <w:sz w:val="20"/>
          <w:szCs w:val="20"/>
          <w:color w:val="auto"/>
        </w:rPr>
      </w:pPr>
      <w:r>
        <w:rPr>
          <w:rFonts w:ascii="Times New Roman" w:cs="Times New Roman" w:eastAsia="Times New Roman" w:hAnsi="Times New Roman"/>
          <w:sz w:val="14"/>
          <w:szCs w:val="14"/>
          <w:color w:val="auto"/>
        </w:rPr>
        <w:t>Sole voting and sole dispositive power in respect of 14,964,622 shares, as stated in a Schedule 13G/A filed with the SEC on February 9, 2024. The address of the principal business office of Capital World Investors is 333 South Hope Street, 55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Los Angeles, California 90071.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9"/>
          <w:szCs w:val="9"/>
          <w:color w:val="auto"/>
        </w:rPr>
        <w:t>(5)</w:t>
      </w:r>
    </w:p>
    <w:p>
      <w:pPr>
        <w:ind w:left="420" w:right="300"/>
        <w:spacing w:after="0" w:line="233" w:lineRule="auto"/>
        <w:rPr>
          <w:sz w:val="20"/>
          <w:szCs w:val="20"/>
          <w:color w:val="auto"/>
        </w:rPr>
      </w:pPr>
      <w:r>
        <w:rPr>
          <w:rFonts w:ascii="Times New Roman" w:cs="Times New Roman" w:eastAsia="Times New Roman" w:hAnsi="Times New Roman"/>
          <w:sz w:val="14"/>
          <w:szCs w:val="14"/>
          <w:color w:val="auto"/>
        </w:rPr>
        <w:t>Shared voting and shared dispositive power in respect of 13,399,317 shares, as stated in a Schedule 13D/A jointly filed with the SEC on February 12, 2021. The address of the principal business office of Fortress Investment Group LLC is 1345 Avenue of the Americas, 46th Floor, New York, New York 10105.</w:t>
      </w:r>
    </w:p>
    <w:p>
      <w:pPr>
        <w:spacing w:after="0" w:line="120" w:lineRule="exact"/>
        <w:rPr>
          <w:sz w:val="20"/>
          <w:szCs w:val="20"/>
          <w:color w:val="auto"/>
        </w:rPr>
      </w:pPr>
    </w:p>
    <w:p>
      <w:pPr>
        <w:ind w:left="420" w:right="120" w:hanging="417"/>
        <w:spacing w:after="0" w:line="205" w:lineRule="auto"/>
        <w:tabs>
          <w:tab w:leader="none" w:pos="42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Based on the Schedule 13D/A filed with the SEC on May 22, 2023 by Wesley R. Edens. Mr. Edens reported sole voting and sole dispositive power with respect to the 47,540,924 shares of Common Stock.</w:t>
      </w:r>
    </w:p>
    <w:p>
      <w:pPr>
        <w:spacing w:after="0" w:line="121" w:lineRule="exact"/>
        <w:rPr>
          <w:rFonts w:ascii="Times New Roman" w:cs="Times New Roman" w:eastAsia="Times New Roman" w:hAnsi="Times New Roman"/>
          <w:sz w:val="18"/>
          <w:szCs w:val="18"/>
          <w:color w:val="auto"/>
          <w:vertAlign w:val="superscript"/>
        </w:rPr>
      </w:pPr>
    </w:p>
    <w:p>
      <w:pPr>
        <w:ind w:left="420" w:hanging="417"/>
        <w:spacing w:after="0" w:line="214" w:lineRule="auto"/>
        <w:tabs>
          <w:tab w:leader="none" w:pos="42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Based on the Schedule 13D/A filed with the SEC on May 22, 2023 by Randal A. Nardone. Mr. Nardone reported sole voting and sole dispositive power with respect to the 26,196,526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60960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40" w:top="756" w:right="459" w:bottom="1440" w:gutter="0" w:footer="0" w:header="0"/>
        </w:sectPr>
      </w:pPr>
    </w:p>
    <w:bookmarkStart w:id="34" w:name="page35"/>
    <w:bookmarkEnd w:id="34"/>
    <w:p>
      <w:pPr>
        <w:ind w:left="3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Review, Approval and Ratification of Transactions with Related Persons</w:t>
      </w:r>
    </w:p>
    <w:p>
      <w:pPr>
        <w:spacing w:after="0" w:line="218" w:lineRule="exact"/>
        <w:rPr>
          <w:sz w:val="20"/>
          <w:szCs w:val="20"/>
          <w:color w:val="auto"/>
        </w:rPr>
      </w:pPr>
    </w:p>
    <w:p>
      <w:pPr>
        <w:ind w:right="100" w:firstLine="317"/>
        <w:spacing w:after="0" w:line="248" w:lineRule="auto"/>
        <w:rPr>
          <w:sz w:val="20"/>
          <w:szCs w:val="20"/>
          <w:color w:val="auto"/>
        </w:rPr>
      </w:pPr>
      <w:r>
        <w:rPr>
          <w:rFonts w:ascii="Times New Roman" w:cs="Times New Roman" w:eastAsia="Times New Roman" w:hAnsi="Times New Roman"/>
          <w:sz w:val="18"/>
          <w:szCs w:val="18"/>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Our Board of Directors has adopted a written policy that outlines procedures for approving transactions with related persons, and any such transactions will be reviewed and approved or ratified by a majority of our disinterested and independent directors pursuant to the procedures outlined in such policy. In determining whether to approve or ratify a transaction with a related person, we expect that the independent and disinterested directors will consider a variety of factors they deem relevant. The policy includes standing pre-approvals for specified categories of transactions, including, with certain limitations, investments in securities offerings, charter aircraft use and services provided pursuant to the Company’s Administrative Services Agreement with FIG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18" w:lineRule="exact"/>
        <w:rPr>
          <w:sz w:val="20"/>
          <w:szCs w:val="20"/>
          <w:color w:val="auto"/>
        </w:rPr>
      </w:pPr>
    </w:p>
    <w:p>
      <w:pPr>
        <w:jc w:val="both"/>
        <w:ind w:right="340" w:firstLine="317"/>
        <w:spacing w:after="0" w:line="257" w:lineRule="auto"/>
        <w:rPr>
          <w:sz w:val="20"/>
          <w:szCs w:val="20"/>
          <w:color w:val="auto"/>
        </w:rPr>
      </w:pPr>
      <w:r>
        <w:rPr>
          <w:rFonts w:ascii="Times New Roman" w:cs="Times New Roman" w:eastAsia="Times New Roman" w:hAnsi="Times New Roman"/>
          <w:sz w:val="18"/>
          <w:szCs w:val="18"/>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Affiliates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18" w:lineRule="exact"/>
        <w:rPr>
          <w:sz w:val="20"/>
          <w:szCs w:val="20"/>
          <w:color w:val="auto"/>
        </w:rPr>
      </w:pPr>
    </w:p>
    <w:p>
      <w:pPr>
        <w:ind w:right="20" w:firstLine="317"/>
        <w:spacing w:after="0" w:line="249" w:lineRule="auto"/>
        <w:rPr>
          <w:sz w:val="20"/>
          <w:szCs w:val="20"/>
          <w:color w:val="auto"/>
        </w:rPr>
      </w:pPr>
      <w:r>
        <w:rPr>
          <w:rFonts w:ascii="Times New Roman" w:cs="Times New Roman" w:eastAsia="Times New Roman" w:hAnsi="Times New Roman"/>
          <w:sz w:val="18"/>
          <w:szCs w:val="18"/>
          <w:color w:val="auto"/>
        </w:rPr>
        <w:t>In connection with the closing of our initial public offering in 2019 (the “Offering”), we entered into the Shareholders’ Agreement with New Fortress Energy Holdings and its affiliates. Our Shareholders’ Agreement provides that the parties thereto will use their respective reasonable efforts (including voting or causing to be voted all of our voting shares beneficially owned by each) so that no amendment is made to our Certificate of Formation or Bylaws in effect as of the date of the Shareholders’ Agreement that would add restrictions to the transferability of our shares by New Fortress Energy Holdings or its permitted transferees which are beyond those provided for in our Certificate of Formation or Bylaws,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87" w:lineRule="exact"/>
        <w:rPr>
          <w:sz w:val="20"/>
          <w:szCs w:val="20"/>
          <w:color w:val="auto"/>
        </w:rPr>
      </w:pPr>
    </w:p>
    <w:p>
      <w:pPr>
        <w:ind w:firstLine="317"/>
        <w:spacing w:after="0" w:line="300" w:lineRule="auto"/>
        <w:rPr>
          <w:sz w:val="20"/>
          <w:szCs w:val="20"/>
          <w:color w:val="auto"/>
        </w:rPr>
      </w:pPr>
      <w:r>
        <w:rPr>
          <w:rFonts w:ascii="Times New Roman" w:cs="Times New Roman" w:eastAsia="Times New Roman" w:hAnsi="Times New Roman"/>
          <w:sz w:val="17"/>
          <w:szCs w:val="17"/>
          <w:color w:val="auto"/>
        </w:rPr>
        <w:t>New Fortress Energy Holdings has assigned, pursuant to the terms of the Shareholders’ Agreement, to the affiliates of certain entities controlled by Wesley R. Edens and Randal A. Nardone (the “Founder Entities”), New Fortress Energy Holdings’ rights and obligations under the Shareholders’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Designation and Election of Directors</w:t>
      </w:r>
    </w:p>
    <w:p>
      <w:pPr>
        <w:spacing w:after="0" w:line="218" w:lineRule="exact"/>
        <w:rPr>
          <w:sz w:val="20"/>
          <w:szCs w:val="20"/>
          <w:color w:val="auto"/>
        </w:rPr>
      </w:pPr>
    </w:p>
    <w:p>
      <w:pPr>
        <w:ind w:right="40" w:firstLine="317"/>
        <w:spacing w:after="0" w:line="250" w:lineRule="auto"/>
        <w:rPr>
          <w:sz w:val="20"/>
          <w:szCs w:val="20"/>
          <w:color w:val="auto"/>
        </w:rPr>
      </w:pPr>
      <w:r>
        <w:rPr>
          <w:rFonts w:ascii="Times New Roman" w:cs="Times New Roman" w:eastAsia="Times New Roman" w:hAnsi="Times New Roman"/>
          <w:sz w:val="18"/>
          <w:szCs w:val="18"/>
          <w:color w:val="auto"/>
        </w:rPr>
        <w:t>Our Shareholders’ Agreement provides that, for so long as the Shareholders’ Agreement is in effect, we and the Founder Entities (including certain former members of New Fortress Energy Holdings) shall take all reasonable actions within our respective control (including voting or causing to be voted all of the securities entitled to vote generally in the election of our directors held of record or beneficially owned by the Founder Entities, and, with respect to us, including in the slate of nominees recommended by the Board of Directors those individuals designated by the Founder Entities) so as to elect to the Board of Directors, and to cause to continue in office, not more than eight directors (or such other number as the Founder Entities may agree in writing), of whom, at any given time:</w:t>
      </w:r>
    </w:p>
    <w:p>
      <w:pPr>
        <w:spacing w:after="0" w:line="185" w:lineRule="exact"/>
        <w:rPr>
          <w:sz w:val="20"/>
          <w:szCs w:val="20"/>
          <w:color w:val="auto"/>
        </w:rPr>
      </w:pPr>
    </w:p>
    <w:p>
      <w:pPr>
        <w:ind w:left="640" w:right="220" w:hanging="317"/>
        <w:spacing w:after="0" w:line="253"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equal to a majority of the Board of Directors, plus one director, shall be individuals designated by the Founder Entities, for so long as the Founder Entities directly or indirectly beneficially own, together with their permitted transferees, at least 30% of our voting power; provided that if the Board of Directors consists of six or fewer directors, then the Founder Entities shall have the right to designate a number of directors equal to a majority of the Board of Directors;</w:t>
      </w:r>
    </w:p>
    <w:p>
      <w:pPr>
        <w:spacing w:after="0" w:line="183" w:lineRule="exact"/>
        <w:rPr>
          <w:rFonts w:ascii="Times New Roman" w:cs="Times New Roman" w:eastAsia="Times New Roman" w:hAnsi="Times New Roman"/>
          <w:sz w:val="18"/>
          <w:szCs w:val="18"/>
          <w:color w:val="auto"/>
        </w:rPr>
      </w:pPr>
    </w:p>
    <w:p>
      <w:pPr>
        <w:ind w:left="640" w:right="80" w:hanging="317"/>
        <w:spacing w:after="0" w:line="253"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equal to a majority of the Board of Directors, minus one director, shall be individuals designated by the Founder Entities, for so long as the Founder Entities directly or indirectly beneficially own, together with their permitted transferees, less than 30% but at least 20% of our voting power; provided that if the Board of Directors consists of six or fewer directors, then the Founder Entities shall have the right to designate a number of directors equal to three directors;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35" w:name="page36"/>
    <w:bookmarkEnd w:id="35"/>
    <w:p>
      <w:pPr>
        <w:ind w:left="640" w:right="60" w:hanging="317"/>
        <w:spacing w:after="0" w:line="273"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20% but at least 10% of our voting power; provided that if the Board of Directors consists of six or fewer directors, then the Founder Entities shall have the right to designate a number of directors equal to two directors; and</w:t>
      </w:r>
    </w:p>
    <w:p>
      <w:pPr>
        <w:spacing w:after="0" w:line="166" w:lineRule="exact"/>
        <w:rPr>
          <w:rFonts w:ascii="Times New Roman" w:cs="Times New Roman" w:eastAsia="Times New Roman" w:hAnsi="Times New Roman"/>
          <w:sz w:val="17"/>
          <w:szCs w:val="17"/>
          <w:color w:val="auto"/>
        </w:rPr>
      </w:pPr>
    </w:p>
    <w:p>
      <w:pPr>
        <w:ind w:left="640" w:right="60" w:hanging="317"/>
        <w:spacing w:after="0" w:line="273"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10% but at least 5% of our voting power; provided that if the Board of Directors consists of six or fewer directors, then the Founder Entities shall have the right to designate a number of directors equal to one director.</w:t>
      </w:r>
    </w:p>
    <w:p>
      <w:pPr>
        <w:spacing w:after="0" w:line="167" w:lineRule="exact"/>
        <w:rPr>
          <w:sz w:val="20"/>
          <w:szCs w:val="20"/>
          <w:color w:val="auto"/>
        </w:rPr>
      </w:pPr>
    </w:p>
    <w:p>
      <w:pPr>
        <w:ind w:right="60" w:firstLine="317"/>
        <w:spacing w:after="0" w:line="257" w:lineRule="auto"/>
        <w:rPr>
          <w:sz w:val="20"/>
          <w:szCs w:val="20"/>
          <w:color w:val="auto"/>
        </w:rPr>
      </w:pPr>
      <w:r>
        <w:rPr>
          <w:rFonts w:ascii="Times New Roman" w:cs="Times New Roman" w:eastAsia="Times New Roman" w:hAnsi="Times New Roman"/>
          <w:sz w:val="18"/>
          <w:szCs w:val="18"/>
          <w:color w:val="auto"/>
        </w:rPr>
        <w:t>So long as the Founder Entities are entitled to designate one or more nominees to the Board of Directors and notifies the Board of Directors of their desire to remove, with or without cause, any director previously designated by them to the Board of Directors, we are required to take all necessary action to cause such removal.</w:t>
      </w:r>
    </w:p>
    <w:p>
      <w:pPr>
        <w:spacing w:after="0" w:line="180" w:lineRule="exact"/>
        <w:rPr>
          <w:sz w:val="20"/>
          <w:szCs w:val="20"/>
          <w:color w:val="auto"/>
        </w:rPr>
      </w:pPr>
    </w:p>
    <w:p>
      <w:pPr>
        <w:ind w:right="20" w:firstLine="317"/>
        <w:spacing w:after="0" w:line="270" w:lineRule="auto"/>
        <w:rPr>
          <w:sz w:val="20"/>
          <w:szCs w:val="20"/>
          <w:color w:val="auto"/>
        </w:rPr>
      </w:pPr>
      <w:r>
        <w:rPr>
          <w:rFonts w:ascii="Times New Roman" w:cs="Times New Roman" w:eastAsia="Times New Roman" w:hAnsi="Times New Roman"/>
          <w:sz w:val="18"/>
          <w:szCs w:val="18"/>
          <w:color w:val="auto"/>
        </w:rPr>
        <w:t>In accordance with the Shareholders’ Agreement, New Fortress Energy Holdings originally designated Messrs. Catterall, Grain, Griffin, Jay and Mack and Ms. Wanner for election to our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18" w:lineRule="exact"/>
        <w:rPr>
          <w:sz w:val="20"/>
          <w:szCs w:val="20"/>
          <w:color w:val="auto"/>
        </w:rPr>
      </w:pPr>
    </w:p>
    <w:p>
      <w:pPr>
        <w:ind w:right="220" w:firstLine="317"/>
        <w:spacing w:after="0" w:line="270" w:lineRule="auto"/>
        <w:rPr>
          <w:sz w:val="20"/>
          <w:szCs w:val="20"/>
          <w:color w:val="auto"/>
        </w:rPr>
      </w:pPr>
      <w:r>
        <w:rPr>
          <w:rFonts w:ascii="Times New Roman" w:cs="Times New Roman" w:eastAsia="Times New Roman" w:hAnsi="Times New Roman"/>
          <w:sz w:val="18"/>
          <w:szCs w:val="18"/>
          <w:color w:val="auto"/>
        </w:rPr>
        <w:t>The Shareholders’ Agreement provides that we will indemnify the Founder Entities and their officers, directors, employees, agents and affiliates against losses arising out of third-party claims (including litigation matters and other claims) based on, arising out of or resulting from:</w:t>
      </w:r>
    </w:p>
    <w:p>
      <w:pPr>
        <w:spacing w:after="0" w:line="168" w:lineRule="exact"/>
        <w:rPr>
          <w:sz w:val="20"/>
          <w:szCs w:val="20"/>
          <w:color w:val="auto"/>
        </w:rPr>
      </w:pPr>
    </w:p>
    <w:p>
      <w:pPr>
        <w:ind w:left="640" w:hanging="31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or the operation of our assets or properties, and the operation or conduct of our business, prior to or following the Offering; and</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activities we engage in.</w:t>
      </w:r>
    </w:p>
    <w:p>
      <w:pPr>
        <w:spacing w:after="0" w:line="216" w:lineRule="exact"/>
        <w:rPr>
          <w:sz w:val="20"/>
          <w:szCs w:val="20"/>
          <w:color w:val="auto"/>
        </w:rPr>
      </w:pPr>
    </w:p>
    <w:p>
      <w:pPr>
        <w:ind w:right="60" w:firstLine="317"/>
        <w:spacing w:after="0" w:line="251" w:lineRule="auto"/>
        <w:rPr>
          <w:sz w:val="20"/>
          <w:szCs w:val="20"/>
          <w:color w:val="auto"/>
        </w:rPr>
      </w:pPr>
      <w:r>
        <w:rPr>
          <w:rFonts w:ascii="Times New Roman" w:cs="Times New Roman" w:eastAsia="Times New Roman" w:hAnsi="Times New Roman"/>
          <w:sz w:val="18"/>
          <w:szCs w:val="18"/>
          <w:color w:val="auto"/>
        </w:rPr>
        <w:t>In addition, we have agreed to indemnify the Founder Entities and their officers, directors, employees, agents and affiliates against losses, including liabilities under the Securities Act and the Exchange Act, relating to misstatements in or omissions from any registration statement or report that we file, other than misstatements or omissions made in reliance on information relating to and furnished by New Fortress Energy Holdings or the Founder Entities for use in the preparation of that registration statement or this Proxy Statement, against which New Fortress Energy Holdings or the Founder Entities, as applicable, has agreed to indemnify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16" w:lineRule="exact"/>
        <w:rPr>
          <w:sz w:val="20"/>
          <w:szCs w:val="20"/>
          <w:color w:val="auto"/>
        </w:rPr>
      </w:pPr>
    </w:p>
    <w:p>
      <w:pPr>
        <w:ind w:firstLine="317"/>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Demand Rights. </w:t>
      </w:r>
      <w:r>
        <w:rPr>
          <w:rFonts w:ascii="Times New Roman" w:cs="Times New Roman" w:eastAsia="Times New Roman" w:hAnsi="Times New Roman"/>
          <w:sz w:val="18"/>
          <w:szCs w:val="18"/>
          <w:color w:val="auto"/>
        </w:rPr>
        <w:t>Under our Shareholders’ Agreement, the Founder Entities have, for so long as the Founder Entities directly or indirectly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owns, together with their permitted transferees, an amount of our shares of Common Stock (whether owned at the time of the Offering or subsequently acquired) equal to or greater than 1% of the shares of Common Stock issued and outstanding immediately after the consummation of the Offering (a “Registrable Amount”), “demand” registration rights that allow the Founder Entities, and on behalf of their permitted transferees, at any time after 180 days following the consummation of the Offering, to request that we register under the Securities Act an amount of shares of Common Stock equal to or greater than a Registrable Amount.</w:t>
      </w:r>
    </w:p>
    <w:p>
      <w:pPr>
        <w:spacing w:after="0" w:line="187" w:lineRule="exact"/>
        <w:rPr>
          <w:sz w:val="20"/>
          <w:szCs w:val="20"/>
          <w:color w:val="auto"/>
        </w:rPr>
      </w:pPr>
    </w:p>
    <w:p>
      <w:pPr>
        <w:ind w:right="280" w:firstLine="317"/>
        <w:spacing w:after="0" w:line="253" w:lineRule="auto"/>
        <w:rPr>
          <w:sz w:val="20"/>
          <w:szCs w:val="20"/>
          <w:color w:val="auto"/>
        </w:rPr>
      </w:pPr>
      <w:r>
        <w:rPr>
          <w:rFonts w:ascii="Times New Roman" w:cs="Times New Roman" w:eastAsia="Times New Roman" w:hAnsi="Times New Roman"/>
          <w:sz w:val="18"/>
          <w:szCs w:val="18"/>
          <w:color w:val="auto"/>
        </w:rPr>
        <w:t>The Founder Entities, and on behalf of their permitted transferees, are entitled to unlimited demand registrations so long as such persons, together, beneficially own a Registrable Amount. We also are not required to effect any demand registration within one month of a “firm commitment” underwritten offering to which the requestor held “piggyback” rights, described below, and which included at least 50% of the shares of Common Stock requested by the requestor to be included or within one month of any other underwritten offering pursuant to a shelf registration statement.</w:t>
      </w:r>
    </w:p>
    <w:p>
      <w:pPr>
        <w:spacing w:after="0" w:line="182" w:lineRule="exact"/>
        <w:rPr>
          <w:sz w:val="20"/>
          <w:szCs w:val="20"/>
          <w:color w:val="auto"/>
        </w:rPr>
      </w:pPr>
    </w:p>
    <w:p>
      <w:pPr>
        <w:ind w:right="60" w:firstLine="31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Piggyback Rights. </w:t>
      </w:r>
      <w:r>
        <w:rPr>
          <w:rFonts w:ascii="Times New Roman" w:cs="Times New Roman" w:eastAsia="Times New Roman" w:hAnsi="Times New Roman"/>
          <w:sz w:val="18"/>
          <w:szCs w:val="18"/>
          <w:color w:val="auto"/>
        </w:rPr>
        <w:t>For so long as the Founder Entities beneficially owns, together with their permitted transferees, a Registrable Amount, the Founder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(and its permitted transferees) also have “piggyback” registration rights that allow them to include shares of Common Stock that they own in any public offering of equity securities initiated by us (other than those public offerings pursuant to registration statements on Form S-4 or Form S-8 or pursuant to an employee benefit plan arrangement) or by any of our other stockholders that have registration rights. These “piggyback” registration rights are subject to proportional cutbacks based on the manner of the offering and the identity of the party initiating such offering.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6" w:name="page37"/>
    <w:bookmarkEnd w:id="36"/>
    <w:p>
      <w:pPr>
        <w:ind w:right="80" w:firstLine="317"/>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Under our Shareholders’ Agreement, we granted to the Founder Entities or any of their permitted transferees, for so long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Founder Entities, together with their permitted transferees, beneficially owns a Registrable Amount, the right to request a shelf registration on Form S-3 providing for offerings of shares of Common Stock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12-month period) if we determine that certain disclosures required by the shelf registration statement would be detrimental to us or our stockholders. In addition, the Founder Entities, and on behalf of their permitted transferees, may elect to participate in such shelf registrations within ten days after notice of the registration is given.</w:t>
      </w:r>
    </w:p>
    <w:p>
      <w:pPr>
        <w:spacing w:after="0" w:line="187" w:lineRule="exact"/>
        <w:rPr>
          <w:sz w:val="20"/>
          <w:szCs w:val="20"/>
          <w:color w:val="auto"/>
        </w:rPr>
      </w:pPr>
    </w:p>
    <w:p>
      <w:pPr>
        <w:ind w:right="160" w:firstLine="317"/>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Indemnification; Expenses; Lock-ups. </w:t>
      </w:r>
      <w:r>
        <w:rPr>
          <w:rFonts w:ascii="Times New Roman" w:cs="Times New Roman" w:eastAsia="Times New Roman" w:hAnsi="Times New Roman"/>
          <w:sz w:val="17"/>
          <w:szCs w:val="17"/>
          <w:color w:val="auto"/>
        </w:rPr>
        <w:t>Under our Shareholders’ Agreement, we agreed to indemnify the applicable selling shareholder and its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employees, managers, members partners, agents and controlling persons against any losses or damages resulting from any untrue statement or omission of material fact in any registration statement or prospectus pursuant to which it sells shares of Common Stock, unless such liability arose from the applicable selling stockholder’s misstatement or omission, and the applicable selling stockholder agrees to indemnify us against all losses caused by its misstatements or omissions. We will pay all registration and offering-related expenses incidental to our performance under the Shareholders’ Agreement, and the applicable selling stockholder will pay its portion of all underwriting discounts, commissions and transfer taxes, if any, relating to the sale of its shares of Common Stock under the Shareholders’ Agreement. We have entered into, and have caused our officers and directors to enter into, lock-up agreements in connection with any exercise of registration rights by the Founder Entities, and on behalf of their permitted transferees.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Rights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Under our Shareholders’ Agreement, the Founder Entities have the right to request certain information from 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Assistance in the Sale of the Founder Entities’ Shares</w:t>
      </w:r>
    </w:p>
    <w:p>
      <w:pPr>
        <w:spacing w:after="0" w:line="218" w:lineRule="exact"/>
        <w:rPr>
          <w:sz w:val="20"/>
          <w:szCs w:val="20"/>
          <w:color w:val="auto"/>
        </w:rPr>
      </w:pPr>
    </w:p>
    <w:p>
      <w:pPr>
        <w:jc w:val="both"/>
        <w:ind w:right="120" w:firstLine="317"/>
        <w:spacing w:after="0" w:line="257" w:lineRule="auto"/>
        <w:rPr>
          <w:sz w:val="20"/>
          <w:szCs w:val="20"/>
          <w:color w:val="auto"/>
        </w:rPr>
      </w:pPr>
      <w:r>
        <w:rPr>
          <w:rFonts w:ascii="Times New Roman" w:cs="Times New Roman" w:eastAsia="Times New Roman" w:hAnsi="Times New Roman"/>
          <w:sz w:val="18"/>
          <w:szCs w:val="18"/>
          <w:color w:val="auto"/>
        </w:rPr>
        <w:t>Under our Shareholders’ Agreement, if the Founder Entities seek to sell their shares of Common Stock other than pursuant to a registration statement, we shall use our reasonable best efforts to assist the Founder Entities in the sale process, including by providing information to potential purchasers as requested by the Founder Entities.</w:t>
      </w:r>
    </w:p>
    <w:p>
      <w:pPr>
        <w:spacing w:after="0" w:line="180" w:lineRule="exact"/>
        <w:rPr>
          <w:sz w:val="20"/>
          <w:szCs w:val="20"/>
          <w:color w:val="auto"/>
        </w:rPr>
      </w:pPr>
    </w:p>
    <w:p>
      <w:pPr>
        <w:ind w:right="300" w:firstLine="317"/>
        <w:spacing w:after="0" w:line="257" w:lineRule="auto"/>
        <w:rPr>
          <w:sz w:val="20"/>
          <w:szCs w:val="20"/>
          <w:color w:val="auto"/>
        </w:rPr>
      </w:pPr>
      <w:r>
        <w:rPr>
          <w:rFonts w:ascii="Times New Roman" w:cs="Times New Roman" w:eastAsia="Times New Roman" w:hAnsi="Times New Roman"/>
          <w:sz w:val="18"/>
          <w:szCs w:val="18"/>
          <w:color w:val="auto"/>
        </w:rPr>
        <w:t>In addition, if the Board of Directors starts and then abandons a sale process, and the Founder Entities subsequently indicate that they want to sell their shares of Common Stock, we shall permit the Founder Entities to engage in discussions with potential purchasers who participated in the abandoned sales process. We shall be obligated to assist the Founder Entities in any such sale process.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Related Persons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220" w:lineRule="exact"/>
        <w:rPr>
          <w:sz w:val="20"/>
          <w:szCs w:val="20"/>
          <w:color w:val="auto"/>
        </w:rPr>
      </w:pPr>
    </w:p>
    <w:p>
      <w:pPr>
        <w:jc w:val="both"/>
        <w:ind w:right="240" w:firstLine="317"/>
        <w:spacing w:after="0" w:line="253" w:lineRule="auto"/>
        <w:rPr>
          <w:sz w:val="20"/>
          <w:szCs w:val="20"/>
          <w:color w:val="auto"/>
        </w:rPr>
      </w:pPr>
      <w:r>
        <w:rPr>
          <w:rFonts w:ascii="Times New Roman" w:cs="Times New Roman" w:eastAsia="Times New Roman" w:hAnsi="Times New Roman"/>
          <w:sz w:val="18"/>
          <w:szCs w:val="18"/>
          <w:color w:val="auto"/>
        </w:rPr>
        <w:t>We are party to an Administrative Services Agreement (“Administrative Agreement”) with FIG LLC, an affiliate of Fortress (which currently employs Wesley R. Edens, our chief executive officer and chairman of our Board of Directors, and Randal A. Nardone, one of our directors), to charge us for certain administrative and general expenses incurred. The charges under the Administrative Agreement that are attributable to the Company totaled $5.8 million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Aircraft</w:t>
      </w:r>
    </w:p>
    <w:p>
      <w:pPr>
        <w:spacing w:after="0" w:line="220" w:lineRule="exact"/>
        <w:rPr>
          <w:sz w:val="20"/>
          <w:szCs w:val="20"/>
          <w:color w:val="auto"/>
        </w:rPr>
      </w:pPr>
    </w:p>
    <w:p>
      <w:pPr>
        <w:ind w:right="20" w:firstLine="317"/>
        <w:spacing w:after="0" w:line="257" w:lineRule="auto"/>
        <w:rPr>
          <w:sz w:val="20"/>
          <w:szCs w:val="20"/>
          <w:color w:val="auto"/>
        </w:rPr>
      </w:pPr>
      <w:r>
        <w:rPr>
          <w:rFonts w:ascii="Times New Roman" w:cs="Times New Roman" w:eastAsia="Times New Roman" w:hAnsi="Times New Roman"/>
          <w:sz w:val="18"/>
          <w:szCs w:val="18"/>
          <w:color w:val="auto"/>
        </w:rPr>
        <w:t>Mr. Edens owns an aircraft that we charter from a third-party aircraft operator for business purposes in the ordinary course of operations. We paid market rates for the charters. For the year ended December 31, 2023, we incurred charter costs of $2.8 million, and such amount is included within selling, general and administrative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Headquarters Lease and Sublease</w:t>
      </w:r>
    </w:p>
    <w:p>
      <w:pPr>
        <w:spacing w:after="0" w:line="220" w:lineRule="exact"/>
        <w:rPr>
          <w:sz w:val="20"/>
          <w:szCs w:val="20"/>
          <w:color w:val="auto"/>
        </w:rPr>
      </w:pPr>
    </w:p>
    <w:p>
      <w:pPr>
        <w:ind w:firstLine="317"/>
        <w:spacing w:after="0" w:line="253" w:lineRule="auto"/>
        <w:rPr>
          <w:sz w:val="20"/>
          <w:szCs w:val="20"/>
          <w:color w:val="auto"/>
        </w:rPr>
      </w:pPr>
      <w:r>
        <w:rPr>
          <w:rFonts w:ascii="Times New Roman" w:cs="Times New Roman" w:eastAsia="Times New Roman" w:hAnsi="Times New Roman"/>
          <w:sz w:val="18"/>
          <w:szCs w:val="18"/>
          <w:color w:val="auto"/>
        </w:rPr>
        <w:t>In November 2018, we entered into a month-to-month non-exclusive license agreement, pursuant to which we lease our corporate offices from FEP Holdco LLC (“FEP Holdco”), an entity owned jointly by Wesley R. Edens and Randal A. Nardone. The predecessor to FEP Holdco agreed to be the lessor of record for the lease to facilitate the Company’s ability to occupy the space in the timeframe desired by the Company. Under this license agreement, we incurred rent of approximately $2.7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37" w:name="page38"/>
    <w:bookmarkEnd w:id="37"/>
    <w:p>
      <w:pPr>
        <w:ind w:right="400" w:firstLine="317"/>
        <w:spacing w:after="0" w:line="257" w:lineRule="auto"/>
        <w:rPr>
          <w:sz w:val="20"/>
          <w:szCs w:val="20"/>
          <w:color w:val="auto"/>
        </w:rPr>
      </w:pPr>
      <w:r>
        <w:rPr>
          <w:rFonts w:ascii="Times New Roman" w:cs="Times New Roman" w:eastAsia="Times New Roman" w:hAnsi="Times New Roman"/>
          <w:sz w:val="18"/>
          <w:szCs w:val="18"/>
          <w:color w:val="auto"/>
        </w:rPr>
        <w:t>Since February 2023, we have subleased a portion of our corporate offices to FTAI Infrastructure Inc. (“FTAI Infrastructure”). During the year ended December 31, 2023, FTAI Infrastructure incurred $0.4 million of rent expenses; FTAI Infrastructure did not make any payments to us in 2023. We may sublease a portion of our corporate offices to certain other affiliates.</w:t>
      </w:r>
    </w:p>
    <w:p>
      <w:pPr>
        <w:spacing w:after="0" w:line="180" w:lineRule="exact"/>
        <w:rPr>
          <w:sz w:val="20"/>
          <w:szCs w:val="20"/>
          <w:color w:val="auto"/>
        </w:rPr>
      </w:pPr>
    </w:p>
    <w:p>
      <w:pPr>
        <w:ind w:right="20" w:firstLine="317"/>
        <w:spacing w:after="0" w:line="257" w:lineRule="auto"/>
        <w:rPr>
          <w:sz w:val="20"/>
          <w:szCs w:val="20"/>
          <w:color w:val="auto"/>
        </w:rPr>
      </w:pPr>
      <w:r>
        <w:rPr>
          <w:rFonts w:ascii="Times New Roman" w:cs="Times New Roman" w:eastAsia="Times New Roman" w:hAnsi="Times New Roman"/>
          <w:sz w:val="18"/>
          <w:szCs w:val="18"/>
          <w:color w:val="auto"/>
        </w:rPr>
        <w:t>Since September 2023, we have also leased land for development of a hydrogen facility in Beaumont, Texas from Jefferson Terminal South LLC, which is an indirect, majority-owned subsidiary of FTAI Infrastructure. During the year ended December 31, 2023, we incurred $0.2 million of costs under the lease agreement; no amounts were paid to Jefferson Terminal South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Miami Ground Lease</w:t>
      </w:r>
    </w:p>
    <w:p>
      <w:pPr>
        <w:spacing w:after="0" w:line="220" w:lineRule="exact"/>
        <w:rPr>
          <w:sz w:val="20"/>
          <w:szCs w:val="20"/>
          <w:color w:val="auto"/>
        </w:rPr>
      </w:pPr>
    </w:p>
    <w:p>
      <w:pPr>
        <w:ind w:right="60" w:firstLine="352"/>
        <w:spacing w:after="0" w:line="251" w:lineRule="auto"/>
        <w:rPr>
          <w:sz w:val="20"/>
          <w:szCs w:val="20"/>
          <w:color w:val="auto"/>
        </w:rPr>
      </w:pPr>
      <w:r>
        <w:rPr>
          <w:rFonts w:ascii="Times New Roman" w:cs="Times New Roman" w:eastAsia="Times New Roman" w:hAnsi="Times New Roman"/>
          <w:sz w:val="18"/>
          <w:szCs w:val="18"/>
          <w:color w:val="auto"/>
        </w:rPr>
        <w:t>We lease the property for our liquefaction, storage and production facility (the "Miami Facility") from an affiliate of Fortress. Our subsidiary, LNG Holdings (Florida) LLC (“Florida Holdings”), is the owner and operator of the Miami Facility. Florida Holdings holds rights to the real property on which the Miami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w:t>
      </w:r>
    </w:p>
    <w:p>
      <w:pPr>
        <w:spacing w:after="0" w:line="185" w:lineRule="exact"/>
        <w:rPr>
          <w:sz w:val="20"/>
          <w:szCs w:val="20"/>
          <w:color w:val="auto"/>
        </w:rPr>
      </w:pPr>
    </w:p>
    <w:p>
      <w:pPr>
        <w:ind w:firstLine="352"/>
        <w:spacing w:after="0" w:line="251" w:lineRule="auto"/>
        <w:rPr>
          <w:sz w:val="20"/>
          <w:szCs w:val="20"/>
          <w:color w:val="auto"/>
        </w:rPr>
      </w:pPr>
      <w:r>
        <w:rPr>
          <w:rFonts w:ascii="Times New Roman" w:cs="Times New Roman" w:eastAsia="Times New Roman" w:hAnsi="Times New Roman"/>
          <w:sz w:val="18"/>
          <w:szCs w:val="18"/>
          <w:color w:val="auto"/>
        </w:rPr>
        <w:t>The term of the Miami Lease commenced November 20, 2014, and was renewed in November 2019 with a new maturity date of November 20, 2024. The term will automatically extend for four additional periods of five years each (unless Miami Tenant notifies Miami Landlord otherwise as set forth in the Miami Lease). Miami Tenant pays base rent in the amount of $0.3 million per year, which amount shall escalate by 2.5% on each anniversary of the commencement date. Miami Tenant has delivered a security deposit in the amount of $0.1 million, which will be reduced to $0 upon commencement of the second renewal term. Miami Tenant has the right to provide the security deposit in the form of a letter of credit.</w:t>
      </w:r>
    </w:p>
    <w:p>
      <w:pPr>
        <w:spacing w:after="0" w:line="185" w:lineRule="exact"/>
        <w:rPr>
          <w:sz w:val="20"/>
          <w:szCs w:val="20"/>
          <w:color w:val="auto"/>
        </w:rPr>
      </w:pPr>
    </w:p>
    <w:p>
      <w:pPr>
        <w:ind w:right="140" w:firstLine="352"/>
        <w:spacing w:after="0" w:line="270" w:lineRule="auto"/>
        <w:rPr>
          <w:sz w:val="20"/>
          <w:szCs w:val="20"/>
          <w:color w:val="auto"/>
        </w:rPr>
      </w:pPr>
      <w:r>
        <w:rPr>
          <w:rFonts w:ascii="Times New Roman" w:cs="Times New Roman" w:eastAsia="Times New Roman" w:hAnsi="Times New Roman"/>
          <w:sz w:val="18"/>
          <w:szCs w:val="18"/>
          <w:color w:val="auto"/>
        </w:rPr>
        <w:t>Miami Tenant is responsible for all other costs attributable to the Miami leased premises and Miami Facility, including all property taxes, insurance, and utilities, as well as all maintenance, repair, and replacement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Fortress Affiliated Entities</w:t>
      </w:r>
    </w:p>
    <w:p>
      <w:pPr>
        <w:spacing w:after="0" w:line="220" w:lineRule="exact"/>
        <w:rPr>
          <w:sz w:val="20"/>
          <w:szCs w:val="20"/>
          <w:color w:val="auto"/>
        </w:rPr>
      </w:pPr>
    </w:p>
    <w:p>
      <w:pPr>
        <w:ind w:right="320" w:firstLine="352"/>
        <w:spacing w:after="0" w:line="270" w:lineRule="auto"/>
        <w:rPr>
          <w:sz w:val="20"/>
          <w:szCs w:val="20"/>
          <w:color w:val="auto"/>
        </w:rPr>
      </w:pPr>
      <w:r>
        <w:rPr>
          <w:rFonts w:ascii="Times New Roman" w:cs="Times New Roman" w:eastAsia="Times New Roman" w:hAnsi="Times New Roman"/>
          <w:sz w:val="18"/>
          <w:szCs w:val="18"/>
          <w:color w:val="auto"/>
        </w:rPr>
        <w:t>Since 2017, the Company has provided certain administrative services to affiliates of FEP Holdco. There are no costs incurred by the Company as the Company is fully reimbursed for all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jc w:val="center"/>
        <w:spacing w:after="0" w:line="214" w:lineRule="auto"/>
        <w:rPr>
          <w:sz w:val="20"/>
          <w:szCs w:val="20"/>
          <w:color w:val="auto"/>
        </w:rPr>
      </w:pPr>
      <w:r>
        <w:rPr>
          <w:rFonts w:ascii="Times New Roman" w:cs="Times New Roman" w:eastAsia="Times New Roman" w:hAnsi="Times New Roman"/>
          <w:sz w:val="18"/>
          <w:szCs w:val="18"/>
          <w:b w:val="1"/>
          <w:bCs w:val="1"/>
          <w:color w:val="auto"/>
        </w:rPr>
        <w:t>APPROVAL OF APPOINTMENT OF ERNST &amp; YOUNG LLP AS INDEPENDENT</w:t>
      </w:r>
    </w:p>
    <w:p>
      <w:pPr>
        <w:ind w:left="3800"/>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Independent Registered Public Accounting Firm</w:t>
      </w:r>
    </w:p>
    <w:p>
      <w:pPr>
        <w:spacing w:after="0" w:line="218" w:lineRule="exact"/>
        <w:rPr>
          <w:sz w:val="20"/>
          <w:szCs w:val="20"/>
          <w:color w:val="auto"/>
        </w:rPr>
      </w:pPr>
    </w:p>
    <w:p>
      <w:pPr>
        <w:ind w:firstLine="352"/>
        <w:spacing w:after="0" w:line="253" w:lineRule="auto"/>
        <w:rPr>
          <w:sz w:val="20"/>
          <w:szCs w:val="20"/>
          <w:color w:val="auto"/>
        </w:rPr>
      </w:pPr>
      <w:r>
        <w:rPr>
          <w:rFonts w:ascii="Times New Roman" w:cs="Times New Roman" w:eastAsia="Times New Roman" w:hAnsi="Times New Roman"/>
          <w:sz w:val="18"/>
          <w:szCs w:val="18"/>
          <w:color w:val="auto"/>
        </w:rPr>
        <w:t>Ernst &amp; Young LLP, independent registered public accountants, served as the independent registered public accounting firm for us and our subsidiaries for the fiscal years ended December 31, 2023 and 2022. The Audit Committee has appointed Ernst &amp; Young LLP to be our independent registered public accounting firm for the fiscal year ending December 31, 2024 and has further directed that the selection of the independent registered public accounting firm be submitted for approval by the stockholders at the Annual Meeting.</w:t>
      </w:r>
    </w:p>
    <w:p>
      <w:pPr>
        <w:spacing w:after="0" w:line="184" w:lineRule="exact"/>
        <w:rPr>
          <w:sz w:val="20"/>
          <w:szCs w:val="20"/>
          <w:color w:val="auto"/>
        </w:rPr>
      </w:pPr>
    </w:p>
    <w:p>
      <w:pPr>
        <w:ind w:right="400" w:firstLine="352"/>
        <w:spacing w:after="0" w:line="270" w:lineRule="auto"/>
        <w:rPr>
          <w:sz w:val="20"/>
          <w:szCs w:val="20"/>
          <w:color w:val="auto"/>
        </w:rPr>
      </w:pPr>
      <w:r>
        <w:rPr>
          <w:rFonts w:ascii="Times New Roman" w:cs="Times New Roman" w:eastAsia="Times New Roman" w:hAnsi="Times New Roman"/>
          <w:sz w:val="18"/>
          <w:szCs w:val="18"/>
          <w:color w:val="auto"/>
        </w:rPr>
        <w:t>Representatives of Ernst &amp; Young LLP will be present in person at the Annual Meeting, will be given the opportunity to make a statement, if they so desire, and will be available to respond to appropriate questions from stockholders.</w:t>
      </w:r>
    </w:p>
    <w:p>
      <w:pPr>
        <w:spacing w:after="0" w:line="166" w:lineRule="exact"/>
        <w:rPr>
          <w:sz w:val="20"/>
          <w:szCs w:val="20"/>
          <w:color w:val="auto"/>
        </w:rPr>
      </w:pPr>
    </w:p>
    <w:p>
      <w:pPr>
        <w:ind w:firstLine="352"/>
        <w:spacing w:after="0" w:line="27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appointment of Ernst &amp; Young LLP as independent registered public accounting firm for the Company for fiscal year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18" w:lineRule="exact"/>
        <w:rPr>
          <w:sz w:val="20"/>
          <w:szCs w:val="20"/>
          <w:color w:val="auto"/>
        </w:rPr>
      </w:pPr>
    </w:p>
    <w:p>
      <w:pPr>
        <w:ind w:right="240" w:firstLine="317"/>
        <w:spacing w:after="0" w:line="264" w:lineRule="auto"/>
        <w:rPr>
          <w:sz w:val="20"/>
          <w:szCs w:val="20"/>
          <w:color w:val="auto"/>
        </w:rPr>
      </w:pPr>
      <w:r>
        <w:rPr>
          <w:rFonts w:ascii="Times New Roman" w:cs="Times New Roman" w:eastAsia="Times New Roman" w:hAnsi="Times New Roman"/>
          <w:sz w:val="18"/>
          <w:szCs w:val="18"/>
          <w:color w:val="auto"/>
        </w:rPr>
        <w:t>The table below sets forth the aggregate fees and expenses for the years ended December 31, 2023 and 2022 for professional services performed by our independent registered public accounting firm, Ernst &amp; Young LLP: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66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5"/>
        </w:trPr>
        <w:tc>
          <w:tcPr>
            <w:tcW w:w="8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4"/>
                <w:szCs w:val="24"/>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660" w:type="dxa"/>
            <w:vAlign w:val="bottom"/>
            <w:tcBorders>
              <w:bottom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8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304"/>
        </w:trPr>
        <w:tc>
          <w:tcPr>
            <w:tcW w:w="8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9"/>
        </w:trPr>
        <w:tc>
          <w:tcPr>
            <w:tcW w:w="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shd w:val="clear" w:color="auto" w:fill="CCEEFF"/>
              </w:rPr>
              <w:t>Tax Fees</w:t>
            </w:r>
          </w:p>
        </w:tc>
        <w:tc>
          <w:tcPr>
            <w:tcW w:w="7500" w:type="dxa"/>
            <w:vAlign w:val="bottom"/>
            <w:shd w:val="clear" w:color="auto" w:fill="CCEEFF"/>
          </w:tcPr>
          <w:p>
            <w:pPr>
              <w:jc w:val="right"/>
              <w:ind w:right="7323"/>
              <w:spacing w:after="0"/>
              <w:rPr>
                <w:sz w:val="20"/>
                <w:szCs w:val="20"/>
                <w:color w:val="auto"/>
              </w:rPr>
            </w:pPr>
            <w:r>
              <w:rPr>
                <w:rFonts w:ascii="Times New Roman" w:cs="Times New Roman" w:eastAsia="Times New Roman" w:hAnsi="Times New Roman"/>
                <w:sz w:val="11"/>
                <w:szCs w:val="11"/>
                <w:color w:val="auto"/>
                <w:w w:val="77"/>
                <w:shd w:val="clear" w:color="auto" w:fill="CCEEFF"/>
              </w:rPr>
              <w:t>(3)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65"/>
        </w:trPr>
        <w:tc>
          <w:tcPr>
            <w:tcW w:w="660" w:type="dxa"/>
            <w:vAlign w:val="bottom"/>
            <w:tcBorders>
              <w:bottom w:val="single" w:sz="8" w:color="CCEEFF"/>
            </w:tcBorders>
            <w:vMerge w:val="continue"/>
            <w:shd w:val="clear" w:color="auto" w:fill="CCEEFF"/>
          </w:tcPr>
          <w:p>
            <w:pPr>
              <w:spacing w:after="0"/>
              <w:rPr>
                <w:sz w:val="5"/>
                <w:szCs w:val="5"/>
                <w:color w:val="auto"/>
              </w:rPr>
            </w:pPr>
          </w:p>
        </w:tc>
        <w:tc>
          <w:tcPr>
            <w:tcW w:w="75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0</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6157595</wp:posOffset>
            </wp:positionH>
            <wp:positionV relativeFrom="paragraph">
              <wp:posOffset>-913130</wp:posOffset>
            </wp:positionV>
            <wp:extent cx="1174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-913130</wp:posOffset>
            </wp:positionV>
            <wp:extent cx="1174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327" w:lineRule="exact"/>
        <w:rPr>
          <w:sz w:val="20"/>
          <w:szCs w:val="20"/>
          <w:color w:val="auto"/>
        </w:rPr>
      </w:pPr>
    </w:p>
    <w:p>
      <w:pPr>
        <w:ind w:left="440" w:right="280" w:hanging="417"/>
        <w:spacing w:after="0" w:line="205" w:lineRule="auto"/>
        <w:tabs>
          <w:tab w:leader="none" w:pos="44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Audit fees consists of fees for audit services rendered for the audit of our annual consolidated financial statements, the review of quarterly reports on Form 10-Q, statutory audits required, comfort letters, consents, assistance with and review of documents filed with the SEC, and other attest services.</w:t>
      </w:r>
    </w:p>
    <w:p>
      <w:pPr>
        <w:spacing w:after="0" w:line="97" w:lineRule="exact"/>
        <w:rPr>
          <w:rFonts w:ascii="Times New Roman" w:cs="Times New Roman" w:eastAsia="Times New Roman" w:hAnsi="Times New Roman"/>
          <w:sz w:val="18"/>
          <w:szCs w:val="18"/>
          <w:color w:val="auto"/>
          <w:vertAlign w:val="superscript"/>
        </w:rPr>
      </w:pPr>
    </w:p>
    <w:p>
      <w:pPr>
        <w:ind w:left="440" w:hanging="417"/>
        <w:spacing w:after="0"/>
        <w:tabs>
          <w:tab w:leader="none" w:pos="44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Audit-related fees consist of fees for diligence services provided to evaluate potential transactions.</w:t>
      </w:r>
    </w:p>
    <w:p>
      <w:pPr>
        <w:spacing w:after="0" w:line="109" w:lineRule="exact"/>
        <w:rPr>
          <w:rFonts w:ascii="Times New Roman" w:cs="Times New Roman" w:eastAsia="Times New Roman" w:hAnsi="Times New Roman"/>
          <w:sz w:val="18"/>
          <w:szCs w:val="18"/>
          <w:color w:val="auto"/>
          <w:vertAlign w:val="superscript"/>
        </w:rPr>
      </w:pPr>
    </w:p>
    <w:p>
      <w:pPr>
        <w:ind w:left="440" w:hanging="417"/>
        <w:spacing w:after="0"/>
        <w:tabs>
          <w:tab w:leader="none" w:pos="44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Tax fees consists of fees for professional services rendered by our principal accountant for tax compliance services.</w:t>
      </w:r>
    </w:p>
    <w:p>
      <w:pPr>
        <w:spacing w:after="0" w:line="309" w:lineRule="exact"/>
        <w:rPr>
          <w:sz w:val="20"/>
          <w:szCs w:val="20"/>
          <w:color w:val="auto"/>
        </w:rPr>
      </w:pPr>
    </w:p>
    <w:p>
      <w:pPr>
        <w:ind w:right="120" w:firstLine="317"/>
        <w:spacing w:after="0" w:line="251" w:lineRule="auto"/>
        <w:rPr>
          <w:sz w:val="20"/>
          <w:szCs w:val="20"/>
          <w:color w:val="auto"/>
        </w:rPr>
      </w:pPr>
      <w:r>
        <w:rPr>
          <w:rFonts w:ascii="Times New Roman" w:cs="Times New Roman" w:eastAsia="Times New Roman" w:hAnsi="Times New Roman"/>
          <w:sz w:val="18"/>
          <w:szCs w:val="18"/>
          <w:color w:val="auto"/>
        </w:rPr>
        <w:t>Our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85" w:lineRule="exact"/>
        <w:rPr>
          <w:sz w:val="20"/>
          <w:szCs w:val="20"/>
          <w:color w:val="auto"/>
        </w:rPr>
      </w:pPr>
    </w:p>
    <w:p>
      <w:pPr>
        <w:ind w:right="60" w:firstLine="317"/>
        <w:spacing w:after="0" w:line="267" w:lineRule="auto"/>
        <w:rPr>
          <w:sz w:val="20"/>
          <w:szCs w:val="20"/>
          <w:color w:val="auto"/>
        </w:rPr>
      </w:pPr>
      <w:r>
        <w:rPr>
          <w:rFonts w:ascii="Times New Roman" w:cs="Times New Roman" w:eastAsia="Times New Roman" w:hAnsi="Times New Roman"/>
          <w:sz w:val="17"/>
          <w:szCs w:val="17"/>
          <w:color w:val="auto"/>
        </w:rPr>
        <w:t>The audit committee has adopted a pre-approval policy with respect to services which may be performed by Ernst &amp; Young LLP. This policy lists specific audit-related and tax services as well as any other services that Ernst &amp; Young LLP is authorized to perform and sets out specific dollar limits for each specific service, which may not be exceeded without additional audit committee authorization. The audit committee receives reports on the status of expenditures pursuant to that pre-approval policy. The audit committee reviews the policy at least annually in order to approve services and limits for the current year. Any service that is not enumerated in the policy must receive specific pre-approval by the audit committee. The charter of the audit committee and its pre-approval policy require that the audit committee review and pre-approve the plan and scope of Ernst &amp; Young LLP’s audit, audit-related, tax and other services.</w:t>
      </w:r>
    </w:p>
    <w:p>
      <w:pPr>
        <w:spacing w:after="0" w:line="174" w:lineRule="exact"/>
        <w:rPr>
          <w:sz w:val="20"/>
          <w:szCs w:val="20"/>
          <w:color w:val="auto"/>
        </w:rPr>
      </w:pPr>
    </w:p>
    <w:p>
      <w:pPr>
        <w:ind w:right="280" w:firstLine="317"/>
        <w:spacing w:after="0" w:line="270" w:lineRule="auto"/>
        <w:rPr>
          <w:sz w:val="20"/>
          <w:szCs w:val="20"/>
          <w:color w:val="auto"/>
        </w:rPr>
      </w:pPr>
      <w:r>
        <w:rPr>
          <w:rFonts w:ascii="Times New Roman" w:cs="Times New Roman" w:eastAsia="Times New Roman" w:hAnsi="Times New Roman"/>
          <w:sz w:val="18"/>
          <w:szCs w:val="18"/>
          <w:color w:val="auto"/>
        </w:rPr>
        <w:t>Our audit committee has approved the appointment of Ernst &amp; Young LLP as independent registered public accounting firm to conduct the audit of the Company’s consolidated financial statements for the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39" w:name="page40"/>
    <w:bookmarkEnd w:id="3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3 ADVISORY VOTE ON EXECUTIVE COMPENSATION</w:t>
      </w:r>
    </w:p>
    <w:p>
      <w:pPr>
        <w:spacing w:after="0" w:line="218" w:lineRule="exact"/>
        <w:rPr>
          <w:sz w:val="20"/>
          <w:szCs w:val="20"/>
          <w:color w:val="auto"/>
        </w:rPr>
      </w:pPr>
    </w:p>
    <w:p>
      <w:pPr>
        <w:ind w:right="100" w:firstLine="317"/>
        <w:spacing w:after="0" w:line="253" w:lineRule="auto"/>
        <w:rPr>
          <w:sz w:val="20"/>
          <w:szCs w:val="20"/>
          <w:color w:val="auto"/>
        </w:rPr>
      </w:pPr>
      <w:r>
        <w:rPr>
          <w:rFonts w:ascii="Times New Roman" w:cs="Times New Roman" w:eastAsia="Times New Roman" w:hAnsi="Times New Roman"/>
          <w:sz w:val="18"/>
          <w:szCs w:val="18"/>
          <w:color w:val="auto"/>
        </w:rPr>
        <w:t>In accordance with Section 14A of the Exchange Act, which was added by The Dodd-Frank Wall Street Reform and Consumer Protection Act of 2010 (“Dodd-Frank”) and the related SEC rules promulgated thereunder, we are providing our stockholders the opportunity to cast a non-binding advisory vote to approve the compensation of the named executive officers. This proposal, commonly known as a “say-on-pay” proposal, gives our stockholders the opportunity to express their views on the compensation of our named executive officers.</w:t>
      </w:r>
    </w:p>
    <w:p>
      <w:pPr>
        <w:spacing w:after="0" w:line="184" w:lineRule="exact"/>
        <w:rPr>
          <w:sz w:val="20"/>
          <w:szCs w:val="20"/>
          <w:color w:val="auto"/>
        </w:rPr>
      </w:pPr>
    </w:p>
    <w:p>
      <w:pPr>
        <w:ind w:right="20" w:firstLine="317"/>
        <w:spacing w:after="0" w:line="257" w:lineRule="auto"/>
        <w:rPr>
          <w:sz w:val="20"/>
          <w:szCs w:val="20"/>
          <w:color w:val="auto"/>
        </w:rPr>
      </w:pPr>
      <w:r>
        <w:rPr>
          <w:rFonts w:ascii="Times New Roman" w:cs="Times New Roman" w:eastAsia="Times New Roman" w:hAnsi="Times New Roman"/>
          <w:sz w:val="18"/>
          <w:szCs w:val="18"/>
          <w:color w:val="auto"/>
        </w:rPr>
        <w:t>As described in the “Executive Compensation” section of this Proxy Statement, the primary objective of our executive compensation program is to provide a market-based compensation program tied to performance and aligned with the interests of our stockholders. We urge our stockholders to review the Executive Compensation section of this Proxy Statement, and the compensation tables and narrative discussion included therein for more information.</w:t>
      </w:r>
    </w:p>
    <w:p>
      <w:pPr>
        <w:spacing w:after="0" w:line="180" w:lineRule="exact"/>
        <w:rPr>
          <w:sz w:val="20"/>
          <w:szCs w:val="20"/>
          <w:color w:val="auto"/>
        </w:rPr>
      </w:pPr>
    </w:p>
    <w:p>
      <w:pPr>
        <w:ind w:right="60" w:firstLine="317"/>
        <w:spacing w:after="0" w:line="257" w:lineRule="auto"/>
        <w:rPr>
          <w:sz w:val="20"/>
          <w:szCs w:val="20"/>
          <w:color w:val="auto"/>
        </w:rPr>
      </w:pPr>
      <w:r>
        <w:rPr>
          <w:rFonts w:ascii="Times New Roman" w:cs="Times New Roman" w:eastAsia="Times New Roman" w:hAnsi="Times New Roman"/>
          <w:sz w:val="18"/>
          <w:szCs w:val="18"/>
          <w:color w:val="auto"/>
        </w:rPr>
        <w:t>We believe that our executive compensation program has been effective at promoting the achievement of positive results, appropriately aligning pay and performance, and enabling us to attract and retain very talented executives while at the same time avoiding the encouragement of unnecessary or excessive risk-taking.</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these reasons, the Board recommends a vote in favor of the following resolution:</w:t>
      </w:r>
    </w:p>
    <w:p>
      <w:pPr>
        <w:spacing w:after="0" w:line="216" w:lineRule="exact"/>
        <w:rPr>
          <w:sz w:val="20"/>
          <w:szCs w:val="20"/>
          <w:color w:val="auto"/>
        </w:rPr>
      </w:pPr>
    </w:p>
    <w:p>
      <w:pPr>
        <w:ind w:firstLine="317"/>
        <w:spacing w:after="0" w:line="270"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68" w:lineRule="exact"/>
        <w:rPr>
          <w:sz w:val="20"/>
          <w:szCs w:val="20"/>
          <w:color w:val="auto"/>
        </w:rPr>
      </w:pPr>
    </w:p>
    <w:p>
      <w:pPr>
        <w:ind w:firstLine="317"/>
        <w:spacing w:after="0" w:line="253" w:lineRule="auto"/>
        <w:rPr>
          <w:sz w:val="20"/>
          <w:szCs w:val="20"/>
          <w:color w:val="auto"/>
        </w:rPr>
      </w:pPr>
      <w:r>
        <w:rPr>
          <w:rFonts w:ascii="Times New Roman" w:cs="Times New Roman" w:eastAsia="Times New Roman" w:hAnsi="Times New Roman"/>
          <w:sz w:val="18"/>
          <w:szCs w:val="18"/>
          <w:color w:val="auto"/>
        </w:rPr>
        <w:t>As an advisory vote, this proposal is not binding upon us. Notwithstanding the advisory nature of this vote, the Compensation Committee values the opinions expressed by our stockholders in their vote on this proposal, and will consider the outcome of the vote when making future compensation decisions for our named executive officers. We currently hold this “say-on-pay” advisory vote every three years and expect the next such vote after the Annual Meeting will be held at our 2027 annual meeting of stockholders.</w:t>
      </w:r>
    </w:p>
    <w:p>
      <w:pPr>
        <w:spacing w:after="0" w:line="184" w:lineRule="exact"/>
        <w:rPr>
          <w:sz w:val="20"/>
          <w:szCs w:val="20"/>
          <w:color w:val="auto"/>
        </w:rPr>
      </w:pPr>
    </w:p>
    <w:p>
      <w:pPr>
        <w:ind w:firstLine="317"/>
        <w:spacing w:after="0" w:line="270"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votes cast by our stockholders in person or represented by proxy and entitled to vote is required to approve this Proposal 3.</w:t>
      </w:r>
    </w:p>
    <w:p>
      <w:pPr>
        <w:spacing w:after="0" w:line="166" w:lineRule="exact"/>
        <w:rPr>
          <w:sz w:val="20"/>
          <w:szCs w:val="20"/>
          <w:color w:val="auto"/>
        </w:rPr>
      </w:pPr>
    </w:p>
    <w:p>
      <w:pPr>
        <w:ind w:right="420" w:firstLine="317"/>
        <w:spacing w:after="0" w:line="27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stockholders vote FOR the approval, on an advisory basis,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964" w:right="4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ADVANCE NOTICE FOR STOCKHOLDER NOMINATIONS AND PROPOSALS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2025 ANNUAL MEETING.</w:t>
      </w:r>
    </w:p>
    <w:p>
      <w:pPr>
        <w:spacing w:after="0" w:line="198" w:lineRule="exact"/>
        <w:rPr>
          <w:sz w:val="20"/>
          <w:szCs w:val="20"/>
          <w:color w:val="auto"/>
        </w:rPr>
      </w:pPr>
    </w:p>
    <w:p>
      <w:pPr>
        <w:ind w:firstLine="352"/>
        <w:spacing w:after="0" w:line="249" w:lineRule="auto"/>
        <w:rPr>
          <w:sz w:val="20"/>
          <w:szCs w:val="20"/>
          <w:color w:val="auto"/>
        </w:rPr>
      </w:pPr>
      <w:r>
        <w:rPr>
          <w:rFonts w:ascii="Times New Roman" w:cs="Times New Roman" w:eastAsia="Times New Roman" w:hAnsi="Times New Roman"/>
          <w:sz w:val="18"/>
          <w:szCs w:val="18"/>
          <w:color w:val="auto"/>
        </w:rPr>
        <w:t>Proposals received from stockholders are given careful consideration by the Company in accordance with Rule 14a-8 under the Exchange Act. Stockholder proposals are eligible for consideration for inclusion in the proxy statement for the 2025 annual meeting of stockholders if they are received by the Company no later than December 30, 2024. However, if the 2025 annual meeting date is advanced or delayed by more than 30 days from the anniversary of the previous year’s meeting, to be timely a proposal by the stockholders must be received no later than a reasonable time before the Company begins to print and send its proxy materials. In addition, all proposals will need to comply with Rule 14a-8, which lists the requirements for inclusion of stockholder proposals in company-sponsored proxy materials. Any proposal should be directed to the attention of the Company’s Secretary at 111 W. 19th Street, 8th Floor, New York, New York 10011.</w:t>
      </w:r>
    </w:p>
    <w:p>
      <w:pPr>
        <w:spacing w:after="0" w:line="187" w:lineRule="exact"/>
        <w:rPr>
          <w:sz w:val="20"/>
          <w:szCs w:val="20"/>
          <w:color w:val="auto"/>
        </w:rPr>
      </w:pPr>
    </w:p>
    <w:p>
      <w:pPr>
        <w:ind w:right="40" w:firstLine="352"/>
        <w:spacing w:after="0" w:line="247" w:lineRule="auto"/>
        <w:rPr>
          <w:sz w:val="20"/>
          <w:szCs w:val="20"/>
          <w:color w:val="auto"/>
        </w:rPr>
      </w:pPr>
      <w:r>
        <w:rPr>
          <w:rFonts w:ascii="Times New Roman" w:cs="Times New Roman" w:eastAsia="Times New Roman" w:hAnsi="Times New Roman"/>
          <w:sz w:val="18"/>
          <w:szCs w:val="18"/>
          <w:color w:val="auto"/>
        </w:rPr>
        <w:t>In order for a stockholder proposal, including proposals regarding director nominees, submitted outside of Rule 14a-8 to be considered at any annual meeting of stockholders, our Bylaws requires that such proposal be made by an eligible stockholder who has delivered a timely notice to the Secretary of the Company at our principal executive offices and otherwise meets the information and procedural requirements prescribed by our Bylaws. Subject to certain exceptions, in order for a proposal relating to business to be conducted at our 2025 annual meeting of stockholders to be “timely” under the Bylaws, it must be received by the Secretary of the Company at our principal executive office no earlier than December 30, 2024 and no later than January 29, 2025. However, if the 2025 meeting is called for on a date that is more than 30 days before or after June 11, 2025, for a stockholder’s notice to be timely, it must be received no later than the close of business on the 10th day following the day on which public disclosure of the date of the annual meeting is first made by the Company. All director nominations and stockholder proposals, other than stockholder proposals made pursuant to Rule 14a-8, must comply with the requirements of our Bylaws, or they may be excluded from consideration at the meeting. In addition to satisfying the foregoing requirements, stockholders who intend to solicit proxies in support of director nominees other than the Company’s nominees must provide notice that sets forth the information required by Rule 14a-19 under the Exchange Act by April 12, 2025.</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41" w:name="page42"/>
    <w:bookmarkEnd w:id="4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26, 2024, William L. Payne resigned as Chief Operating Officer of the Company.</w:t>
      </w:r>
    </w:p>
    <w:p>
      <w:pPr>
        <w:spacing w:after="0" w:line="2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18" w:lineRule="exact"/>
        <w:rPr>
          <w:sz w:val="20"/>
          <w:szCs w:val="20"/>
          <w:color w:val="auto"/>
        </w:rPr>
      </w:pPr>
    </w:p>
    <w:p>
      <w:pPr>
        <w:ind w:firstLine="317"/>
        <w:spacing w:after="0" w:line="257" w:lineRule="auto"/>
        <w:rPr>
          <w:sz w:val="20"/>
          <w:szCs w:val="20"/>
          <w:color w:val="auto"/>
        </w:rPr>
      </w:pPr>
      <w:r>
        <w:rPr>
          <w:rFonts w:ascii="Times New Roman" w:cs="Times New Roman" w:eastAsia="Times New Roman" w:hAnsi="Times New Roman"/>
          <w:sz w:val="18"/>
          <w:szCs w:val="18"/>
          <w:color w:val="auto"/>
        </w:rPr>
        <w:t>The Board of Directors knows of no other business to be brought before the Annual Meeting. If any other matters properly come before the Annual Meeting, the proxies will be voted on such matters in accordance with the judgment of the persons named as proxies therein, or their substitutes, present and acting at the meeting.</w:t>
      </w:r>
    </w:p>
    <w:p>
      <w:pPr>
        <w:spacing w:after="0" w:line="180" w:lineRule="exact"/>
        <w:rPr>
          <w:sz w:val="20"/>
          <w:szCs w:val="20"/>
          <w:color w:val="auto"/>
        </w:rPr>
      </w:pPr>
    </w:p>
    <w:p>
      <w:pPr>
        <w:ind w:right="40" w:firstLine="317"/>
        <w:spacing w:after="0" w:line="257"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 not contained in this Proxy Statement, and, if given or made, such information or representation should not be relied upon as having been authorized. The delivery of this Proxy Statement shall not, under any circumstances, imply that there has not been any change in the information set forth herein since the date of the Proxy Statement.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20"/>
          </w:cols>
          <w:pgMar w:left="320" w:top="964" w:right="55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18" w:lineRule="exact"/>
        <w:rPr>
          <w:sz w:val="20"/>
          <w:szCs w:val="20"/>
          <w:color w:val="auto"/>
        </w:rPr>
      </w:pPr>
    </w:p>
    <w:p>
      <w:pPr>
        <w:jc w:val="both"/>
        <w:ind w:right="220" w:firstLine="317"/>
        <w:spacing w:after="0" w:line="253"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which are available to the public from commercial document retrieval services and on the website maintained by the SEC at www.sec.gov. </w:t>
      </w:r>
      <w:r>
        <w:rPr>
          <w:rFonts w:ascii="Times New Roman" w:cs="Times New Roman" w:eastAsia="Times New Roman" w:hAnsi="Times New Roman"/>
          <w:sz w:val="18"/>
          <w:szCs w:val="18"/>
          <w:b w:val="1"/>
          <w:bCs w:val="1"/>
          <w:color w:val="auto"/>
        </w:rPr>
        <w:t>In addition, our SEC filings are available, free of charge,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website: www.newfortressenergy.com. </w:t>
      </w:r>
      <w:r>
        <w:rPr>
          <w:rFonts w:ascii="Times New Roman" w:cs="Times New Roman" w:eastAsia="Times New Roman" w:hAnsi="Times New Roman"/>
          <w:sz w:val="18"/>
          <w:szCs w:val="18"/>
          <w:color w:val="auto"/>
        </w:rPr>
        <w:t>Such information will also be furnished upon written request to New Fortress Energy Inc., 111 W. 19th Street, 8th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New York 10011, Attention: Investor Relations.</w:t>
      </w:r>
    </w:p>
    <w:p>
      <w:pPr>
        <w:spacing w:after="0" w:line="184" w:lineRule="exact"/>
        <w:rPr>
          <w:sz w:val="20"/>
          <w:szCs w:val="20"/>
          <w:color w:val="auto"/>
        </w:rPr>
      </w:pPr>
    </w:p>
    <w:p>
      <w:pPr>
        <w:ind w:right="20" w:firstLine="317"/>
        <w:spacing w:after="0" w:line="263"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delivery requirements for proxy materials, including the annual report, proxy statement and Internet Notice, if applicable, with respect to two or more stockholders sharing the same address by delivering a single set of proxy materials addressed to those stockholders. This process, which is commonly referred to as “householding,” potentially provides extra convenience for stockholders and cost savings for companies. The Company and some brokers household proxy materials, delivering a single set of proxy materials to multiple stockholders sharing an address unless contrary instructions have been received from the affected stockholders.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and would prefer to receive a separate set of proxy materials, please notify your broker if your shares are held in a brokerage account or the Company if you hold registered shares. You can notify the Company by sending a written request to New Fortress Energy Inc. 111 W. 19th Street, 8th Floor, New York, New York 10011, Attention: Investor Relations or by contacting Investor Relations at ir@newfortressenergy.com, and we will deliver promptly a separate set of proxy materials.</w:t>
      </w:r>
    </w:p>
    <w:p>
      <w:pPr>
        <w:spacing w:after="0" w:line="182" w:lineRule="exact"/>
        <w:rPr>
          <w:sz w:val="20"/>
          <w:szCs w:val="20"/>
          <w:color w:val="auto"/>
        </w:rPr>
      </w:pPr>
    </w:p>
    <w:p>
      <w:pPr>
        <w:ind w:firstLine="317"/>
        <w:spacing w:after="0" w:line="257" w:lineRule="auto"/>
        <w:rPr>
          <w:sz w:val="20"/>
          <w:szCs w:val="20"/>
          <w:color w:val="auto"/>
        </w:rPr>
      </w:pPr>
      <w:r>
        <w:rPr>
          <w:rFonts w:ascii="Times New Roman" w:cs="Times New Roman" w:eastAsia="Times New Roman" w:hAnsi="Times New Roman"/>
          <w:sz w:val="18"/>
          <w:szCs w:val="18"/>
          <w:color w:val="auto"/>
        </w:rPr>
        <w:t>Instead of receiving future copies of our proxy materials by mail, you can elect to receive an e-mail that will provide electronic links to these documents. Opting to receive your proxy materials online will save the cost of producing and mailing documents to your home or business, will give you an electronic link to the proxy voting site and also will help preserve environmental resources.</w:t>
      </w:r>
    </w:p>
    <w:p>
      <w:pPr>
        <w:spacing w:after="0" w:line="178" w:lineRule="exact"/>
        <w:rPr>
          <w:sz w:val="20"/>
          <w:szCs w:val="20"/>
          <w:color w:val="auto"/>
        </w:rPr>
      </w:pPr>
    </w:p>
    <w:p>
      <w:pPr>
        <w:ind w:right="520" w:firstLine="317"/>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vote on the Internet at www.proxyvote.com, simply follow the prompts for enrolling in the electronic proxy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w:t>
      </w:r>
    </w:p>
    <w:p>
      <w:pPr>
        <w:spacing w:after="0" w:line="165" w:lineRule="exact"/>
        <w:rPr>
          <w:sz w:val="20"/>
          <w:szCs w:val="20"/>
          <w:color w:val="auto"/>
        </w:rPr>
      </w:pPr>
    </w:p>
    <w:p>
      <w:pPr>
        <w:ind w:right="300" w:firstLine="317"/>
        <w:spacing w:after="0" w:line="302" w:lineRule="auto"/>
        <w:rPr>
          <w:sz w:val="20"/>
          <w:szCs w:val="20"/>
          <w:color w:val="auto"/>
        </w:rPr>
      </w:pPr>
      <w:r>
        <w:rPr>
          <w:rFonts w:ascii="Times New Roman" w:cs="Times New Roman" w:eastAsia="Times New Roman" w:hAnsi="Times New Roman"/>
          <w:sz w:val="17"/>
          <w:szCs w:val="17"/>
          <w:i w:val="1"/>
          <w:iCs w:val="1"/>
          <w:color w:val="auto"/>
        </w:rPr>
        <w:t xml:space="preserve">Street Name Holders. </w:t>
      </w:r>
      <w:r>
        <w:rPr>
          <w:rFonts w:ascii="Times New Roman" w:cs="Times New Roman" w:eastAsia="Times New Roman" w:hAnsi="Times New Roman"/>
          <w:sz w:val="17"/>
          <w:szCs w:val="17"/>
          <w:color w:val="auto"/>
        </w:rPr>
        <w:t>If you hold your shares in a bank or brokerage account, you also may have the opportunity to receive the proxy materials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electronically. Please check the information provided in the proxy materials you receive from your bank or broker regarding the availability of this service.</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Your election to receive proxy materials by email will remain in effect until you terminate it.</w:t>
      </w:r>
    </w:p>
    <w:p>
      <w:pPr>
        <w:spacing w:after="0" w:line="25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14605</wp:posOffset>
            </wp:positionV>
            <wp:extent cx="30016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Cameron D. MacDougall</w:t>
      </w:r>
    </w:p>
    <w:p>
      <w:pPr>
        <w:spacing w:after="0" w:line="2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491490</wp:posOffset>
            </wp:positionV>
            <wp:extent cx="7160895" cy="84728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8472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768350</wp:posOffset>
            </wp:positionH>
            <wp:positionV relativeFrom="page">
              <wp:posOffset>491490</wp:posOffset>
            </wp:positionV>
            <wp:extent cx="6011545" cy="765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011545" cy="7654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lvl w:ilvl="1">
      <w:lvlJc w:val="left"/>
      <w:lvlText w:val="☒"/>
      <w:numFmt w:val="bullet"/>
      <w:start w:val="1"/>
    </w:lvl>
  </w:abstractNum>
  <w:abstractNum w:abstractNumId="2">
    <w:nsid w:val="7FDCC233"/>
    <w:multiLevelType w:val="hybridMultilevel"/>
    <w:lvl w:ilvl="0">
      <w:lvlJc w:val="left"/>
      <w:lvlText w:val="(%1)"/>
      <w:numFmt w:val="lowerRoman"/>
      <w:start w:val="1"/>
    </w:lvl>
  </w:abstractNum>
  <w:abstractNum w:abstractNumId="3">
    <w:nsid w:val="1BEFD79F"/>
    <w:multiLevelType w:val="hybridMultilevel"/>
    <w:lvl w:ilvl="0">
      <w:lvlJc w:val="left"/>
      <w:lvlText w:val="(%1)"/>
      <w:numFmt w:val="lowerRoman"/>
      <w:start w:val="1"/>
    </w:lvl>
  </w:abstractNum>
  <w:abstractNum w:abstractNumId="4">
    <w:nsid w:val="41A7C4C9"/>
    <w:multiLevelType w:val="hybridMultilevel"/>
    <w:lvl w:ilvl="0">
      <w:lvlJc w:val="left"/>
      <w:lvlText w:val="(%1)"/>
      <w:numFmt w:val="lowerRoman"/>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3"/>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3"/>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6"/>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2024-04-29T10:17:19Z</dcterms:created>
  <dcterms:modified xsi:type="dcterms:W3CDTF">2024-04-29T10:17:19Z</dcterms:modified>
</cp:coreProperties>
</file>