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20, 2025</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0" w:lineRule="exact"/>
        <w:rPr>
          <w:sz w:val="24"/>
          <w:szCs w:val="24"/>
          <w:color w:val="auto"/>
        </w:rPr>
      </w:pPr>
    </w:p>
    <w:p>
      <w:pPr>
        <w:spacing w:after="0" w:line="253"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3.01. Notice of Delisting or Failure to Satisfy a Continued Listing Rule or Standard; Transfer of Listing</w:t>
      </w:r>
    </w:p>
    <w:p>
      <w:pPr>
        <w:spacing w:after="0" w:line="1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color w:val="auto"/>
        </w:rPr>
        <w:t>On May 20, 2025, New Fortress Energy Inc. (the “Company”) received an expected notice (the “Notice”) from the Listing Qualifications Department of the Nasdaq Stock Market (“Nasdaq”) stating that the Company is not in compliance with Nasdaq Listing Rule 5250(c)(1) (the “Rule”) because the Company has not yet filed its Form 10-Q for the period ended March 31, 2025 (“Form 10-Q”) with the U.S. Securities and Exchange Commission (the “SEC”). The Rule requires listed companies to timely file all required periodic financial reports with the SEC.</w:t>
      </w:r>
    </w:p>
    <w:p>
      <w:pPr>
        <w:spacing w:after="0" w:line="157" w:lineRule="exact"/>
        <w:rPr>
          <w:sz w:val="20"/>
          <w:szCs w:val="20"/>
          <w:color w:val="auto"/>
        </w:rPr>
      </w:pPr>
    </w:p>
    <w:p>
      <w:pPr>
        <w:ind w:right="240" w:firstLine="509"/>
        <w:spacing w:after="0" w:line="271" w:lineRule="auto"/>
        <w:rPr>
          <w:sz w:val="20"/>
          <w:szCs w:val="20"/>
          <w:color w:val="auto"/>
        </w:rPr>
      </w:pPr>
      <w:r>
        <w:rPr>
          <w:rFonts w:ascii="Times New Roman" w:cs="Times New Roman" w:eastAsia="Times New Roman" w:hAnsi="Times New Roman"/>
          <w:sz w:val="14"/>
          <w:szCs w:val="14"/>
          <w:color w:val="auto"/>
        </w:rPr>
        <w:t>The Notice states that the Company has 60 calendar days from the date of the Notice to submit a plan to regain compliance with the Rule. If Nasdaq accepts the Company’s plan to regain compliance, Nasdaq may grant the Company up to 180 calendar days from the prescribed due date of the Form 10-Q, or until November 11, 2025, to file the Form 10-Q to regain compliance.</w:t>
      </w:r>
    </w:p>
    <w:p>
      <w:pPr>
        <w:spacing w:after="0" w:line="146"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4"/>
          <w:szCs w:val="14"/>
          <w:color w:val="auto"/>
        </w:rPr>
        <w:t>The Notice has no immediate impact on the listing or trading of the Company’s securities on the Nasdaq Stock Market. If the Company fails to timely regain compliance with Nasdaq’s listing rules, the Company’s Class A common stock will be subject to delisting from Nasdaq. The Company is continuing to work diligently to finalize and file its late periodic financial reports as soon as possible within the timeline prescribed by Nasdaq.</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4"/>
          <w:szCs w:val="14"/>
          <w:color w:val="auto"/>
        </w:rPr>
        <w:t>A press release, dated May 27, 2025, disclosing the Company’s receipt of the Notice described in Item 3.01 of this Current Report on Form 8-K (this “Current Report”) is attached hereto as Exhibit 99.1.</w:t>
      </w:r>
    </w:p>
    <w:p>
      <w:pPr>
        <w:spacing w:after="0" w:line="13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The information furnished in this Item 7.01 of this Current Report (including Exhibit 99.1 attached hereto) shall not be deemed “filed” for purposes of Section 18 of the Securities Exchange Act of 1934, as amended, and shall not be incorporated by reference into any filing of the Company under the Securities Act of 1933, as amended, except as shall be expressly set forth by specific reference in such filing.</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4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840" w:type="dxa"/>
            <w:vAlign w:val="bottom"/>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99.</w:t>
            </w:r>
            <w:r>
              <w:rPr>
                <w:rFonts w:ascii="Times New Roman" w:cs="Times New Roman" w:eastAsia="Times New Roman" w:hAnsi="Times New Roman"/>
                <w:sz w:val="14"/>
                <w:szCs w:val="14"/>
                <w:u w:val="single" w:color="auto"/>
                <w:color w:val="auto"/>
              </w:rPr>
              <w:t>1</w:t>
            </w:r>
          </w:p>
        </w:tc>
        <w:tc>
          <w:tcPr>
            <w:tcW w:w="10440" w:type="dxa"/>
            <w:vAlign w:val="bottom"/>
          </w:tcPr>
          <w:p>
            <w:pPr>
              <w:ind w:left="140"/>
              <w:spacing w:after="0" w:line="129" w:lineRule="exact"/>
              <w:rPr>
                <w:sz w:val="20"/>
                <w:szCs w:val="20"/>
                <w:color w:val="auto"/>
              </w:rPr>
            </w:pPr>
            <w:r>
              <w:rPr>
                <w:rFonts w:ascii="Times New Roman" w:cs="Times New Roman" w:eastAsia="Times New Roman" w:hAnsi="Times New Roman"/>
                <w:sz w:val="14"/>
                <w:szCs w:val="14"/>
                <w:color w:val="auto"/>
              </w:rPr>
              <w:t>Press Release, dated May 27, 2025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40" w:type="dxa"/>
            <w:vAlign w:val="bottom"/>
          </w:tcPr>
          <w:p>
            <w:pPr>
              <w:spacing w:after="0" w:line="20" w:lineRule="exact"/>
              <w:rPr>
                <w:sz w:val="1"/>
                <w:szCs w:val="1"/>
                <w:color w:val="auto"/>
              </w:rPr>
            </w:pPr>
          </w:p>
        </w:tc>
      </w:tr>
      <w:tr>
        <w:trPr>
          <w:trHeight w:val="224"/>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80" w:type="dxa"/>
            <w:vAlign w:val="bottom"/>
          </w:tcPr>
          <w:p>
            <w:pPr>
              <w:spacing w:after="0"/>
              <w:rPr>
                <w:sz w:val="19"/>
                <w:szCs w:val="19"/>
                <w:color w:val="auto"/>
              </w:rPr>
            </w:pPr>
          </w:p>
        </w:tc>
        <w:tc>
          <w:tcPr>
            <w:tcW w:w="10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445770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May 27, 2025</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2025-05-27T16:27:19Z</dcterms:created>
  <dcterms:modified xsi:type="dcterms:W3CDTF">2025-05-27T16:27:19Z</dcterms:modified>
</cp:coreProperties>
</file>