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May 4, 2023</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7"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6"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6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36"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66" w:lineRule="exact"/>
        <w:rPr>
          <w:sz w:val="24"/>
          <w:szCs w:val="24"/>
          <w:color w:val="auto"/>
        </w:rPr>
      </w:pPr>
    </w:p>
    <w:p>
      <w:pPr>
        <w:ind w:right="36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On May 4, 2023, New Fortress Energy Inc. (“NFE” or the “Company”) issued a press release announcing the Company’s financial and operating results for its fiscal quarter ended March 31, 2023. A copy of the Company’s press release is attached to this Current Report on Form 8-K (the “Current Report”) as Exhibit 99.1 and is incorporated herein solely for purposes of this Item 2.02 disclosure.</w:t>
      </w:r>
    </w:p>
    <w:p>
      <w:pPr>
        <w:spacing w:after="0" w:line="202" w:lineRule="exact"/>
        <w:rPr>
          <w:sz w:val="20"/>
          <w:szCs w:val="20"/>
          <w:color w:val="auto"/>
        </w:rPr>
      </w:pPr>
    </w:p>
    <w:p>
      <w:pPr>
        <w:ind w:right="240" w:firstLine="486"/>
        <w:spacing w:after="0" w:line="24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8"/>
                <w:szCs w:val="18"/>
                <w:color w:val="auto"/>
              </w:rPr>
            </w:pPr>
          </w:p>
        </w:tc>
      </w:tr>
      <w:tr>
        <w:trPr>
          <w:trHeight w:val="255"/>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Press Release, dated May 4, 2023, issued by New Fortress Energy Inc.</w:t>
            </w:r>
          </w:p>
        </w:tc>
      </w:tr>
      <w:tr>
        <w:trPr>
          <w:trHeight w:val="277"/>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20" w:type="dxa"/>
            <w:vAlign w:val="bottom"/>
            <w:gridSpan w:val="2"/>
          </w:tcPr>
          <w:p>
            <w:pPr>
              <w:ind w:left="2160"/>
              <w:spacing w:after="0"/>
              <w:rPr>
                <w:sz w:val="20"/>
                <w:szCs w:val="20"/>
                <w:color w:val="auto"/>
              </w:rPr>
            </w:pPr>
            <w:r>
              <w:rPr>
                <w:rFonts w:ascii="Arial" w:cs="Arial" w:eastAsia="Arial" w:hAnsi="Arial"/>
                <w:sz w:val="18"/>
                <w:szCs w:val="18"/>
                <w:b w:val="1"/>
                <w:bCs w:val="1"/>
                <w:color w:val="auto"/>
              </w:rPr>
              <w:t>NEW FORTRESS ENERGY INC.</w:t>
            </w:r>
          </w:p>
        </w:tc>
      </w:tr>
      <w:tr>
        <w:trPr>
          <w:trHeight w:val="533"/>
        </w:trPr>
        <w:tc>
          <w:tcPr>
            <w:tcW w:w="3080" w:type="dxa"/>
            <w:vAlign w:val="bottom"/>
          </w:tcPr>
          <w:p>
            <w:pPr>
              <w:spacing w:after="0"/>
              <w:rPr>
                <w:sz w:val="20"/>
                <w:szCs w:val="20"/>
                <w:color w:val="auto"/>
              </w:rPr>
            </w:pPr>
            <w:r>
              <w:rPr>
                <w:rFonts w:ascii="Arial" w:cs="Arial" w:eastAsia="Arial" w:hAnsi="Arial"/>
                <w:sz w:val="18"/>
                <w:szCs w:val="18"/>
                <w:color w:val="auto"/>
              </w:rPr>
              <w:t>May 4, 2023</w:t>
            </w:r>
          </w:p>
        </w:tc>
        <w:tc>
          <w:tcPr>
            <w:tcW w:w="288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080" w:type="dxa"/>
            <w:vAlign w:val="bottom"/>
          </w:tcPr>
          <w:p>
            <w:pPr>
              <w:spacing w:after="0"/>
              <w:rPr>
                <w:sz w:val="21"/>
                <w:szCs w:val="21"/>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080" w:type="dxa"/>
            <w:vAlign w:val="bottom"/>
          </w:tcPr>
          <w:p>
            <w:pPr>
              <w:spacing w:after="0"/>
              <w:rPr>
                <w:sz w:val="22"/>
                <w:szCs w:val="22"/>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93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jc w:val="right"/>
        <w:ind w:right="20"/>
        <w:spacing w:after="0" w:line="212" w:lineRule="auto"/>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8"/>
          <w:szCs w:val="18"/>
          <w:color w:val="auto"/>
        </w:rPr>
        <w:t>New York, NY 10011</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First Quarter 2023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May 4, 2023</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NEW YORK -- New Fortress Energy Inc. (Nasdaq: NFE) (“NFE” or the “Company”) today reported its financial results for the first quarter of 2023.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359"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Pleased to report record quarterly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$440 million for Q1 2023</w:t>
      </w:r>
    </w:p>
    <w:p>
      <w:pPr>
        <w:spacing w:after="0" w:line="26"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NFE's net income for Q1 2023 was $152 million</w:t>
      </w:r>
    </w:p>
    <w:p>
      <w:pPr>
        <w:spacing w:after="0" w:line="47"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EPS for Q1 2023 was $0.90 per share on a fully diluted basis and $0.71 when including losses on disposal of certain assets</w:t>
      </w:r>
    </w:p>
    <w:p>
      <w:pPr>
        <w:spacing w:after="0" w:line="69" w:lineRule="exact"/>
        <w:rPr>
          <w:rFonts w:ascii="Arial" w:cs="Arial" w:eastAsia="Arial" w:hAnsi="Arial"/>
          <w:sz w:val="17"/>
          <w:szCs w:val="17"/>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track to achieve our Illustrative Adjusted EBITDA Goal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~$2.0 billion for 2023</w:t>
      </w:r>
    </w:p>
    <w:p>
      <w:pPr>
        <w:spacing w:after="0" w:line="26" w:lineRule="exact"/>
        <w:rPr>
          <w:rFonts w:ascii="Arial" w:cs="Arial" w:eastAsia="Arial" w:hAnsi="Arial"/>
          <w:sz w:val="18"/>
          <w:szCs w:val="18"/>
          <w:color w:val="auto"/>
        </w:rPr>
      </w:pPr>
    </w:p>
    <w:p>
      <w:pPr>
        <w:ind w:left="1220" w:hanging="402"/>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Today we are announcing a 2023 Illustrative Adjusted Net Income Goal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~$1.2 billion</w:t>
      </w:r>
    </w:p>
    <w:p>
      <w:pPr>
        <w:spacing w:after="0" w:line="5" w:lineRule="exact"/>
        <w:rPr>
          <w:rFonts w:ascii="Arial" w:cs="Arial" w:eastAsia="Arial" w:hAnsi="Arial"/>
          <w:sz w:val="18"/>
          <w:szCs w:val="18"/>
          <w:color w:val="auto"/>
        </w:rPr>
      </w:pPr>
    </w:p>
    <w:p>
      <w:pPr>
        <w:ind w:left="1220" w:hanging="402"/>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2023 Illustrative Adjusted Net Income Goal</w:t>
      </w:r>
      <w:r>
        <w:rPr>
          <w:rFonts w:ascii="Arial" w:cs="Arial" w:eastAsia="Arial" w:hAnsi="Arial"/>
          <w:sz w:val="23"/>
          <w:szCs w:val="23"/>
          <w:color w:val="auto"/>
          <w:vertAlign w:val="superscript"/>
        </w:rPr>
        <w:t>(2)</w:t>
      </w:r>
      <w:r>
        <w:rPr>
          <w:rFonts w:ascii="Arial" w:cs="Arial" w:eastAsia="Arial" w:hAnsi="Arial"/>
          <w:sz w:val="18"/>
          <w:szCs w:val="18"/>
          <w:color w:val="auto"/>
        </w:rPr>
        <w:t>, if achieved, would result in a 6x increase in net income relative to 2022</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i w:val="1"/>
          <w:iCs w:val="1"/>
          <w:color w:val="auto"/>
        </w:rPr>
        <w:t>Puerto Rico</w:t>
      </w:r>
    </w:p>
    <w:p>
      <w:pPr>
        <w:spacing w:after="0" w:line="41" w:lineRule="exact"/>
        <w:rPr>
          <w:rFonts w:ascii="Arial" w:cs="Arial" w:eastAsia="Arial" w:hAnsi="Arial"/>
          <w:sz w:val="18"/>
          <w:szCs w:val="18"/>
          <w:color w:val="auto"/>
        </w:rPr>
      </w:pPr>
    </w:p>
    <w:p>
      <w:pPr>
        <w:ind w:left="740" w:right="20" w:hanging="408"/>
        <w:spacing w:after="0" w:line="229"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 PR LLC, an independently managed subsidiary of NFE, was awarded a 10-year contract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to manage PREPA's thermal power generation system of approximately 3,600 MW</w:t>
      </w:r>
    </w:p>
    <w:p>
      <w:pPr>
        <w:spacing w:after="0" w:line="41" w:lineRule="exact"/>
        <w:rPr>
          <w:rFonts w:ascii="Arial" w:cs="Arial" w:eastAsia="Arial" w:hAnsi="Arial"/>
          <w:sz w:val="18"/>
          <w:szCs w:val="18"/>
          <w:color w:val="auto"/>
        </w:rPr>
      </w:pPr>
    </w:p>
    <w:p>
      <w:pPr>
        <w:ind w:left="1380" w:hanging="400"/>
        <w:spacing w:after="0"/>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Contract consists of a $22.5 million annual payment and up to $100 million of annual incentives</w:t>
      </w:r>
    </w:p>
    <w:p>
      <w:pPr>
        <w:spacing w:after="0" w:line="63" w:lineRule="exact"/>
        <w:rPr>
          <w:rFonts w:ascii="Arial" w:cs="Arial" w:eastAsia="Arial" w:hAnsi="Arial"/>
          <w:sz w:val="18"/>
          <w:szCs w:val="18"/>
          <w:color w:val="auto"/>
        </w:rPr>
      </w:pPr>
    </w:p>
    <w:p>
      <w:pPr>
        <w:ind w:left="1380" w:hanging="400"/>
        <w:spacing w:after="0"/>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Intended to enhance grid reliability and reduce power costs for Puerto Rican consumers and businesses</w:t>
      </w:r>
    </w:p>
    <w:p>
      <w:pPr>
        <w:spacing w:after="0" w:line="57"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Awarded 350 MW of emergency power contracts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via U.S. Army Corps' Puerto Rico Power System Stabilization Task Force</w:t>
      </w:r>
    </w:p>
    <w:p>
      <w:pPr>
        <w:spacing w:after="0" w:line="26" w:lineRule="exact"/>
        <w:rPr>
          <w:rFonts w:ascii="Arial" w:cs="Arial" w:eastAsia="Arial" w:hAnsi="Arial"/>
          <w:sz w:val="18"/>
          <w:szCs w:val="18"/>
          <w:color w:val="auto"/>
        </w:rPr>
      </w:pPr>
    </w:p>
    <w:p>
      <w:pPr>
        <w:ind w:left="1220" w:hanging="402"/>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Currently mobilizing power generation assets to Palo Seco and San Juan to start providing capacity in the second quarter of 2023</w:t>
      </w:r>
      <w:r>
        <w:rPr>
          <w:rFonts w:ascii="Arial" w:cs="Arial" w:eastAsia="Arial" w:hAnsi="Arial"/>
          <w:sz w:val="22"/>
          <w:szCs w:val="22"/>
          <w:color w:val="auto"/>
          <w:vertAlign w:val="superscript"/>
        </w:rPr>
        <w:t>(5)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LNG</w:t>
      </w:r>
    </w:p>
    <w:p>
      <w:pPr>
        <w:spacing w:after="0" w:line="42" w:lineRule="exact"/>
        <w:rPr>
          <w:sz w:val="20"/>
          <w:szCs w:val="20"/>
          <w:color w:val="auto"/>
        </w:rPr>
      </w:pPr>
    </w:p>
    <w:p>
      <w:pPr>
        <w:ind w:left="740" w:hanging="40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Construction of our first Fast LNG unit is 90%+ Complete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and Deployment</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to Altamira is expected in June 2023</w:t>
      </w:r>
      <w:r>
        <w:rPr>
          <w:rFonts w:ascii="Arial" w:cs="Arial" w:eastAsia="Arial" w:hAnsi="Arial"/>
          <w:sz w:val="23"/>
          <w:szCs w:val="23"/>
          <w:color w:val="auto"/>
          <w:vertAlign w:val="superscript"/>
        </w:rPr>
        <w:t>(5)</w:t>
      </w:r>
    </w:p>
    <w:p>
      <w:pPr>
        <w:spacing w:after="0" w:line="26" w:lineRule="exact"/>
        <w:rPr>
          <w:rFonts w:ascii="Arial" w:cs="Arial" w:eastAsia="Arial" w:hAnsi="Arial"/>
          <w:sz w:val="18"/>
          <w:szCs w:val="18"/>
          <w:color w:val="auto"/>
        </w:rPr>
      </w:pPr>
    </w:p>
    <w:p>
      <w:pPr>
        <w:ind w:left="1380" w:hanging="400"/>
        <w:spacing w:after="0" w:line="220" w:lineRule="auto"/>
        <w:tabs>
          <w:tab w:leader="none" w:pos="1375" w:val="left"/>
        </w:tabs>
        <w:numPr>
          <w:ilvl w:val="2"/>
          <w:numId w:val="4"/>
        </w:numPr>
        <w:rPr>
          <w:rFonts w:ascii="Arial" w:cs="Arial" w:eastAsia="Arial" w:hAnsi="Arial"/>
          <w:sz w:val="18"/>
          <w:szCs w:val="18"/>
          <w:color w:val="auto"/>
        </w:rPr>
      </w:pPr>
      <w:r>
        <w:rPr>
          <w:rFonts w:ascii="Arial" w:cs="Arial" w:eastAsia="Arial" w:hAnsi="Arial"/>
          <w:sz w:val="18"/>
          <w:szCs w:val="18"/>
          <w:color w:val="auto"/>
        </w:rPr>
        <w:t>We expect to complete Commissioning</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our first Fast LNG unit in the shipyard and on-location at the Altamira site and continue to anticipate First Gas and COD</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 July 2023 and August 2023, respectively</w:t>
      </w:r>
      <w:r>
        <w:rPr>
          <w:rFonts w:ascii="Arial" w:cs="Arial" w:eastAsia="Arial" w:hAnsi="Arial"/>
          <w:sz w:val="23"/>
          <w:szCs w:val="23"/>
          <w:color w:val="auto"/>
          <w:vertAlign w:val="superscript"/>
        </w:rPr>
        <w:t>(5)</w:t>
      </w:r>
    </w:p>
    <w:p>
      <w:pPr>
        <w:spacing w:after="0" w:line="1" w:lineRule="exact"/>
        <w:rPr>
          <w:rFonts w:ascii="Arial" w:cs="Arial" w:eastAsia="Arial" w:hAnsi="Arial"/>
          <w:sz w:val="18"/>
          <w:szCs w:val="18"/>
          <w:color w:val="auto"/>
        </w:rPr>
      </w:pPr>
    </w:p>
    <w:p>
      <w:pPr>
        <w:ind w:left="740" w:hanging="40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FLNG 2 and FLNG 3 are already under construction, and all long-lead items have been procured</w:t>
      </w:r>
    </w:p>
    <w:p>
      <w:pPr>
        <w:spacing w:after="0" w:line="41" w:lineRule="exact"/>
        <w:rPr>
          <w:rFonts w:ascii="Arial" w:cs="Arial" w:eastAsia="Arial" w:hAnsi="Arial"/>
          <w:sz w:val="18"/>
          <w:szCs w:val="18"/>
          <w:color w:val="auto"/>
        </w:rPr>
      </w:pPr>
    </w:p>
    <w:p>
      <w:pPr>
        <w:ind w:left="1220" w:hanging="402"/>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Deployment</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and Ready for Installation</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expected in the second half of 2024</w:t>
      </w:r>
      <w:r>
        <w:rPr>
          <w:rFonts w:ascii="Arial" w:cs="Arial" w:eastAsia="Arial" w:hAnsi="Arial"/>
          <w:sz w:val="23"/>
          <w:szCs w:val="23"/>
          <w:color w:val="auto"/>
          <w:vertAlign w:val="superscript"/>
        </w:rPr>
        <w:t>(5)</w:t>
      </w:r>
    </w:p>
    <w:p>
      <w:pPr>
        <w:spacing w:after="0" w:line="26" w:lineRule="exact"/>
        <w:rPr>
          <w:rFonts w:ascii="Arial" w:cs="Arial" w:eastAsia="Arial" w:hAnsi="Arial"/>
          <w:sz w:val="18"/>
          <w:szCs w:val="18"/>
          <w:color w:val="auto"/>
        </w:rPr>
      </w:pPr>
    </w:p>
    <w:p>
      <w:pPr>
        <w:ind w:left="1220" w:hanging="402"/>
        <w:spacing w:after="0" w:line="258" w:lineRule="auto"/>
        <w:tabs>
          <w:tab w:leader="none" w:pos="1215"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recently signed a non-binding Letter of Intent with CFE to explore installing FLNG 2 and FLNG 3 at an underutilized existing onshore terminal in Altamira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w:t>
      </w:r>
    </w:p>
    <w:p>
      <w:pPr>
        <w:spacing w:after="0" w:line="58" w:lineRule="exact"/>
        <w:rPr>
          <w:sz w:val="20"/>
          <w:szCs w:val="20"/>
          <w:color w:val="auto"/>
        </w:rPr>
      </w:pPr>
    </w:p>
    <w:p>
      <w:pPr>
        <w:ind w:left="740" w:hanging="408"/>
        <w:spacing w:after="0" w:line="230"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Completed</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the Barcarena terminal and expect First Gas</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to Norsk Hydro in late 2023</w:t>
      </w:r>
      <w:r>
        <w:rPr>
          <w:rFonts w:ascii="Arial" w:cs="Arial" w:eastAsia="Arial" w:hAnsi="Arial"/>
          <w:sz w:val="23"/>
          <w:szCs w:val="23"/>
          <w:color w:val="auto"/>
          <w:vertAlign w:val="superscript"/>
        </w:rPr>
        <w:t>(5)</w:t>
      </w:r>
      <w:r>
        <w:rPr>
          <w:rFonts w:ascii="Arial" w:cs="Arial" w:eastAsia="Arial" w:hAnsi="Arial"/>
          <w:sz w:val="18"/>
          <w:szCs w:val="18"/>
          <w:color w:val="auto"/>
        </w:rPr>
        <w:t>; we remain on schedule and, also in 2023</w:t>
      </w:r>
      <w:r>
        <w:rPr>
          <w:rFonts w:ascii="Arial" w:cs="Arial" w:eastAsia="Arial" w:hAnsi="Arial"/>
          <w:sz w:val="23"/>
          <w:szCs w:val="23"/>
          <w:color w:val="auto"/>
          <w:vertAlign w:val="superscript"/>
        </w:rPr>
        <w:t>(5)</w:t>
      </w:r>
      <w:r>
        <w:rPr>
          <w:rFonts w:ascii="Arial" w:cs="Arial" w:eastAsia="Arial" w:hAnsi="Arial"/>
          <w:sz w:val="18"/>
          <w:szCs w:val="18"/>
          <w:color w:val="auto"/>
        </w:rPr>
        <w:t>, expect to commence Operations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at our Santa Catarina terminal</w:t>
      </w:r>
    </w:p>
    <w:p>
      <w:pPr>
        <w:ind w:left="740" w:right="20" w:hanging="408"/>
        <w:spacing w:after="0" w:line="280"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color w:val="auto"/>
        </w:rPr>
        <w:t>Separately, Construction</w:t>
      </w:r>
      <w:r>
        <w:rPr>
          <w:rFonts w:ascii="Arial" w:cs="Arial" w:eastAsia="Arial" w:hAnsi="Arial"/>
          <w:sz w:val="20"/>
          <w:szCs w:val="20"/>
          <w:color w:val="auto"/>
          <w:vertAlign w:val="superscript"/>
        </w:rPr>
        <w:t>(10)</w:t>
      </w:r>
      <w:r>
        <w:rPr>
          <w:rFonts w:ascii="Arial" w:cs="Arial" w:eastAsia="Arial" w:hAnsi="Arial"/>
          <w:sz w:val="16"/>
          <w:szCs w:val="16"/>
          <w:color w:val="auto"/>
        </w:rPr>
        <w:t xml:space="preserve"> of our 630 MW power plant at Barcarena is underway pursuant to a fixed-price, date-certain EPC contract with Mitsubishi and Toyo Setal; Operations</w:t>
      </w:r>
      <w:r>
        <w:rPr>
          <w:rFonts w:ascii="Arial" w:cs="Arial" w:eastAsia="Arial" w:hAnsi="Arial"/>
          <w:sz w:val="20"/>
          <w:szCs w:val="20"/>
          <w:color w:val="auto"/>
          <w:vertAlign w:val="superscript"/>
        </w:rPr>
        <w:t>(7)</w:t>
      </w:r>
      <w:r>
        <w:rPr>
          <w:rFonts w:ascii="Arial" w:cs="Arial" w:eastAsia="Arial" w:hAnsi="Arial"/>
          <w:sz w:val="16"/>
          <w:szCs w:val="16"/>
          <w:color w:val="auto"/>
        </w:rPr>
        <w:t xml:space="preserve"> expected to commence in July 2025</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pursuant to 25-year PPAs with Brazilian distribution companies</w:t>
      </w:r>
    </w:p>
    <w:p>
      <w:pPr>
        <w:spacing w:after="0" w:line="198" w:lineRule="exact"/>
        <w:rPr>
          <w:sz w:val="20"/>
          <w:szCs w:val="20"/>
          <w:color w:val="auto"/>
        </w:rPr>
      </w:pPr>
    </w:p>
    <w:p>
      <w:pPr>
        <w:ind w:left="740" w:hanging="408"/>
        <w:spacing w:after="0" w:line="236"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finalizing our agreement</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to sell our 135 MW La Paz power plant to CFE for approximately $180 million, and the transaction is expected to close in the third quarter of 2023</w:t>
      </w:r>
      <w:r>
        <w:rPr>
          <w:rFonts w:ascii="Arial" w:cs="Arial" w:eastAsia="Arial" w:hAnsi="Arial"/>
          <w:sz w:val="23"/>
          <w:szCs w:val="23"/>
          <w:color w:val="auto"/>
          <w:vertAlign w:val="superscript"/>
        </w:rPr>
        <w:t>(5)</w:t>
      </w:r>
    </w:p>
    <w:p>
      <w:pPr>
        <w:sectPr>
          <w:pgSz w:w="11900" w:h="16838" w:orient="portrait"/>
          <w:cols w:equalWidth="0" w:num="1">
            <w:col w:w="11240"/>
          </w:cols>
          <w:pgMar w:left="320" w:top="931" w:right="339" w:bottom="1440" w:gutter="0" w:footer="0" w:header="0"/>
        </w:sectPr>
      </w:pPr>
    </w:p>
    <w:bookmarkStart w:id="4" w:name="page5"/>
    <w:bookmarkEnd w:id="4"/>
    <w:p>
      <w:pPr>
        <w:ind w:left="740" w:hanging="408"/>
        <w:spacing w:after="0" w:line="229"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Awarded 353 MW of capacity contract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a 10-year duration from the Single Electricity Market Operator (SEMO), the operator of Ireland's electric grid</w:t>
      </w:r>
    </w:p>
    <w:p>
      <w:pPr>
        <w:spacing w:after="0" w:line="41" w:lineRule="exact"/>
        <w:rPr>
          <w:sz w:val="20"/>
          <w:szCs w:val="20"/>
          <w:color w:val="auto"/>
        </w:rPr>
      </w:pPr>
    </w:p>
    <w:p>
      <w:pPr>
        <w:ind w:left="1220" w:hanging="402"/>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Expecting to finalize permitting and construction contract for a 600 MW combined-cycle natural gas power plant beginning operations in 2026, to be supplied by our Shannon LNG terminal in Ballylongford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Hydrogen</w:t>
      </w:r>
    </w:p>
    <w:p>
      <w:pPr>
        <w:spacing w:after="0" w:line="58" w:lineRule="exact"/>
        <w:rPr>
          <w:sz w:val="20"/>
          <w:szCs w:val="20"/>
          <w:color w:val="auto"/>
        </w:rPr>
      </w:pPr>
    </w:p>
    <w:p>
      <w:pPr>
        <w:ind w:left="740" w:hanging="40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Construction</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on our first hydrogen plant is progressing on schedule in Beaumont (120 MW, ~50,000 kg/d), an industrial hub in Texas</w:t>
      </w:r>
    </w:p>
    <w:p>
      <w:pPr>
        <w:spacing w:after="0" w:line="38" w:lineRule="exact"/>
        <w:rPr>
          <w:rFonts w:ascii="Arial" w:cs="Arial" w:eastAsia="Arial" w:hAnsi="Arial"/>
          <w:sz w:val="17"/>
          <w:szCs w:val="17"/>
          <w:color w:val="auto"/>
        </w:rPr>
      </w:pPr>
    </w:p>
    <w:p>
      <w:pPr>
        <w:ind w:left="740" w:hanging="408"/>
        <w:spacing w:after="0" w:line="219"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several other green hydrogen projects in various stages of Development</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with a focus on sites with strategic logistics, low-cost power, and strong regional hydrogen demand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Developments</w:t>
      </w:r>
    </w:p>
    <w:p>
      <w:pPr>
        <w:spacing w:after="0" w:line="58" w:lineRule="exact"/>
        <w:rPr>
          <w:sz w:val="20"/>
          <w:szCs w:val="20"/>
          <w:color w:val="auto"/>
        </w:rPr>
      </w:pPr>
    </w:p>
    <w:p>
      <w:pPr>
        <w:ind w:left="740" w:right="80" w:hanging="327"/>
        <w:spacing w:after="0" w:line="229"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sold our ownership stake</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in the Hilli in exchange for the return of 4.1 million NFE shares, $100 million in cash, and the extinguishment of $323 million in Hilli-related debt</w:t>
      </w:r>
    </w:p>
    <w:p>
      <w:pPr>
        <w:spacing w:after="0" w:line="41" w:lineRule="exact"/>
        <w:rPr>
          <w:rFonts w:ascii="Arial" w:cs="Arial" w:eastAsia="Arial" w:hAnsi="Arial"/>
          <w:sz w:val="18"/>
          <w:szCs w:val="18"/>
          <w:color w:val="auto"/>
        </w:rPr>
      </w:pPr>
    </w:p>
    <w:p>
      <w:pPr>
        <w:ind w:left="740" w:right="4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historically funded our growth through a combination of asset sales and operating cash flow, and we believe we have sufficient liquidity to complete our capital projects without the need for external financing</w:t>
      </w:r>
    </w:p>
    <w:p>
      <w:pPr>
        <w:spacing w:after="0" w:line="305" w:lineRule="exact"/>
        <w:rPr>
          <w:sz w:val="20"/>
          <w:szCs w:val="20"/>
          <w:color w:val="auto"/>
        </w:rPr>
      </w:pPr>
    </w:p>
    <w:p>
      <w:pPr>
        <w:ind w:left="80" w:right="260"/>
        <w:spacing w:after="0" w:line="277" w:lineRule="auto"/>
        <w:rPr>
          <w:sz w:val="20"/>
          <w:szCs w:val="20"/>
          <w:color w:val="auto"/>
        </w:rPr>
      </w:pPr>
      <w:r>
        <w:rPr>
          <w:rFonts w:ascii="Arial" w:cs="Arial" w:eastAsia="Arial" w:hAnsi="Arial"/>
          <w:sz w:val="18"/>
          <w:szCs w:val="18"/>
          <w:color w:val="auto"/>
        </w:rPr>
        <w:t>On May 3, 2023, NFE’s Board of Directors approved a dividend of $0.10 per share, with a record date of June 15, 2023 and a payment date of June 28,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8"/>
        </w:trPr>
        <w:tc>
          <w:tcPr>
            <w:tcW w:w="158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Three Months Ended</w:t>
            </w: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March 31, 2022</w:t>
            </w: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December 31, 2022</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March 31, 2023</w:t>
            </w:r>
          </w:p>
        </w:tc>
      </w:tr>
      <w:tr>
        <w:trPr>
          <w:trHeight w:val="25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r>
      <w:tr>
        <w:trPr>
          <w:trHeight w:val="25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6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5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26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57"/>
        </w:trPr>
        <w:tc>
          <w:tcPr>
            <w:tcW w:w="562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Terminals and Infrastructure Segment Operating Margin</w:t>
            </w:r>
            <w:r>
              <w:rPr>
                <w:rFonts w:ascii="Arial" w:cs="Arial" w:eastAsia="Arial" w:hAnsi="Arial"/>
                <w:sz w:val="23"/>
                <w:szCs w:val="23"/>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56"/>
        </w:trPr>
        <w:tc>
          <w:tcPr>
            <w:tcW w:w="562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rPr>
              <w:t>Ships Segment Operating Margin</w:t>
            </w:r>
            <w:r>
              <w:rPr>
                <w:rFonts w:ascii="Arial" w:cs="Arial" w:eastAsia="Arial" w:hAnsi="Arial"/>
                <w:sz w:val="23"/>
                <w:szCs w:val="23"/>
                <w:color w:val="auto"/>
                <w:vertAlign w:val="superscript"/>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57"/>
        </w:trPr>
        <w:tc>
          <w:tcPr>
            <w:tcW w:w="56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Segment Operating Margin</w:t>
            </w:r>
            <w:r>
              <w:rPr>
                <w:rFonts w:ascii="Arial" w:cs="Arial" w:eastAsia="Arial" w:hAnsi="Arial"/>
                <w:sz w:val="23"/>
                <w:szCs w:val="23"/>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283.4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480.8</w:t>
            </w:r>
          </w:p>
        </w:tc>
      </w:tr>
      <w:tr>
        <w:trPr>
          <w:trHeight w:val="256"/>
        </w:trPr>
        <w:tc>
          <w:tcPr>
            <w:tcW w:w="56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Q1 2023 Investor Presentation (the “Presentation”) for further information about the following terms: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1)“Adjusted EBITDA,” see definition and reconciliation of this non-GAAP measure in the exhibits to this press release.</w:t>
      </w:r>
    </w:p>
    <w:p>
      <w:pPr>
        <w:jc w:val="both"/>
        <w:ind w:left="180" w:hanging="161"/>
        <w:spacing w:after="0" w:line="256" w:lineRule="auto"/>
        <w:rPr>
          <w:sz w:val="20"/>
          <w:szCs w:val="20"/>
          <w:color w:val="auto"/>
        </w:rPr>
      </w:pPr>
      <w:r>
        <w:rPr>
          <w:rFonts w:ascii="Arial" w:cs="Arial" w:eastAsia="Arial" w:hAnsi="Arial"/>
          <w:sz w:val="17"/>
          <w:szCs w:val="17"/>
          <w:i w:val="1"/>
          <w:iCs w:val="1"/>
          <w:color w:val="auto"/>
        </w:rPr>
        <w:t>2)“Illustrative Adjusted EBITDA Goal” is based on the "Illustrative Total Segment Operating Margin Goal" less illustrative Core SGA assumed to be at $180 million for all periods 2023 onward including the pro rata share of Core SG&amp;A from unconsolidated entities. “Illustrative Adjusted Net Income Goal” is based on the "Illustrative Total Segment Operating Margin Goal" less interest expense, tax expense, SG&amp;A not included in core SG&amp;A, including business opportunity screening costs and stock compensation, equity investment income, interest income, and depreciation and amortization. “Illustrative Total Segment Operating Margin Goal,” or “Illustrative Future Goal” means our goal for Total Segment Operating Margin under certain illustrative conditions. These illustrative financial metrics are based on management’s expectations and are not based on generally accepted accounting principles and should not be relied upon for any reason. There is no guarantee that we will reach our goals and actual results may differ from our expectations. Please refer to this explanation for all uses of this term. “Illustrative Adjusted EBITDA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w:t>
      </w:r>
    </w:p>
    <w:p>
      <w:pPr>
        <w:sectPr>
          <w:pgSz w:w="11900" w:h="16838" w:orient="portrait"/>
          <w:cols w:equalWidth="0" w:num="1">
            <w:col w:w="11240"/>
          </w:cols>
          <w:pgMar w:left="320" w:top="984" w:right="339" w:bottom="1440" w:gutter="0" w:footer="0" w:header="0"/>
        </w:sectPr>
      </w:pPr>
    </w:p>
    <w:bookmarkStart w:id="5" w:name="page6"/>
    <w:bookmarkEnd w:id="5"/>
    <w:p>
      <w:pPr>
        <w:jc w:val="both"/>
        <w:ind w:left="172"/>
        <w:spacing w:after="0" w:line="270" w:lineRule="auto"/>
        <w:rPr>
          <w:sz w:val="20"/>
          <w:szCs w:val="20"/>
          <w:color w:val="auto"/>
        </w:rPr>
      </w:pPr>
      <w:r>
        <w:rPr>
          <w:rFonts w:ascii="Arial" w:cs="Arial" w:eastAsia="Arial" w:hAnsi="Arial"/>
          <w:sz w:val="16"/>
          <w:szCs w:val="16"/>
          <w:i w:val="1"/>
          <w:iCs w:val="1"/>
          <w:color w:val="auto"/>
        </w:rPr>
        <w:t>Margin Goal reflected. “Illustrative Adjusted Net Income Goal” reflects our Illustrative Total Segment Operating Margin, less interest expenses from our debt facilities assuming a weighted average interest rate of 8% on $6.6 billion pro forma outstanding debt offset by capitalized income of $150 million per year from 2023 onward, taxes at an effective tax rate of approximately 15%, non-core illustrative SGA, approximately $13 million per year illustrative income from equity investments in joint ventures, interest on outstanding cash balances equal to approximately 8% on unrestricted cash accounts, and depreciation and amortization in an aggregate amount of $40 million per quarter on our operating assets, including FLNG depreciated over a 20-year life starting on its expected date of start of operations. For the purpose of this presentation, we assumed no other income and expenses to be incurred under generally accepted accounting principals. For the purpose of this presentation, we have assumed an average Total Segment Operating Margin between $12.94 and $18.35 per MMBtu for all downstream terminal economics, because we assume that (i) we purchase delivered gas at a weighted average of $6.12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$16.00 in 2023 based on industry averages in the region. We assume all Brazil terminals and power plants are Operational and earning revenue through fuel sales and capacity charges or other fixed fees.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$182k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of approximately $4.31 per MMBtu, multiplied by the volumes for Fast LNG installation of 1.4 MTPA each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16" w:lineRule="exact"/>
        <w:rPr>
          <w:sz w:val="20"/>
          <w:szCs w:val="20"/>
          <w:color w:val="auto"/>
        </w:rPr>
      </w:pPr>
    </w:p>
    <w:p>
      <w:pPr>
        <w:jc w:val="both"/>
        <w:ind w:left="172" w:hanging="172"/>
        <w:spacing w:after="0" w:line="238" w:lineRule="auto"/>
        <w:tabs>
          <w:tab w:leader="none" w:pos="21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award of a 10-Year contract for the operation and maintenance of PREPA’s thermal generation assets with the goal of reducing costs and improving reliability of power generation in Puerto Rico awarded to our subsidiary, Genera PR LLC ("Genera"), in the first quarter of 2023. Pursuant to the award, we expect to receive an annual management fee and be eligible for performance-based incentive fees, beginning after the service period under the contract commences.</w:t>
      </w:r>
    </w:p>
    <w:p>
      <w:pPr>
        <w:spacing w:after="0" w:line="2" w:lineRule="exact"/>
        <w:rPr>
          <w:rFonts w:ascii="Arial" w:cs="Arial" w:eastAsia="Arial" w:hAnsi="Arial"/>
          <w:sz w:val="18"/>
          <w:szCs w:val="18"/>
          <w:i w:val="1"/>
          <w:iCs w:val="1"/>
          <w:color w:val="auto"/>
        </w:rPr>
      </w:pPr>
    </w:p>
    <w:p>
      <w:pPr>
        <w:jc w:val="both"/>
        <w:ind w:left="172" w:hanging="172"/>
        <w:spacing w:after="0" w:line="270" w:lineRule="auto"/>
        <w:tabs>
          <w:tab w:leader="none" w:pos="20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Refers to the selection by the U.S. Army Corps of Engineers of Weston Solutions, Inc. (“Weston”) to support Puerto Rico’s grid stabilization project with additional power capacity to enable maintenance and repair work on the island’s power system and grid. We have entered into agreements with Weston for the installation and operation of 150MW of additional power to be generated at the Palo Seco Power Plant in Puerto Rico as well as the supply of natural gas. We have also entered into agreements with Weston for the installation and operation of 200MW of additional power to be generated at the San Juan Power Plant in Puerto Rico as well as the supply of natural gas. We have also entered into agreements with Weston for the installation and operation of 200MW of additional power to be generated at the San Juan Power Plant in Puerto Rico as well as the supply of natural gas.</w:t>
      </w:r>
    </w:p>
    <w:p>
      <w:pPr>
        <w:jc w:val="both"/>
        <w:ind w:left="172" w:hanging="172"/>
        <w:spacing w:after="0"/>
        <w:tabs>
          <w:tab w:leader="none" w:pos="21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Lead times and expected development times used in this press release indicate our internal evaluations of a project’s expected timeline. They refer to us completing certain stages of projects within a timeframe and within a spectrum of budget parameters that, when taken as a whole, are substantially consistent with our business model. These timeframes include assumptions regarding items that are outside our control, including permitting, weather, and other potential sources of delay. To the extent that projects have not yet started or are currently under development, we can make no assurance that such projects are on track within the timeline parameters we establish. Additionally, the construction of facilities is inherently subject to the risks of cost overruns and delays. If we are unable to construct, commission and operate all of our facilities as expected, or, when and if constructed, they do not accomplish our goals, or if we experience delays or cost overruns in construction, estimates regarding timelines, budget and savings could be materially and adversely affected.</w:t>
      </w:r>
    </w:p>
    <w:p>
      <w:pPr>
        <w:spacing w:after="0" w:line="2" w:lineRule="exact"/>
        <w:rPr>
          <w:rFonts w:ascii="Arial" w:cs="Arial" w:eastAsia="Arial" w:hAnsi="Arial"/>
          <w:sz w:val="18"/>
          <w:szCs w:val="18"/>
          <w:i w:val="1"/>
          <w:iCs w:val="1"/>
          <w:color w:val="auto"/>
        </w:rPr>
      </w:pPr>
    </w:p>
    <w:p>
      <w:pPr>
        <w:ind w:left="172" w:hanging="172"/>
        <w:spacing w:after="0" w:line="245" w:lineRule="auto"/>
        <w:tabs>
          <w:tab w:leader="none" w:pos="221"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award of a 10-year contract by the Single Electricity Market Operator (SEMO) to Shannon LNG Limited, a subsidiary of NFE, for the delivery of 400 MW of electricity generation capacity at the site in Kerry, Ireland by October</w:t>
      </w:r>
    </w:p>
    <w:p>
      <w:pPr>
        <w:sectPr>
          <w:pgSz w:w="11900" w:h="16838" w:orient="portrait"/>
          <w:cols w:equalWidth="0" w:num="1">
            <w:col w:w="11232"/>
          </w:cols>
          <w:pgMar w:left="328" w:top="935" w:right="339" w:bottom="1440" w:gutter="0" w:footer="0" w:header="0"/>
        </w:sectPr>
      </w:pPr>
    </w:p>
    <w:bookmarkStart w:id="6" w:name="page7"/>
    <w:bookmarkEnd w:id="6"/>
    <w:p>
      <w:pPr>
        <w:ind w:left="180"/>
        <w:spacing w:after="0" w:line="250" w:lineRule="auto"/>
        <w:rPr>
          <w:sz w:val="20"/>
          <w:szCs w:val="20"/>
          <w:color w:val="auto"/>
        </w:rPr>
      </w:pPr>
      <w:r>
        <w:rPr>
          <w:rFonts w:ascii="Arial" w:cs="Arial" w:eastAsia="Arial" w:hAnsi="Arial"/>
          <w:sz w:val="18"/>
          <w:szCs w:val="18"/>
          <w:i w:val="1"/>
          <w:iCs w:val="1"/>
          <w:color w:val="auto"/>
        </w:rPr>
        <w:t>1, 2026. The contract was awarded following a competitive auction process, operated by SEMO, and regulated by the Commission For Regulation of Utilities (CRU) and the Northern Ireland Authority for Utility Regulation (NIAUR).</w:t>
      </w:r>
    </w:p>
    <w:p>
      <w:pPr>
        <w:spacing w:after="0" w:line="2" w:lineRule="exact"/>
        <w:rPr>
          <w:sz w:val="20"/>
          <w:szCs w:val="20"/>
          <w:color w:val="auto"/>
        </w:rPr>
      </w:pPr>
    </w:p>
    <w:p>
      <w:pPr>
        <w:jc w:val="both"/>
        <w:ind w:left="180" w:hanging="172"/>
        <w:spacing w:after="0" w:line="269" w:lineRule="auto"/>
        <w:tabs>
          <w:tab w:leader="none" w:pos="26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“Online”, “Operational”, "Operating", "Completion", "Completed", “COD” or “commercial operations date”, “Commissioning,” “COD” or “commercial operations date”, “Commissioning,” “Deployment” or similar statuses (either capitalized or lower case) with respect to a particular project means we expect gas to be made available within sixty (60)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has begun. We cannot assure you if or when such projects will reach full commercial operations. Actual results could differ materially from the illustrations reflected in this press release and there can be no assurance we will achieve our goals. Our ability to export liquefied natural gas depends on our ability to obtain export and other permits from the United States, Mexican and other governmental and regulatory agencies, which we have not yet obtained. No assurance can be given that we will receive required permits, approvals and authorizations from governmental and regulatory agencies in connection with the exportation of liquefied natural gas on a timely basis or at all.</w:t>
      </w:r>
    </w:p>
    <w:p>
      <w:pPr>
        <w:spacing w:after="0" w:line="4" w:lineRule="exact"/>
        <w:rPr>
          <w:rFonts w:ascii="Arial" w:cs="Arial" w:eastAsia="Arial" w:hAnsi="Arial"/>
          <w:sz w:val="16"/>
          <w:szCs w:val="16"/>
          <w:i w:val="1"/>
          <w:iCs w:val="1"/>
          <w:color w:val="auto"/>
        </w:rPr>
      </w:pPr>
    </w:p>
    <w:p>
      <w:pPr>
        <w:jc w:val="both"/>
        <w:ind w:left="180" w:hanging="172"/>
        <w:spacing w:after="0"/>
        <w:tabs>
          <w:tab w:leader="none" w:pos="216"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binding short-form agreements with Comisión Federal de Electricidad (“CFE”) related to the (i) expansion and extension of NFE’s supply of natural gas to multiple CFE power generation facilities in Baja California Sur, and (ii) sale of NFE’s 135 MW La Paz power plant to CFE. These transactions are subject to customary terms and conditions and execution of final long-form binding definitive agreements. We cannot assure you if or when we will enter into long-form definitive agreements related to such projects or the terms of any such agreements. Furthermore, upon execution of long-form definitive agreements, we cannot assure you if or when conditions to such agreements will be satisfied, or if we will obtain the required approvals for the transactions set forth in such agreement.</w:t>
      </w:r>
    </w:p>
    <w:p>
      <w:pPr>
        <w:jc w:val="both"/>
        <w:ind w:left="180" w:hanging="172"/>
        <w:spacing w:after="0" w:line="238" w:lineRule="auto"/>
        <w:tabs>
          <w:tab w:leader="none" w:pos="21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date on which (or, for future dates, management's current estimate of the date on which) natural gas is first made available in our projects, including our facilities in development. Full commercial operations of such projects will occur later than, and may occur substantially later than, the date of first gas. We cannot assure you if or when such projects will reach the date of delivery of first gas, or full commercial operations. Actual results could differ materially from the illustration and there can be no assurance we will achieve our goal.</w:t>
      </w:r>
    </w:p>
    <w:p>
      <w:pPr>
        <w:spacing w:after="0" w:line="2" w:lineRule="exact"/>
        <w:rPr>
          <w:rFonts w:ascii="Arial" w:cs="Arial" w:eastAsia="Arial" w:hAnsi="Arial"/>
          <w:sz w:val="18"/>
          <w:szCs w:val="18"/>
          <w:i w:val="1"/>
          <w:iCs w:val="1"/>
          <w:color w:val="auto"/>
        </w:rPr>
      </w:pPr>
    </w:p>
    <w:p>
      <w:pPr>
        <w:jc w:val="both"/>
        <w:ind w:left="180" w:hanging="172"/>
        <w:spacing w:after="0" w:line="270" w:lineRule="auto"/>
        <w:tabs>
          <w:tab w:leader="none" w:pos="314"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“Under Construction”, “In Construction”, “Under Construction”, “Development,” “In Development” or similar statuses means that we have taken steps and invested money to develop a facility, including execution of agreements for the development of the project (subject, in certain cases, to satisfaction of conditions precedent),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 and these risks of delay are exacerbated by the COVID-19 pandemic. If we are unable to construct, commission and operate all of our facilities as expected, or, when and if constructed, they do not accomplish our goals, or if we experience delays or cost overruns in construction, our business, operating results, cash flows and liquidity could be materially and adversely affected.</w:t>
      </w:r>
    </w:p>
    <w:p>
      <w:pPr>
        <w:spacing w:after="0" w:line="4" w:lineRule="exact"/>
        <w:rPr>
          <w:rFonts w:ascii="Arial" w:cs="Arial" w:eastAsia="Arial" w:hAnsi="Arial"/>
          <w:sz w:val="16"/>
          <w:szCs w:val="16"/>
          <w:i w:val="1"/>
          <w:iCs w:val="1"/>
          <w:color w:val="auto"/>
        </w:rPr>
      </w:pPr>
    </w:p>
    <w:p>
      <w:pPr>
        <w:jc w:val="both"/>
        <w:ind w:left="180" w:hanging="172"/>
        <w:spacing w:after="0" w:line="239" w:lineRule="auto"/>
        <w:tabs>
          <w:tab w:leader="none" w:pos="307"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agreement between the Company and Golar LNG Limited (“GLNG”) for the sale of NFE’s ownership stake in the 2.4 MTPA floating liquefaction facility Hilli in exchange for the return of 4.1 million NFE shares and $100 million in cash. As part of the agreement, NFE also extinguished $323 million in debt obligations associated with its interest in the Hilli.</w:t>
      </w:r>
    </w:p>
    <w:p>
      <w:pPr>
        <w:jc w:val="both"/>
        <w:ind w:left="180" w:hanging="172"/>
        <w:spacing w:after="0"/>
        <w:tabs>
          <w:tab w:leader="none" w:pos="309"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prior to the disposition of this investment in the fourth quarter of 2022. "Ships Segment Operating Margin" includes our effective share of revenue, expenses and operating margin attributable to our ownership of 50% of the common units of Hilli LLC prior to the disposition of this investment in the first quarter of 2023. Hilli LLC owns Golar Hilli Corporation (“Hilli Corp”), the disponent owner of the Hilli.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8"/>
          <w:szCs w:val="18"/>
          <w:color w:val="auto"/>
        </w:rPr>
        <w:t>Management will host a conference call on Thursday, May 4, 2023 at 8:00 A.M. Eastern Time. The conference call may be accessed by dialing (888) 224-1121 (toll free from within the U.S.) or +1-323-794-2575 (from outside of the U.S.) fifteen minutes prior to the scheduled start of the call; please reference “NFE First Quarter 2023 Earnings Call” or conference code 9863837.</w:t>
      </w:r>
    </w:p>
    <w:p>
      <w:pPr>
        <w:spacing w:after="0" w:line="229"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A simultaneous webcast of the conference call will be available to the public on a listen-only basis at www.newfortressenergy.com within the "Investors" tab under “Events &amp; Presentations.” Please allow extra time prior to the call to visit the website and download any necessary software required to listen to the internet broadcast. A replay of the conference call will be available at the same website location shortly after the conclusion of the live call.</w:t>
      </w:r>
    </w:p>
    <w:p>
      <w:pPr>
        <w:sectPr>
          <w:pgSz w:w="11900" w:h="16838" w:orient="portrait"/>
          <w:cols w:equalWidth="0" w:num="1">
            <w:col w:w="11240"/>
          </w:cols>
          <w:pgMar w:left="320" w:top="93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New Fortress Energy Inc. (Nasdaq: NFE) is a global energy infrastructure company transition to reliable, affordable, and clean energy. The company owns and operates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hanging="43"/>
        <w:spacing w:after="0" w:line="282" w:lineRule="auto"/>
        <w:rPr>
          <w:sz w:val="20"/>
          <w:szCs w:val="20"/>
          <w:color w:val="auto"/>
        </w:rPr>
      </w:pPr>
      <w:r>
        <w:rPr>
          <w:rFonts w:ascii="Arial" w:cs="Arial" w:eastAsia="Arial" w:hAnsi="Arial"/>
          <w:sz w:val="16"/>
          <w:szCs w:val="16"/>
          <w:color w:val="auto"/>
        </w:rPr>
        <w:t>founded to help address energy poverty and accelerate the world’s natural gas and liquefied natural gas (LNG) infrastructure and an</w:t>
      </w:r>
    </w:p>
    <w:p>
      <w:pPr>
        <w:spacing w:after="0" w:line="1" w:lineRule="exact"/>
        <w:rPr>
          <w:sz w:val="20"/>
          <w:szCs w:val="20"/>
          <w:color w:val="auto"/>
        </w:rPr>
      </w:pPr>
    </w:p>
    <w:p>
      <w:pPr>
        <w:sectPr>
          <w:pgSz w:w="11900" w:h="16838" w:orient="portrait"/>
          <w:cols w:equalWidth="0" w:num="2">
            <w:col w:w="6280" w:space="60"/>
            <w:col w:w="4900"/>
          </w:cols>
          <w:pgMar w:left="320" w:top="935" w:right="339" w:bottom="1440" w:gutter="0" w:footer="0" w:header="0"/>
          <w:type w:val="continuous"/>
        </w:sectPr>
      </w:pPr>
    </w:p>
    <w:p>
      <w:pPr>
        <w:jc w:val="both"/>
        <w:spacing w:after="0"/>
        <w:rPr>
          <w:sz w:val="20"/>
          <w:szCs w:val="20"/>
          <w:color w:val="auto"/>
        </w:rPr>
      </w:pPr>
      <w:r>
        <w:rPr>
          <w:rFonts w:ascii="Arial" w:cs="Arial" w:eastAsia="Arial" w:hAnsi="Arial"/>
          <w:sz w:val="18"/>
          <w:szCs w:val="18"/>
          <w:color w:val="auto"/>
        </w:rPr>
        <w:t>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Forward looking statements include: illustrative financial metrics and other similar metrics, including goals, expected financial growth and margins, among others; benefits to be derived from our projects in Puerto Rico, including enhancement of grid reliability and reduction of power costs, among others; ability to maintain our expected development timelines; expectations regarding our ability to construct, complete and commission our projects on time and within budget; the execution of definitive documents and their related terms and conditions, including without limitation the sales price of the La Paz power plant to CFE;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may not be completed in a timely manner or at all;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 Any forward-looking statement speaks only as of the date on which it is made, and we undertake no duty to update or revise these forward-looking statements, even though our situation may change in the future. New factors emerge from time to time, and it is not possible for NFE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4D4D4D"/>
        </w:rPr>
        <w:t>IR: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Hughes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ir@newfortressenergy.com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press@newfortressenergy.com</w:t>
      </w:r>
    </w:p>
    <w:p>
      <w:pPr>
        <w:sectPr>
          <w:pgSz w:w="11900" w:h="16838" w:orient="portrait"/>
          <w:cols w:equalWidth="0" w:num="1">
            <w:col w:w="11240"/>
          </w:cols>
          <w:pgMar w:left="320" w:top="93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(516) 268-7403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 New Fortress Energy Inc.</w:t>
      </w:r>
    </w:p>
    <w:p>
      <w:pPr>
        <w:sectPr>
          <w:pgSz w:w="11900" w:h="16838" w:orient="portrait"/>
          <w:cols w:equalWidth="0" w:num="1">
            <w:col w:w="10139"/>
          </w:cols>
          <w:pgMar w:left="320" w:top="935"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Exhibits –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ind w:right="5260"/>
        <w:spacing w:after="0" w:line="305" w:lineRule="auto"/>
        <w:rPr>
          <w:sz w:val="20"/>
          <w:szCs w:val="20"/>
          <w:color w:val="auto"/>
        </w:rPr>
      </w:pPr>
      <w:r>
        <w:rPr>
          <w:rFonts w:ascii="Arial" w:cs="Arial" w:eastAsia="Arial" w:hAnsi="Arial"/>
          <w:sz w:val="16"/>
          <w:szCs w:val="16"/>
          <w:b w:val="1"/>
          <w:bCs w:val="1"/>
          <w:color w:val="auto"/>
        </w:rPr>
        <w:t>For the three months ended December 31, 2022 and March 31, 2023 (Unaudited, in thousands of U.S. dollars,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For the Three Months Ended</w:t>
            </w:r>
          </w:p>
        </w:tc>
      </w:tr>
      <w:tr>
        <w:trPr>
          <w:trHeight w:val="237"/>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2023</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501,688</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96,744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76,524</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63"/>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579,131</w:t>
            </w:r>
          </w:p>
        </w:tc>
      </w:tr>
      <w:tr>
        <w:trPr>
          <w:trHeight w:val="243"/>
        </w:trPr>
        <w:tc>
          <w:tcPr>
            <w:tcW w:w="7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184,938</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13,291</w:t>
            </w: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26,671</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52,138</w:t>
            </w: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34,375</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expense</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311,907</w:t>
            </w:r>
          </w:p>
        </w:tc>
      </w:tr>
      <w:tr>
        <w:trPr>
          <w:trHeight w:val="256"/>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267,224</w:t>
            </w: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71,673</w:t>
            </w: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25,005</w:t>
            </w:r>
          </w:p>
        </w:tc>
      </w:tr>
      <w:tr>
        <w:trPr>
          <w:trHeight w:val="243"/>
        </w:trPr>
        <w:tc>
          <w:tcPr>
            <w:tcW w:w="7340" w:type="dxa"/>
            <w:vAlign w:val="bottom"/>
          </w:tcPr>
          <w:p>
            <w:pPr>
              <w:ind w:left="140"/>
              <w:spacing w:after="0"/>
              <w:rPr>
                <w:sz w:val="20"/>
                <w:szCs w:val="20"/>
                <w:color w:val="auto"/>
              </w:rPr>
            </w:pPr>
            <w:r>
              <w:rPr>
                <w:rFonts w:ascii="Arial" w:cs="Arial" w:eastAsia="Arial" w:hAnsi="Arial"/>
                <w:sz w:val="18"/>
                <w:szCs w:val="18"/>
                <w:b w:val="1"/>
                <w:bCs w:val="1"/>
                <w:color w:val="auto"/>
              </w:rPr>
              <w:t>Income before income from equity method investments and income taxes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170,546</w:t>
            </w:r>
          </w:p>
        </w:tc>
      </w:tr>
      <w:tr>
        <w:trPr>
          <w:trHeight w:val="26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equity method investments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r>
      <w:tr>
        <w:trPr>
          <w:trHeight w:val="264"/>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provision</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28,960</w:t>
            </w:r>
          </w:p>
        </w:tc>
      </w:tr>
      <w:tr>
        <w:trPr>
          <w:trHeight w:val="256"/>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151,566</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82"/>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57"/>
        </w:trPr>
        <w:tc>
          <w:tcPr>
            <w:tcW w:w="734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208,768,552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208,707,385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209,745,660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209,325,619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calculate Adjusted EBITDA as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our pro rata share of Adjusted EBITDA from unconsolidated entities,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impact of equity in earnings (losses) of unconsolidated entities.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following table sets forth a reconciliation of net income to Adjusted EBITDA for the three months ended March 31, 2022, December 31, 2022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Segment Operating Margin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Core SG&amp;A (see definition above)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Pro rata share Core SG&amp;A from unconsolidated entities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17"/>
                <w:szCs w:val="17"/>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Three Months</w:t>
            </w:r>
          </w:p>
        </w:tc>
      </w:tr>
      <w:tr>
        <w:trPr>
          <w:trHeight w:val="203"/>
        </w:trPr>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7"/>
                <w:szCs w:val="17"/>
                <w:color w:val="auto"/>
              </w:rPr>
            </w:pPr>
          </w:p>
        </w:tc>
        <w:tc>
          <w:tcPr>
            <w:tcW w:w="1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Ended</w:t>
            </w:r>
          </w:p>
        </w:tc>
      </w:tr>
      <w:tr>
        <w:trPr>
          <w:trHeight w:val="234"/>
        </w:trPr>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2022</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2022</w:t>
            </w: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March 31, 2023</w:t>
            </w:r>
          </w:p>
        </w:tc>
      </w:tr>
      <w:tr>
        <w:trPr>
          <w:trHeight w:val="34"/>
        </w:trPr>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300,083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283,432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480,817</w:t>
            </w:r>
          </w:p>
        </w:tc>
      </w:tr>
      <w:tr>
        <w:trPr>
          <w:trHeight w:val="257"/>
        </w:trPr>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41,067</w:t>
            </w:r>
          </w:p>
        </w:tc>
      </w:tr>
      <w:tr>
        <w:trPr>
          <w:trHeight w:val="277"/>
        </w:trPr>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257,733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239,335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439,736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-668020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-334010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8255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35" w:right="339" w:bottom="1440" w:gutter="0" w:footer="0" w:header="0"/>
          <w:type w:val="continuous"/>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241,181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65,805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151,566</w:t>
            </w: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Add: Interest expense, net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80,517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71,673</w:t>
            </w:r>
          </w:p>
        </w:tc>
      </w:tr>
      <w:tr>
        <w:trPr>
          <w:trHeight w:val="26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Tax (benefit) provision</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Add: Depreciation and amortization</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34,375</w:t>
            </w:r>
          </w:p>
        </w:tc>
      </w:tr>
      <w:tr>
        <w:trPr>
          <w:trHeight w:val="26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Asset impairment expense</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Add: SG&amp;A items excluded from Core SG&amp;A (see definition above)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11,071</w:t>
            </w:r>
          </w:p>
        </w:tc>
      </w:tr>
      <w:tr>
        <w:trPr>
          <w:trHeight w:val="26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Transaction and integration costs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Add: Other (income) expense, net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25,005</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Changes in fair value of non-hedge derivative instruments and contingent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4"/>
        </w:trPr>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consideration</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111,140</w:t>
            </w:r>
          </w:p>
        </w:tc>
      </w:tr>
      <w:tr>
        <w:trPr>
          <w:trHeight w:val="257"/>
        </w:trPr>
        <w:tc>
          <w:tcPr>
            <w:tcW w:w="6300" w:type="dxa"/>
            <w:vAlign w:val="bottom"/>
          </w:tcPr>
          <w:p>
            <w:pPr>
              <w:ind w:left="20"/>
              <w:spacing w:after="0" w:line="256" w:lineRule="exact"/>
              <w:rPr>
                <w:sz w:val="20"/>
                <w:szCs w:val="20"/>
                <w:color w:val="auto"/>
              </w:rPr>
            </w:pPr>
            <w:r>
              <w:rPr>
                <w:rFonts w:ascii="Arial" w:cs="Arial" w:eastAsia="Arial" w:hAnsi="Arial"/>
                <w:sz w:val="18"/>
                <w:szCs w:val="18"/>
                <w:color w:val="auto"/>
              </w:rPr>
              <w:t>Add: Pro rata share of Adjusted EBITDA from unconsolidated entities</w:t>
            </w:r>
            <w:r>
              <w:rPr>
                <w:rFonts w:ascii="Arial" w:cs="Arial" w:eastAsia="Arial" w:hAnsi="Arial"/>
                <w:sz w:val="23"/>
                <w:szCs w:val="23"/>
                <w:color w:val="auto"/>
                <w:vertAlign w:val="superscript"/>
              </w:rPr>
              <w:t>(1)</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50,497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15,432</w:t>
            </w: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(Income) loss from equity method investments</w:t>
            </w: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257,733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239,335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439,736</w:t>
            </w:r>
          </w:p>
        </w:tc>
      </w:tr>
    </w:tbl>
    <w:p>
      <w:pPr>
        <w:spacing w:after="0" w:line="323" w:lineRule="exact"/>
        <w:rPr>
          <w:sz w:val="20"/>
          <w:szCs w:val="20"/>
          <w:color w:val="auto"/>
        </w:rPr>
      </w:pPr>
    </w:p>
    <w:p>
      <w:pPr>
        <w:ind w:left="340" w:right="60" w:hanging="332"/>
        <w:spacing w:after="0" w:line="230"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the Company’s effective share of Adjusted EBITDA of CELSEPAR of $30,207 for the three months ended March 31, 2022, and the Company’s effective share of the Adjusted EBITDA of Hilli LLC of $20,291, $11,080 and $15,432 for the three months ended March 31, 2022, December 31, 2022, and March 31, 2023, respectively. We no longer include the results of CELSEPAR and Hilli LLC in our results of operations after the sale of these investments in the fourth quarter of 2022 and the first quarter of 2023, respectively.</w:t>
      </w:r>
    </w:p>
    <w:p>
      <w:pPr>
        <w:sectPr>
          <w:pgSz w:w="11900" w:h="16838" w:orient="portrait"/>
          <w:cols w:equalWidth="0" w:num="1">
            <w:col w:w="11240"/>
          </w:cols>
          <w:pgMar w:left="320" w:top="93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Operating Margin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interest expense, other (income) expense, loss on extinguishment of debt, net, (income) loss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Arial" w:cs="Arial" w:eastAsia="Arial" w:hAnsi="Arial"/>
                <w:sz w:val="18"/>
                <w:szCs w:val="18"/>
                <w:b w:val="1"/>
                <w:bCs w:val="1"/>
                <w:color w:val="auto"/>
              </w:rPr>
              <w:t>Terminals and</w:t>
            </w:r>
          </w:p>
        </w:tc>
        <w:tc>
          <w:tcPr>
            <w:tcW w:w="260" w:type="dxa"/>
            <w:vAlign w:val="bottom"/>
          </w:tcPr>
          <w:p>
            <w:pPr>
              <w:spacing w:after="0"/>
              <w:rPr>
                <w:sz w:val="17"/>
                <w:szCs w:val="17"/>
                <w:color w:val="auto"/>
              </w:rPr>
            </w:pPr>
          </w:p>
        </w:tc>
        <w:tc>
          <w:tcPr>
            <w:tcW w:w="980" w:type="dxa"/>
            <w:vAlign w:val="bottom"/>
            <w:vMerge w:val="restart"/>
          </w:tcPr>
          <w:p>
            <w:pPr>
              <w:jc w:val="right"/>
              <w:ind w:right="210"/>
              <w:spacing w:after="0" w:line="207" w:lineRule="exact"/>
              <w:rPr>
                <w:sz w:val="20"/>
                <w:szCs w:val="20"/>
                <w:color w:val="auto"/>
              </w:rPr>
            </w:pPr>
            <w:r>
              <w:rPr>
                <w:rFonts w:ascii="Arial" w:cs="Arial" w:eastAsia="Arial" w:hAnsi="Arial"/>
                <w:sz w:val="18"/>
                <w:szCs w:val="18"/>
                <w:b w:val="1"/>
                <w:bCs w:val="1"/>
                <w:color w:val="auto"/>
              </w:rPr>
              <w:t xml:space="preserve">Ships </w:t>
            </w:r>
            <w:r>
              <w:rPr>
                <w:rFonts w:ascii="MS PGothic" w:cs="MS PGothic" w:eastAsia="MS PGothic" w:hAnsi="MS PGothic"/>
                <w:sz w:val="14"/>
                <w:szCs w:val="14"/>
                <w:color w:val="auto"/>
              </w:rPr>
              <w:t>⁽</w:t>
            </w:r>
            <w:r>
              <w:rPr>
                <w:rFonts w:ascii="Arial" w:cs="Arial" w:eastAsia="Arial" w:hAnsi="Arial"/>
                <w:sz w:val="9"/>
                <w:szCs w:val="9"/>
                <w:b w:val="1"/>
                <w:bCs w:val="1"/>
                <w:color w:val="auto"/>
              </w:rPr>
              <w:t>1</w:t>
            </w:r>
            <w:r>
              <w:rPr>
                <w:rFonts w:ascii="MS PGothic" w:cs="MS PGothic" w:eastAsia="MS PGothic" w:hAnsi="MS PGothic"/>
                <w:sz w:val="14"/>
                <w:szCs w:val="14"/>
                <w:color w:val="auto"/>
              </w:rPr>
              <w:t>⁾</w:t>
            </w:r>
          </w:p>
        </w:tc>
        <w:tc>
          <w:tcPr>
            <w:tcW w:w="12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6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6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Infrastructure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280" w:type="dxa"/>
            <w:vAlign w:val="bottom"/>
            <w:tcBorders>
              <w:bottom w:val="single" w:sz="8" w:color="auto"/>
            </w:tcBorders>
            <w:gridSpan w:val="2"/>
            <w:vMerge w:val="continue"/>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7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4"/>
                <w:szCs w:val="14"/>
                <w:color w:val="auto"/>
              </w:rPr>
              <w:t>⁽</w:t>
            </w:r>
            <w:r>
              <w:rPr>
                <w:rFonts w:ascii="Arial" w:cs="Arial" w:eastAsia="Arial" w:hAnsi="Arial"/>
                <w:sz w:val="9"/>
                <w:szCs w:val="9"/>
                <w:b w:val="1"/>
                <w:bCs w:val="1"/>
                <w:color w:val="auto"/>
              </w:rPr>
              <w:t>2</w:t>
            </w:r>
            <w:r>
              <w:rPr>
                <w:rFonts w:ascii="MS PGothic" w:cs="MS PGothic" w:eastAsia="MS PGothic" w:hAnsi="MS PGothic"/>
                <w:sz w:val="14"/>
                <w:szCs w:val="14"/>
                <w:color w:val="auto"/>
              </w:rPr>
              <w:t>⁾</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402,139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78,678</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480,817</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354,231</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Less:</w:t>
            </w: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52,138</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71,673</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6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6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-1842135</wp:posOffset>
            </wp:positionV>
            <wp:extent cx="97155" cy="7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155" cy="74930"/>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-1781810</wp:posOffset>
            </wp:positionV>
            <wp:extent cx="97155" cy="7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303" w:lineRule="exact"/>
        <w:rPr>
          <w:sz w:val="20"/>
          <w:szCs w:val="20"/>
          <w:color w:val="auto"/>
        </w:rPr>
      </w:pPr>
    </w:p>
    <w:p>
      <w:pPr>
        <w:ind w:left="340" w:right="120" w:hanging="332"/>
        <w:spacing w:after="0" w:line="237" w:lineRule="auto"/>
        <w:tabs>
          <w:tab w:leader="none" w:pos="32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Ships includes our effective share of revenues, expenses and operating margin attributable to our 50% ownership of Hilli LLC, prior to the disposition of this investment. The earnings attributable to the investment of $5,986 for the three months ended March 31, 2023 are reported in income from equity method investments in the condensed consolidated statements of operations and comprehensive income.</w:t>
      </w:r>
    </w:p>
    <w:p>
      <w:pPr>
        <w:spacing w:after="0" w:line="1" w:lineRule="exact"/>
        <w:rPr>
          <w:rFonts w:ascii="Arial" w:cs="Arial" w:eastAsia="Arial" w:hAnsi="Arial"/>
          <w:sz w:val="22"/>
          <w:szCs w:val="22"/>
          <w:color w:val="auto"/>
          <w:vertAlign w:val="superscript"/>
        </w:rPr>
      </w:pPr>
    </w:p>
    <w:p>
      <w:pPr>
        <w:ind w:left="340" w:right="220" w:hanging="332"/>
        <w:spacing w:after="0" w:line="230" w:lineRule="auto"/>
        <w:tabs>
          <w:tab w:leader="none" w:pos="32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Consolidation and Other adjusts for the inclusion of the effective share of revenues, expenses and operating margin attributable to 50% ownership of Hilli LLC in our segment measure and exclusion of the unrealized mark-to-market gain or loss on derivative instruments.</w:t>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Three Months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Terminals and</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64"/>
              <w:spacing w:after="0"/>
              <w:rPr>
                <w:sz w:val="20"/>
                <w:szCs w:val="20"/>
                <w:color w:val="auto"/>
              </w:rPr>
            </w:pPr>
            <w:r>
              <w:rPr>
                <w:rFonts w:ascii="Arial" w:cs="Arial" w:eastAsia="Arial" w:hAnsi="Arial"/>
                <w:sz w:val="9"/>
                <w:szCs w:val="9"/>
                <w:b w:val="1"/>
                <w:bCs w:val="1"/>
                <w:color w:val="auto"/>
              </w:rPr>
              <w:t>1</w:t>
            </w:r>
          </w:p>
        </w:tc>
        <w:tc>
          <w:tcPr>
            <w:tcW w:w="12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line="196" w:lineRule="exact"/>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Infrastructure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b w:val="1"/>
                <w:bCs w:val="1"/>
                <w:color w:val="auto"/>
              </w:rPr>
              <w:t xml:space="preserve">Ships </w:t>
            </w:r>
            <w:r>
              <w:rPr>
                <w:rFonts w:ascii="MS PGothic" w:cs="MS PGothic" w:eastAsia="MS PGothic" w:hAnsi="MS PGothic"/>
                <w:sz w:val="18"/>
                <w:szCs w:val="18"/>
                <w:color w:val="auto"/>
              </w:rPr>
              <w:t>⁽ ⁾</w:t>
            </w:r>
          </w:p>
        </w:tc>
        <w:tc>
          <w:tcPr>
            <w:tcW w:w="1280" w:type="dxa"/>
            <w:vAlign w:val="bottom"/>
            <w:tcBorders>
              <w:bottom w:val="single" w:sz="8" w:color="auto"/>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9"/>
                <w:szCs w:val="9"/>
                <w:b w:val="1"/>
                <w:bCs w:val="1"/>
                <w:color w:val="auto"/>
              </w:rPr>
              <w:t>2</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195,957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87,475</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283,432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85,321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368,753</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70,099</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(16,431)</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117,793</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provision</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-2023110</wp:posOffset>
            </wp:positionV>
            <wp:extent cx="10096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965" cy="8699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-1971675</wp:posOffset>
            </wp:positionV>
            <wp:extent cx="10096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965" cy="8699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40" w:right="100" w:hanging="332"/>
        <w:spacing w:after="0" w:line="22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Ships includes our effective share of revenues, expenses and operating margin attributable to our 50% ownership of Hilli LLC. The loss attributable to the investment of $120,580 for the three months ended December 31, 2022 is reported in (Loss) income from equity method investments in the consolidated statements of operations and comprehensive income (loss).</w:t>
      </w:r>
    </w:p>
    <w:p>
      <w:pPr>
        <w:spacing w:after="0" w:line="2" w:lineRule="exact"/>
        <w:rPr>
          <w:rFonts w:ascii="Arial" w:cs="Arial" w:eastAsia="Arial" w:hAnsi="Arial"/>
          <w:sz w:val="23"/>
          <w:szCs w:val="23"/>
          <w:color w:val="auto"/>
          <w:vertAlign w:val="superscript"/>
        </w:rPr>
      </w:pPr>
    </w:p>
    <w:p>
      <w:pPr>
        <w:ind w:left="340" w:right="120" w:hanging="332"/>
        <w:spacing w:after="0" w:line="223" w:lineRule="auto"/>
        <w:tabs>
          <w:tab w:leader="none" w:pos="32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Consolidation and Other adjusts for the inclusion of the effective share of revenues, expenses and operating margin attributable to our 50% ownership of Hilli LLC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Three Months Ended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Arial" w:cs="Arial" w:eastAsia="Arial" w:hAnsi="Arial"/>
                <w:sz w:val="17"/>
                <w:szCs w:val="17"/>
                <w:b w:val="1"/>
                <w:bCs w:val="1"/>
                <w:color w:val="auto"/>
              </w:rPr>
              <w:t xml:space="preserve">Infrastructure </w:t>
            </w:r>
            <w:r>
              <w:rPr>
                <w:rFonts w:ascii="MS PGothic" w:cs="MS PGothic" w:eastAsia="MS PGothic" w:hAnsi="MS PGothic"/>
                <w:sz w:val="17"/>
                <w:szCs w:val="17"/>
                <w:color w:val="auto"/>
              </w:rPr>
              <w:t>⁽</w:t>
            </w:r>
            <w:r>
              <w:rPr>
                <w:rFonts w:ascii="Arial" w:cs="Arial" w:eastAsia="Arial" w:hAnsi="Arial"/>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r>
              <w:rPr>
                <w:rFonts w:ascii="Arial" w:cs="Arial" w:eastAsia="Arial" w:hAnsi="Arial"/>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211,083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89,000</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300,083</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250,688</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44,916</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-1800225</wp:posOffset>
            </wp:positionV>
            <wp:extent cx="106045" cy="8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-1851660</wp:posOffset>
            </wp:positionV>
            <wp:extent cx="106045" cy="86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-1800225</wp:posOffset>
            </wp:positionV>
            <wp:extent cx="106045" cy="86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7" w:lineRule="exact"/>
        <w:rPr>
          <w:sz w:val="20"/>
          <w:szCs w:val="20"/>
          <w:color w:val="auto"/>
        </w:rPr>
      </w:pPr>
    </w:p>
    <w:p>
      <w:pPr>
        <w:ind w:left="340" w:right="180" w:hanging="332"/>
        <w:spacing w:after="0" w:line="253"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Terminals and Infrastructure includes our effective share of revenues, expenses and operating margin attributable to our 50% ownership of CELSEPAR. The earnings attributable to the investment of $36,680 for the three months ended March 31, 2022 are reported in (loss) income from equity method investments in the consolidated statements of operations and comprehensive income (loss). Terminals and Infrastructure does not include the unrealized mark-to-market gain on derivative instruments of $2,492 for the three months ended March 31, 2022 reported in Cost of sales.</w:t>
      </w:r>
    </w:p>
    <w:p>
      <w:pPr>
        <w:spacing w:after="0" w:line="3" w:lineRule="exact"/>
        <w:rPr>
          <w:rFonts w:ascii="Arial" w:cs="Arial" w:eastAsia="Arial" w:hAnsi="Arial"/>
          <w:sz w:val="21"/>
          <w:szCs w:val="21"/>
          <w:color w:val="auto"/>
          <w:vertAlign w:val="superscript"/>
        </w:rPr>
      </w:pPr>
    </w:p>
    <w:p>
      <w:pPr>
        <w:ind w:left="340" w:right="14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Ships includes our effective share of revenues, expenses and operating margin attributable to our 50% ownership of Hilli LLC. The earnings attributable to the investment of $13,555 for the three months ended March 31, 2022 are reported in (loss) income from equity method investments in the condensed consolidated statements of operations and comprehensive income (loss).</w:t>
      </w:r>
    </w:p>
    <w:p>
      <w:pPr>
        <w:spacing w:after="0" w:line="1" w:lineRule="exact"/>
        <w:rPr>
          <w:rFonts w:ascii="Arial" w:cs="Arial" w:eastAsia="Arial" w:hAnsi="Arial"/>
          <w:sz w:val="23"/>
          <w:szCs w:val="23"/>
          <w:color w:val="auto"/>
          <w:vertAlign w:val="superscript"/>
        </w:rPr>
      </w:pPr>
    </w:p>
    <w:p>
      <w:pPr>
        <w:ind w:left="340" w:right="220" w:hanging="332"/>
        <w:spacing w:after="0" w:line="235"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LLC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Three months ended March</w:t>
            </w:r>
          </w:p>
        </w:tc>
        <w:tc>
          <w:tcPr>
            <w:tcW w:w="20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Three months ended March</w:t>
            </w:r>
          </w:p>
        </w:tc>
      </w:tr>
      <w:tr>
        <w:trPr>
          <w:trHeight w:val="234"/>
        </w:trPr>
        <w:tc>
          <w:tcPr>
            <w:tcW w:w="4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31, 2022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2022</w:t>
            </w:r>
          </w:p>
        </w:tc>
        <w:tc>
          <w:tcPr>
            <w:tcW w:w="44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31, 2023</w:t>
            </w:r>
          </w:p>
        </w:tc>
      </w:tr>
      <w:tr>
        <w:trPr>
          <w:trHeight w:val="25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238,269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64,127</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150,206</w:t>
            </w: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auto"/>
              </w:rPr>
              <w:t>Non-cash impairment charges, net of tax</w:t>
            </w:r>
          </w:p>
        </w:tc>
        <w:tc>
          <w:tcPr>
            <w:tcW w:w="4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(76,460)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118,558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investment in Hilli LLC</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37,401</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182,685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187,607</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210,082,295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209,745,660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209,325,619</w:t>
            </w:r>
          </w:p>
        </w:tc>
      </w:tr>
      <w:tr>
        <w:trPr>
          <w:trHeight w:val="270"/>
        </w:trPr>
        <w:tc>
          <w:tcPr>
            <w:tcW w:w="4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bl>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2023 and December 31,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296,860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675,492</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325,298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165,396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$748 and $884,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353,192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280,313</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39,070</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226,883</w:t>
            </w:r>
          </w:p>
        </w:tc>
        <w:tc>
          <w:tcPr>
            <w:tcW w:w="0" w:type="dxa"/>
            <w:vAlign w:val="bottom"/>
          </w:tcPr>
          <w:p>
            <w:pPr>
              <w:spacing w:after="0"/>
              <w:rPr>
                <w:sz w:val="1"/>
                <w:szCs w:val="1"/>
                <w:color w:val="auto"/>
              </w:rPr>
            </w:pPr>
          </w:p>
        </w:tc>
      </w:tr>
      <w:tr>
        <w:trPr>
          <w:trHeight w:val="183"/>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1,154,137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1,387,154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3,357,434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2,418,608</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2,094,417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2,116,727</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Equity method investments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392,306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Right-of-use assets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477,757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377,877</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85,897</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8,223,746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277,035</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64,820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310,272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80,387</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602,928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1,162,412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48,741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52,878</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1,396,176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1,409,238</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4,951,545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4,476,865</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349,621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302,121</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49,010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6,774,420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6,263,223</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40"/>
              <w:spacing w:after="0"/>
              <w:rPr>
                <w:sz w:val="20"/>
                <w:szCs w:val="20"/>
                <w:color w:val="auto"/>
              </w:rPr>
            </w:pPr>
            <w:r>
              <w:rPr>
                <w:rFonts w:ascii="Arial" w:cs="Arial" w:eastAsia="Arial" w:hAnsi="Arial"/>
                <w:sz w:val="14"/>
                <w:szCs w:val="14"/>
                <w:color w:val="auto"/>
                <w:w w:val="97"/>
              </w:rPr>
              <w:t>Class A common stock, $0.01 par value, 750 million shares authorized, 204.7 million issued and outstanding as of March 31, 2023;</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80"/>
              <w:spacing w:after="0"/>
              <w:rPr>
                <w:sz w:val="20"/>
                <w:szCs w:val="20"/>
                <w:color w:val="auto"/>
              </w:rPr>
            </w:pPr>
            <w:r>
              <w:rPr>
                <w:rFonts w:ascii="Arial" w:cs="Arial" w:eastAsia="Arial" w:hAnsi="Arial"/>
                <w:sz w:val="14"/>
                <w:szCs w:val="14"/>
                <w:color w:val="auto"/>
              </w:rPr>
              <w:t>208.8 million issued and outstanding as of December 31, 2022</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1,047,541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1,170,254</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191,819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62,080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55,398</w:t>
            </w:r>
          </w:p>
        </w:tc>
        <w:tc>
          <w:tcPr>
            <w:tcW w:w="0" w:type="dxa"/>
            <w:vAlign w:val="bottom"/>
          </w:tcPr>
          <w:p>
            <w:pPr>
              <w:spacing w:after="0"/>
              <w:rPr>
                <w:sz w:val="1"/>
                <w:szCs w:val="1"/>
                <w:color w:val="auto"/>
              </w:rPr>
            </w:pPr>
          </w:p>
        </w:tc>
      </w:tr>
      <w:tr>
        <w:trPr>
          <w:trHeight w:val="184"/>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1,298,751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1,289,820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1,449,326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1,441,859</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8,223,746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3"/>
        </w:trPr>
        <w:tc>
          <w:tcPr>
            <w:tcW w:w="7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501,688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400,075</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76,524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92,420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12,623</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579,131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505,118</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184,938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208,298</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13,291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22,964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23,168</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52,138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48,041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34,375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34,290</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311,907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338,662</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267,224</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166,456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71,673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44,916</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25,005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Income before income from equity method investments and income taxes</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170,546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141,265</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Income from equity method investments</w:t>
            </w:r>
          </w:p>
        </w:tc>
        <w:tc>
          <w:tcPr>
            <w:tcW w:w="3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9,980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50,235</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provision (benefit)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28,960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(49,681)</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151,566</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241,181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196"/>
        </w:trPr>
        <w:tc>
          <w:tcPr>
            <w:tcW w:w="7960" w:type="dxa"/>
            <w:vAlign w:val="bottom"/>
          </w:tcPr>
          <w:p>
            <w:pPr>
              <w:ind w:left="140"/>
              <w:spacing w:after="0"/>
              <w:rPr>
                <w:sz w:val="20"/>
                <w:szCs w:val="20"/>
                <w:color w:val="auto"/>
              </w:rPr>
            </w:pPr>
            <w:r>
              <w:rPr>
                <w:rFonts w:ascii="Arial" w:cs="Arial" w:eastAsia="Arial" w:hAnsi="Arial"/>
                <w:sz w:val="14"/>
                <w:szCs w:val="14"/>
                <w:b w:val="1"/>
                <w:bCs w:val="1"/>
                <w:color w:val="auto"/>
              </w:rPr>
              <w:t>Net income attributable to stockholders</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150,206</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238,269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Net income per share – basic</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share – diluted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208,707,385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209,928,070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6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209,325,619</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210,082,295</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151,566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241,181</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Arial" w:cs="Arial" w:eastAsia="Arial" w:hAnsi="Arial"/>
                <w:sz w:val="14"/>
                <w:szCs w:val="14"/>
                <w:color w:val="auto"/>
              </w:rPr>
              <w:t>Adjustments for:</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34,608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34,852</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(Earnings) of equity method investees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(50,235)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 received from equity method investees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Change in market value of derivatives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(24,855)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taxes</w:t>
            </w: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(58,769)</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(Earnings) recognized from vessels chartered to third parties transferred to Energos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(31,954)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the disposal of equity method investment</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Decrease (increase) in receivables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(58,462)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in inventories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(18,617)</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(Increase) in other assets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(27,966)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(15,440)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right-of-use assets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13,336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17,016</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(Decrease) increase in accounts payable/accrued liabilities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(43,400)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68,520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increase in amounts due to affiliates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(Decrease) in lease liabilities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(11,773)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other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(21,527)</w:t>
            </w:r>
          </w:p>
        </w:tc>
        <w:tc>
          <w:tcPr>
            <w:tcW w:w="0" w:type="dxa"/>
            <w:vAlign w:val="bottom"/>
          </w:tcPr>
          <w:p>
            <w:pPr>
              <w:spacing w:after="0"/>
              <w:rPr>
                <w:sz w:val="1"/>
                <w:szCs w:val="1"/>
                <w:color w:val="auto"/>
              </w:rPr>
            </w:pPr>
          </w:p>
        </w:tc>
      </w:tr>
      <w:tr>
        <w:trPr>
          <w:trHeight w:val="176"/>
        </w:trPr>
        <w:tc>
          <w:tcPr>
            <w:tcW w:w="8220" w:type="dxa"/>
            <w:vAlign w:val="bottom"/>
          </w:tcPr>
          <w:p>
            <w:pPr>
              <w:ind w:left="240"/>
              <w:spacing w:after="0"/>
              <w:rPr>
                <w:sz w:val="20"/>
                <w:szCs w:val="20"/>
                <w:color w:val="auto"/>
              </w:rPr>
            </w:pPr>
            <w:r>
              <w:rPr>
                <w:rFonts w:ascii="Arial" w:cs="Arial" w:eastAsia="Arial" w:hAnsi="Arial"/>
                <w:sz w:val="14"/>
                <w:szCs w:val="14"/>
                <w:b w:val="1"/>
                <w:bCs w:val="1"/>
                <w:color w:val="auto"/>
              </w:rPr>
              <w:t>Net cash provided by operating activities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200,140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114,382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(563,268)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(189,221)</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Sale of equity method investment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(463,268)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(189,221)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Proceeds from borrowings of debt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200,836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deferred financing costs</w:t>
            </w: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(3,504)</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(123,669)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(13,054)</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Payment of dividends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(649,796)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(23,773)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36,836</w:t>
            </w:r>
          </w:p>
        </w:tc>
        <w:tc>
          <w:tcPr>
            <w:tcW w:w="0" w:type="dxa"/>
            <w:vAlign w:val="bottom"/>
          </w:tcPr>
          <w:p>
            <w:pPr>
              <w:spacing w:after="0"/>
              <w:rPr>
                <w:sz w:val="1"/>
                <w:szCs w:val="1"/>
                <w:color w:val="auto"/>
              </w:rPr>
            </w:pPr>
          </w:p>
        </w:tc>
      </w:tr>
      <w:tr>
        <w:trPr>
          <w:trHeight w:val="176"/>
        </w:trPr>
        <w:tc>
          <w:tcPr>
            <w:tcW w:w="8220" w:type="dxa"/>
            <w:vAlign w:val="bottom"/>
          </w:tcPr>
          <w:p>
            <w:pPr>
              <w:ind w:left="20"/>
              <w:spacing w:after="0"/>
              <w:rPr>
                <w:sz w:val="20"/>
                <w:szCs w:val="20"/>
                <w:color w:val="auto"/>
              </w:rPr>
            </w:pPr>
            <w:r>
              <w:rPr>
                <w:rFonts w:ascii="Arial" w:cs="Arial" w:eastAsia="Arial" w:hAnsi="Arial"/>
                <w:sz w:val="14"/>
                <w:szCs w:val="14"/>
                <w:color w:val="auto"/>
              </w:rPr>
              <w:t>Impact of changes in foreign exchange rates on cash and cash equivalents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12,979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855,083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264,030</w:t>
            </w: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Cash, cash equivalents and restricted cash – end of period</w:t>
            </w:r>
            <w:r>
              <w:rPr>
                <w:rFonts w:ascii="Arial" w:cs="Arial" w:eastAsia="Arial" w:hAnsi="Arial"/>
                <w:sz w:val="18"/>
                <w:szCs w:val="18"/>
                <w:b w:val="1"/>
                <w:bCs w:val="1"/>
                <w:color w:val="auto"/>
                <w:vertAlign w:val="superscript"/>
              </w:rPr>
              <w:t>1</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636,124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239,006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700" w:firstLine="8"/>
        <w:spacing w:after="0" w:line="196" w:lineRule="auto"/>
        <w:tabs>
          <w:tab w:leader="none" w:pos="128" w:val="left"/>
        </w:tabs>
        <w:numPr>
          <w:ilvl w:val="0"/>
          <w:numId w:val="17"/>
        </w:numPr>
        <w:rPr>
          <w:rFonts w:ascii="Arial" w:cs="Arial" w:eastAsia="Arial" w:hAnsi="Arial"/>
          <w:sz w:val="28"/>
          <w:szCs w:val="28"/>
          <w:color w:val="auto"/>
          <w:vertAlign w:val="superscript"/>
        </w:rPr>
      </w:pPr>
      <w:r>
        <w:rPr>
          <w:rFonts w:ascii="Arial" w:cs="Arial" w:eastAsia="Arial" w:hAnsi="Arial"/>
          <w:sz w:val="18"/>
          <w:szCs w:val="18"/>
          <w:color w:val="auto"/>
        </w:rPr>
        <w:t>Cash and cash equivalents includes $13,966, which has been classified as assets held for sale and included in the Other non-current assets on the condensed consolidated balance sheets.</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7"/>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2023-05-04T05:17:56Z</dcterms:created>
  <dcterms:modified xsi:type="dcterms:W3CDTF">2023-05-04T05:17:56Z</dcterms:modified>
</cp:coreProperties>
</file>