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644393 100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Wesley R. Edens</w:t>
      </w:r>
    </w:p>
    <w:p>
      <w:pPr>
        <w:jc w:val="center"/>
        <w:ind w:right="-39"/>
        <w:spacing w:after="0" w:line="182" w:lineRule="auto"/>
        <w:rPr>
          <w:sz w:val="20"/>
          <w:szCs w:val="20"/>
          <w:color w:val="auto"/>
        </w:rPr>
      </w:pPr>
      <w:r>
        <w:rPr>
          <w:rFonts w:ascii="Arial" w:cs="Arial" w:eastAsia="Arial" w:hAnsi="Arial"/>
          <w:sz w:val="17"/>
          <w:szCs w:val="17"/>
          <w:b w:val="1"/>
          <w:bCs w:val="1"/>
          <w:color w:val="auto"/>
        </w:rPr>
        <w:t>111 W. 19</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 8</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10011</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93" w:lineRule="exact"/>
        <w:rPr>
          <w:sz w:val="24"/>
          <w:szCs w:val="24"/>
          <w:color w:val="auto"/>
        </w:rPr>
      </w:pPr>
    </w:p>
    <w:p>
      <w:pPr>
        <w:ind w:right="180" w:firstLine="8"/>
        <w:spacing w:after="0" w:line="277"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 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CUSIP No.  644393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764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1</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380" w:type="dxa"/>
            <w:vAlign w:val="bottom"/>
            <w:vMerge w:val="continue"/>
          </w:tcPr>
          <w:p>
            <w:pPr>
              <w:spacing w:after="0"/>
              <w:rPr>
                <w:sz w:val="18"/>
                <w:szCs w:val="18"/>
                <w:color w:val="auto"/>
              </w:rPr>
            </w:pPr>
          </w:p>
        </w:tc>
        <w:tc>
          <w:tcPr>
            <w:tcW w:w="9520" w:type="dxa"/>
            <w:vAlign w:val="bottom"/>
            <w:vMerge w:val="restart"/>
          </w:tcPr>
          <w:p>
            <w:pPr>
              <w:ind w:left="60"/>
              <w:spacing w:after="0"/>
              <w:rPr>
                <w:sz w:val="20"/>
                <w:szCs w:val="20"/>
                <w:color w:val="auto"/>
              </w:rPr>
            </w:pPr>
            <w:r>
              <w:rPr>
                <w:rFonts w:ascii="Arial" w:cs="Arial" w:eastAsia="Arial" w:hAnsi="Arial"/>
                <w:sz w:val="18"/>
                <w:szCs w:val="18"/>
                <w:color w:val="auto"/>
              </w:rPr>
              <w:t>Wesley R. Edens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9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9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4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7"/>
        <w:spacing w:after="0" w:line="182" w:lineRule="auto"/>
        <w:tabs>
          <w:tab w:leader="none" w:pos="144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color w:val="auto"/>
        </w:rPr>
        <w:t>PF (please see Item 3)</w:t>
      </w:r>
    </w:p>
    <w:p>
      <w:pPr>
        <w:spacing w:after="0" w:line="181" w:lineRule="exact"/>
        <w:rPr>
          <w:sz w:val="20"/>
          <w:szCs w:val="20"/>
          <w:color w:val="auto"/>
        </w:rPr>
      </w:pPr>
    </w:p>
    <w:p>
      <w:pPr>
        <w:ind w:left="142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3,278,199</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5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5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7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color w:val="auto"/>
              </w:rPr>
              <w:t>3,278,199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75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2"/>
              </w:rPr>
              <w:t>3,278,199</w:t>
            </w:r>
          </w:p>
        </w:tc>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vMerge w:val="restart"/>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900" w:type="dxa"/>
            <w:vAlign w:val="bottom"/>
            <w:gridSpan w:val="4"/>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15.7%(1)</w:t>
            </w:r>
          </w:p>
        </w:tc>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Calculations are based upon a total of 20,837,272 Class A Shares outstanding as of March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This Amendment No. 1 to Schedule 13D (this “</w:t>
      </w:r>
      <w:r>
        <w:rPr>
          <w:rFonts w:ascii="Arial" w:cs="Arial" w:eastAsia="Arial" w:hAnsi="Arial"/>
          <w:sz w:val="18"/>
          <w:szCs w:val="18"/>
          <w:i w:val="1"/>
          <w:iCs w:val="1"/>
          <w:color w:val="auto"/>
        </w:rPr>
        <w:t>Amendment</w:t>
      </w:r>
      <w:r>
        <w:rPr>
          <w:rFonts w:ascii="Arial" w:cs="Arial" w:eastAsia="Arial" w:hAnsi="Arial"/>
          <w:sz w:val="18"/>
          <w:szCs w:val="18"/>
          <w:color w:val="auto"/>
        </w:rPr>
        <w:t>”) amends and supplements the Schedule 13D filed with the Securities and Exchange Commission on February 4, 2019 (the “</w:t>
      </w:r>
      <w:r>
        <w:rPr>
          <w:rFonts w:ascii="Arial" w:cs="Arial" w:eastAsia="Arial" w:hAnsi="Arial"/>
          <w:sz w:val="18"/>
          <w:szCs w:val="18"/>
          <w:i w:val="1"/>
          <w:iCs w:val="1"/>
          <w:color w:val="auto"/>
        </w:rPr>
        <w:t>Original Schedule 13D</w:t>
      </w:r>
      <w:r>
        <w:rPr>
          <w:rFonts w:ascii="Arial" w:cs="Arial" w:eastAsia="Arial" w:hAnsi="Arial"/>
          <w:sz w:val="18"/>
          <w:szCs w:val="18"/>
          <w:color w:val="auto"/>
        </w:rPr>
        <w:t>” and, as further amended and supplemented by this Amendment, the “</w:t>
      </w:r>
      <w:r>
        <w:rPr>
          <w:rFonts w:ascii="Arial" w:cs="Arial" w:eastAsia="Arial" w:hAnsi="Arial"/>
          <w:sz w:val="18"/>
          <w:szCs w:val="18"/>
          <w:i w:val="1"/>
          <w:iCs w:val="1"/>
          <w:color w:val="auto"/>
        </w:rPr>
        <w:t>Schedule 13D</w:t>
      </w:r>
      <w:r>
        <w:rPr>
          <w:rFonts w:ascii="Arial" w:cs="Arial" w:eastAsia="Arial" w:hAnsi="Arial"/>
          <w:sz w:val="18"/>
          <w:szCs w:val="18"/>
          <w:color w:val="auto"/>
        </w:rPr>
        <w:t>”) by Wesley R. Edens (the “</w:t>
      </w:r>
      <w:r>
        <w:rPr>
          <w:rFonts w:ascii="Arial" w:cs="Arial" w:eastAsia="Arial" w:hAnsi="Arial"/>
          <w:sz w:val="18"/>
          <w:szCs w:val="18"/>
          <w:i w:val="1"/>
          <w:iCs w:val="1"/>
          <w:color w:val="auto"/>
        </w:rPr>
        <w:t>Reporting Person</w:t>
      </w:r>
      <w:r>
        <w:rPr>
          <w:rFonts w:ascii="Arial" w:cs="Arial" w:eastAsia="Arial" w:hAnsi="Arial"/>
          <w:sz w:val="18"/>
          <w:szCs w:val="18"/>
          <w:color w:val="auto"/>
        </w:rPr>
        <w:t>”) with respect to the Class A shares representing limited liability company interests (“</w:t>
      </w:r>
      <w:r>
        <w:rPr>
          <w:rFonts w:ascii="Arial" w:cs="Arial" w:eastAsia="Arial" w:hAnsi="Arial"/>
          <w:sz w:val="18"/>
          <w:szCs w:val="18"/>
          <w:i w:val="1"/>
          <w:iCs w:val="1"/>
          <w:color w:val="auto"/>
        </w:rPr>
        <w:t>Class A Shares</w:t>
      </w:r>
      <w:r>
        <w:rPr>
          <w:rFonts w:ascii="Arial" w:cs="Arial" w:eastAsia="Arial" w:hAnsi="Arial"/>
          <w:sz w:val="18"/>
          <w:szCs w:val="18"/>
          <w:color w:val="auto"/>
        </w:rPr>
        <w:t>”) of New Fortress Energy LLC, a Delaware limited liability company (the “</w:t>
      </w:r>
      <w:r>
        <w:rPr>
          <w:rFonts w:ascii="Arial" w:cs="Arial" w:eastAsia="Arial" w:hAnsi="Arial"/>
          <w:sz w:val="18"/>
          <w:szCs w:val="18"/>
          <w:i w:val="1"/>
          <w:iCs w:val="1"/>
          <w:color w:val="auto"/>
        </w:rPr>
        <w:t>Issuer</w:t>
      </w:r>
      <w:r>
        <w:rPr>
          <w:rFonts w:ascii="Arial" w:cs="Arial" w:eastAsia="Arial" w:hAnsi="Arial"/>
          <w:sz w:val="18"/>
          <w:szCs w:val="18"/>
          <w:color w:val="auto"/>
        </w:rPr>
        <w:t>”). Unless set forth below, all previous Items of the Original Schedule 13D are unchanged. Capitalized terms used in this Amendment and not otherwise defined shall have the same meanings ascribed to them in the Original Schedule 13D.</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Reporting Person used personal funds to purchase 592,100 Class A Shares and 186,099 Class A Shares reported herein in open-market transactions on March 28, 2019 and March 29, 2019, respectively. The total purchase price for such shares was approximately $7,928,971.29.</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3 above is incorporated herein by reference.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Reporting Person acquired the Class A Shares for investment purposes. The Reporting Person intends to participate in and influence the affairs of the Issuer through his ownership interest in the Issuer and through his position as Chairman of the Board of Directors and Chief Executive Officer of the Issuer, as well as through the voting of his Class A Shares.</w:t>
      </w:r>
    </w:p>
    <w:p>
      <w:pPr>
        <w:spacing w:after="0" w:line="208" w:lineRule="exact"/>
        <w:rPr>
          <w:sz w:val="20"/>
          <w:szCs w:val="20"/>
          <w:color w:val="auto"/>
        </w:rPr>
      </w:pPr>
    </w:p>
    <w:p>
      <w:pPr>
        <w:jc w:val="both"/>
        <w:ind w:right="120" w:firstLine="332"/>
        <w:spacing w:after="0" w:line="264" w:lineRule="auto"/>
        <w:tabs>
          <w:tab w:leader="none" w:pos="7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at any time and from time to time may acquire additional Class A Shares or dispose of any or all of the Class A Shares that he owns depending upon an ongoing evaluation of the investment in the Class A Shares, prevailing market conditions, other investment opportunities, other investment considerations and/or other factors.</w:t>
      </w:r>
    </w:p>
    <w:p>
      <w:pPr>
        <w:spacing w:after="0" w:line="208" w:lineRule="exact"/>
        <w:rPr>
          <w:rFonts w:ascii="Arial" w:cs="Arial" w:eastAsia="Arial" w:hAnsi="Arial"/>
          <w:sz w:val="18"/>
          <w:szCs w:val="18"/>
          <w:color w:val="auto"/>
        </w:rPr>
      </w:pPr>
    </w:p>
    <w:p>
      <w:pPr>
        <w:jc w:val="both"/>
        <w:ind w:right="20" w:firstLine="332"/>
        <w:spacing w:after="0" w:line="264" w:lineRule="auto"/>
        <w:tabs>
          <w:tab w:leader="none" w:pos="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 (j) Except as disclosed herein, the Reporting Person has no plans or proposals which relate to, or could result in, any of the matters referred to in paragraphs (b) through (j) inclusive of the instructions to Item 4 of Schedule 13D. The Reporting Person may, at any time and from time to time, review or reconsider his position and/or change his purpose and/or formulate plans or proposals with respect thereto.</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(b)</w:t>
      </w:r>
      <w:r>
        <w:rPr>
          <w:rFonts w:ascii="Arial" w:cs="Arial" w:eastAsia="Arial" w:hAnsi="Arial"/>
          <w:sz w:val="16"/>
          <w:szCs w:val="16"/>
          <w:color w:val="auto"/>
        </w:rPr>
        <w:t>The aggregate number and percentage of Class A Shares beneficially owned by the Reporting Person (on the basis of a total of</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20,837,272 Class A Shares issued and outstanding as of March 20, 2019)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Amount beneficially owned: 3,278,199</w:t>
            </w:r>
          </w:p>
        </w:tc>
        <w:tc>
          <w:tcPr>
            <w:tcW w:w="1940" w:type="dxa"/>
            <w:vAlign w:val="bottom"/>
          </w:tcPr>
          <w:p>
            <w:pPr>
              <w:spacing w:after="0"/>
              <w:rPr>
                <w:sz w:val="20"/>
                <w:szCs w:val="20"/>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Percentage:</w:t>
            </w:r>
          </w:p>
        </w:tc>
        <w:tc>
          <w:tcPr>
            <w:tcW w:w="19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1940" w:type="dxa"/>
            <w:vAlign w:val="bottom"/>
          </w:tcPr>
          <w:p>
            <w:pPr>
              <w:spacing w:after="0"/>
              <w:rPr>
                <w:sz w:val="18"/>
                <w:szCs w:val="18"/>
                <w:color w:val="auto"/>
              </w:rPr>
            </w:pPr>
          </w:p>
        </w:tc>
      </w:tr>
      <w:tr>
        <w:trPr>
          <w:trHeight w:val="216"/>
        </w:trPr>
        <w:tc>
          <w:tcPr>
            <w:tcW w:w="5840" w:type="dxa"/>
            <w:vAlign w:val="bottom"/>
          </w:tcPr>
          <w:p>
            <w:pPr>
              <w:ind w:left="460"/>
              <w:spacing w:after="0"/>
              <w:rPr>
                <w:sz w:val="20"/>
                <w:szCs w:val="20"/>
                <w:color w:val="auto"/>
              </w:rPr>
            </w:pPr>
            <w:r>
              <w:rPr>
                <w:rFonts w:ascii="Arial" w:cs="Arial" w:eastAsia="Arial" w:hAnsi="Arial"/>
                <w:sz w:val="18"/>
                <w:szCs w:val="18"/>
                <w:color w:val="auto"/>
              </w:rPr>
              <w:t>i. Sole power to vote or to direct the vote:</w:t>
            </w:r>
          </w:p>
        </w:tc>
        <w:tc>
          <w:tcPr>
            <w:tcW w:w="1940" w:type="dxa"/>
            <w:vAlign w:val="bottom"/>
          </w:tcPr>
          <w:p>
            <w:pPr>
              <w:jc w:val="right"/>
              <w:spacing w:after="0"/>
              <w:rPr>
                <w:sz w:val="20"/>
                <w:szCs w:val="20"/>
                <w:color w:val="auto"/>
              </w:rPr>
            </w:pPr>
            <w:r>
              <w:rPr>
                <w:rFonts w:ascii="Arial" w:cs="Arial" w:eastAsia="Arial" w:hAnsi="Arial"/>
                <w:sz w:val="18"/>
                <w:szCs w:val="18"/>
                <w:color w:val="auto"/>
              </w:rPr>
              <w:t>3,278,199</w:t>
            </w:r>
          </w:p>
        </w:tc>
      </w:tr>
      <w:tr>
        <w:trPr>
          <w:trHeight w:val="216"/>
        </w:trPr>
        <w:tc>
          <w:tcPr>
            <w:tcW w:w="5840" w:type="dxa"/>
            <w:vAlign w:val="bottom"/>
          </w:tcPr>
          <w:p>
            <w:pPr>
              <w:ind w:left="460"/>
              <w:spacing w:after="0"/>
              <w:rPr>
                <w:sz w:val="20"/>
                <w:szCs w:val="20"/>
                <w:color w:val="auto"/>
              </w:rPr>
            </w:pPr>
            <w:r>
              <w:rPr>
                <w:rFonts w:ascii="Arial" w:cs="Arial" w:eastAsia="Arial" w:hAnsi="Arial"/>
                <w:sz w:val="18"/>
                <w:szCs w:val="18"/>
                <w:color w:val="auto"/>
              </w:rPr>
              <w:t>ii. Shared power to vote or to direct the vote:</w:t>
            </w:r>
          </w:p>
        </w:tc>
        <w:tc>
          <w:tcPr>
            <w:tcW w:w="1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840" w:type="dxa"/>
            <w:vAlign w:val="bottom"/>
          </w:tcPr>
          <w:p>
            <w:pPr>
              <w:ind w:left="460"/>
              <w:spacing w:after="0"/>
              <w:rPr>
                <w:sz w:val="20"/>
                <w:szCs w:val="20"/>
                <w:color w:val="auto"/>
              </w:rPr>
            </w:pPr>
            <w:r>
              <w:rPr>
                <w:rFonts w:ascii="Arial" w:cs="Arial" w:eastAsia="Arial" w:hAnsi="Arial"/>
                <w:sz w:val="18"/>
                <w:szCs w:val="18"/>
                <w:color w:val="auto"/>
              </w:rPr>
              <w:t>iii. Sole power to dispose or to direct the disposition of:</w:t>
            </w:r>
          </w:p>
        </w:tc>
        <w:tc>
          <w:tcPr>
            <w:tcW w:w="1940" w:type="dxa"/>
            <w:vAlign w:val="bottom"/>
          </w:tcPr>
          <w:p>
            <w:pPr>
              <w:jc w:val="right"/>
              <w:spacing w:after="0"/>
              <w:rPr>
                <w:sz w:val="20"/>
                <w:szCs w:val="20"/>
                <w:color w:val="auto"/>
              </w:rPr>
            </w:pPr>
            <w:r>
              <w:rPr>
                <w:rFonts w:ascii="Arial" w:cs="Arial" w:eastAsia="Arial" w:hAnsi="Arial"/>
                <w:sz w:val="18"/>
                <w:szCs w:val="18"/>
                <w:color w:val="auto"/>
              </w:rPr>
              <w:t>3,278,199</w:t>
            </w:r>
          </w:p>
        </w:tc>
      </w:tr>
      <w:tr>
        <w:trPr>
          <w:trHeight w:val="230"/>
        </w:trPr>
        <w:tc>
          <w:tcPr>
            <w:tcW w:w="5840" w:type="dxa"/>
            <w:vAlign w:val="bottom"/>
          </w:tcPr>
          <w:p>
            <w:pPr>
              <w:ind w:left="460"/>
              <w:spacing w:after="0"/>
              <w:rPr>
                <w:sz w:val="20"/>
                <w:szCs w:val="20"/>
                <w:color w:val="auto"/>
              </w:rPr>
            </w:pPr>
            <w:r>
              <w:rPr>
                <w:rFonts w:ascii="Arial" w:cs="Arial" w:eastAsia="Arial" w:hAnsi="Arial"/>
                <w:sz w:val="18"/>
                <w:szCs w:val="18"/>
                <w:color w:val="auto"/>
              </w:rPr>
              <w:t>iv. Shared power to dispose or to direct the disposition of:</w:t>
            </w:r>
          </w:p>
        </w:tc>
        <w:tc>
          <w:tcPr>
            <w:tcW w:w="19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56" w:lineRule="exact"/>
        <w:rPr>
          <w:sz w:val="20"/>
          <w:szCs w:val="20"/>
          <w:color w:val="auto"/>
        </w:rPr>
      </w:pPr>
    </w:p>
    <w:p>
      <w:pPr>
        <w:ind w:right="100" w:firstLine="332"/>
        <w:spacing w:after="0" w:line="277" w:lineRule="auto"/>
        <w:tabs>
          <w:tab w:leader="none" w:pos="79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Item 3 above is incorporated herein by reference. Except as described therein, the Reporting Person has not effected any transactions in the Class A Shares during the past 60 days.</w:t>
      </w:r>
    </w:p>
    <w:p>
      <w:pPr>
        <w:spacing w:after="0" w:line="197" w:lineRule="exact"/>
        <w:rPr>
          <w:rFonts w:ascii="Arial" w:cs="Arial" w:eastAsia="Arial" w:hAnsi="Arial"/>
          <w:sz w:val="18"/>
          <w:szCs w:val="18"/>
          <w:color w:val="auto"/>
        </w:rPr>
      </w:pPr>
    </w:p>
    <w:p>
      <w:pPr>
        <w:ind w:right="20" w:firstLine="332"/>
        <w:spacing w:after="0" w:line="264" w:lineRule="auto"/>
        <w:tabs>
          <w:tab w:leader="none" w:pos="8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Reporting Person has the right to receive the proceeds from the sale of the Class A Shares reported on the cover page of this Schedule 13D and in this Item 5. Except for the foregoing, no other person is known by the Reporting Person to have the right to receive or the power to direct the receipt of the proceeds from the sale of the Class A Shares beneficially owned by the Reporting Person.</w:t>
      </w:r>
    </w:p>
    <w:p>
      <w:pPr>
        <w:spacing w:after="0" w:line="208" w:lineRule="exact"/>
        <w:rPr>
          <w:rFonts w:ascii="Arial" w:cs="Arial" w:eastAsia="Arial" w:hAnsi="Arial"/>
          <w:sz w:val="18"/>
          <w:szCs w:val="18"/>
          <w:color w:val="auto"/>
        </w:rPr>
      </w:pPr>
    </w:p>
    <w:p>
      <w:pPr>
        <w:ind w:left="800" w:hanging="46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April 4, 2019.</w:t>
      </w:r>
    </w:p>
    <w:p>
      <w:pPr>
        <w:spacing w:after="0" w:line="252"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Wesley R. Edens</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4"/>
      <w:numFmt w:val="bullet"/>
      <w:start w:val="1"/>
    </w:lvl>
  </w:abstractNum>
  <w:abstractNum w:abstractNumId="2">
    <w:nsid w:val="46E87CCD"/>
    <w:multiLevelType w:val="hybridMultilevel"/>
    <w:lvl w:ilvl="0">
      <w:lvlJc w:val="left"/>
      <w:lvlText w:val="6"/>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2019-12-03T15:55:38Z</dcterms:created>
  <dcterms:modified xsi:type="dcterms:W3CDTF">2019-12-03T15:55:38Z</dcterms:modified>
</cp:coreProperties>
</file>