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 2025</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3480" w:type="dxa"/>
            <w:vAlign w:val="bottom"/>
            <w:gridSpan w:val="3"/>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62" w:lineRule="exact"/>
        <w:rPr>
          <w:sz w:val="24"/>
          <w:szCs w:val="24"/>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On March 3, 2025, New Fortress Energy Inc. (“NFE” or the “Company”) issued a press release announcing the Company’s financial and operating results for its fiscal quarter ended December 31, 2024. A copy of the Company’s press release is attached to this Current Report on Form 8-K (the “Current Report”) as Exhibit 99.1 and is incorporated herein solely for purposes of this Item 2.02 disclosure.</w:t>
      </w:r>
    </w:p>
    <w:p>
      <w:pPr>
        <w:spacing w:after="0" w:line="196" w:lineRule="exact"/>
        <w:rPr>
          <w:sz w:val="20"/>
          <w:szCs w:val="20"/>
          <w:color w:val="auto"/>
        </w:rPr>
      </w:pPr>
    </w:p>
    <w:p>
      <w:pPr>
        <w:ind w:right="240" w:firstLine="486"/>
        <w:spacing w:after="0" w:line="250" w:lineRule="auto"/>
        <w:rPr>
          <w:sz w:val="20"/>
          <w:szCs w:val="20"/>
          <w:color w:val="auto"/>
        </w:rPr>
      </w:pPr>
      <w:r>
        <w:rPr>
          <w:rFonts w:ascii="Times New Roman" w:cs="Times New Roman" w:eastAsia="Times New Roman" w:hAnsi="Times New Roman"/>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200" w:lineRule="exact"/>
        <w:rPr>
          <w:sz w:val="20"/>
          <w:szCs w:val="20"/>
          <w:color w:val="auto"/>
        </w:rPr>
      </w:pPr>
    </w:p>
    <w:p>
      <w:pPr>
        <w:spacing w:after="0" w:line="25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tcPr>
          <w:p>
            <w:pPr>
              <w:spacing w:after="0"/>
              <w:rPr>
                <w:sz w:val="18"/>
                <w:szCs w:val="18"/>
                <w:color w:val="auto"/>
              </w:rPr>
            </w:pPr>
          </w:p>
        </w:tc>
      </w:tr>
      <w:tr>
        <w:trPr>
          <w:trHeight w:val="259"/>
        </w:trPr>
        <w:tc>
          <w:tcPr>
            <w:tcW w:w="280" w:type="dxa"/>
            <w:vAlign w:val="bottom"/>
          </w:tcPr>
          <w:p>
            <w:pPr>
              <w:spacing w:after="0"/>
              <w:rPr>
                <w:sz w:val="22"/>
                <w:szCs w:val="22"/>
                <w:color w:val="auto"/>
              </w:rPr>
            </w:pPr>
          </w:p>
        </w:tc>
        <w:tc>
          <w:tcPr>
            <w:tcW w:w="7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0000FF"/>
            </w:tcBorders>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Press Release, dated March 3, 2025, issued by New Fortress Energy Inc.</w:t>
            </w:r>
          </w:p>
        </w:tc>
      </w:tr>
      <w:tr>
        <w:trPr>
          <w:trHeight w:val="277"/>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76"/>
        </w:trPr>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806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March 3, 2025</w:t>
            </w:r>
          </w:p>
        </w:tc>
        <w:tc>
          <w:tcPr>
            <w:tcW w:w="28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140" w:type="dxa"/>
            <w:vAlign w:val="bottom"/>
          </w:tcPr>
          <w:p>
            <w:pPr>
              <w:spacing w:after="0"/>
              <w:rPr>
                <w:sz w:val="21"/>
                <w:szCs w:val="21"/>
                <w:color w:val="auto"/>
              </w:rPr>
            </w:pPr>
          </w:p>
        </w:tc>
        <w:tc>
          <w:tcPr>
            <w:tcW w:w="28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140" w:type="dxa"/>
            <w:vAlign w:val="bottom"/>
          </w:tcPr>
          <w:p>
            <w:pPr>
              <w:spacing w:after="0"/>
              <w:rPr>
                <w:sz w:val="22"/>
                <w:szCs w:val="22"/>
                <w:color w:val="auto"/>
              </w:rPr>
            </w:pPr>
          </w:p>
        </w:tc>
        <w:tc>
          <w:tcPr>
            <w:tcW w:w="28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92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jc w:val="right"/>
        <w:ind w:right="20"/>
        <w:spacing w:after="0" w:line="215" w:lineRule="auto"/>
        <w:rPr>
          <w:sz w:val="20"/>
          <w:szCs w:val="20"/>
          <w:color w:val="auto"/>
        </w:rPr>
      </w:pPr>
      <w:r>
        <w:rPr>
          <w:rFonts w:ascii="Times New Roman" w:cs="Times New Roman" w:eastAsia="Times New Roman" w:hAnsi="Times New Roman"/>
          <w:sz w:val="18"/>
          <w:szCs w:val="18"/>
          <w:color w:val="auto"/>
        </w:rPr>
        <w:t>111 W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1071245"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265430"/>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Fortress Energy Announces Fourth Quarter and Full Year 2024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36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NEW YORK -- New Fortress Energy Inc. (Nasdaq: NFE) (“NFE” or the “Company”) today reported its financial results for the fourth quarter and for the year ended December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Highlights</w:t>
      </w:r>
    </w:p>
    <w:p>
      <w:pPr>
        <w:spacing w:after="0" w:line="64"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$313 million in the fourth quarter of 2024 and $950 million in the full year 2024</w:t>
      </w:r>
    </w:p>
    <w:p>
      <w:pPr>
        <w:spacing w:after="0" w:line="28" w:lineRule="exact"/>
        <w:rPr>
          <w:rFonts w:ascii="Times New Roman" w:cs="Times New Roman" w:eastAsia="Times New Roman" w:hAnsi="Times New Roman"/>
          <w:sz w:val="18"/>
          <w:szCs w:val="18"/>
          <w:b w:val="1"/>
          <w:bCs w:val="1"/>
          <w:color w:val="auto"/>
        </w:rPr>
      </w:pPr>
    </w:p>
    <w:p>
      <w:pPr>
        <w:ind w:left="260" w:hanging="252"/>
        <w:spacing w:after="0" w:line="258"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$224 million in the fourth quarter of 2024 and $242 million in the full year 2024, driven primarily by costs incurred with refinancing our debt including a Q4 loss on extinguishment of debt of $260 million.</w:t>
      </w:r>
    </w:p>
    <w:p>
      <w:pPr>
        <w:spacing w:after="0" w:line="1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of $29 million in the fourth quarter of 2024 and $101 million for the full year 2024</w:t>
      </w:r>
    </w:p>
    <w:p>
      <w:pPr>
        <w:spacing w:after="0" w:line="2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of $0.13 on a fully diluted basis in the fourth quarter of 2024 and $0.46 in the full year 2024</w:t>
      </w:r>
    </w:p>
    <w:p>
      <w:pPr>
        <w:spacing w:after="0" w:line="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 of $(1.11) on a fully diluted basis in the fourth quarter of 2024 and $(1.25) in the full year 2024</w:t>
      </w:r>
    </w:p>
    <w:p>
      <w:pPr>
        <w:spacing w:after="0" w:line="4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balance of $966 million, of which $493 million is unrestricted as of December 31,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has been a strong fourth quarter for the Company as we achieved Adjusted EBITDA of $313 million, surpassing our guidance of $200-$220 million. Earnings for the year also held strong as we achieved Adjusted EBITDA of $950 million, surpassing our guidance of $835-$855 million. Our results have benefited from the recognition of income from optimizing our current LNG portfolio.</w:t>
      </w:r>
    </w:p>
    <w:p>
      <w:pPr>
        <w:spacing w:after="0" w:line="172"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Our Fast LNG asset has been completed</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and was placed into service for accounting purposes in December 2024. The liquefier has been operating smoothly and has been routinely producing above nameplate capacity since the start of the year. This significant milestone concludes the development of a cornerstone asset that secures NFE’s LNG supply and enhances the energy security of our downstream customers across the globe. While the asset is in service from an accounting perspective, we will continue to commission the asset, and such costs that enhance the asset will be capitalized on our balance sheet.</w:t>
      </w:r>
    </w:p>
    <w:p>
      <w:pPr>
        <w:spacing w:after="0" w:line="19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also recently announced the extension of our 80 TBtu island-wide gas supply contract in Puerto Rico, and an adjustment to our incentive structure on the Operation and Maintenance agreement between NFE subsidiary Genera &amp; PREPA in exchange for a $110 million payment. These agreements provide significant opportunity to generate substantial cost savings and significantly reduce emissions by converting existing plants from diesel to LNG, and also reinforce NFE’s longstanding commitment to delivering reliable and clean power to Puerto Ricans at the lowest cost possible.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Brazil, we have continued to make great progress on our power plant developments, with our 624 MW CELBA plant in particular nearly 88% complete. We also believe that NFE should be in prime position to take advantage of the recently announced Brazil power auctions expected to occur in June this year, which will provide a significant opportunity for both brownfield &amp; greenfield gas to power plants that can either be developed by NFE or supplied via our LNG terminals.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Q4 2024, NFE also completed the $2.7 billion issuance of new senior secured notes due 2029, that was used to refinance our 2025 bonds and more than two-thirds of our outstanding 2026 and 2029 bonds, which resulted in approximately $300 million in additional liquidity for the Company. This transaction, combined with the $400 million common equity offering completed in October 2024, marked an important step forward in strengthening the Company’s balance sheet and positions the Company for future sustained growth.</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February 2025, we issued additional notes in Brazil raising $350 million that will be utilized to repay existing debt in Brazil and to add additional liquidity to our balance sheet. In March 2025, we upsized our Term Loan B by an additional $425 million.</w:t>
      </w:r>
    </w:p>
    <w:p>
      <w:pPr>
        <w:sectPr>
          <w:pgSz w:w="11900" w:h="16838" w:orient="portrait"/>
          <w:cols w:equalWidth="0" w:num="1">
            <w:col w:w="11240"/>
          </w:cols>
          <w:pgMar w:left="320" w:top="92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Detail</w:t>
            </w: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98"/>
        </w:trPr>
        <w:tc>
          <w:tcPr>
            <w:tcW w:w="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6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50"/>
        </w:trPr>
        <w:tc>
          <w:tcPr>
            <w:tcW w:w="80" w:type="dxa"/>
            <w:vAlign w:val="bottom"/>
          </w:tcPr>
          <w:p>
            <w:pPr>
              <w:spacing w:after="0"/>
              <w:rPr>
                <w:sz w:val="21"/>
                <w:szCs w:val="21"/>
                <w:color w:val="auto"/>
              </w:rPr>
            </w:pPr>
          </w:p>
        </w:tc>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1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57"/>
        </w:trPr>
        <w:tc>
          <w:tcPr>
            <w:tcW w:w="80" w:type="dxa"/>
            <w:vAlign w:val="bottom"/>
          </w:tcPr>
          <w:p>
            <w:pPr>
              <w:spacing w:after="0"/>
              <w:rPr>
                <w:sz w:val="22"/>
                <w:szCs w:val="22"/>
                <w:color w:val="auto"/>
              </w:rPr>
            </w:pPr>
          </w:p>
        </w:tc>
        <w:tc>
          <w:tcPr>
            <w:tcW w:w="5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2,364.9</w:t>
            </w:r>
          </w:p>
        </w:tc>
      </w:tr>
      <w:tr>
        <w:trPr>
          <w:trHeight w:val="250"/>
        </w:trPr>
        <w:tc>
          <w:tcPr>
            <w:tcW w:w="80" w:type="dxa"/>
            <w:vAlign w:val="bottom"/>
          </w:tcPr>
          <w:p>
            <w:pPr>
              <w:spacing w:after="0"/>
              <w:rPr>
                <w:sz w:val="21"/>
                <w:szCs w:val="21"/>
                <w:color w:val="auto"/>
              </w:rPr>
            </w:pPr>
          </w:p>
        </w:tc>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r>
      <w:tr>
        <w:trPr>
          <w:trHeight w:val="263"/>
        </w:trPr>
        <w:tc>
          <w:tcPr>
            <w:tcW w:w="80" w:type="dxa"/>
            <w:vAlign w:val="bottom"/>
          </w:tcPr>
          <w:p>
            <w:pPr>
              <w:spacing w:after="0"/>
              <w:rPr>
                <w:sz w:val="22"/>
                <w:szCs w:val="22"/>
                <w:color w:val="auto"/>
              </w:rPr>
            </w:pPr>
          </w:p>
        </w:tc>
        <w:tc>
          <w:tcPr>
            <w:tcW w:w="5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57"/>
        </w:trPr>
        <w:tc>
          <w:tcPr>
            <w:tcW w:w="80" w:type="dxa"/>
            <w:vAlign w:val="bottom"/>
          </w:tcPr>
          <w:p>
            <w:pPr>
              <w:spacing w:after="0"/>
              <w:rPr>
                <w:sz w:val="22"/>
                <w:szCs w:val="22"/>
                <w:color w:val="auto"/>
              </w:rPr>
            </w:pPr>
          </w:p>
        </w:tc>
        <w:tc>
          <w:tcPr>
            <w:tcW w:w="578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(3)</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57"/>
        </w:trPr>
        <w:tc>
          <w:tcPr>
            <w:tcW w:w="80" w:type="dxa"/>
            <w:vAlign w:val="bottom"/>
          </w:tcPr>
          <w:p>
            <w:pPr>
              <w:spacing w:after="0"/>
              <w:rPr>
                <w:sz w:val="22"/>
                <w:szCs w:val="22"/>
                <w:color w:val="auto"/>
              </w:rPr>
            </w:pPr>
          </w:p>
        </w:tc>
        <w:tc>
          <w:tcPr>
            <w:tcW w:w="578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3"/>
                <w:szCs w:val="23"/>
                <w:color w:val="auto"/>
                <w:vertAlign w:val="superscript"/>
              </w:rPr>
              <w:t>(2)</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57"/>
        </w:trPr>
        <w:tc>
          <w:tcPr>
            <w:tcW w:w="80" w:type="dxa"/>
            <w:vAlign w:val="bottom"/>
          </w:tcPr>
          <w:p>
            <w:pPr>
              <w:spacing w:after="0"/>
              <w:rPr>
                <w:sz w:val="22"/>
                <w:szCs w:val="22"/>
                <w:color w:val="auto"/>
              </w:rPr>
            </w:pPr>
          </w:p>
        </w:tc>
        <w:tc>
          <w:tcPr>
            <w:tcW w:w="5780" w:type="dxa"/>
            <w:vAlign w:val="bottom"/>
            <w:gridSpan w:val="2"/>
          </w:tcPr>
          <w:p>
            <w:pPr>
              <w:ind w:left="140"/>
              <w:spacing w:after="0" w:line="256" w:lineRule="exact"/>
              <w:rPr>
                <w:sz w:val="20"/>
                <w:szCs w:val="20"/>
                <w:color w:val="auto"/>
              </w:rPr>
            </w:pPr>
            <w:r>
              <w:rPr>
                <w:rFonts w:ascii="Times New Roman" w:cs="Times New Roman" w:eastAsia="Times New Roman" w:hAnsi="Times New Roman"/>
                <w:sz w:val="18"/>
                <w:szCs w:val="18"/>
                <w:color w:val="auto"/>
              </w:rPr>
              <w:t>Terminals and Infrastructure Segment Operating Margin</w:t>
            </w:r>
            <w:r>
              <w:rPr>
                <w:rFonts w:ascii="Times New Roman" w:cs="Times New Roman" w:eastAsia="Times New Roman" w:hAnsi="Times New Roman"/>
                <w:sz w:val="23"/>
                <w:szCs w:val="23"/>
                <w:color w:val="auto"/>
                <w:vertAlign w:val="superscript"/>
              </w:rPr>
              <w:t>(4)</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w:t>
            </w:r>
          </w:p>
        </w:tc>
      </w:tr>
      <w:tr>
        <w:trPr>
          <w:trHeight w:val="256"/>
        </w:trPr>
        <w:tc>
          <w:tcPr>
            <w:tcW w:w="80" w:type="dxa"/>
            <w:vAlign w:val="bottom"/>
          </w:tcPr>
          <w:p>
            <w:pPr>
              <w:spacing w:after="0"/>
              <w:rPr>
                <w:sz w:val="22"/>
                <w:szCs w:val="22"/>
                <w:color w:val="auto"/>
              </w:rPr>
            </w:pPr>
          </w:p>
        </w:tc>
        <w:tc>
          <w:tcPr>
            <w:tcW w:w="5780" w:type="dxa"/>
            <w:vAlign w:val="bottom"/>
            <w:gridSpan w:val="2"/>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Ships Segment Operating Margin</w:t>
            </w:r>
            <w:r>
              <w:rPr>
                <w:rFonts w:ascii="Times New Roman" w:cs="Times New Roman" w:eastAsia="Times New Roman" w:hAnsi="Times New Roman"/>
                <w:sz w:val="23"/>
                <w:szCs w:val="23"/>
                <w:color w:val="auto"/>
                <w:vertAlign w:val="superscript"/>
              </w:rPr>
              <w:t>(4)</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57"/>
        </w:trPr>
        <w:tc>
          <w:tcPr>
            <w:tcW w:w="80" w:type="dxa"/>
            <w:vAlign w:val="bottom"/>
          </w:tcPr>
          <w:p>
            <w:pPr>
              <w:spacing w:after="0"/>
              <w:rPr>
                <w:sz w:val="22"/>
                <w:szCs w:val="22"/>
                <w:color w:val="auto"/>
              </w:rPr>
            </w:pPr>
          </w:p>
        </w:tc>
        <w:tc>
          <w:tcPr>
            <w:tcW w:w="578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Total Segment Operating Margin</w:t>
            </w:r>
            <w:r>
              <w:rPr>
                <w:rFonts w:ascii="Times New Roman" w:cs="Times New Roman" w:eastAsia="Times New Roman" w:hAnsi="Times New Roman"/>
                <w:sz w:val="23"/>
                <w:szCs w:val="23"/>
                <w:color w:val="auto"/>
                <w:vertAlign w:val="superscript"/>
              </w:rPr>
              <w:t>(4)</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r>
      <w:tr>
        <w:trPr>
          <w:trHeight w:val="257"/>
        </w:trPr>
        <w:tc>
          <w:tcPr>
            <w:tcW w:w="80" w:type="dxa"/>
            <w:vAlign w:val="bottom"/>
          </w:tcPr>
          <w:p>
            <w:pPr>
              <w:spacing w:after="0"/>
              <w:rPr>
                <w:sz w:val="22"/>
                <w:szCs w:val="22"/>
                <w:color w:val="auto"/>
              </w:rPr>
            </w:pPr>
          </w:p>
        </w:tc>
        <w:tc>
          <w:tcPr>
            <w:tcW w:w="5780" w:type="dxa"/>
            <w:vAlign w:val="bottom"/>
            <w:gridSpan w:val="2"/>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(1)</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950.0</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refer to our Q4 2024 Investor Presentation (the “Presentation”) for further information about the following terms: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1)“Adjusted EBITDA,” see definition and reconciliation of this non-GAAP measure in the exhibits to this press release.</w:t>
      </w:r>
    </w:p>
    <w:p>
      <w:pPr>
        <w:jc w:val="both"/>
        <w:ind w:firstLine="8"/>
        <w:spacing w:after="0" w:line="237" w:lineRule="auto"/>
        <w:tabs>
          <w:tab w:leader="none" w:pos="216"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EPS” is not a measurement of financial performance under GAAP and should not be considered in isolation or as an alternative to any measure of performance or liquidity derived in accordance with GAAP. We calculate Adjusted EPS as Adjusted Net Income (Note 3 below) divided by the weighted average shares outstanding on a fully diluted basis for the period indicated as reported in our financial statements. We believe this non-GAAP measure, as we have defined it, offers a useful supplemental view of the overall evaluation of the Company in a manner that is consistent with metrics used for management’s evaluation of the Company’s overall performance. Adjusted EPS does not have a standardized meaning, and different companies may use different definitions. Therefore, this term may not be necessarily comparable to similarly titled measures reported by other companies.</w:t>
      </w:r>
    </w:p>
    <w:p>
      <w:pPr>
        <w:spacing w:after="0" w:line="2" w:lineRule="exact"/>
        <w:rPr>
          <w:rFonts w:ascii="Times New Roman" w:cs="Times New Roman" w:eastAsia="Times New Roman" w:hAnsi="Times New Roman"/>
          <w:sz w:val="18"/>
          <w:szCs w:val="18"/>
          <w:i w:val="1"/>
          <w:iCs w:val="1"/>
          <w:color w:val="auto"/>
        </w:rPr>
      </w:pPr>
    </w:p>
    <w:p>
      <w:pPr>
        <w:ind w:right="240"/>
        <w:spacing w:after="0" w:line="22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3)“Adjusted Net Income” means Net Income attributable to common stockholders as presented in the relevant Form 10-K or Form 10-Q for the relevant financial period as adjusted by losses on extinguishment of debt, non-cash impairment charges, and gains or losses on disposal of our assets.</w:t>
      </w:r>
    </w:p>
    <w:p>
      <w:pPr>
        <w:spacing w:after="0" w:line="1" w:lineRule="exact"/>
        <w:rPr>
          <w:rFonts w:ascii="Times New Roman" w:cs="Times New Roman" w:eastAsia="Times New Roman" w:hAnsi="Times New Roman"/>
          <w:sz w:val="18"/>
          <w:szCs w:val="18"/>
          <w:i w:val="1"/>
          <w:iCs w:val="1"/>
          <w:color w:val="auto"/>
        </w:rPr>
      </w:pPr>
    </w:p>
    <w:p>
      <w:pPr>
        <w:ind w:right="220" w:firstLine="8"/>
        <w:spacing w:after="0" w:line="224" w:lineRule="auto"/>
        <w:tabs>
          <w:tab w:leader="none" w:pos="19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Segment Operating Margin” is the total of our Terminals and Infrastructure Segment Operating Margin and Ships Segment Operating Margin, each as reported in our financial statements. Our segment measure also excludes unrealized mark-to-market gains or losses on derivative instruments, certain contract acquisition costs and deferred earnings from contracted sales for which a prepayment has been received.</w:t>
      </w:r>
    </w:p>
    <w:p>
      <w:pPr>
        <w:ind w:right="80" w:firstLine="8"/>
        <w:spacing w:after="0" w:line="225" w:lineRule="auto"/>
        <w:tabs>
          <w:tab w:leader="none" w:pos="19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"Completed", “Placed into service” or similar statuses (either capitalized or lower case) with respect to a particular project means we expect gas to be made available in the near future, gas has been made available to the relevant project, or that the relevant project is in full commercial operations. Where gas is going to be made available or has been made available but full commercial operations have not yet begun, full commercial operations will occur later than, and may occur substantially later than, our reported Operational, Completion or Deployment date, and we may not generate any revenue until full commercial operations have begun. We cannot assure you if or when such projects will reach full commercial operation. Our ability to export liquefied natural gas depends on our ability to obtain export and other permits from governmental and regulatory agencies. No assurance can be given that we will receive required permits, approvals and authorizations from governmental and regulatory agencies in connection with the exportation of liquefied natural gas on a timely basis or at all or that, once received, we will be able to maintain in full force and effect, renew or replace such permits, approvals and authorizations.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additional information that management believes to be useful for investors, please refer to the presentation posted on the Investors section of New Fortress Energy’s website, www.newfortressenergy.com, and the Company’s most recent Annual Report on Form 10-K, which is available on the Company’s website. Nothing on our website is included or incorporated by reference herein.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Conference Call</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will host a conference call on Monday, March 3, 2025 at 5:00 P.M. Eastern Time. The conference call may be accessed by dialing (888) 394-8218 (toll free from within the U.S.) or +1-323-994-2093 (from outside of the U.S.) fifteen minutes prior to the scheduled start of the call; please reference “NFE Fourth Quarter 2024 Earnings Call” or conference code 7951152.</w:t>
      </w:r>
    </w:p>
    <w:p>
      <w:pPr>
        <w:sectPr>
          <w:pgSz w:w="11900" w:h="16838" w:orient="portrait"/>
          <w:cols w:equalWidth="0" w:num="1">
            <w:col w:w="11240"/>
          </w:cols>
          <w:pgMar w:left="320" w:top="918" w:right="339" w:bottom="1440" w:gutter="0" w:footer="0" w:header="0"/>
        </w:sectPr>
      </w:pPr>
    </w:p>
    <w:bookmarkStart w:id="5" w:name="page6"/>
    <w:bookmarkEnd w:id="5"/>
    <w:p>
      <w:pPr>
        <w:ind w:right="240"/>
        <w:spacing w:after="0" w:line="266" w:lineRule="auto"/>
        <w:rPr>
          <w:sz w:val="20"/>
          <w:szCs w:val="20"/>
          <w:color w:val="auto"/>
        </w:rPr>
      </w:pPr>
      <w:r>
        <w:rPr>
          <w:rFonts w:ascii="Times New Roman" w:cs="Times New Roman" w:eastAsia="Times New Roman" w:hAnsi="Times New Roman"/>
          <w:sz w:val="18"/>
          <w:szCs w:val="18"/>
          <w:color w:val="auto"/>
        </w:rPr>
        <w:t>A simultaneous webcast of the conference call will be available to the public on a listen-only basis at www.newfortressenergy.com under the Investors section within “Events &amp; Presentations.” Please allow time prior to the call to visit the site and download any necessary software required to listen to the internet broadcast. A replay of the conference call will be available at the same website location shortly after the conclusion of the live call.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New Fortress Energy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Fortress Energy Inc. (NASDAQ: NFE) is a global energy infrastructure company founded to help address energy poverty and accelerate the world’s transition to reliable, affordable, and clean energy. The Company owns and operates natural gas and liquefied natural gas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Concerning Forward-Looking Statements</w:t>
      </w:r>
    </w:p>
    <w:p>
      <w:pPr>
        <w:spacing w:after="0" w:line="21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press release contains certain statements and information that may constitute “forward-looking statements” within the meaning of the Private Securities Litigation Reform Act of 1995. All statements contained in this press release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“can,” “could,” “should,” “predicts,” “intends,” “plans,” “estimates,” “anticipates,” “believes,” “schedules,” “progress,” “targets,” “budgets,” “outlook,” “trends,” “forecasts,” “projects,” “guidance,” “focus,” “on track,” “goals,” “objectives,” “strategies,” “opportunities,” “poised,” or the negative version of those words or other comparable words. These forward-looking statements are necessarily estimates based upon current information and involve a number of risks, uncertainties and other factors, many of which are outside of the Company’s control. Actual results or events may differ materially from the results anticipated in these forward-looking statements. Any forward-looking statement speaks only as of the date on which it is made, and we undertake no duty to update or revise any forward-looking statements, even though our situation may change in the future or we may become aware of new or updated information relating to such forward-looking statements. New factors emerge from time to time, and it is not possible for the Company to predict all such factors. When considering these forward-looking statements, you should keep in mind the risk factors and other cautionary statements included in New Fortress Energy Inc.’s annual and quarterly reports filed with the Securities and Exchange Commission, which could cause its actual results to differ materially from those contained in any forward-looking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ir@newfortressenergy.com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Media Relations: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Porritt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press@newfortressenergy.com</w:t>
      </w:r>
    </w:p>
    <w:p>
      <w:pPr>
        <w:spacing w:after="0" w:line="234" w:lineRule="auto"/>
        <w:rPr>
          <w:sz w:val="20"/>
          <w:szCs w:val="20"/>
          <w:color w:val="auto"/>
        </w:rPr>
      </w:pPr>
      <w:r>
        <w:rPr>
          <w:rFonts w:ascii="Times New Roman" w:cs="Times New Roman" w:eastAsia="Times New Roman" w:hAnsi="Times New Roman"/>
          <w:sz w:val="18"/>
          <w:szCs w:val="18"/>
          <w:u w:val="single" w:color="auto"/>
          <w:color w:val="auto"/>
        </w:rPr>
        <w:t>(516) 268-7403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 New Fortress Energy Inc.</w:t>
      </w:r>
    </w:p>
    <w:p>
      <w:pPr>
        <w:sectPr>
          <w:pgSz w:w="11900" w:h="16838" w:orient="portrait"/>
          <w:cols w:equalWidth="0" w:num="1">
            <w:col w:w="11240"/>
          </w:cols>
          <w:pgMar w:left="320" w:top="114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Exhibits – Financial Statements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ind w:right="5260"/>
        <w:spacing w:after="0" w:line="266" w:lineRule="auto"/>
        <w:rPr>
          <w:sz w:val="20"/>
          <w:szCs w:val="20"/>
          <w:color w:val="auto"/>
        </w:rPr>
      </w:pPr>
      <w:r>
        <w:rPr>
          <w:rFonts w:ascii="Times New Roman" w:cs="Times New Roman" w:eastAsia="Times New Roman" w:hAnsi="Times New Roman"/>
          <w:sz w:val="17"/>
          <w:szCs w:val="17"/>
          <w:b w:val="1"/>
          <w:bCs w:val="1"/>
          <w:color w:val="auto"/>
        </w:rPr>
        <w:t>For the three months ended September 30, 2024 and December 31, 2024 (Unaudited, in thousands of U.S. dollars, except share and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31"/>
        </w:trPr>
        <w:tc>
          <w:tcPr>
            <w:tcW w:w="7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8"/>
                <w:szCs w:val="18"/>
                <w:color w:val="auto"/>
              </w:rPr>
            </w:pPr>
          </w:p>
        </w:tc>
        <w:tc>
          <w:tcPr>
            <w:tcW w:w="15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spacing w:after="0"/>
              <w:rPr>
                <w:sz w:val="18"/>
                <w:szCs w:val="18"/>
                <w:color w:val="auto"/>
              </w:rPr>
            </w:pPr>
          </w:p>
        </w:tc>
      </w:tr>
      <w:tr>
        <w:trPr>
          <w:trHeight w:val="223"/>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567,535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678,998</w:t>
            </w:r>
          </w:p>
        </w:tc>
      </w:tr>
      <w:tr>
        <w:trPr>
          <w:trHeight w:val="203"/>
        </w:trPr>
        <w:tc>
          <w:tcPr>
            <w:tcW w:w="7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(exclusive of depreciation and amortization shown separately below)</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325,292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288,398</w:t>
            </w:r>
          </w:p>
        </w:tc>
      </w:tr>
      <w:tr>
        <w:trPr>
          <w:trHeight w:val="23"/>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Vessel operating expenses</w:t>
            </w:r>
          </w:p>
        </w:tc>
        <w:tc>
          <w:tcPr>
            <w:tcW w:w="1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8,254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8,219</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32,062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34,411</w:t>
            </w:r>
          </w:p>
        </w:tc>
      </w:tr>
      <w:tr>
        <w:trPr>
          <w:trHeight w:val="23"/>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82,388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61,800</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5,994</w:t>
            </w:r>
          </w:p>
        </w:tc>
      </w:tr>
      <w:tr>
        <w:trPr>
          <w:trHeight w:val="23"/>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35,364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38,746</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impairment expense</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10,738</w:t>
            </w:r>
          </w:p>
        </w:tc>
      </w:tr>
      <w:tr>
        <w:trPr>
          <w:trHeight w:val="23"/>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sale of assets, net</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r>
      <w:tr>
        <w:trPr>
          <w:trHeight w:val="223"/>
        </w:trPr>
        <w:tc>
          <w:tcPr>
            <w:tcW w:w="7720" w:type="dxa"/>
            <w:vAlign w:val="bottom"/>
            <w:tcBorders>
              <w:top w:val="single" w:sz="8" w:color="CCEEFF"/>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487,998</w:t>
            </w:r>
          </w:p>
        </w:tc>
        <w:tc>
          <w:tcPr>
            <w:tcW w:w="10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448,728</w:t>
            </w:r>
          </w:p>
        </w:tc>
      </w:tr>
      <w:tr>
        <w:trPr>
          <w:trHeight w:val="196"/>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79,537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230,270</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71,107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99,527</w:t>
            </w:r>
          </w:p>
        </w:tc>
      </w:tr>
      <w:tr>
        <w:trPr>
          <w:trHeight w:val="23"/>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52,447</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 net</w:t>
            </w:r>
          </w:p>
        </w:tc>
        <w:tc>
          <w:tcPr>
            <w:tcW w:w="180" w:type="dxa"/>
            <w:vAlign w:val="bottom"/>
          </w:tcPr>
          <w:p>
            <w:pPr>
              <w:spacing w:after="0"/>
              <w:rPr>
                <w:sz w:val="16"/>
                <w:szCs w:val="16"/>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260,309</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Income (loss) before income from equity method investments and income taxes</w:t>
            </w:r>
          </w:p>
        </w:tc>
        <w:tc>
          <w:tcPr>
            <w:tcW w:w="1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14,266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(182,013)</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provision</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41,497</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7"/>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11,313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(223,510)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234"/>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 (loss) attributable to common stockholders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(242,139)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41"/>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share – basic</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share – diluted</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7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shares outstanding – basic</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205,071,771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217,581,687</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5"/>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shares outstanding – diluted</w:t>
            </w:r>
          </w:p>
        </w:tc>
        <w:tc>
          <w:tcPr>
            <w:tcW w:w="1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208,880,044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217,581,687</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and year ended December 31,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is not a measurement of financial performance under GAAP and should not be considered in isolation or as an alternative to income from operations, net income, cash flow from operating activities or any other measure of performance or liquidity derived in accordance with GAAP. We believe this non-GAAP measure, as we have defined it, offers a useful supplemental view of the overall operation of our business in evaluating the effectiveness of our ongoing operating performance in a manner that is consistent with metrics used for management’s evaluation of our overall performance and to compensate employees. We believe that Adjusted EBITDA is widely used by investors to measure a company’s operating performance without regard to items such as interest expense, taxes, depreciation, and amortization which vary substantially from company to company depending on capital structure, the method by which assets were acquired and depreciation policies. Further, we exclude certain items from our SG&amp;A not otherwise indicative of ongoing operating performance.</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calculate Adjusted EBITDA as net income,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transaction and integration costs, contract termination charges and loss on mitigations sales, depreciation and amortization, asset impairment expense, loss on asset sales, interest expense, net, other (income) expense,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and expenses associated with changes to our corporate structure, certain non-capitalizable contract acquisition costs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our pro rata share of Adjusted EBITDA from certain unconsolidated entities,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impact of equity in earnings (losses) of certain unconsolidated entities.</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is mathematically equivalent to our Total Segment Operating Margin, as reported in the segment disclosures within our financial statements, minus Core SG&amp;A, including our pro rata share of such expenses of certain unconsolidated entities, minus deferred earnings for which a prepayment was received.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principal limitation of this non-GAAP measure is that it excludes significant expenses and income that are required by GAAP to be recorded in our financial statements. Investors are encouraged to review the related GAAP financial measures and the reconciliation of the non-GAAP financial measure to our GAAP net income, and not to rely on any single financial measure to evaluate our business. Adjusted EBITDA does not have a standardized meaning, and different companies may use different Adjusted EBITDA definitions. Therefore, Adjusted EBITDA may not be necessarily comparable to similarly titled measures reported by other companies. Moreover, our definition of Adjusted EBITDA may not necessarily be the same as those we use for purposes of establishing covenant compliance under our financing agreements or for other purposes. Adjusted EBITDA should not be construed as alternatives to net income and diluted earnings per share attributable to New Fortress Energy, which are determined in accordance with GAAP.</w:t>
      </w:r>
    </w:p>
    <w:p>
      <w:pPr>
        <w:sectPr>
          <w:pgSz w:w="11900" w:h="16838" w:orient="portrait"/>
          <w:cols w:equalWidth="0" w:num="1">
            <w:col w:w="11240"/>
          </w:cols>
          <w:pgMar w:left="320" w:top="927" w:right="339" w:bottom="1440" w:gutter="0" w:footer="0" w:header="0"/>
        </w:sectPr>
      </w:pPr>
    </w:p>
    <w:bookmarkStart w:id="8" w:name="page9"/>
    <w:bookmarkEnd w:id="8"/>
    <w:p>
      <w:pPr>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to Adjusted EBITDA for the three months ended September 30, 2024 and December 31, 2024 and the year ended December 31, 2024: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7"/>
                <w:szCs w:val="17"/>
                <w:color w:val="auto"/>
              </w:rPr>
            </w:pPr>
          </w:p>
        </w:tc>
        <w:tc>
          <w:tcPr>
            <w:tcW w:w="15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240" w:type="dxa"/>
            <w:vAlign w:val="bottom"/>
          </w:tcPr>
          <w:p>
            <w:pPr>
              <w:spacing w:after="0"/>
              <w:rPr>
                <w:sz w:val="17"/>
                <w:szCs w:val="17"/>
                <w:color w:val="auto"/>
              </w:rPr>
            </w:pPr>
          </w:p>
        </w:tc>
        <w:tc>
          <w:tcPr>
            <w:tcW w:w="1360" w:type="dxa"/>
            <w:vAlign w:val="bottom"/>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Year Ended</w:t>
            </w:r>
          </w:p>
        </w:tc>
      </w:tr>
      <w:tr>
        <w:trPr>
          <w:trHeight w:val="272"/>
        </w:trPr>
        <w:tc>
          <w:tcPr>
            <w:tcW w:w="63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57"/>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Margin</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219,654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240,243</w:t>
            </w: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1,092,508</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Core SG&amp;A (see definition above)</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142,509</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earnings from contracted sales</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63"/>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Revenue recognized from deferred earnings from cargo sales</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(107,727)</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5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176,204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313,486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949,999</w:t>
            </w:r>
          </w:p>
        </w:tc>
      </w:tr>
      <w:tr>
        <w:trPr>
          <w:trHeight w:val="256"/>
        </w:trPr>
        <w:tc>
          <w:tcPr>
            <w:tcW w:w="6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6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(223,510)</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(242,387)</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Interest expense</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328,377</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Tax provision</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69,509</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162,014</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Asset impairment expense</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SG&amp;A items excluded from Core SG&amp;A (see definition above)</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143,011</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Transaction and integration costs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12,279</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Other (income) expense, net</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113,077</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Loss on extinguishment of debt, net</w:t>
            </w:r>
          </w:p>
        </w:tc>
        <w:tc>
          <w:tcPr>
            <w:tcW w:w="16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270,063</w:t>
            </w:r>
          </w:p>
        </w:tc>
      </w:tr>
      <w:tr>
        <w:trPr>
          <w:trHeight w:val="27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Loss on sale of assets, net</w:t>
            </w:r>
          </w:p>
        </w:tc>
        <w:tc>
          <w:tcPr>
            <w:tcW w:w="16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77,562</w:t>
            </w:r>
          </w:p>
        </w:tc>
      </w:tr>
      <w:tr>
        <w:trPr>
          <w:trHeight w:val="230"/>
        </w:trPr>
        <w:tc>
          <w:tcPr>
            <w:tcW w:w="63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176,204</w:t>
            </w: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313,486</w:t>
            </w:r>
          </w:p>
        </w:tc>
        <w:tc>
          <w:tcPr>
            <w:tcW w:w="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949,999</w:t>
            </w:r>
          </w:p>
        </w:tc>
      </w:tr>
    </w:tbl>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Segment Operating Margin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32"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Performance of our two segments, Terminals and Infrastructure and Ships, is evaluated based on Segment Operating Margin. Segment Operating Margin reconciles to Consolidated Segment Operating Margin as reflected below, which is a non-GAAP measure. We define Consolidated Segment Operating Margin as GAAP net income, adjusted for selling, general and administrative expense, transaction and integration costs, contract termination charges and loss on mitigation sales, depreciation and amortization, asset impairment expense, loss on asset sales, interest expense, other (income) expense, loss on extinguishment of debt, net, (income) loss from equity method investments and tax (benefit) provision. Consolidated Segment Operating Margin is mathematically equivalent to Revenue minus Cost of sales minus Operations and maintenance minus Vessel operating expenses, each as reported in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Terminals and</w:t>
            </w:r>
          </w:p>
        </w:tc>
        <w:tc>
          <w:tcPr>
            <w:tcW w:w="320" w:type="dxa"/>
            <w:vAlign w:val="bottom"/>
          </w:tcPr>
          <w:p>
            <w:pPr>
              <w:spacing w:after="0"/>
              <w:rPr>
                <w:sz w:val="17"/>
                <w:szCs w:val="17"/>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3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13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44"/>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820" w:type="dxa"/>
            <w:vAlign w:val="bottom"/>
          </w:tcPr>
          <w:p>
            <w:pPr>
              <w:spacing w:after="0"/>
              <w:rPr>
                <w:sz w:val="12"/>
                <w:szCs w:val="12"/>
                <w:color w:val="auto"/>
              </w:rPr>
            </w:pPr>
          </w:p>
        </w:tc>
        <w:tc>
          <w:tcPr>
            <w:tcW w:w="1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28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955,293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137,215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1,092,508</w:t>
            </w:r>
          </w:p>
        </w:tc>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1,092,508</w:t>
            </w:r>
          </w:p>
        </w:tc>
        <w:tc>
          <w:tcPr>
            <w:tcW w:w="0" w:type="dxa"/>
            <w:vAlign w:val="bottom"/>
          </w:tcPr>
          <w:p>
            <w:pPr>
              <w:spacing w:after="0"/>
              <w:rPr>
                <w:sz w:val="1"/>
                <w:szCs w:val="1"/>
                <w:color w:val="auto"/>
              </w:rPr>
            </w:pPr>
          </w:p>
        </w:tc>
      </w:tr>
      <w:tr>
        <w:trPr>
          <w:trHeight w:val="25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285,520</w:t>
            </w:r>
          </w:p>
        </w:tc>
        <w:tc>
          <w:tcPr>
            <w:tcW w:w="0" w:type="dxa"/>
            <w:vAlign w:val="bottom"/>
          </w:tcPr>
          <w:p>
            <w:pPr>
              <w:spacing w:after="0"/>
              <w:rPr>
                <w:sz w:val="1"/>
                <w:szCs w:val="1"/>
                <w:color w:val="auto"/>
              </w:rPr>
            </w:pPr>
          </w:p>
        </w:tc>
      </w:tr>
      <w:tr>
        <w:trPr>
          <w:trHeight w:val="25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162,014</w:t>
            </w:r>
          </w:p>
        </w:tc>
        <w:tc>
          <w:tcPr>
            <w:tcW w:w="0" w:type="dxa"/>
            <w:vAlign w:val="bottom"/>
          </w:tcPr>
          <w:p>
            <w:pPr>
              <w:spacing w:after="0"/>
              <w:rPr>
                <w:sz w:val="1"/>
                <w:szCs w:val="1"/>
                <w:color w:val="auto"/>
              </w:rPr>
            </w:pPr>
          </w:p>
        </w:tc>
      </w:tr>
      <w:tr>
        <w:trPr>
          <w:trHeight w:val="25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8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0" w:type="dxa"/>
            <w:vAlign w:val="bottom"/>
          </w:tcPr>
          <w:p>
            <w:pPr>
              <w:spacing w:after="0"/>
              <w:rPr>
                <w:sz w:val="1"/>
                <w:szCs w:val="1"/>
                <w:color w:val="auto"/>
              </w:rPr>
            </w:pPr>
          </w:p>
        </w:tc>
      </w:tr>
      <w:tr>
        <w:trPr>
          <w:trHeight w:val="26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328,377</w:t>
            </w:r>
          </w:p>
        </w:tc>
        <w:tc>
          <w:tcPr>
            <w:tcW w:w="0" w:type="dxa"/>
            <w:vAlign w:val="bottom"/>
          </w:tcPr>
          <w:p>
            <w:pPr>
              <w:spacing w:after="0"/>
              <w:rPr>
                <w:sz w:val="1"/>
                <w:szCs w:val="1"/>
                <w:color w:val="auto"/>
              </w:rPr>
            </w:pPr>
          </w:p>
        </w:tc>
      </w:tr>
      <w:tr>
        <w:trPr>
          <w:trHeight w:val="25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8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113,077</w:t>
            </w:r>
          </w:p>
        </w:tc>
        <w:tc>
          <w:tcPr>
            <w:tcW w:w="0" w:type="dxa"/>
            <w:vAlign w:val="bottom"/>
          </w:tcPr>
          <w:p>
            <w:pPr>
              <w:spacing w:after="0"/>
              <w:rPr>
                <w:sz w:val="1"/>
                <w:szCs w:val="1"/>
                <w:color w:val="auto"/>
              </w:rPr>
            </w:pPr>
          </w:p>
        </w:tc>
      </w:tr>
      <w:tr>
        <w:trPr>
          <w:trHeight w:val="26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8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77,562</w:t>
            </w:r>
          </w:p>
        </w:tc>
        <w:tc>
          <w:tcPr>
            <w:tcW w:w="0" w:type="dxa"/>
            <w:vAlign w:val="bottom"/>
          </w:tcPr>
          <w:p>
            <w:pPr>
              <w:spacing w:after="0"/>
              <w:rPr>
                <w:sz w:val="1"/>
                <w:szCs w:val="1"/>
                <w:color w:val="auto"/>
              </w:rPr>
            </w:pPr>
          </w:p>
        </w:tc>
      </w:tr>
      <w:tr>
        <w:trPr>
          <w:trHeight w:val="25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270,063</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8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69,509</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(242,387)</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86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Terminals and</w:t>
            </w:r>
          </w:p>
        </w:tc>
        <w:tc>
          <w:tcPr>
            <w:tcW w:w="32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4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Infrastructure</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206,099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34,144</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240,243</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107,727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347,970</w:t>
            </w:r>
          </w:p>
        </w:tc>
        <w:tc>
          <w:tcPr>
            <w:tcW w:w="0" w:type="dxa"/>
            <w:vAlign w:val="bottom"/>
          </w:tcPr>
          <w:p>
            <w:pPr>
              <w:spacing w:after="0"/>
              <w:rPr>
                <w:sz w:val="1"/>
                <w:szCs w:val="1"/>
                <w:color w:val="auto"/>
              </w:rPr>
            </w:pPr>
          </w:p>
        </w:tc>
      </w:tr>
      <w:tr>
        <w:trPr>
          <w:trHeight w:val="25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61,800</w:t>
            </w:r>
          </w:p>
        </w:tc>
        <w:tc>
          <w:tcPr>
            <w:tcW w:w="0" w:type="dxa"/>
            <w:vAlign w:val="bottom"/>
          </w:tcPr>
          <w:p>
            <w:pPr>
              <w:spacing w:after="0"/>
              <w:rPr>
                <w:sz w:val="1"/>
                <w:szCs w:val="1"/>
                <w:color w:val="auto"/>
              </w:rPr>
            </w:pPr>
          </w:p>
        </w:tc>
      </w:tr>
      <w:tr>
        <w:trPr>
          <w:trHeight w:val="25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38,746</w:t>
            </w:r>
          </w:p>
        </w:tc>
        <w:tc>
          <w:tcPr>
            <w:tcW w:w="0" w:type="dxa"/>
            <w:vAlign w:val="bottom"/>
          </w:tcPr>
          <w:p>
            <w:pPr>
              <w:spacing w:after="0"/>
              <w:rPr>
                <w:sz w:val="1"/>
                <w:szCs w:val="1"/>
                <w:color w:val="auto"/>
              </w:rPr>
            </w:pPr>
          </w:p>
        </w:tc>
      </w:tr>
      <w:tr>
        <w:trPr>
          <w:trHeight w:val="25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8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0" w:type="dxa"/>
            <w:vAlign w:val="bottom"/>
          </w:tcPr>
          <w:p>
            <w:pPr>
              <w:spacing w:after="0"/>
              <w:rPr>
                <w:sz w:val="1"/>
                <w:szCs w:val="1"/>
                <w:color w:val="auto"/>
              </w:rPr>
            </w:pPr>
          </w:p>
        </w:tc>
      </w:tr>
      <w:tr>
        <w:trPr>
          <w:trHeight w:val="26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8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5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99,527</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8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52,447</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260,309</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8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41,497</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5788025</wp:posOffset>
            </wp:positionH>
            <wp:positionV relativeFrom="paragraph">
              <wp:posOffset>-2125980</wp:posOffset>
            </wp:positionV>
            <wp:extent cx="106045" cy="86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13" w:lineRule="exact"/>
        <w:rPr>
          <w:sz w:val="20"/>
          <w:szCs w:val="20"/>
          <w:color w:val="auto"/>
        </w:rPr>
      </w:pPr>
    </w:p>
    <w:p>
      <w:pPr>
        <w:ind w:left="340" w:right="200" w:hanging="332"/>
        <w:spacing w:after="0" w:line="229" w:lineRule="auto"/>
        <w:tabs>
          <w:tab w:leader="none" w:pos="32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Consolidation and Other adjusts for deferred earnings that were included in Terminals and Infrastructure in the prior quarters, but were recognized as revenue during the fourth quarter of 2024.</w:t>
      </w:r>
    </w:p>
    <w:p>
      <w:pPr>
        <w:sectPr>
          <w:pgSz w:w="11900" w:h="16838" w:orient="portrait"/>
          <w:cols w:equalWidth="0" w:num="1">
            <w:col w:w="11240"/>
          </w:cols>
          <w:pgMar w:left="320" w:top="98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840" w:type="dxa"/>
            <w:vAlign w:val="bottom"/>
          </w:tcPr>
          <w:p>
            <w:pPr>
              <w:spacing w:after="0"/>
              <w:rPr>
                <w:sz w:val="24"/>
                <w:szCs w:val="24"/>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Terminals and</w:t>
            </w:r>
          </w:p>
        </w:tc>
        <w:tc>
          <w:tcPr>
            <w:tcW w:w="32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2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28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 xml:space="preserve">Infrastructure </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b w:val="1"/>
                <w:bCs w:val="1"/>
                <w:color w:val="auto"/>
                <w:w w:val="99"/>
              </w:rPr>
              <w:t>¹</w:t>
            </w:r>
            <w:r>
              <w:rPr>
                <w:rFonts w:ascii="MS PGothic" w:cs="MS PGothic" w:eastAsia="MS PGothic" w:hAnsi="MS PGothic"/>
                <w:sz w:val="18"/>
                <w:szCs w:val="18"/>
                <w:color w:val="auto"/>
                <w:w w:val="99"/>
              </w:rPr>
              <w:t>⁾</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7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184,846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34,808</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219,654</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201,927</w:t>
            </w:r>
          </w:p>
        </w:tc>
        <w:tc>
          <w:tcPr>
            <w:tcW w:w="0" w:type="dxa"/>
            <w:vAlign w:val="bottom"/>
          </w:tcPr>
          <w:p>
            <w:pPr>
              <w:spacing w:after="0"/>
              <w:rPr>
                <w:sz w:val="1"/>
                <w:szCs w:val="1"/>
                <w:color w:val="auto"/>
              </w:rPr>
            </w:pPr>
          </w:p>
        </w:tc>
      </w:tr>
      <w:tr>
        <w:trPr>
          <w:trHeight w:val="25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82,388</w:t>
            </w:r>
          </w:p>
        </w:tc>
        <w:tc>
          <w:tcPr>
            <w:tcW w:w="0" w:type="dxa"/>
            <w:vAlign w:val="bottom"/>
          </w:tcPr>
          <w:p>
            <w:pPr>
              <w:spacing w:after="0"/>
              <w:rPr>
                <w:sz w:val="1"/>
                <w:szCs w:val="1"/>
                <w:color w:val="auto"/>
              </w:rPr>
            </w:pPr>
          </w:p>
        </w:tc>
      </w:tr>
      <w:tr>
        <w:trPr>
          <w:trHeight w:val="25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8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35,364</w:t>
            </w:r>
          </w:p>
        </w:tc>
        <w:tc>
          <w:tcPr>
            <w:tcW w:w="0" w:type="dxa"/>
            <w:vAlign w:val="bottom"/>
          </w:tcPr>
          <w:p>
            <w:pPr>
              <w:spacing w:after="0"/>
              <w:rPr>
                <w:sz w:val="1"/>
                <w:szCs w:val="1"/>
                <w:color w:val="auto"/>
              </w:rPr>
            </w:pPr>
          </w:p>
        </w:tc>
      </w:tr>
      <w:tr>
        <w:trPr>
          <w:trHeight w:val="25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6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71,107</w:t>
            </w:r>
          </w:p>
        </w:tc>
        <w:tc>
          <w:tcPr>
            <w:tcW w:w="0" w:type="dxa"/>
            <w:vAlign w:val="bottom"/>
          </w:tcPr>
          <w:p>
            <w:pPr>
              <w:spacing w:after="0"/>
              <w:rPr>
                <w:sz w:val="1"/>
                <w:szCs w:val="1"/>
                <w:color w:val="auto"/>
              </w:rPr>
            </w:pPr>
          </w:p>
        </w:tc>
      </w:tr>
      <w:tr>
        <w:trPr>
          <w:trHeight w:val="25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8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-1800225</wp:posOffset>
            </wp:positionV>
            <wp:extent cx="106045" cy="86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13" w:lineRule="exact"/>
        <w:rPr>
          <w:sz w:val="20"/>
          <w:szCs w:val="20"/>
          <w:color w:val="auto"/>
        </w:rPr>
      </w:pPr>
    </w:p>
    <w:p>
      <w:pPr>
        <w:ind w:left="340" w:right="20" w:hanging="332"/>
        <w:spacing w:after="0" w:line="231" w:lineRule="auto"/>
        <w:tabs>
          <w:tab w:leader="none" w:pos="328" w:val="left"/>
        </w:tabs>
        <w:numPr>
          <w:ilvl w:val="0"/>
          <w:numId w:val="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Terminals and Infrastructure includes deferred earnings from contracted sales that were contracted in the current period, and prepayment for these sales was received. Revenue will be recognized when delivery under these forward sales transactions is completed. Consolidation and Other adjusts for the inclusion of deferred earnings from contracted sales in Total Segment Operating Margin of $60,000 for the three months ended September 30, 2024; a portion of these deferred earnings of $42,273 was recognized upon delivery during the third quarter of 2024.</w:t>
      </w:r>
    </w:p>
    <w:p>
      <w:pPr>
        <w:sectPr>
          <w:pgSz w:w="11900" w:h="16838" w:orient="portrait"/>
          <w:cols w:equalWidth="0" w:num="1">
            <w:col w:w="11240"/>
          </w:cols>
          <w:pgMar w:left="320" w:top="981" w:right="339" w:bottom="1440" w:gutter="0" w:footer="0" w:header="0"/>
        </w:sectPr>
      </w:pPr>
    </w:p>
    <w:bookmarkStart w:id="12" w:name="page13"/>
    <w:bookmarkEnd w:id="12"/>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and Adjusted Earnings per Share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p>
      <w:pPr>
        <w:spacing w:after="0" w:line="23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reconciliation between net income attributable to common stockholders and earnings per share adjusted for the loss on extinguishment of debt, non-cash impairment charges and losses on disposals of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40" w:type="dxa"/>
            <w:vAlign w:val="bottom"/>
          </w:tcPr>
          <w:p>
            <w:pPr>
              <w:spacing w:after="0"/>
              <w:rPr>
                <w:sz w:val="17"/>
                <w:szCs w:val="17"/>
                <w:color w:val="auto"/>
              </w:rPr>
            </w:pPr>
          </w:p>
        </w:tc>
        <w:tc>
          <w:tcPr>
            <w:tcW w:w="14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Pr>
          <w:p>
            <w:pPr>
              <w:spacing w:after="0"/>
              <w:rPr>
                <w:sz w:val="17"/>
                <w:szCs w:val="17"/>
                <w:color w:val="auto"/>
              </w:rPr>
            </w:pPr>
          </w:p>
        </w:tc>
        <w:tc>
          <w:tcPr>
            <w:tcW w:w="13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ended September</w:t>
            </w:r>
          </w:p>
        </w:tc>
        <w:tc>
          <w:tcPr>
            <w:tcW w:w="140" w:type="dxa"/>
            <w:vAlign w:val="bottom"/>
          </w:tcPr>
          <w:p>
            <w:pPr>
              <w:spacing w:after="0"/>
              <w:rPr>
                <w:sz w:val="16"/>
                <w:szCs w:val="16"/>
                <w:color w:val="auto"/>
              </w:rPr>
            </w:pPr>
          </w:p>
        </w:tc>
        <w:tc>
          <w:tcPr>
            <w:tcW w:w="154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ended December</w:t>
            </w:r>
          </w:p>
        </w:tc>
        <w:tc>
          <w:tcPr>
            <w:tcW w:w="2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00" w:type="dxa"/>
            <w:vAlign w:val="bottom"/>
          </w:tcPr>
          <w:p>
            <w:pPr>
              <w:spacing w:after="0"/>
              <w:rPr>
                <w:sz w:val="19"/>
                <w:szCs w:val="19"/>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(242,139)</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(270,106)</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547,882</w:t>
            </w:r>
          </w:p>
        </w:tc>
        <w:tc>
          <w:tcPr>
            <w:tcW w:w="0" w:type="dxa"/>
            <w:vAlign w:val="bottom"/>
          </w:tcPr>
          <w:p>
            <w:pPr>
              <w:spacing w:after="0"/>
              <w:rPr>
                <w:sz w:val="1"/>
                <w:szCs w:val="1"/>
                <w:color w:val="auto"/>
              </w:rPr>
            </w:pPr>
          </w:p>
        </w:tc>
      </w:tr>
      <w:tr>
        <w:trPr>
          <w:trHeight w:val="25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00" w:type="dxa"/>
            <w:vAlign w:val="bottom"/>
          </w:tcPr>
          <w:p>
            <w:pPr>
              <w:spacing w:after="0"/>
              <w:rPr>
                <w:sz w:val="22"/>
                <w:szCs w:val="22"/>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270,063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impairment charges, net of tax</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0" w:type="dxa"/>
            <w:vAlign w:val="bottom"/>
          </w:tcPr>
          <w:p>
            <w:pPr>
              <w:spacing w:after="0"/>
              <w:rPr>
                <w:sz w:val="1"/>
                <w:szCs w:val="1"/>
                <w:color w:val="auto"/>
              </w:rPr>
            </w:pPr>
          </w:p>
        </w:tc>
      </w:tr>
      <w:tr>
        <w:trPr>
          <w:trHeight w:val="25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100" w:type="dxa"/>
            <w:vAlign w:val="bottom"/>
          </w:tcPr>
          <w:p>
            <w:pPr>
              <w:spacing w:after="0"/>
              <w:rPr>
                <w:sz w:val="22"/>
                <w:szCs w:val="22"/>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equity method investment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37,401</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101,235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566,863</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208,880,044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217,581,687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218,622,419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206,481,977</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1,698,348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1,978,645</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charter revenue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357,158</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novation income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32,469</w:t>
            </w:r>
          </w:p>
        </w:tc>
      </w:tr>
      <w:tr>
        <w:trPr>
          <w:trHeight w:val="22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2,364,860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2,413,296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2,368,272</w:t>
            </w:r>
          </w:p>
        </w:tc>
      </w:tr>
      <w:tr>
        <w:trPr>
          <w:trHeight w:val="237"/>
        </w:trPr>
        <w:tc>
          <w:tcPr>
            <w:tcW w:w="6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1,064,667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1,010,428</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63,518</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105,800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236,051</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21,796</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142,640</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50,659</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sale of assets, net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1,826,221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1,470,629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1,630,892</w:t>
            </w:r>
          </w:p>
        </w:tc>
      </w:tr>
      <w:tr>
        <w:trPr>
          <w:trHeight w:val="223"/>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942,667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737,380</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236,861</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(48,044)</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14,997</w:t>
            </w:r>
          </w:p>
        </w:tc>
      </w:tr>
      <w:tr>
        <w:trPr>
          <w:trHeight w:val="223"/>
        </w:trPr>
        <w:tc>
          <w:tcPr>
            <w:tcW w:w="6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 income before income from equity method investments and income taxes</w:t>
            </w: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(172,878)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654,417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533,566</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(472,219)</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(123,439)</w:t>
            </w:r>
          </w:p>
        </w:tc>
      </w:tr>
      <w:tr>
        <w:trPr>
          <w:trHeight w:val="196"/>
        </w:trPr>
        <w:tc>
          <w:tcPr>
            <w:tcW w:w="66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Net (loss) income</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(242,387)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548,876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184,786</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r>
      <w:tr>
        <w:trPr>
          <w:trHeight w:val="22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stockholders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194,479</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share – basic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 – 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217,578,487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205,942,837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209,501,298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218,622,419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206,481,977</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209,854,413</w:t>
            </w: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2025-03-03T15:48:32Z</dcterms:created>
  <dcterms:modified xsi:type="dcterms:W3CDTF">2025-03-03T15:48:32Z</dcterms:modified>
</cp:coreProperties>
</file>